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33934828"/>
    <w:bookmarkEnd w:id="0"/>
    <w:p w:rsidR="001C3049" w:rsidRPr="00FC32F1" w:rsidRDefault="00BB1B4D" w:rsidP="00873D9F">
      <w:pPr>
        <w:widowControl w:val="0"/>
        <w:jc w:val="center"/>
        <w:rPr>
          <w:rFonts w:cs="Arial"/>
          <w:b/>
          <w:color w:val="0070C0"/>
          <w:sz w:val="22"/>
          <w:szCs w:val="20"/>
        </w:rPr>
      </w:pPr>
      <w:r w:rsidRPr="009B3396">
        <w:rPr>
          <w:rFonts w:cs="Arial"/>
          <w:b/>
          <w:color w:val="0070C0"/>
          <w:sz w:val="22"/>
          <w:szCs w:val="20"/>
        </w:rPr>
        <w:object w:dxaOrig="8916" w:dyaOrig="12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6.75pt" o:ole="">
            <v:imagedata r:id="rId8" o:title=""/>
          </v:shape>
          <o:OLEObject Type="Embed" ProgID="Word.Document.8" ShapeID="_x0000_i1025" DrawAspect="Content" ObjectID="_1594704976" r:id="rId9">
            <o:FieldCodes>\s</o:FieldCodes>
          </o:OLEObject>
        </w:object>
      </w:r>
    </w:p>
    <w:p w:rsidR="00EE3B27" w:rsidRDefault="00EE3B27" w:rsidP="00873D9F">
      <w:pPr>
        <w:widowControl w:val="0"/>
        <w:jc w:val="center"/>
        <w:rPr>
          <w:rFonts w:cs="Arial"/>
          <w:b/>
          <w:color w:val="auto"/>
          <w:sz w:val="20"/>
          <w:szCs w:val="20"/>
        </w:rPr>
      </w:pPr>
    </w:p>
    <w:p w:rsidR="001E7DDD" w:rsidRPr="0005794A" w:rsidRDefault="001E7DDD" w:rsidP="00B5412B">
      <w:pPr>
        <w:widowControl w:val="0"/>
        <w:jc w:val="center"/>
        <w:rPr>
          <w:rFonts w:cs="Arial"/>
          <w:b/>
          <w:color w:val="548DD4" w:themeColor="text2" w:themeTint="99"/>
          <w:sz w:val="28"/>
          <w:szCs w:val="28"/>
        </w:rPr>
      </w:pPr>
    </w:p>
    <w:p w:rsidR="001E7DDD" w:rsidRPr="0005794A" w:rsidRDefault="001E7DDD" w:rsidP="00B5412B">
      <w:pPr>
        <w:widowControl w:val="0"/>
        <w:jc w:val="center"/>
        <w:rPr>
          <w:rFonts w:cs="Arial"/>
          <w:b/>
          <w:color w:val="548DD4" w:themeColor="text2" w:themeTint="99"/>
          <w:sz w:val="28"/>
          <w:szCs w:val="28"/>
        </w:rPr>
      </w:pPr>
    </w:p>
    <w:tbl>
      <w:tblPr>
        <w:tblpPr w:leftFromText="180" w:rightFromText="180" w:vertAnchor="page" w:horzAnchor="margin" w:tblpXSpec="center" w:tblpY="2748"/>
        <w:tblW w:w="6487" w:type="dxa"/>
        <w:tblLook w:val="00A0" w:firstRow="1" w:lastRow="0" w:firstColumn="1" w:lastColumn="0" w:noHBand="0" w:noVBand="0"/>
      </w:tblPr>
      <w:tblGrid>
        <w:gridCol w:w="4969"/>
        <w:gridCol w:w="1518"/>
      </w:tblGrid>
      <w:tr w:rsidR="006E667C" w:rsidRPr="0005794A" w:rsidTr="007E6E6A">
        <w:tc>
          <w:tcPr>
            <w:tcW w:w="4969" w:type="dxa"/>
          </w:tcPr>
          <w:p w:rsidR="00814788" w:rsidRPr="007E6E6A" w:rsidRDefault="00814788" w:rsidP="00814788">
            <w:pPr>
              <w:widowControl w:val="0"/>
              <w:jc w:val="center"/>
              <w:rPr>
                <w:rFonts w:cs="Arial"/>
                <w:b/>
                <w:color w:val="auto"/>
                <w:sz w:val="28"/>
                <w:szCs w:val="28"/>
              </w:rPr>
            </w:pPr>
            <w:r w:rsidRPr="007E6E6A">
              <w:rPr>
                <w:rFonts w:cs="Arial"/>
                <w:b/>
                <w:color w:val="auto"/>
                <w:sz w:val="28"/>
                <w:szCs w:val="28"/>
              </w:rPr>
              <w:t>Contents</w:t>
            </w:r>
          </w:p>
          <w:p w:rsidR="006E667C" w:rsidRPr="007E6E6A" w:rsidRDefault="006E667C" w:rsidP="006E667C">
            <w:pPr>
              <w:widowControl w:val="0"/>
              <w:spacing w:after="0" w:line="240" w:lineRule="auto"/>
              <w:rPr>
                <w:rFonts w:cs="Arial"/>
                <w:b/>
                <w:color w:val="auto"/>
                <w:sz w:val="20"/>
                <w:szCs w:val="20"/>
              </w:rPr>
            </w:pPr>
          </w:p>
        </w:tc>
        <w:tc>
          <w:tcPr>
            <w:tcW w:w="1518" w:type="dxa"/>
          </w:tcPr>
          <w:p w:rsidR="006E667C" w:rsidRPr="0005794A" w:rsidRDefault="006E667C" w:rsidP="006E667C">
            <w:pPr>
              <w:widowControl w:val="0"/>
              <w:spacing w:after="0" w:line="240" w:lineRule="auto"/>
              <w:jc w:val="center"/>
              <w:rPr>
                <w:rFonts w:cs="Arial"/>
                <w:b/>
                <w:color w:val="548DD4" w:themeColor="text2" w:themeTint="99"/>
                <w:sz w:val="20"/>
                <w:szCs w:val="20"/>
              </w:rPr>
            </w:pPr>
          </w:p>
          <w:p w:rsidR="006E667C" w:rsidRPr="007E6E6A" w:rsidRDefault="006E667C" w:rsidP="006E667C">
            <w:pPr>
              <w:widowControl w:val="0"/>
              <w:spacing w:after="0" w:line="240" w:lineRule="auto"/>
              <w:jc w:val="center"/>
              <w:rPr>
                <w:rFonts w:cs="Arial"/>
                <w:b/>
                <w:color w:val="auto"/>
                <w:sz w:val="20"/>
                <w:szCs w:val="20"/>
              </w:rPr>
            </w:pPr>
            <w:r w:rsidRPr="007E6E6A">
              <w:rPr>
                <w:rFonts w:cs="Arial"/>
                <w:b/>
                <w:color w:val="auto"/>
                <w:sz w:val="20"/>
                <w:szCs w:val="20"/>
              </w:rPr>
              <w:t>Page</w:t>
            </w:r>
          </w:p>
        </w:tc>
      </w:tr>
      <w:tr w:rsidR="006E667C" w:rsidRPr="0005794A" w:rsidTr="007E6E6A">
        <w:tc>
          <w:tcPr>
            <w:tcW w:w="4969" w:type="dxa"/>
          </w:tcPr>
          <w:p w:rsidR="006E667C" w:rsidRPr="001C3049" w:rsidRDefault="006E667C" w:rsidP="006E667C">
            <w:pPr>
              <w:widowControl w:val="0"/>
              <w:spacing w:after="0" w:line="240" w:lineRule="auto"/>
              <w:rPr>
                <w:rFonts w:cs="Arial"/>
                <w:b/>
                <w:color w:val="auto"/>
                <w:sz w:val="20"/>
                <w:szCs w:val="20"/>
              </w:rPr>
            </w:pPr>
          </w:p>
        </w:tc>
        <w:tc>
          <w:tcPr>
            <w:tcW w:w="1518" w:type="dxa"/>
          </w:tcPr>
          <w:p w:rsidR="006E667C" w:rsidRPr="001C3049" w:rsidRDefault="006E667C" w:rsidP="006E667C">
            <w:pPr>
              <w:widowControl w:val="0"/>
              <w:spacing w:after="0" w:line="240" w:lineRule="auto"/>
              <w:jc w:val="center"/>
              <w:rPr>
                <w:rFonts w:cs="Arial"/>
                <w:b/>
                <w:color w:val="auto"/>
                <w:sz w:val="20"/>
                <w:szCs w:val="20"/>
              </w:rPr>
            </w:pPr>
          </w:p>
        </w:tc>
      </w:tr>
      <w:tr w:rsidR="006E667C" w:rsidRPr="0005794A" w:rsidTr="007E6E6A">
        <w:tc>
          <w:tcPr>
            <w:tcW w:w="4969" w:type="dxa"/>
          </w:tcPr>
          <w:p w:rsidR="00EB2139" w:rsidRPr="009B3396" w:rsidRDefault="00EB2139" w:rsidP="00AC55C6">
            <w:pPr>
              <w:widowControl w:val="0"/>
              <w:spacing w:after="0" w:line="240" w:lineRule="auto"/>
              <w:rPr>
                <w:rFonts w:cs="Arial"/>
                <w:b/>
                <w:color w:val="auto"/>
                <w:sz w:val="20"/>
                <w:szCs w:val="20"/>
              </w:rPr>
            </w:pPr>
            <w:r w:rsidRPr="009B3396">
              <w:rPr>
                <w:rFonts w:cs="Arial"/>
                <w:b/>
                <w:color w:val="auto"/>
                <w:sz w:val="20"/>
                <w:szCs w:val="20"/>
              </w:rPr>
              <w:t>Introduction</w:t>
            </w:r>
          </w:p>
          <w:p w:rsidR="00EB2139" w:rsidRPr="009B3396" w:rsidRDefault="00EB2139" w:rsidP="00AC55C6">
            <w:pPr>
              <w:widowControl w:val="0"/>
              <w:spacing w:after="0" w:line="240" w:lineRule="auto"/>
              <w:rPr>
                <w:rFonts w:cs="Arial"/>
                <w:b/>
                <w:color w:val="auto"/>
                <w:sz w:val="20"/>
                <w:szCs w:val="20"/>
              </w:rPr>
            </w:pPr>
          </w:p>
          <w:p w:rsidR="006E667C" w:rsidRPr="009B3396" w:rsidRDefault="0082384A" w:rsidP="00076DB3">
            <w:pPr>
              <w:widowControl w:val="0"/>
              <w:spacing w:after="0" w:line="240" w:lineRule="auto"/>
              <w:rPr>
                <w:rFonts w:cs="Arial"/>
                <w:b/>
                <w:color w:val="auto"/>
                <w:sz w:val="20"/>
                <w:szCs w:val="20"/>
              </w:rPr>
            </w:pPr>
            <w:r w:rsidRPr="009B3396">
              <w:rPr>
                <w:rFonts w:cs="Arial"/>
                <w:b/>
                <w:color w:val="auto"/>
                <w:sz w:val="20"/>
                <w:szCs w:val="20"/>
              </w:rPr>
              <w:t xml:space="preserve">Head of Finance’s </w:t>
            </w:r>
            <w:r w:rsidR="00315DA5" w:rsidRPr="009B3396">
              <w:rPr>
                <w:rFonts w:cs="Arial"/>
                <w:b/>
                <w:color w:val="auto"/>
                <w:sz w:val="20"/>
                <w:szCs w:val="20"/>
              </w:rPr>
              <w:t xml:space="preserve">Narrative </w:t>
            </w:r>
            <w:r w:rsidRPr="009B3396">
              <w:rPr>
                <w:rFonts w:cs="Arial"/>
                <w:b/>
                <w:color w:val="auto"/>
                <w:sz w:val="20"/>
                <w:szCs w:val="20"/>
              </w:rPr>
              <w:t xml:space="preserve">Statement </w:t>
            </w:r>
          </w:p>
        </w:tc>
        <w:tc>
          <w:tcPr>
            <w:tcW w:w="1518" w:type="dxa"/>
          </w:tcPr>
          <w:p w:rsidR="006E667C" w:rsidRPr="001C3049" w:rsidRDefault="00EB2139" w:rsidP="0035318D">
            <w:pPr>
              <w:widowControl w:val="0"/>
              <w:spacing w:after="0" w:line="240" w:lineRule="auto"/>
              <w:jc w:val="center"/>
              <w:rPr>
                <w:rFonts w:cs="Arial"/>
                <w:color w:val="auto"/>
                <w:sz w:val="20"/>
                <w:szCs w:val="20"/>
              </w:rPr>
            </w:pPr>
            <w:r w:rsidRPr="001C3049">
              <w:rPr>
                <w:rFonts w:cs="Arial"/>
                <w:color w:val="auto"/>
                <w:sz w:val="20"/>
                <w:szCs w:val="20"/>
              </w:rPr>
              <w:t>2</w:t>
            </w:r>
          </w:p>
          <w:p w:rsidR="00EB2139" w:rsidRPr="001C3049" w:rsidRDefault="00EB2139" w:rsidP="0035318D">
            <w:pPr>
              <w:widowControl w:val="0"/>
              <w:spacing w:after="0" w:line="240" w:lineRule="auto"/>
              <w:jc w:val="center"/>
              <w:rPr>
                <w:rFonts w:cs="Arial"/>
                <w:color w:val="auto"/>
                <w:sz w:val="20"/>
                <w:szCs w:val="20"/>
              </w:rPr>
            </w:pPr>
          </w:p>
          <w:p w:rsidR="00EB2139" w:rsidRPr="001C3049" w:rsidRDefault="00EB2139" w:rsidP="0035318D">
            <w:pPr>
              <w:widowControl w:val="0"/>
              <w:spacing w:after="0" w:line="240" w:lineRule="auto"/>
              <w:jc w:val="center"/>
              <w:rPr>
                <w:rFonts w:cs="Arial"/>
                <w:b/>
                <w:color w:val="auto"/>
                <w:sz w:val="20"/>
                <w:szCs w:val="20"/>
              </w:rPr>
            </w:pPr>
            <w:r w:rsidRPr="001C3049">
              <w:rPr>
                <w:rFonts w:cs="Arial"/>
                <w:color w:val="auto"/>
                <w:sz w:val="20"/>
                <w:szCs w:val="20"/>
              </w:rPr>
              <w:t>4</w:t>
            </w:r>
          </w:p>
        </w:tc>
      </w:tr>
      <w:tr w:rsidR="006E667C" w:rsidRPr="0005794A" w:rsidTr="007E6E6A">
        <w:tc>
          <w:tcPr>
            <w:tcW w:w="4969" w:type="dxa"/>
          </w:tcPr>
          <w:p w:rsidR="006E667C" w:rsidRPr="009B3396" w:rsidRDefault="006E667C" w:rsidP="006E667C">
            <w:pPr>
              <w:widowControl w:val="0"/>
              <w:spacing w:after="0" w:line="240" w:lineRule="auto"/>
              <w:rPr>
                <w:rFonts w:cs="Arial"/>
                <w:color w:val="auto"/>
                <w:sz w:val="20"/>
                <w:szCs w:val="20"/>
              </w:rPr>
            </w:pPr>
          </w:p>
        </w:tc>
        <w:tc>
          <w:tcPr>
            <w:tcW w:w="1518" w:type="dxa"/>
          </w:tcPr>
          <w:p w:rsidR="006E667C" w:rsidRPr="001C3049" w:rsidRDefault="006E667C" w:rsidP="006E667C">
            <w:pPr>
              <w:widowControl w:val="0"/>
              <w:spacing w:after="0" w:line="240" w:lineRule="auto"/>
              <w:jc w:val="center"/>
              <w:rPr>
                <w:rFonts w:cs="Arial"/>
                <w:color w:val="auto"/>
                <w:sz w:val="20"/>
                <w:szCs w:val="20"/>
              </w:rPr>
            </w:pPr>
          </w:p>
        </w:tc>
      </w:tr>
      <w:tr w:rsidR="006E667C" w:rsidRPr="0005794A" w:rsidTr="007E6E6A">
        <w:tc>
          <w:tcPr>
            <w:tcW w:w="4969" w:type="dxa"/>
          </w:tcPr>
          <w:p w:rsidR="006E667C" w:rsidRPr="009B3396" w:rsidRDefault="006E667C" w:rsidP="007E6E6A">
            <w:pPr>
              <w:widowControl w:val="0"/>
              <w:spacing w:after="0" w:line="240" w:lineRule="auto"/>
              <w:rPr>
                <w:rFonts w:cs="Arial"/>
                <w:color w:val="auto"/>
                <w:sz w:val="20"/>
                <w:szCs w:val="20"/>
              </w:rPr>
            </w:pPr>
            <w:r w:rsidRPr="009B3396">
              <w:rPr>
                <w:rFonts w:cs="Arial"/>
                <w:b/>
                <w:color w:val="auto"/>
                <w:sz w:val="20"/>
                <w:szCs w:val="20"/>
              </w:rPr>
              <w:t>Statement of Accounts 201</w:t>
            </w:r>
            <w:r w:rsidR="007E6E6A" w:rsidRPr="009B3396">
              <w:rPr>
                <w:rFonts w:cs="Arial"/>
                <w:b/>
                <w:color w:val="auto"/>
                <w:sz w:val="20"/>
                <w:szCs w:val="20"/>
              </w:rPr>
              <w:t>7/</w:t>
            </w:r>
            <w:r w:rsidR="00A85FEB" w:rsidRPr="009B3396">
              <w:rPr>
                <w:rFonts w:cs="Arial"/>
                <w:b/>
                <w:color w:val="auto"/>
                <w:sz w:val="20"/>
                <w:szCs w:val="20"/>
              </w:rPr>
              <w:t>1</w:t>
            </w:r>
            <w:r w:rsidR="007E6E6A" w:rsidRPr="009B3396">
              <w:rPr>
                <w:rFonts w:cs="Arial"/>
                <w:b/>
                <w:color w:val="auto"/>
                <w:sz w:val="20"/>
                <w:szCs w:val="20"/>
              </w:rPr>
              <w:t>8</w:t>
            </w:r>
          </w:p>
        </w:tc>
        <w:tc>
          <w:tcPr>
            <w:tcW w:w="1518" w:type="dxa"/>
          </w:tcPr>
          <w:p w:rsidR="006E667C" w:rsidRPr="001C3049" w:rsidRDefault="006E667C" w:rsidP="00DB59CD">
            <w:pPr>
              <w:widowControl w:val="0"/>
              <w:spacing w:after="0" w:line="240" w:lineRule="auto"/>
              <w:jc w:val="center"/>
              <w:rPr>
                <w:rFonts w:cs="Arial"/>
                <w:b/>
                <w:color w:val="auto"/>
                <w:sz w:val="20"/>
                <w:szCs w:val="20"/>
              </w:rPr>
            </w:pPr>
          </w:p>
        </w:tc>
      </w:tr>
      <w:tr w:rsidR="006E667C" w:rsidRPr="0005794A" w:rsidTr="007E6E6A">
        <w:tc>
          <w:tcPr>
            <w:tcW w:w="4969" w:type="dxa"/>
          </w:tcPr>
          <w:p w:rsidR="006E667C" w:rsidRPr="009B3396" w:rsidRDefault="006E667C" w:rsidP="006E667C">
            <w:pPr>
              <w:widowControl w:val="0"/>
              <w:spacing w:after="0" w:line="240" w:lineRule="auto"/>
              <w:rPr>
                <w:rFonts w:cs="Arial"/>
                <w:color w:val="auto"/>
                <w:sz w:val="20"/>
                <w:szCs w:val="20"/>
              </w:rPr>
            </w:pPr>
          </w:p>
        </w:tc>
        <w:tc>
          <w:tcPr>
            <w:tcW w:w="1518" w:type="dxa"/>
          </w:tcPr>
          <w:p w:rsidR="006E667C" w:rsidRPr="001C3049" w:rsidRDefault="006E667C" w:rsidP="006E667C">
            <w:pPr>
              <w:widowControl w:val="0"/>
              <w:spacing w:after="0" w:line="240" w:lineRule="auto"/>
              <w:jc w:val="center"/>
              <w:rPr>
                <w:rFonts w:cs="Arial"/>
                <w:color w:val="auto"/>
                <w:sz w:val="20"/>
                <w:szCs w:val="20"/>
              </w:rPr>
            </w:pPr>
          </w:p>
        </w:tc>
      </w:tr>
      <w:tr w:rsidR="006E667C" w:rsidRPr="0005794A" w:rsidTr="007E6E6A">
        <w:tc>
          <w:tcPr>
            <w:tcW w:w="4969" w:type="dxa"/>
          </w:tcPr>
          <w:p w:rsidR="006E667C" w:rsidRPr="009B3396" w:rsidRDefault="006E667C" w:rsidP="006E667C">
            <w:pPr>
              <w:widowControl w:val="0"/>
              <w:spacing w:after="0" w:line="240" w:lineRule="auto"/>
              <w:rPr>
                <w:rFonts w:cs="Arial"/>
                <w:color w:val="auto"/>
                <w:sz w:val="20"/>
                <w:szCs w:val="20"/>
              </w:rPr>
            </w:pPr>
            <w:r w:rsidRPr="009B3396">
              <w:rPr>
                <w:rFonts w:cs="Arial"/>
                <w:color w:val="auto"/>
                <w:sz w:val="20"/>
                <w:szCs w:val="20"/>
              </w:rPr>
              <w:t xml:space="preserve">          - Financial Certificates</w:t>
            </w:r>
          </w:p>
          <w:p w:rsidR="00CC3422" w:rsidRPr="009B3396" w:rsidRDefault="00CC3422" w:rsidP="006E667C">
            <w:pPr>
              <w:widowControl w:val="0"/>
              <w:spacing w:after="0" w:line="240" w:lineRule="auto"/>
              <w:rPr>
                <w:rFonts w:cs="Arial"/>
                <w:color w:val="auto"/>
                <w:sz w:val="20"/>
                <w:szCs w:val="20"/>
              </w:rPr>
            </w:pPr>
          </w:p>
        </w:tc>
        <w:tc>
          <w:tcPr>
            <w:tcW w:w="1518" w:type="dxa"/>
          </w:tcPr>
          <w:p w:rsidR="006E667C" w:rsidRPr="001C3049" w:rsidRDefault="001C0F0D" w:rsidP="00A35921">
            <w:pPr>
              <w:widowControl w:val="0"/>
              <w:spacing w:after="0" w:line="240" w:lineRule="auto"/>
              <w:jc w:val="center"/>
              <w:rPr>
                <w:rFonts w:cs="Arial"/>
                <w:color w:val="auto"/>
                <w:sz w:val="20"/>
                <w:szCs w:val="20"/>
              </w:rPr>
            </w:pPr>
            <w:r w:rsidRPr="001C3049">
              <w:rPr>
                <w:rFonts w:cs="Arial"/>
                <w:color w:val="auto"/>
                <w:sz w:val="20"/>
                <w:szCs w:val="20"/>
              </w:rPr>
              <w:t>2</w:t>
            </w:r>
            <w:r w:rsidR="00A35921">
              <w:rPr>
                <w:rFonts w:cs="Arial"/>
                <w:color w:val="auto"/>
                <w:sz w:val="20"/>
                <w:szCs w:val="20"/>
              </w:rPr>
              <w:t>4</w:t>
            </w:r>
          </w:p>
        </w:tc>
      </w:tr>
      <w:tr w:rsidR="006E667C" w:rsidRPr="0005794A" w:rsidTr="007E6E6A">
        <w:tc>
          <w:tcPr>
            <w:tcW w:w="4969" w:type="dxa"/>
          </w:tcPr>
          <w:p w:rsidR="006E667C" w:rsidRPr="009B3396" w:rsidRDefault="006E667C" w:rsidP="00C2205A">
            <w:pPr>
              <w:pStyle w:val="ListParagraph"/>
              <w:widowControl w:val="0"/>
              <w:numPr>
                <w:ilvl w:val="0"/>
                <w:numId w:val="41"/>
              </w:numPr>
              <w:spacing w:after="0" w:line="240" w:lineRule="auto"/>
              <w:ind w:left="743" w:hanging="142"/>
              <w:rPr>
                <w:rFonts w:cs="Arial"/>
                <w:color w:val="auto"/>
                <w:sz w:val="20"/>
                <w:szCs w:val="20"/>
              </w:rPr>
            </w:pPr>
            <w:r w:rsidRPr="009B3396">
              <w:rPr>
                <w:rFonts w:cs="Arial"/>
                <w:color w:val="auto"/>
                <w:sz w:val="20"/>
                <w:szCs w:val="20"/>
              </w:rPr>
              <w:t xml:space="preserve">Independent Auditor’s Report </w:t>
            </w:r>
            <w:r w:rsidR="001C0F0D" w:rsidRPr="009B3396">
              <w:rPr>
                <w:rFonts w:cs="Arial"/>
                <w:color w:val="auto"/>
                <w:sz w:val="20"/>
                <w:szCs w:val="20"/>
              </w:rPr>
              <w:t xml:space="preserve"> </w:t>
            </w:r>
          </w:p>
          <w:p w:rsidR="006E667C" w:rsidRPr="009B3396" w:rsidRDefault="006E667C" w:rsidP="006E667C">
            <w:pPr>
              <w:widowControl w:val="0"/>
              <w:spacing w:after="0" w:line="240" w:lineRule="auto"/>
              <w:rPr>
                <w:rFonts w:cs="Arial"/>
                <w:color w:val="auto"/>
                <w:sz w:val="20"/>
                <w:szCs w:val="20"/>
              </w:rPr>
            </w:pPr>
          </w:p>
        </w:tc>
        <w:tc>
          <w:tcPr>
            <w:tcW w:w="1518" w:type="dxa"/>
          </w:tcPr>
          <w:p w:rsidR="006E667C" w:rsidRPr="001C3049" w:rsidRDefault="001C0F0D" w:rsidP="00A35921">
            <w:pPr>
              <w:widowControl w:val="0"/>
              <w:spacing w:after="0" w:line="240" w:lineRule="auto"/>
              <w:jc w:val="center"/>
              <w:rPr>
                <w:rFonts w:cs="Arial"/>
                <w:color w:val="auto"/>
                <w:sz w:val="20"/>
                <w:szCs w:val="20"/>
              </w:rPr>
            </w:pPr>
            <w:r w:rsidRPr="001C3049">
              <w:rPr>
                <w:rFonts w:cs="Arial"/>
                <w:color w:val="auto"/>
                <w:sz w:val="20"/>
                <w:szCs w:val="20"/>
              </w:rPr>
              <w:t>2</w:t>
            </w:r>
            <w:r w:rsidR="00A35921">
              <w:rPr>
                <w:rFonts w:cs="Arial"/>
                <w:color w:val="auto"/>
                <w:sz w:val="20"/>
                <w:szCs w:val="20"/>
              </w:rPr>
              <w:t>6</w:t>
            </w:r>
          </w:p>
        </w:tc>
      </w:tr>
      <w:tr w:rsidR="006E667C" w:rsidRPr="0005794A" w:rsidTr="007E6E6A">
        <w:tc>
          <w:tcPr>
            <w:tcW w:w="4969" w:type="dxa"/>
          </w:tcPr>
          <w:p w:rsidR="006E667C" w:rsidRPr="009B3396" w:rsidRDefault="006E667C" w:rsidP="006E667C">
            <w:pPr>
              <w:widowControl w:val="0"/>
              <w:spacing w:after="0" w:line="240" w:lineRule="auto"/>
              <w:rPr>
                <w:rFonts w:cs="Arial"/>
                <w:color w:val="auto"/>
                <w:sz w:val="20"/>
                <w:szCs w:val="20"/>
              </w:rPr>
            </w:pPr>
            <w:r w:rsidRPr="009B3396">
              <w:rPr>
                <w:rFonts w:cs="Arial"/>
                <w:color w:val="auto"/>
                <w:sz w:val="20"/>
                <w:szCs w:val="20"/>
              </w:rPr>
              <w:t xml:space="preserve">           - Core Financial Statements </w:t>
            </w:r>
          </w:p>
        </w:tc>
        <w:tc>
          <w:tcPr>
            <w:tcW w:w="1518" w:type="dxa"/>
          </w:tcPr>
          <w:p w:rsidR="006E667C" w:rsidRPr="001C3049" w:rsidRDefault="00A13313" w:rsidP="00C37C2C">
            <w:pPr>
              <w:widowControl w:val="0"/>
              <w:spacing w:after="0" w:line="240" w:lineRule="auto"/>
              <w:jc w:val="center"/>
              <w:rPr>
                <w:rFonts w:cs="Arial"/>
                <w:color w:val="auto"/>
                <w:sz w:val="20"/>
                <w:szCs w:val="20"/>
              </w:rPr>
            </w:pPr>
            <w:r>
              <w:rPr>
                <w:rFonts w:cs="Arial"/>
                <w:color w:val="auto"/>
                <w:sz w:val="20"/>
                <w:szCs w:val="20"/>
              </w:rPr>
              <w:t>31</w:t>
            </w:r>
          </w:p>
        </w:tc>
      </w:tr>
      <w:tr w:rsidR="006E667C" w:rsidRPr="0005794A" w:rsidTr="007E6E6A">
        <w:tc>
          <w:tcPr>
            <w:tcW w:w="4969" w:type="dxa"/>
          </w:tcPr>
          <w:p w:rsidR="006E667C" w:rsidRPr="009B3396" w:rsidRDefault="006E667C" w:rsidP="006E667C">
            <w:pPr>
              <w:widowControl w:val="0"/>
              <w:spacing w:after="0" w:line="240" w:lineRule="auto"/>
              <w:rPr>
                <w:rFonts w:cs="Arial"/>
                <w:color w:val="auto"/>
                <w:sz w:val="20"/>
                <w:szCs w:val="20"/>
              </w:rPr>
            </w:pPr>
            <w:r w:rsidRPr="009B3396">
              <w:rPr>
                <w:rFonts w:cs="Arial"/>
                <w:color w:val="auto"/>
                <w:sz w:val="20"/>
                <w:szCs w:val="20"/>
              </w:rPr>
              <w:t xml:space="preserve">           - Notes to the Core Financial Statements</w:t>
            </w:r>
          </w:p>
        </w:tc>
        <w:tc>
          <w:tcPr>
            <w:tcW w:w="1518" w:type="dxa"/>
          </w:tcPr>
          <w:p w:rsidR="006E667C" w:rsidRPr="001C3049" w:rsidRDefault="001C0F0D" w:rsidP="00750182">
            <w:pPr>
              <w:widowControl w:val="0"/>
              <w:spacing w:after="0" w:line="240" w:lineRule="auto"/>
              <w:rPr>
                <w:rFonts w:cs="Arial"/>
                <w:color w:val="auto"/>
                <w:sz w:val="20"/>
                <w:szCs w:val="20"/>
              </w:rPr>
            </w:pPr>
            <w:r w:rsidRPr="001C3049">
              <w:rPr>
                <w:rFonts w:cs="Arial"/>
                <w:color w:val="auto"/>
                <w:sz w:val="20"/>
                <w:szCs w:val="20"/>
              </w:rPr>
              <w:t xml:space="preserve">        </w:t>
            </w:r>
            <w:r w:rsidR="001C3049" w:rsidRPr="001C3049">
              <w:rPr>
                <w:rFonts w:cs="Arial"/>
                <w:color w:val="auto"/>
                <w:sz w:val="20"/>
                <w:szCs w:val="20"/>
              </w:rPr>
              <w:t xml:space="preserve"> </w:t>
            </w:r>
            <w:r w:rsidRPr="001C3049">
              <w:rPr>
                <w:rFonts w:cs="Arial"/>
                <w:color w:val="auto"/>
                <w:sz w:val="20"/>
                <w:szCs w:val="20"/>
              </w:rPr>
              <w:t xml:space="preserve"> 3</w:t>
            </w:r>
            <w:r w:rsidR="00A13313">
              <w:rPr>
                <w:rFonts w:cs="Arial"/>
                <w:color w:val="auto"/>
                <w:sz w:val="20"/>
                <w:szCs w:val="20"/>
              </w:rPr>
              <w:t>8</w:t>
            </w:r>
          </w:p>
        </w:tc>
      </w:tr>
      <w:tr w:rsidR="006E667C" w:rsidRPr="0005794A" w:rsidTr="007E6E6A">
        <w:tc>
          <w:tcPr>
            <w:tcW w:w="4969" w:type="dxa"/>
          </w:tcPr>
          <w:p w:rsidR="006E667C" w:rsidRPr="009B3396" w:rsidRDefault="006E667C" w:rsidP="006E667C">
            <w:pPr>
              <w:widowControl w:val="0"/>
              <w:spacing w:after="0" w:line="240" w:lineRule="auto"/>
              <w:rPr>
                <w:rFonts w:cs="Arial"/>
                <w:color w:val="auto"/>
                <w:sz w:val="20"/>
                <w:szCs w:val="20"/>
              </w:rPr>
            </w:pPr>
            <w:r w:rsidRPr="009B3396">
              <w:rPr>
                <w:rFonts w:cs="Arial"/>
                <w:color w:val="auto"/>
                <w:sz w:val="20"/>
                <w:szCs w:val="20"/>
              </w:rPr>
              <w:t xml:space="preserve">           - </w:t>
            </w:r>
            <w:r w:rsidR="00254A28" w:rsidRPr="009B3396">
              <w:rPr>
                <w:rFonts w:cs="Arial"/>
                <w:color w:val="auto"/>
                <w:sz w:val="20"/>
                <w:szCs w:val="20"/>
              </w:rPr>
              <w:t xml:space="preserve">Summary of Significant </w:t>
            </w:r>
            <w:r w:rsidRPr="009B3396">
              <w:rPr>
                <w:rFonts w:cs="Arial"/>
                <w:color w:val="auto"/>
                <w:sz w:val="20"/>
                <w:szCs w:val="20"/>
              </w:rPr>
              <w:t>Accounting Policies</w:t>
            </w:r>
          </w:p>
        </w:tc>
        <w:tc>
          <w:tcPr>
            <w:tcW w:w="1518" w:type="dxa"/>
          </w:tcPr>
          <w:p w:rsidR="006E667C" w:rsidRPr="001C3049" w:rsidRDefault="001C0F0D" w:rsidP="00A35921">
            <w:pPr>
              <w:widowControl w:val="0"/>
              <w:spacing w:after="0" w:line="240" w:lineRule="auto"/>
              <w:jc w:val="center"/>
              <w:rPr>
                <w:rFonts w:cs="Arial"/>
                <w:color w:val="auto"/>
                <w:sz w:val="20"/>
                <w:szCs w:val="20"/>
              </w:rPr>
            </w:pPr>
            <w:r w:rsidRPr="001C3049">
              <w:rPr>
                <w:rFonts w:cs="Arial"/>
                <w:color w:val="auto"/>
                <w:sz w:val="20"/>
                <w:szCs w:val="20"/>
              </w:rPr>
              <w:t>9</w:t>
            </w:r>
            <w:r w:rsidR="00A13313">
              <w:rPr>
                <w:rFonts w:cs="Arial"/>
                <w:color w:val="auto"/>
                <w:sz w:val="20"/>
                <w:szCs w:val="20"/>
              </w:rPr>
              <w:t>8</w:t>
            </w:r>
          </w:p>
        </w:tc>
      </w:tr>
      <w:tr w:rsidR="006E667C" w:rsidRPr="0005794A" w:rsidTr="007E6E6A">
        <w:tc>
          <w:tcPr>
            <w:tcW w:w="4969" w:type="dxa"/>
          </w:tcPr>
          <w:p w:rsidR="006E667C" w:rsidRPr="001C3049" w:rsidRDefault="006E667C" w:rsidP="006E667C">
            <w:pPr>
              <w:widowControl w:val="0"/>
              <w:spacing w:after="0" w:line="240" w:lineRule="auto"/>
              <w:rPr>
                <w:rFonts w:cs="Arial"/>
                <w:color w:val="auto"/>
                <w:sz w:val="20"/>
                <w:szCs w:val="20"/>
              </w:rPr>
            </w:pPr>
            <w:r w:rsidRPr="001C3049">
              <w:rPr>
                <w:rFonts w:cs="Arial"/>
                <w:color w:val="auto"/>
                <w:sz w:val="20"/>
                <w:szCs w:val="20"/>
              </w:rPr>
              <w:t xml:space="preserve">           - Collection Fund Summary Account</w:t>
            </w:r>
          </w:p>
        </w:tc>
        <w:tc>
          <w:tcPr>
            <w:tcW w:w="1518" w:type="dxa"/>
          </w:tcPr>
          <w:p w:rsidR="006E667C" w:rsidRPr="001C3049" w:rsidRDefault="00A13313" w:rsidP="00750182">
            <w:pPr>
              <w:widowControl w:val="0"/>
              <w:spacing w:after="0" w:line="240" w:lineRule="auto"/>
              <w:jc w:val="center"/>
              <w:rPr>
                <w:rFonts w:cs="Arial"/>
                <w:color w:val="auto"/>
                <w:sz w:val="20"/>
                <w:szCs w:val="20"/>
              </w:rPr>
            </w:pPr>
            <w:r>
              <w:rPr>
                <w:rFonts w:cs="Arial"/>
                <w:color w:val="auto"/>
                <w:sz w:val="20"/>
                <w:szCs w:val="20"/>
              </w:rPr>
              <w:t>112</w:t>
            </w:r>
          </w:p>
        </w:tc>
      </w:tr>
      <w:tr w:rsidR="006E667C" w:rsidRPr="0005794A" w:rsidTr="007E6E6A">
        <w:tc>
          <w:tcPr>
            <w:tcW w:w="4969" w:type="dxa"/>
          </w:tcPr>
          <w:p w:rsidR="006E667C" w:rsidRPr="001C3049" w:rsidRDefault="006E667C" w:rsidP="006E667C">
            <w:pPr>
              <w:widowControl w:val="0"/>
              <w:spacing w:after="0" w:line="240" w:lineRule="auto"/>
              <w:rPr>
                <w:rFonts w:cs="Arial"/>
                <w:color w:val="auto"/>
                <w:sz w:val="20"/>
                <w:szCs w:val="20"/>
              </w:rPr>
            </w:pPr>
          </w:p>
        </w:tc>
        <w:tc>
          <w:tcPr>
            <w:tcW w:w="1518" w:type="dxa"/>
          </w:tcPr>
          <w:p w:rsidR="006E667C" w:rsidRPr="001C3049" w:rsidRDefault="006E667C" w:rsidP="006E667C">
            <w:pPr>
              <w:widowControl w:val="0"/>
              <w:spacing w:after="0" w:line="240" w:lineRule="auto"/>
              <w:jc w:val="center"/>
              <w:rPr>
                <w:rFonts w:cs="Arial"/>
                <w:color w:val="auto"/>
                <w:sz w:val="20"/>
                <w:szCs w:val="20"/>
              </w:rPr>
            </w:pPr>
          </w:p>
          <w:p w:rsidR="001C0F0D" w:rsidRPr="001C3049" w:rsidRDefault="001C0F0D" w:rsidP="006E667C">
            <w:pPr>
              <w:widowControl w:val="0"/>
              <w:spacing w:after="0" w:line="240" w:lineRule="auto"/>
              <w:jc w:val="center"/>
              <w:rPr>
                <w:rFonts w:cs="Arial"/>
                <w:color w:val="auto"/>
                <w:sz w:val="20"/>
                <w:szCs w:val="20"/>
              </w:rPr>
            </w:pPr>
          </w:p>
        </w:tc>
      </w:tr>
      <w:tr w:rsidR="006E667C" w:rsidRPr="0005794A" w:rsidTr="007E6E6A">
        <w:tc>
          <w:tcPr>
            <w:tcW w:w="4969" w:type="dxa"/>
          </w:tcPr>
          <w:p w:rsidR="006E667C" w:rsidRPr="001C3049" w:rsidRDefault="006E667C" w:rsidP="0082384A">
            <w:pPr>
              <w:widowControl w:val="0"/>
              <w:spacing w:after="0" w:line="240" w:lineRule="auto"/>
              <w:rPr>
                <w:rFonts w:cs="Arial"/>
                <w:b/>
                <w:color w:val="auto"/>
                <w:sz w:val="20"/>
                <w:szCs w:val="20"/>
              </w:rPr>
            </w:pPr>
            <w:r w:rsidRPr="001C3049">
              <w:rPr>
                <w:rFonts w:cs="Arial"/>
                <w:b/>
                <w:color w:val="auto"/>
                <w:sz w:val="20"/>
                <w:szCs w:val="20"/>
              </w:rPr>
              <w:t>Annual Governance Statement 201</w:t>
            </w:r>
            <w:r w:rsidR="007E6E6A" w:rsidRPr="001C3049">
              <w:rPr>
                <w:rFonts w:cs="Arial"/>
                <w:b/>
                <w:color w:val="auto"/>
                <w:sz w:val="20"/>
                <w:szCs w:val="20"/>
              </w:rPr>
              <w:t>7</w:t>
            </w:r>
            <w:r w:rsidR="00A85FEB" w:rsidRPr="001C3049">
              <w:rPr>
                <w:rFonts w:cs="Arial"/>
                <w:b/>
                <w:color w:val="auto"/>
                <w:sz w:val="20"/>
                <w:szCs w:val="20"/>
              </w:rPr>
              <w:t>/1</w:t>
            </w:r>
            <w:r w:rsidR="007E6E6A" w:rsidRPr="001C3049">
              <w:rPr>
                <w:rFonts w:cs="Arial"/>
                <w:b/>
                <w:color w:val="auto"/>
                <w:sz w:val="20"/>
                <w:szCs w:val="20"/>
              </w:rPr>
              <w:t>8</w:t>
            </w:r>
            <w:r w:rsidR="006675AD" w:rsidRPr="001C3049">
              <w:rPr>
                <w:rFonts w:cs="Arial"/>
                <w:b/>
                <w:color w:val="auto"/>
                <w:sz w:val="20"/>
                <w:szCs w:val="20"/>
              </w:rPr>
              <w:t xml:space="preserve"> </w:t>
            </w:r>
          </w:p>
        </w:tc>
        <w:tc>
          <w:tcPr>
            <w:tcW w:w="1518" w:type="dxa"/>
          </w:tcPr>
          <w:p w:rsidR="006E667C" w:rsidRPr="001C3049" w:rsidRDefault="001C0F0D" w:rsidP="001C3049">
            <w:pPr>
              <w:widowControl w:val="0"/>
              <w:spacing w:after="0" w:line="240" w:lineRule="auto"/>
              <w:jc w:val="center"/>
              <w:rPr>
                <w:rFonts w:cs="Arial"/>
                <w:color w:val="auto"/>
                <w:sz w:val="20"/>
                <w:szCs w:val="20"/>
              </w:rPr>
            </w:pPr>
            <w:r w:rsidRPr="001C3049">
              <w:rPr>
                <w:rFonts w:cs="Arial"/>
                <w:color w:val="auto"/>
                <w:sz w:val="20"/>
                <w:szCs w:val="20"/>
              </w:rPr>
              <w:t>11</w:t>
            </w:r>
            <w:r w:rsidR="00A13313">
              <w:rPr>
                <w:rFonts w:cs="Arial"/>
                <w:color w:val="auto"/>
                <w:sz w:val="20"/>
                <w:szCs w:val="20"/>
              </w:rPr>
              <w:t>5</w:t>
            </w:r>
          </w:p>
        </w:tc>
      </w:tr>
      <w:tr w:rsidR="006E667C" w:rsidRPr="0005794A" w:rsidTr="007E6E6A">
        <w:tc>
          <w:tcPr>
            <w:tcW w:w="4969" w:type="dxa"/>
          </w:tcPr>
          <w:p w:rsidR="006E667C" w:rsidRPr="001C3049" w:rsidRDefault="006E667C" w:rsidP="006E667C">
            <w:pPr>
              <w:widowControl w:val="0"/>
              <w:spacing w:after="0" w:line="240" w:lineRule="auto"/>
              <w:rPr>
                <w:rFonts w:cs="Arial"/>
                <w:b/>
                <w:color w:val="auto"/>
                <w:sz w:val="20"/>
                <w:szCs w:val="20"/>
              </w:rPr>
            </w:pPr>
          </w:p>
        </w:tc>
        <w:tc>
          <w:tcPr>
            <w:tcW w:w="1518" w:type="dxa"/>
          </w:tcPr>
          <w:p w:rsidR="006E667C" w:rsidRPr="001C3049" w:rsidRDefault="006E667C" w:rsidP="006E667C">
            <w:pPr>
              <w:widowControl w:val="0"/>
              <w:spacing w:after="0" w:line="240" w:lineRule="auto"/>
              <w:jc w:val="center"/>
              <w:rPr>
                <w:rFonts w:cs="Arial"/>
                <w:b/>
                <w:color w:val="auto"/>
                <w:sz w:val="20"/>
                <w:szCs w:val="20"/>
              </w:rPr>
            </w:pPr>
          </w:p>
          <w:p w:rsidR="001C0F0D" w:rsidRPr="001C3049" w:rsidRDefault="001C0F0D" w:rsidP="006E667C">
            <w:pPr>
              <w:widowControl w:val="0"/>
              <w:spacing w:after="0" w:line="240" w:lineRule="auto"/>
              <w:jc w:val="center"/>
              <w:rPr>
                <w:rFonts w:cs="Arial"/>
                <w:b/>
                <w:color w:val="auto"/>
                <w:sz w:val="20"/>
                <w:szCs w:val="20"/>
              </w:rPr>
            </w:pPr>
          </w:p>
        </w:tc>
      </w:tr>
      <w:tr w:rsidR="006E667C" w:rsidRPr="0005794A" w:rsidTr="007E6E6A">
        <w:tc>
          <w:tcPr>
            <w:tcW w:w="4969" w:type="dxa"/>
          </w:tcPr>
          <w:p w:rsidR="006E667C" w:rsidRPr="001C3049" w:rsidRDefault="006E667C" w:rsidP="006E667C">
            <w:pPr>
              <w:widowControl w:val="0"/>
              <w:spacing w:after="0" w:line="240" w:lineRule="auto"/>
              <w:rPr>
                <w:rFonts w:cs="Arial"/>
                <w:b/>
                <w:color w:val="auto"/>
                <w:sz w:val="20"/>
                <w:szCs w:val="20"/>
              </w:rPr>
            </w:pPr>
            <w:r w:rsidRPr="001C3049">
              <w:rPr>
                <w:rFonts w:cs="Arial"/>
                <w:b/>
                <w:color w:val="auto"/>
                <w:sz w:val="20"/>
                <w:szCs w:val="20"/>
              </w:rPr>
              <w:t>Glossary</w:t>
            </w:r>
          </w:p>
        </w:tc>
        <w:tc>
          <w:tcPr>
            <w:tcW w:w="1518" w:type="dxa"/>
          </w:tcPr>
          <w:p w:rsidR="006E667C" w:rsidRPr="001C3049" w:rsidRDefault="00A13313" w:rsidP="00750182">
            <w:pPr>
              <w:widowControl w:val="0"/>
              <w:spacing w:after="0" w:line="240" w:lineRule="auto"/>
              <w:jc w:val="center"/>
              <w:rPr>
                <w:rFonts w:cs="Arial"/>
                <w:color w:val="auto"/>
                <w:sz w:val="20"/>
                <w:szCs w:val="20"/>
              </w:rPr>
            </w:pPr>
            <w:r>
              <w:rPr>
                <w:rFonts w:cs="Arial"/>
                <w:color w:val="auto"/>
                <w:sz w:val="20"/>
                <w:szCs w:val="20"/>
              </w:rPr>
              <w:t>132</w:t>
            </w:r>
          </w:p>
        </w:tc>
      </w:tr>
      <w:tr w:rsidR="006E667C" w:rsidRPr="0005794A" w:rsidTr="001C3049">
        <w:trPr>
          <w:trHeight w:val="472"/>
        </w:trPr>
        <w:tc>
          <w:tcPr>
            <w:tcW w:w="4969" w:type="dxa"/>
          </w:tcPr>
          <w:p w:rsidR="006E667C" w:rsidRPr="0005794A" w:rsidRDefault="006E667C" w:rsidP="006E667C">
            <w:pPr>
              <w:widowControl w:val="0"/>
              <w:spacing w:after="0" w:line="240" w:lineRule="auto"/>
              <w:rPr>
                <w:rFonts w:cs="Arial"/>
                <w:b/>
                <w:color w:val="548DD4" w:themeColor="text2" w:themeTint="99"/>
                <w:sz w:val="20"/>
                <w:szCs w:val="20"/>
              </w:rPr>
            </w:pPr>
          </w:p>
        </w:tc>
        <w:tc>
          <w:tcPr>
            <w:tcW w:w="1518" w:type="dxa"/>
          </w:tcPr>
          <w:p w:rsidR="006E667C" w:rsidRPr="0005794A" w:rsidRDefault="006E667C" w:rsidP="006E667C">
            <w:pPr>
              <w:widowControl w:val="0"/>
              <w:spacing w:after="0" w:line="240" w:lineRule="auto"/>
              <w:jc w:val="center"/>
              <w:rPr>
                <w:rFonts w:cs="Arial"/>
                <w:b/>
                <w:color w:val="548DD4" w:themeColor="text2" w:themeTint="99"/>
                <w:sz w:val="20"/>
                <w:szCs w:val="20"/>
              </w:rPr>
            </w:pPr>
          </w:p>
        </w:tc>
      </w:tr>
    </w:tbl>
    <w:p w:rsidR="00E51139" w:rsidRPr="0005794A" w:rsidRDefault="00E51139" w:rsidP="00B5412B">
      <w:pPr>
        <w:widowControl w:val="0"/>
        <w:jc w:val="center"/>
        <w:rPr>
          <w:rFonts w:cs="Arial"/>
          <w:b/>
          <w:color w:val="548DD4" w:themeColor="text2" w:themeTint="99"/>
          <w:sz w:val="28"/>
          <w:szCs w:val="28"/>
        </w:rPr>
      </w:pPr>
    </w:p>
    <w:p w:rsidR="00E51139" w:rsidRPr="0005794A" w:rsidRDefault="00E51139" w:rsidP="00B5412B">
      <w:pPr>
        <w:widowControl w:val="0"/>
        <w:jc w:val="center"/>
        <w:rPr>
          <w:rFonts w:cs="Arial"/>
          <w:b/>
          <w:color w:val="548DD4" w:themeColor="text2" w:themeTint="99"/>
          <w:sz w:val="28"/>
          <w:szCs w:val="28"/>
        </w:rPr>
      </w:pPr>
    </w:p>
    <w:p w:rsidR="00E51139" w:rsidRPr="0005794A" w:rsidRDefault="00E51139" w:rsidP="00B5412B">
      <w:pPr>
        <w:widowControl w:val="0"/>
        <w:jc w:val="center"/>
        <w:rPr>
          <w:rFonts w:cs="Arial"/>
          <w:b/>
          <w:color w:val="548DD4" w:themeColor="text2" w:themeTint="99"/>
          <w:sz w:val="28"/>
          <w:szCs w:val="28"/>
        </w:rPr>
      </w:pPr>
    </w:p>
    <w:p w:rsidR="00E51139" w:rsidRPr="0005794A" w:rsidRDefault="00E51139" w:rsidP="003C5E34">
      <w:pPr>
        <w:widowControl w:val="0"/>
        <w:rPr>
          <w:rFonts w:cs="Arial"/>
          <w:b/>
          <w:color w:val="548DD4" w:themeColor="text2" w:themeTint="99"/>
          <w:sz w:val="24"/>
          <w:szCs w:val="24"/>
        </w:rPr>
      </w:pPr>
    </w:p>
    <w:p w:rsidR="00E51139" w:rsidRPr="0005794A" w:rsidRDefault="00E51139" w:rsidP="003C5E34">
      <w:pPr>
        <w:widowControl w:val="0"/>
        <w:rPr>
          <w:rFonts w:cs="Arial"/>
          <w:b/>
          <w:color w:val="548DD4" w:themeColor="text2" w:themeTint="99"/>
          <w:sz w:val="20"/>
          <w:szCs w:val="20"/>
        </w:rPr>
      </w:pPr>
    </w:p>
    <w:p w:rsidR="00E51139" w:rsidRPr="0005794A" w:rsidRDefault="00E51139" w:rsidP="003C5E34">
      <w:pPr>
        <w:widowControl w:val="0"/>
        <w:rPr>
          <w:rFonts w:cs="Arial"/>
          <w:b/>
          <w:color w:val="548DD4" w:themeColor="text2" w:themeTint="99"/>
          <w:sz w:val="20"/>
          <w:szCs w:val="20"/>
        </w:rPr>
      </w:pPr>
    </w:p>
    <w:p w:rsidR="00E51139" w:rsidRPr="0005794A" w:rsidRDefault="00E51139" w:rsidP="003C5E34">
      <w:pPr>
        <w:widowControl w:val="0"/>
        <w:rPr>
          <w:rFonts w:cs="Arial"/>
          <w:b/>
          <w:color w:val="548DD4" w:themeColor="text2" w:themeTint="99"/>
          <w:sz w:val="20"/>
          <w:szCs w:val="20"/>
        </w:rPr>
      </w:pPr>
    </w:p>
    <w:p w:rsidR="00E51139" w:rsidRPr="0005794A" w:rsidRDefault="00E51139" w:rsidP="003C5E34">
      <w:pPr>
        <w:widowControl w:val="0"/>
        <w:rPr>
          <w:rFonts w:cs="Arial"/>
          <w:b/>
          <w:color w:val="548DD4" w:themeColor="text2" w:themeTint="99"/>
          <w:sz w:val="20"/>
          <w:szCs w:val="20"/>
        </w:rPr>
      </w:pPr>
    </w:p>
    <w:p w:rsidR="00E51139" w:rsidRPr="0005794A" w:rsidRDefault="00E51139" w:rsidP="003C5E34">
      <w:pPr>
        <w:widowControl w:val="0"/>
        <w:rPr>
          <w:rFonts w:cs="Arial"/>
          <w:b/>
          <w:color w:val="548DD4" w:themeColor="text2" w:themeTint="99"/>
          <w:sz w:val="20"/>
          <w:szCs w:val="20"/>
        </w:rPr>
      </w:pPr>
    </w:p>
    <w:p w:rsidR="00E51139" w:rsidRPr="0005794A" w:rsidRDefault="00E51139" w:rsidP="003C5E34">
      <w:pPr>
        <w:widowControl w:val="0"/>
        <w:rPr>
          <w:rFonts w:cs="Arial"/>
          <w:b/>
          <w:color w:val="548DD4" w:themeColor="text2" w:themeTint="99"/>
          <w:sz w:val="20"/>
          <w:szCs w:val="20"/>
        </w:rPr>
      </w:pPr>
    </w:p>
    <w:p w:rsidR="005D0B95" w:rsidRPr="0005794A" w:rsidRDefault="005D0B95" w:rsidP="00F31A9D">
      <w:pPr>
        <w:pStyle w:val="BodyText"/>
        <w:widowControl w:val="0"/>
        <w:rPr>
          <w:rFonts w:cs="Arial"/>
          <w:b/>
          <w:color w:val="548DD4" w:themeColor="text2" w:themeTint="99"/>
          <w:sz w:val="20"/>
          <w:szCs w:val="20"/>
        </w:rPr>
        <w:sectPr w:rsidR="005D0B95" w:rsidRPr="0005794A" w:rsidSect="005F1BD2">
          <w:headerReference w:type="default" r:id="rId10"/>
          <w:footerReference w:type="even" r:id="rId11"/>
          <w:footerReference w:type="default" r:id="rId12"/>
          <w:headerReference w:type="first" r:id="rId13"/>
          <w:footerReference w:type="first" r:id="rId14"/>
          <w:pgSz w:w="11906" w:h="16838" w:code="9"/>
          <w:pgMar w:top="1440" w:right="1440" w:bottom="1440" w:left="1440" w:header="544" w:footer="544" w:gutter="0"/>
          <w:pgNumType w:start="0"/>
          <w:cols w:space="708"/>
          <w:docGrid w:linePitch="360"/>
        </w:sectPr>
      </w:pPr>
    </w:p>
    <w:p w:rsidR="00FC32F1" w:rsidRPr="007E6E6A" w:rsidRDefault="00FC32F1" w:rsidP="00FC32F1">
      <w:pPr>
        <w:pStyle w:val="BodyText"/>
        <w:widowControl w:val="0"/>
        <w:rPr>
          <w:rFonts w:asciiTheme="minorHAnsi" w:hAnsiTheme="minorHAnsi" w:cs="Arial"/>
          <w:b/>
          <w:color w:val="auto"/>
          <w:sz w:val="36"/>
          <w:szCs w:val="22"/>
        </w:rPr>
      </w:pPr>
      <w:r w:rsidRPr="007E6E6A">
        <w:rPr>
          <w:rFonts w:asciiTheme="minorHAnsi" w:hAnsiTheme="minorHAnsi" w:cs="Arial"/>
          <w:b/>
          <w:color w:val="auto"/>
          <w:sz w:val="36"/>
          <w:szCs w:val="22"/>
        </w:rPr>
        <w:lastRenderedPageBreak/>
        <w:t xml:space="preserve">Torbay Council </w:t>
      </w:r>
    </w:p>
    <w:p w:rsidR="00FC32F1" w:rsidRPr="007E6E6A" w:rsidRDefault="007E6E6A" w:rsidP="00FC32F1">
      <w:pPr>
        <w:pStyle w:val="BodyText"/>
        <w:widowControl w:val="0"/>
        <w:pBdr>
          <w:bottom w:val="single" w:sz="24" w:space="1" w:color="1F497D" w:themeColor="text2"/>
        </w:pBdr>
        <w:spacing w:after="120"/>
        <w:rPr>
          <w:rFonts w:asciiTheme="minorHAnsi" w:hAnsiTheme="minorHAnsi" w:cs="Arial"/>
          <w:b/>
          <w:color w:val="auto"/>
          <w:sz w:val="36"/>
          <w:szCs w:val="22"/>
        </w:rPr>
      </w:pPr>
      <w:r w:rsidRPr="007E6E6A">
        <w:rPr>
          <w:rFonts w:asciiTheme="minorHAnsi" w:hAnsiTheme="minorHAnsi" w:cs="Arial"/>
          <w:b/>
          <w:color w:val="auto"/>
          <w:sz w:val="36"/>
          <w:szCs w:val="22"/>
        </w:rPr>
        <w:t xml:space="preserve">Statement of </w:t>
      </w:r>
      <w:proofErr w:type="gramStart"/>
      <w:r w:rsidRPr="007E6E6A">
        <w:rPr>
          <w:rFonts w:asciiTheme="minorHAnsi" w:hAnsiTheme="minorHAnsi" w:cs="Arial"/>
          <w:b/>
          <w:color w:val="auto"/>
          <w:sz w:val="36"/>
          <w:szCs w:val="22"/>
        </w:rPr>
        <w:t>Accounts  •</w:t>
      </w:r>
      <w:proofErr w:type="gramEnd"/>
      <w:r w:rsidRPr="007E6E6A">
        <w:rPr>
          <w:rFonts w:asciiTheme="minorHAnsi" w:hAnsiTheme="minorHAnsi" w:cs="Arial"/>
          <w:b/>
          <w:color w:val="auto"/>
          <w:sz w:val="36"/>
          <w:szCs w:val="22"/>
        </w:rPr>
        <w:t xml:space="preserve">  2017/2018</w:t>
      </w:r>
    </w:p>
    <w:p w:rsidR="00FC32F1" w:rsidRPr="0005794A" w:rsidRDefault="00FC32F1" w:rsidP="00FC32F1">
      <w:pPr>
        <w:pStyle w:val="BodyText"/>
        <w:widowControl w:val="0"/>
        <w:rPr>
          <w:rFonts w:asciiTheme="minorHAnsi" w:hAnsiTheme="minorHAnsi" w:cs="Arial"/>
          <w:b/>
          <w:color w:val="548DD4" w:themeColor="text2" w:themeTint="99"/>
          <w:sz w:val="32"/>
          <w:szCs w:val="22"/>
        </w:rPr>
      </w:pPr>
      <w:r w:rsidRPr="007E6E6A">
        <w:rPr>
          <w:rFonts w:asciiTheme="minorHAnsi" w:hAnsiTheme="minorHAnsi" w:cs="Arial"/>
          <w:b/>
          <w:color w:val="auto"/>
          <w:sz w:val="32"/>
          <w:szCs w:val="22"/>
        </w:rPr>
        <w:t>Introduction</w:t>
      </w:r>
    </w:p>
    <w:p w:rsidR="00FC32F1" w:rsidRPr="007E6E6A" w:rsidRDefault="00FC32F1" w:rsidP="00FC32F1">
      <w:pPr>
        <w:pStyle w:val="BodyText"/>
        <w:widowControl w:val="0"/>
        <w:rPr>
          <w:rFonts w:asciiTheme="minorHAnsi" w:hAnsiTheme="minorHAnsi" w:cs="Arial"/>
          <w:color w:val="auto"/>
          <w:sz w:val="22"/>
          <w:szCs w:val="22"/>
        </w:rPr>
      </w:pPr>
      <w:r w:rsidRPr="007E6E6A">
        <w:rPr>
          <w:rFonts w:asciiTheme="minorHAnsi" w:hAnsiTheme="minorHAnsi" w:cs="Arial"/>
          <w:color w:val="auto"/>
          <w:sz w:val="22"/>
          <w:szCs w:val="22"/>
        </w:rPr>
        <w:t>The purpose of the Statement of Accounts is to present a detailed overview of the Council’s financial posi</w:t>
      </w:r>
      <w:r w:rsidR="007E6E6A" w:rsidRPr="007E6E6A">
        <w:rPr>
          <w:rFonts w:asciiTheme="minorHAnsi" w:hAnsiTheme="minorHAnsi" w:cs="Arial"/>
          <w:color w:val="auto"/>
          <w:sz w:val="22"/>
          <w:szCs w:val="22"/>
        </w:rPr>
        <w:t>tion as at the end of March 2018</w:t>
      </w:r>
      <w:r w:rsidRPr="007E6E6A">
        <w:rPr>
          <w:rFonts w:asciiTheme="minorHAnsi" w:hAnsiTheme="minorHAnsi" w:cs="Arial"/>
          <w:color w:val="auto"/>
          <w:sz w:val="22"/>
          <w:szCs w:val="22"/>
        </w:rPr>
        <w:t xml:space="preserve">.  It gives information as to the Council’s assets and liabilities at </w:t>
      </w:r>
      <w:r w:rsidR="007E6E6A" w:rsidRPr="007E6E6A">
        <w:rPr>
          <w:rFonts w:asciiTheme="minorHAnsi" w:hAnsiTheme="minorHAnsi" w:cs="Arial"/>
          <w:color w:val="auto"/>
          <w:sz w:val="22"/>
          <w:szCs w:val="22"/>
        </w:rPr>
        <w:t>a point in time (31st March 2018</w:t>
      </w:r>
      <w:r w:rsidRPr="007E6E6A">
        <w:rPr>
          <w:rFonts w:asciiTheme="minorHAnsi" w:hAnsiTheme="minorHAnsi" w:cs="Arial"/>
          <w:color w:val="auto"/>
          <w:sz w:val="22"/>
          <w:szCs w:val="22"/>
        </w:rPr>
        <w:t>) and detail on the Council’s f</w:t>
      </w:r>
      <w:r w:rsidR="007E6E6A" w:rsidRPr="007E6E6A">
        <w:rPr>
          <w:rFonts w:asciiTheme="minorHAnsi" w:hAnsiTheme="minorHAnsi" w:cs="Arial"/>
          <w:color w:val="auto"/>
          <w:sz w:val="22"/>
          <w:szCs w:val="22"/>
        </w:rPr>
        <w:t>inancial performance during 2017/18</w:t>
      </w:r>
      <w:r w:rsidRPr="007E6E6A">
        <w:rPr>
          <w:rFonts w:asciiTheme="minorHAnsi" w:hAnsiTheme="minorHAnsi" w:cs="Arial"/>
          <w:color w:val="auto"/>
          <w:sz w:val="22"/>
          <w:szCs w:val="22"/>
        </w:rPr>
        <w:t>.  This information is, where material, supported by notes to the accounts.</w:t>
      </w:r>
    </w:p>
    <w:p w:rsidR="00FC32F1" w:rsidRPr="007E6E6A" w:rsidRDefault="00FC32F1" w:rsidP="00FC32F1">
      <w:pPr>
        <w:pStyle w:val="BodyText"/>
        <w:widowControl w:val="0"/>
        <w:rPr>
          <w:rFonts w:asciiTheme="minorHAnsi" w:hAnsiTheme="minorHAnsi" w:cs="Arial"/>
          <w:color w:val="auto"/>
          <w:sz w:val="22"/>
          <w:szCs w:val="22"/>
        </w:rPr>
      </w:pPr>
      <w:r w:rsidRPr="007E6E6A">
        <w:rPr>
          <w:rFonts w:asciiTheme="minorHAnsi" w:hAnsiTheme="minorHAnsi" w:cs="Arial"/>
          <w:color w:val="auto"/>
          <w:sz w:val="22"/>
          <w:szCs w:val="22"/>
        </w:rPr>
        <w:t>The Statement includes the:</w:t>
      </w:r>
    </w:p>
    <w:p w:rsidR="00FC32F1" w:rsidRPr="007E6E6A" w:rsidRDefault="00FC32F1" w:rsidP="003A432F">
      <w:pPr>
        <w:pStyle w:val="BodyText"/>
        <w:widowControl w:val="0"/>
        <w:numPr>
          <w:ilvl w:val="0"/>
          <w:numId w:val="34"/>
        </w:numPr>
        <w:rPr>
          <w:rFonts w:asciiTheme="minorHAnsi" w:hAnsiTheme="minorHAnsi" w:cs="Arial"/>
          <w:color w:val="auto"/>
          <w:sz w:val="22"/>
          <w:szCs w:val="22"/>
        </w:rPr>
      </w:pPr>
      <w:r w:rsidRPr="007E6E6A">
        <w:rPr>
          <w:rFonts w:asciiTheme="minorHAnsi" w:hAnsiTheme="minorHAnsi" w:cs="Arial"/>
          <w:color w:val="auto"/>
          <w:sz w:val="22"/>
          <w:szCs w:val="22"/>
        </w:rPr>
        <w:t xml:space="preserve">Chief Financial Officer’s Narrative </w:t>
      </w:r>
      <w:r w:rsidR="00A543C3">
        <w:rPr>
          <w:rFonts w:asciiTheme="minorHAnsi" w:hAnsiTheme="minorHAnsi" w:cs="Arial"/>
          <w:color w:val="auto"/>
          <w:sz w:val="22"/>
          <w:szCs w:val="22"/>
        </w:rPr>
        <w:t>Statement</w:t>
      </w:r>
    </w:p>
    <w:p w:rsidR="00FC32F1" w:rsidRPr="007E6E6A" w:rsidRDefault="00FC32F1" w:rsidP="003A432F">
      <w:pPr>
        <w:pStyle w:val="BodyText"/>
        <w:widowControl w:val="0"/>
        <w:numPr>
          <w:ilvl w:val="0"/>
          <w:numId w:val="34"/>
        </w:numPr>
        <w:rPr>
          <w:rFonts w:asciiTheme="minorHAnsi" w:hAnsiTheme="minorHAnsi" w:cs="Arial"/>
          <w:color w:val="auto"/>
          <w:sz w:val="22"/>
          <w:szCs w:val="22"/>
        </w:rPr>
      </w:pPr>
      <w:r w:rsidRPr="007E6E6A">
        <w:rPr>
          <w:rFonts w:asciiTheme="minorHAnsi" w:hAnsiTheme="minorHAnsi" w:cs="Arial"/>
          <w:color w:val="auto"/>
          <w:sz w:val="22"/>
          <w:szCs w:val="22"/>
        </w:rPr>
        <w:t>Statement of Accounts including:</w:t>
      </w:r>
    </w:p>
    <w:p w:rsidR="00FC32F1" w:rsidRPr="007E6E6A" w:rsidRDefault="00FC32F1" w:rsidP="003A432F">
      <w:pPr>
        <w:pStyle w:val="BodyText"/>
        <w:widowControl w:val="0"/>
        <w:numPr>
          <w:ilvl w:val="1"/>
          <w:numId w:val="34"/>
        </w:numPr>
        <w:rPr>
          <w:rFonts w:asciiTheme="minorHAnsi" w:hAnsiTheme="minorHAnsi" w:cs="Arial"/>
          <w:color w:val="auto"/>
          <w:sz w:val="22"/>
          <w:szCs w:val="22"/>
        </w:rPr>
      </w:pPr>
      <w:r w:rsidRPr="007E6E6A">
        <w:rPr>
          <w:rFonts w:asciiTheme="minorHAnsi" w:hAnsiTheme="minorHAnsi" w:cs="Arial"/>
          <w:color w:val="auto"/>
          <w:sz w:val="22"/>
          <w:szCs w:val="22"/>
        </w:rPr>
        <w:t>The Co</w:t>
      </w:r>
      <w:r w:rsidR="007E6E6A" w:rsidRPr="007E6E6A">
        <w:rPr>
          <w:rFonts w:asciiTheme="minorHAnsi" w:hAnsiTheme="minorHAnsi" w:cs="Arial"/>
          <w:color w:val="auto"/>
          <w:sz w:val="22"/>
          <w:szCs w:val="22"/>
        </w:rPr>
        <w:t>re Financial Statements for 2017/18</w:t>
      </w:r>
      <w:r w:rsidR="004C4461" w:rsidRPr="007E6E6A">
        <w:rPr>
          <w:rFonts w:asciiTheme="minorHAnsi" w:hAnsiTheme="minorHAnsi" w:cs="Arial"/>
          <w:color w:val="auto"/>
          <w:sz w:val="22"/>
          <w:szCs w:val="22"/>
        </w:rPr>
        <w:t xml:space="preserve"> including balance sheet</w:t>
      </w:r>
      <w:r w:rsidR="00647C89">
        <w:rPr>
          <w:rFonts w:asciiTheme="minorHAnsi" w:hAnsiTheme="minorHAnsi" w:cs="Arial"/>
          <w:color w:val="auto"/>
          <w:sz w:val="22"/>
          <w:szCs w:val="22"/>
        </w:rPr>
        <w:t>,</w:t>
      </w:r>
      <w:r w:rsidR="004C4461" w:rsidRPr="007E6E6A">
        <w:rPr>
          <w:rFonts w:asciiTheme="minorHAnsi" w:hAnsiTheme="minorHAnsi" w:cs="Arial"/>
          <w:color w:val="auto"/>
          <w:sz w:val="22"/>
          <w:szCs w:val="22"/>
        </w:rPr>
        <w:t xml:space="preserve"> income and expenditure Account</w:t>
      </w:r>
      <w:r w:rsidR="00647C89">
        <w:rPr>
          <w:rFonts w:asciiTheme="minorHAnsi" w:hAnsiTheme="minorHAnsi" w:cs="Arial"/>
          <w:color w:val="auto"/>
          <w:sz w:val="22"/>
          <w:szCs w:val="22"/>
        </w:rPr>
        <w:t>, cash flow and movement in reserves.</w:t>
      </w:r>
    </w:p>
    <w:p w:rsidR="00FC32F1" w:rsidRPr="007E6E6A" w:rsidRDefault="00FC32F1" w:rsidP="003A432F">
      <w:pPr>
        <w:pStyle w:val="BodyText"/>
        <w:widowControl w:val="0"/>
        <w:numPr>
          <w:ilvl w:val="1"/>
          <w:numId w:val="34"/>
        </w:numPr>
        <w:rPr>
          <w:rFonts w:asciiTheme="minorHAnsi" w:hAnsiTheme="minorHAnsi" w:cs="Arial"/>
          <w:color w:val="auto"/>
          <w:sz w:val="22"/>
          <w:szCs w:val="22"/>
        </w:rPr>
      </w:pPr>
      <w:r w:rsidRPr="007E6E6A">
        <w:rPr>
          <w:rFonts w:asciiTheme="minorHAnsi" w:hAnsiTheme="minorHAnsi" w:cs="Arial"/>
          <w:color w:val="auto"/>
          <w:sz w:val="22"/>
          <w:szCs w:val="22"/>
        </w:rPr>
        <w:t>Notes to the Core Financial Statements</w:t>
      </w:r>
      <w:r w:rsidR="004C4461" w:rsidRPr="007E6E6A">
        <w:rPr>
          <w:rFonts w:asciiTheme="minorHAnsi" w:hAnsiTheme="minorHAnsi" w:cs="Arial"/>
          <w:color w:val="auto"/>
          <w:sz w:val="22"/>
          <w:szCs w:val="22"/>
        </w:rPr>
        <w:t>, that provide further detail to the core statements</w:t>
      </w:r>
    </w:p>
    <w:p w:rsidR="00FC32F1" w:rsidRPr="007E6E6A" w:rsidRDefault="00FC32F1" w:rsidP="003A432F">
      <w:pPr>
        <w:pStyle w:val="BodyText"/>
        <w:widowControl w:val="0"/>
        <w:numPr>
          <w:ilvl w:val="1"/>
          <w:numId w:val="34"/>
        </w:numPr>
        <w:rPr>
          <w:rFonts w:asciiTheme="minorHAnsi" w:hAnsiTheme="minorHAnsi" w:cs="Arial"/>
          <w:color w:val="auto"/>
          <w:sz w:val="22"/>
          <w:szCs w:val="22"/>
        </w:rPr>
      </w:pPr>
      <w:r w:rsidRPr="007E6E6A">
        <w:rPr>
          <w:rFonts w:asciiTheme="minorHAnsi" w:hAnsiTheme="minorHAnsi" w:cs="Arial"/>
          <w:color w:val="auto"/>
          <w:sz w:val="22"/>
          <w:szCs w:val="22"/>
        </w:rPr>
        <w:t>Accounting Policies</w:t>
      </w:r>
      <w:r w:rsidR="004C4461" w:rsidRPr="007E6E6A">
        <w:rPr>
          <w:rFonts w:asciiTheme="minorHAnsi" w:hAnsiTheme="minorHAnsi" w:cs="Arial"/>
          <w:color w:val="auto"/>
          <w:sz w:val="22"/>
          <w:szCs w:val="22"/>
        </w:rPr>
        <w:t>. The ‘</w:t>
      </w:r>
      <w:r w:rsidR="00DB444F">
        <w:rPr>
          <w:rFonts w:asciiTheme="minorHAnsi" w:hAnsiTheme="minorHAnsi" w:cs="Arial"/>
          <w:color w:val="auto"/>
          <w:sz w:val="22"/>
          <w:szCs w:val="22"/>
        </w:rPr>
        <w:t>framework</w:t>
      </w:r>
      <w:r w:rsidR="004C4461" w:rsidRPr="007E6E6A">
        <w:rPr>
          <w:rFonts w:asciiTheme="minorHAnsi" w:hAnsiTheme="minorHAnsi" w:cs="Arial"/>
          <w:color w:val="auto"/>
          <w:sz w:val="22"/>
          <w:szCs w:val="22"/>
        </w:rPr>
        <w:t>’ adopted in preparing the accounts.</w:t>
      </w:r>
    </w:p>
    <w:p w:rsidR="00FC32F1" w:rsidRPr="007E6E6A" w:rsidRDefault="00FC32F1" w:rsidP="003A432F">
      <w:pPr>
        <w:pStyle w:val="BodyText"/>
        <w:widowControl w:val="0"/>
        <w:numPr>
          <w:ilvl w:val="1"/>
          <w:numId w:val="34"/>
        </w:numPr>
        <w:rPr>
          <w:rFonts w:asciiTheme="minorHAnsi" w:hAnsiTheme="minorHAnsi" w:cs="Arial"/>
          <w:color w:val="auto"/>
          <w:sz w:val="22"/>
          <w:szCs w:val="22"/>
        </w:rPr>
      </w:pPr>
      <w:r w:rsidRPr="007E6E6A">
        <w:rPr>
          <w:rFonts w:asciiTheme="minorHAnsi" w:hAnsiTheme="minorHAnsi" w:cs="Arial"/>
          <w:color w:val="auto"/>
          <w:sz w:val="22"/>
          <w:szCs w:val="22"/>
        </w:rPr>
        <w:t>The Collection Fund Summary Account (for the accounting for the collection of National Non-Domestic Rates (NNDR) and Council Tax)</w:t>
      </w:r>
    </w:p>
    <w:p w:rsidR="00FC32F1" w:rsidRPr="00A543C3" w:rsidRDefault="00FC32F1" w:rsidP="003A432F">
      <w:pPr>
        <w:pStyle w:val="BodyText"/>
        <w:widowControl w:val="0"/>
        <w:numPr>
          <w:ilvl w:val="0"/>
          <w:numId w:val="34"/>
        </w:numPr>
        <w:rPr>
          <w:rFonts w:asciiTheme="minorHAnsi" w:hAnsiTheme="minorHAnsi" w:cs="Arial"/>
          <w:color w:val="auto"/>
          <w:sz w:val="22"/>
          <w:szCs w:val="22"/>
        </w:rPr>
      </w:pPr>
      <w:r w:rsidRPr="00A543C3">
        <w:rPr>
          <w:rFonts w:asciiTheme="minorHAnsi" w:hAnsiTheme="minorHAnsi" w:cs="Arial"/>
          <w:color w:val="auto"/>
          <w:sz w:val="22"/>
          <w:szCs w:val="22"/>
        </w:rPr>
        <w:t>Annual Governance Statement</w:t>
      </w:r>
    </w:p>
    <w:p w:rsidR="00FC32F1" w:rsidRPr="00A543C3" w:rsidRDefault="00FC32F1" w:rsidP="00FC32F1">
      <w:pPr>
        <w:pStyle w:val="BodyText"/>
        <w:widowControl w:val="0"/>
        <w:rPr>
          <w:rFonts w:asciiTheme="minorHAnsi" w:hAnsiTheme="minorHAnsi" w:cs="Arial"/>
          <w:color w:val="auto"/>
          <w:sz w:val="22"/>
          <w:szCs w:val="22"/>
        </w:rPr>
      </w:pPr>
      <w:r w:rsidRPr="00A543C3">
        <w:rPr>
          <w:rFonts w:asciiTheme="minorHAnsi" w:hAnsiTheme="minorHAnsi" w:cs="Arial"/>
          <w:color w:val="auto"/>
          <w:sz w:val="22"/>
          <w:szCs w:val="22"/>
        </w:rPr>
        <w:t>The form and content of the Statement of Accounts is highly prescribed, by the CIPFA Code of Practice, and is produced on an International Financial Reporting Standards (IFRS) basis. The classification of costs, income and services under IFRS and the “Code of Practice” is different to the Council’s internal financial reporting to management.</w:t>
      </w:r>
    </w:p>
    <w:p w:rsidR="00FC32F1" w:rsidRPr="00A543C3" w:rsidRDefault="00FC32F1" w:rsidP="00FC32F1">
      <w:pPr>
        <w:pStyle w:val="BodyText"/>
        <w:widowControl w:val="0"/>
        <w:rPr>
          <w:rFonts w:asciiTheme="minorHAnsi" w:hAnsiTheme="minorHAnsi" w:cs="Arial"/>
          <w:color w:val="auto"/>
          <w:sz w:val="22"/>
          <w:szCs w:val="22"/>
        </w:rPr>
      </w:pPr>
      <w:r w:rsidRPr="00A543C3">
        <w:rPr>
          <w:rFonts w:asciiTheme="minorHAnsi" w:hAnsiTheme="minorHAnsi" w:cs="Arial"/>
          <w:color w:val="auto"/>
          <w:sz w:val="22"/>
          <w:szCs w:val="22"/>
        </w:rPr>
        <w:t xml:space="preserve">CIPFA (who provide guidance to councils on the format and content of accounts) are encouraging councils to reduce the length of their accounts by removing unnecessary wording, duplicate information and to remove notes that are “not </w:t>
      </w:r>
      <w:r w:rsidRPr="009B3396">
        <w:rPr>
          <w:rFonts w:asciiTheme="minorHAnsi" w:hAnsiTheme="minorHAnsi" w:cs="Arial"/>
          <w:color w:val="auto"/>
          <w:sz w:val="22"/>
          <w:szCs w:val="22"/>
        </w:rPr>
        <w:t>material”. Materiality has been taken to be £4m</w:t>
      </w:r>
      <w:r w:rsidR="000D0AF0" w:rsidRPr="009B3396">
        <w:rPr>
          <w:rFonts w:asciiTheme="minorHAnsi" w:hAnsiTheme="minorHAnsi" w:cs="Arial"/>
          <w:color w:val="auto"/>
          <w:sz w:val="22"/>
          <w:szCs w:val="22"/>
        </w:rPr>
        <w:t xml:space="preserve"> under this value would</w:t>
      </w:r>
      <w:r w:rsidR="001D5FB9" w:rsidRPr="009B3396">
        <w:rPr>
          <w:rFonts w:asciiTheme="minorHAnsi" w:hAnsiTheme="minorHAnsi" w:cs="Arial"/>
          <w:color w:val="auto"/>
          <w:sz w:val="22"/>
          <w:szCs w:val="22"/>
        </w:rPr>
        <w:t xml:space="preserve"> be considered </w:t>
      </w:r>
      <w:r w:rsidR="000D0AF0" w:rsidRPr="009B3396">
        <w:rPr>
          <w:rFonts w:asciiTheme="minorHAnsi" w:hAnsiTheme="minorHAnsi" w:cs="Arial"/>
          <w:color w:val="auto"/>
          <w:sz w:val="22"/>
          <w:szCs w:val="22"/>
        </w:rPr>
        <w:t>“not material</w:t>
      </w:r>
      <w:proofErr w:type="gramStart"/>
      <w:r w:rsidR="000D0AF0" w:rsidRPr="009B3396">
        <w:rPr>
          <w:rFonts w:asciiTheme="minorHAnsi" w:hAnsiTheme="minorHAnsi" w:cs="Arial"/>
          <w:color w:val="auto"/>
          <w:sz w:val="22"/>
          <w:szCs w:val="22"/>
        </w:rPr>
        <w:t xml:space="preserve">” </w:t>
      </w:r>
      <w:r w:rsidRPr="009B3396">
        <w:rPr>
          <w:rFonts w:asciiTheme="minorHAnsi" w:hAnsiTheme="minorHAnsi" w:cs="Arial"/>
          <w:color w:val="auto"/>
          <w:sz w:val="22"/>
          <w:szCs w:val="22"/>
        </w:rPr>
        <w:t>.</w:t>
      </w:r>
      <w:proofErr w:type="gramEnd"/>
      <w:r w:rsidRPr="009B3396">
        <w:rPr>
          <w:rFonts w:asciiTheme="minorHAnsi" w:hAnsiTheme="minorHAnsi" w:cs="Arial"/>
          <w:color w:val="auto"/>
          <w:sz w:val="22"/>
          <w:szCs w:val="22"/>
        </w:rPr>
        <w:t xml:space="preserve"> However, d</w:t>
      </w:r>
      <w:r w:rsidRPr="00A543C3">
        <w:rPr>
          <w:rFonts w:asciiTheme="minorHAnsi" w:hAnsiTheme="minorHAnsi" w:cs="Arial"/>
          <w:color w:val="auto"/>
          <w:sz w:val="22"/>
          <w:szCs w:val="22"/>
        </w:rPr>
        <w:t>espite this the Accounts are a technical document and due to statutory requirements it is still a lengthy and complicated document.  The figures in these accounts are presented to the nearest £100,000.</w:t>
      </w:r>
    </w:p>
    <w:p w:rsidR="00FC32F1" w:rsidRPr="00A543C3" w:rsidRDefault="00FC32F1" w:rsidP="00FC32F1">
      <w:pPr>
        <w:pStyle w:val="BodyText"/>
        <w:widowControl w:val="0"/>
        <w:rPr>
          <w:rFonts w:asciiTheme="minorHAnsi" w:hAnsiTheme="minorHAnsi" w:cs="Arial"/>
          <w:color w:val="auto"/>
          <w:sz w:val="22"/>
          <w:szCs w:val="22"/>
        </w:rPr>
      </w:pPr>
      <w:r w:rsidRPr="00A543C3">
        <w:rPr>
          <w:rFonts w:asciiTheme="minorHAnsi" w:hAnsiTheme="minorHAnsi" w:cs="Arial"/>
          <w:color w:val="auto"/>
          <w:sz w:val="22"/>
          <w:szCs w:val="22"/>
        </w:rPr>
        <w:t xml:space="preserve">The Accounts are subject to a detailed audit by the Council’s external auditor (Grant Thornton UK LLP). Under the Accounts and Audit Regulations, the Accounts, with its supporting documents, are available for public inspection. Full details are available from Financial Services at Torquay Town Hall or on the Council’s website at: </w:t>
      </w:r>
      <w:hyperlink r:id="rId15" w:history="1">
        <w:r w:rsidR="006675AD" w:rsidRPr="00A543C3">
          <w:rPr>
            <w:rStyle w:val="Hyperlink"/>
            <w:rFonts w:asciiTheme="minorHAnsi" w:hAnsiTheme="minorHAnsi" w:cs="Arial"/>
            <w:color w:val="auto"/>
            <w:sz w:val="22"/>
            <w:szCs w:val="22"/>
          </w:rPr>
          <w:t>http://www.torbay.gov.uk/council/finance/statement-of-accounts/</w:t>
        </w:r>
      </w:hyperlink>
    </w:p>
    <w:p w:rsidR="00FC32F1" w:rsidRPr="00A543C3" w:rsidRDefault="00FC32F1" w:rsidP="00FC32F1">
      <w:pPr>
        <w:pStyle w:val="BodyText"/>
        <w:widowControl w:val="0"/>
        <w:rPr>
          <w:rFonts w:asciiTheme="minorHAnsi" w:hAnsiTheme="minorHAnsi" w:cs="Arial"/>
          <w:color w:val="auto"/>
          <w:sz w:val="22"/>
          <w:szCs w:val="22"/>
        </w:rPr>
      </w:pPr>
      <w:r w:rsidRPr="00A543C3">
        <w:rPr>
          <w:rFonts w:asciiTheme="minorHAnsi" w:hAnsiTheme="minorHAnsi" w:cs="Arial"/>
          <w:color w:val="auto"/>
          <w:sz w:val="22"/>
          <w:szCs w:val="22"/>
        </w:rPr>
        <w:t xml:space="preserve">The Narrative </w:t>
      </w:r>
      <w:r w:rsidR="00A543C3">
        <w:rPr>
          <w:rFonts w:asciiTheme="minorHAnsi" w:hAnsiTheme="minorHAnsi" w:cs="Arial"/>
          <w:color w:val="auto"/>
          <w:sz w:val="22"/>
          <w:szCs w:val="22"/>
        </w:rPr>
        <w:t>Statement</w:t>
      </w:r>
      <w:r w:rsidRPr="00A543C3">
        <w:rPr>
          <w:rFonts w:asciiTheme="minorHAnsi" w:hAnsiTheme="minorHAnsi" w:cs="Arial"/>
          <w:color w:val="auto"/>
          <w:sz w:val="22"/>
          <w:szCs w:val="22"/>
        </w:rPr>
        <w:t xml:space="preserve"> aims to offer interested parties a concise and easily understandable effective guide to the most significant matters reported in the account.  </w:t>
      </w:r>
    </w:p>
    <w:p w:rsidR="00FC32F1" w:rsidRPr="00A543C3" w:rsidRDefault="00FC32F1" w:rsidP="00FC32F1">
      <w:pPr>
        <w:pStyle w:val="BodyText"/>
        <w:widowControl w:val="0"/>
        <w:rPr>
          <w:rFonts w:asciiTheme="minorHAnsi" w:hAnsiTheme="minorHAnsi" w:cs="Arial"/>
          <w:color w:val="auto"/>
          <w:sz w:val="22"/>
          <w:szCs w:val="22"/>
        </w:rPr>
      </w:pPr>
      <w:r w:rsidRPr="00A543C3">
        <w:rPr>
          <w:rFonts w:asciiTheme="minorHAnsi" w:hAnsiTheme="minorHAnsi" w:cs="Arial"/>
          <w:color w:val="auto"/>
          <w:sz w:val="22"/>
          <w:szCs w:val="22"/>
        </w:rPr>
        <w:t xml:space="preserve">The Council, under the Accounts and Audit Regulations must approve an Annual Governance Statement which provides an explanation of the Council’s governance framework, provides a summary of how the </w:t>
      </w:r>
      <w:r w:rsidRPr="00A543C3">
        <w:rPr>
          <w:rFonts w:asciiTheme="minorHAnsi" w:hAnsiTheme="minorHAnsi" w:cs="Arial"/>
          <w:color w:val="auto"/>
          <w:sz w:val="22"/>
          <w:szCs w:val="22"/>
        </w:rPr>
        <w:lastRenderedPageBreak/>
        <w:t>effectiveness of the framework has been reviewed over the course of the year and actions which will be taken over the coming year to improve the</w:t>
      </w:r>
      <w:r w:rsidR="007E6E6A" w:rsidRPr="00A543C3">
        <w:rPr>
          <w:rFonts w:asciiTheme="minorHAnsi" w:hAnsiTheme="minorHAnsi" w:cs="Arial"/>
          <w:color w:val="auto"/>
          <w:sz w:val="22"/>
          <w:szCs w:val="22"/>
        </w:rPr>
        <w:t xml:space="preserve"> Council’s governance.  The 2017/18</w:t>
      </w:r>
      <w:r w:rsidRPr="00A543C3">
        <w:rPr>
          <w:rFonts w:asciiTheme="minorHAnsi" w:hAnsiTheme="minorHAnsi" w:cs="Arial"/>
          <w:color w:val="auto"/>
          <w:sz w:val="22"/>
          <w:szCs w:val="22"/>
        </w:rPr>
        <w:t xml:space="preserve"> Statement has been included within this document, but is not part of the Accounts and is outside the external auditor’s opinion on the Accounts.  </w:t>
      </w:r>
    </w:p>
    <w:p w:rsidR="00FC32F1" w:rsidRPr="00A543C3" w:rsidRDefault="00FC32F1" w:rsidP="00380533">
      <w:pPr>
        <w:rPr>
          <w:rFonts w:eastAsia="Times New Roman"/>
          <w:color w:val="auto"/>
        </w:rPr>
      </w:pPr>
      <w:r w:rsidRPr="00A543C3">
        <w:rPr>
          <w:rFonts w:asciiTheme="minorHAnsi" w:hAnsiTheme="minorHAnsi" w:cs="Arial"/>
          <w:color w:val="auto"/>
          <w:sz w:val="22"/>
          <w:szCs w:val="22"/>
        </w:rPr>
        <w:t xml:space="preserve">The Statement of Accounts is a key financial document published by the Council. The Council’s website contains the Statement of Accounts for previous years and a range of additional financial information:  </w:t>
      </w:r>
      <w:hyperlink r:id="rId16" w:history="1">
        <w:r w:rsidR="00380533" w:rsidRPr="00A543C3">
          <w:rPr>
            <w:rStyle w:val="Hyperlink"/>
            <w:rFonts w:eastAsia="Times New Roman"/>
            <w:color w:val="auto"/>
          </w:rPr>
          <w:t>http://www.torbay.gov.uk/council/finance/statement-of-accounts/</w:t>
        </w:r>
      </w:hyperlink>
    </w:p>
    <w:p w:rsidR="00FC32F1" w:rsidRPr="00A543C3" w:rsidRDefault="00FC32F1" w:rsidP="00FC32F1">
      <w:pPr>
        <w:pStyle w:val="BodyText"/>
        <w:widowControl w:val="0"/>
        <w:rPr>
          <w:rFonts w:asciiTheme="minorHAnsi" w:hAnsiTheme="minorHAnsi" w:cs="Arial"/>
          <w:color w:val="auto"/>
          <w:sz w:val="22"/>
          <w:szCs w:val="22"/>
        </w:rPr>
      </w:pPr>
      <w:r w:rsidRPr="00A543C3">
        <w:rPr>
          <w:rFonts w:asciiTheme="minorHAnsi" w:hAnsiTheme="minorHAnsi" w:cs="Arial"/>
          <w:color w:val="auto"/>
          <w:sz w:val="22"/>
          <w:szCs w:val="22"/>
        </w:rPr>
        <w:t xml:space="preserve">All financial reports such as monitoring reports and outturn reports are reported on a regular basis to Council Committees and are available at </w:t>
      </w:r>
      <w:hyperlink r:id="rId17" w:history="1">
        <w:r w:rsidRPr="00A543C3">
          <w:rPr>
            <w:rStyle w:val="Hyperlink"/>
            <w:rFonts w:asciiTheme="minorHAnsi" w:hAnsiTheme="minorHAnsi"/>
            <w:color w:val="auto"/>
            <w:sz w:val="22"/>
            <w:szCs w:val="22"/>
          </w:rPr>
          <w:t>http://www.torbay.gov.uk/DemocraticServices/uuCoverPage.aspx?bcr=1</w:t>
        </w:r>
      </w:hyperlink>
    </w:p>
    <w:p w:rsidR="00FC32F1" w:rsidRPr="00A543C3" w:rsidRDefault="00FC32F1" w:rsidP="00FC32F1">
      <w:pPr>
        <w:pStyle w:val="BodyText"/>
        <w:widowControl w:val="0"/>
        <w:rPr>
          <w:rFonts w:asciiTheme="minorHAnsi" w:hAnsiTheme="minorHAnsi" w:cs="Arial"/>
          <w:color w:val="auto"/>
          <w:sz w:val="22"/>
          <w:szCs w:val="22"/>
        </w:rPr>
      </w:pPr>
      <w:r w:rsidRPr="00A543C3">
        <w:rPr>
          <w:rFonts w:asciiTheme="minorHAnsi" w:hAnsiTheme="minorHAnsi" w:cs="Arial"/>
          <w:color w:val="auto"/>
          <w:sz w:val="22"/>
          <w:szCs w:val="22"/>
        </w:rPr>
        <w:t>There is a glossary at the back of these documents to help explain the meaning of the some of the local government finance and accounting terms.</w:t>
      </w:r>
    </w:p>
    <w:p w:rsidR="0092589C" w:rsidRPr="00A543C3" w:rsidRDefault="00A543C3" w:rsidP="00FC32F1">
      <w:pPr>
        <w:pStyle w:val="BodyText"/>
        <w:widowControl w:val="0"/>
        <w:rPr>
          <w:rFonts w:asciiTheme="minorHAnsi" w:hAnsiTheme="minorHAnsi" w:cs="Arial"/>
          <w:color w:val="auto"/>
          <w:sz w:val="22"/>
          <w:szCs w:val="22"/>
        </w:rPr>
        <w:sectPr w:rsidR="0092589C" w:rsidRPr="00A543C3" w:rsidSect="00AF46FC">
          <w:pgSz w:w="11906" w:h="16838" w:code="9"/>
          <w:pgMar w:top="1440" w:right="1080" w:bottom="1440" w:left="1080" w:header="544" w:footer="544" w:gutter="0"/>
          <w:cols w:space="708"/>
          <w:titlePg/>
          <w:docGrid w:linePitch="360"/>
        </w:sectPr>
      </w:pPr>
      <w:r>
        <w:rPr>
          <w:rFonts w:asciiTheme="minorHAnsi" w:hAnsiTheme="minorHAnsi" w:cs="Arial"/>
          <w:color w:val="auto"/>
          <w:sz w:val="22"/>
          <w:szCs w:val="22"/>
        </w:rPr>
        <w:t>T</w:t>
      </w:r>
      <w:r w:rsidR="00B75C74">
        <w:rPr>
          <w:rFonts w:asciiTheme="minorHAnsi" w:hAnsiTheme="minorHAnsi" w:cs="Arial"/>
          <w:color w:val="auto"/>
          <w:sz w:val="22"/>
          <w:szCs w:val="22"/>
        </w:rPr>
        <w:t>he C</w:t>
      </w:r>
      <w:r w:rsidR="00861A0E" w:rsidRPr="00A543C3">
        <w:rPr>
          <w:rFonts w:asciiTheme="minorHAnsi" w:hAnsiTheme="minorHAnsi" w:cs="Arial"/>
          <w:color w:val="auto"/>
          <w:sz w:val="22"/>
          <w:szCs w:val="22"/>
        </w:rPr>
        <w:t>ouncil is required under statute to publish its unaudited accounts by the 31</w:t>
      </w:r>
      <w:r w:rsidR="00861A0E" w:rsidRPr="00A543C3">
        <w:rPr>
          <w:rFonts w:asciiTheme="minorHAnsi" w:hAnsiTheme="minorHAnsi" w:cs="Arial"/>
          <w:color w:val="auto"/>
          <w:sz w:val="22"/>
          <w:szCs w:val="22"/>
          <w:vertAlign w:val="superscript"/>
        </w:rPr>
        <w:t>st</w:t>
      </w:r>
      <w:r w:rsidR="00861A0E" w:rsidRPr="00A543C3">
        <w:rPr>
          <w:rFonts w:asciiTheme="minorHAnsi" w:hAnsiTheme="minorHAnsi" w:cs="Arial"/>
          <w:color w:val="auto"/>
          <w:sz w:val="22"/>
          <w:szCs w:val="22"/>
        </w:rPr>
        <w:t xml:space="preserve"> May o</w:t>
      </w:r>
      <w:r w:rsidR="00B75C74">
        <w:rPr>
          <w:rFonts w:asciiTheme="minorHAnsi" w:hAnsiTheme="minorHAnsi" w:cs="Arial"/>
          <w:color w:val="auto"/>
          <w:sz w:val="22"/>
          <w:szCs w:val="22"/>
        </w:rPr>
        <w:t xml:space="preserve">f the following financial year. The Council’s external auditors are expected </w:t>
      </w:r>
      <w:proofErr w:type="gramStart"/>
      <w:r w:rsidR="00B75C74">
        <w:rPr>
          <w:rFonts w:asciiTheme="minorHAnsi" w:hAnsiTheme="minorHAnsi" w:cs="Arial"/>
          <w:color w:val="auto"/>
          <w:sz w:val="22"/>
          <w:szCs w:val="22"/>
        </w:rPr>
        <w:t>to  complete</w:t>
      </w:r>
      <w:proofErr w:type="gramEnd"/>
      <w:r w:rsidR="00B75C74">
        <w:rPr>
          <w:rFonts w:asciiTheme="minorHAnsi" w:hAnsiTheme="minorHAnsi" w:cs="Arial"/>
          <w:color w:val="auto"/>
          <w:sz w:val="22"/>
          <w:szCs w:val="22"/>
        </w:rPr>
        <w:t xml:space="preserve">  the audit of accounts to enable  Cou</w:t>
      </w:r>
      <w:r w:rsidR="00FC70F8">
        <w:rPr>
          <w:rFonts w:asciiTheme="minorHAnsi" w:hAnsiTheme="minorHAnsi" w:cs="Arial"/>
          <w:color w:val="auto"/>
          <w:sz w:val="22"/>
          <w:szCs w:val="22"/>
        </w:rPr>
        <w:t>ncil</w:t>
      </w:r>
      <w:r w:rsidR="00B75C74">
        <w:rPr>
          <w:rFonts w:asciiTheme="minorHAnsi" w:hAnsiTheme="minorHAnsi" w:cs="Arial"/>
          <w:color w:val="auto"/>
          <w:sz w:val="22"/>
          <w:szCs w:val="22"/>
        </w:rPr>
        <w:t xml:space="preserve"> (via Audit Committee) to approve </w:t>
      </w:r>
      <w:proofErr w:type="spellStart"/>
      <w:r w:rsidR="00B75C74">
        <w:rPr>
          <w:rFonts w:asciiTheme="minorHAnsi" w:hAnsiTheme="minorHAnsi" w:cs="Arial"/>
          <w:color w:val="auto"/>
          <w:sz w:val="22"/>
          <w:szCs w:val="22"/>
        </w:rPr>
        <w:t>it’s</w:t>
      </w:r>
      <w:proofErr w:type="spellEnd"/>
      <w:r w:rsidR="00B75C74">
        <w:rPr>
          <w:rFonts w:asciiTheme="minorHAnsi" w:hAnsiTheme="minorHAnsi" w:cs="Arial"/>
          <w:color w:val="auto"/>
          <w:sz w:val="22"/>
          <w:szCs w:val="22"/>
        </w:rPr>
        <w:t xml:space="preserve"> accounts by the end of July.</w:t>
      </w:r>
    </w:p>
    <w:p w:rsidR="00203BAD" w:rsidRPr="00615738" w:rsidRDefault="00203BAD" w:rsidP="00203BAD">
      <w:pPr>
        <w:spacing w:line="240" w:lineRule="auto"/>
        <w:rPr>
          <w:rFonts w:asciiTheme="minorHAnsi" w:hAnsiTheme="minorHAnsi" w:cs="Arial"/>
          <w:b/>
          <w:color w:val="auto"/>
          <w:sz w:val="32"/>
          <w:szCs w:val="22"/>
        </w:rPr>
      </w:pPr>
      <w:r w:rsidRPr="00615738">
        <w:rPr>
          <w:rFonts w:asciiTheme="minorHAnsi" w:hAnsiTheme="minorHAnsi" w:cs="Arial"/>
          <w:b/>
          <w:color w:val="auto"/>
          <w:sz w:val="32"/>
          <w:szCs w:val="22"/>
        </w:rPr>
        <w:lastRenderedPageBreak/>
        <w:t>Head of Finance’s Narrative Statement</w:t>
      </w:r>
    </w:p>
    <w:p w:rsidR="00203BAD" w:rsidRPr="00EF069E" w:rsidRDefault="00203BAD" w:rsidP="00203BAD">
      <w:pPr>
        <w:pStyle w:val="BodyText"/>
        <w:widowControl w:val="0"/>
        <w:rPr>
          <w:rFonts w:asciiTheme="minorHAnsi" w:hAnsiTheme="minorHAnsi" w:cs="Arial"/>
          <w:b/>
          <w:color w:val="auto"/>
          <w:sz w:val="22"/>
          <w:szCs w:val="22"/>
        </w:rPr>
      </w:pPr>
      <w:r w:rsidRPr="00EF069E">
        <w:rPr>
          <w:rFonts w:asciiTheme="minorHAnsi" w:hAnsiTheme="minorHAnsi" w:cs="Arial"/>
          <w:b/>
          <w:color w:val="auto"/>
          <w:sz w:val="22"/>
          <w:szCs w:val="22"/>
        </w:rPr>
        <w:t>Our Place</w:t>
      </w:r>
    </w:p>
    <w:p w:rsidR="00203BAD" w:rsidRPr="00EF069E" w:rsidRDefault="00203BAD" w:rsidP="00203BAD">
      <w:pPr>
        <w:pStyle w:val="BodyText"/>
        <w:widowControl w:val="0"/>
        <w:rPr>
          <w:rFonts w:asciiTheme="minorHAnsi" w:hAnsiTheme="minorHAnsi" w:cs="Arial"/>
          <w:color w:val="auto"/>
          <w:sz w:val="22"/>
          <w:szCs w:val="22"/>
        </w:rPr>
      </w:pPr>
      <w:r w:rsidRPr="00EF069E">
        <w:rPr>
          <w:rFonts w:asciiTheme="minorHAnsi" w:hAnsiTheme="minorHAnsi" w:cs="Arial"/>
          <w:color w:val="auto"/>
          <w:sz w:val="22"/>
          <w:szCs w:val="22"/>
        </w:rPr>
        <w:t>Torbay offers an unrivalled quality of life for individuals and families – its natural environment, clean air, climate, location, excellent schools, growing arts and cultural sector and wide range of outdoor activities means that Torbay provides everyone with the opportunity to live a healthy and fulfilled life.</w:t>
      </w:r>
    </w:p>
    <w:p w:rsidR="00203BAD" w:rsidRPr="00EF069E" w:rsidRDefault="00203BAD" w:rsidP="00203BAD">
      <w:pPr>
        <w:pStyle w:val="BodyText"/>
        <w:widowControl w:val="0"/>
        <w:rPr>
          <w:rFonts w:eastAsia="Calibri"/>
          <w:color w:val="auto"/>
        </w:rPr>
      </w:pPr>
      <w:r w:rsidRPr="00EF069E">
        <w:rPr>
          <w:rFonts w:asciiTheme="minorHAnsi" w:hAnsiTheme="minorHAnsi" w:cs="Arial"/>
          <w:color w:val="auto"/>
          <w:sz w:val="22"/>
          <w:szCs w:val="22"/>
        </w:rPr>
        <w:t xml:space="preserve">Torbay comprises the three coastal towns of Torquay, Paignton and </w:t>
      </w:r>
      <w:proofErr w:type="spellStart"/>
      <w:r w:rsidRPr="00EF069E">
        <w:rPr>
          <w:rFonts w:asciiTheme="minorHAnsi" w:hAnsiTheme="minorHAnsi" w:cs="Arial"/>
          <w:color w:val="auto"/>
          <w:sz w:val="22"/>
          <w:szCs w:val="22"/>
        </w:rPr>
        <w:t>Brixham</w:t>
      </w:r>
      <w:proofErr w:type="spellEnd"/>
      <w:r w:rsidRPr="00EF069E">
        <w:rPr>
          <w:rFonts w:asciiTheme="minorHAnsi" w:hAnsiTheme="minorHAnsi" w:cs="Arial"/>
          <w:color w:val="auto"/>
          <w:sz w:val="22"/>
          <w:szCs w:val="22"/>
        </w:rPr>
        <w:t xml:space="preserve"> wi</w:t>
      </w:r>
      <w:r>
        <w:rPr>
          <w:rFonts w:asciiTheme="minorHAnsi" w:hAnsiTheme="minorHAnsi" w:cs="Arial"/>
          <w:color w:val="auto"/>
          <w:sz w:val="22"/>
          <w:szCs w:val="22"/>
        </w:rPr>
        <w:t>th a population in excess of 133</w:t>
      </w:r>
      <w:r w:rsidRPr="00EF069E">
        <w:rPr>
          <w:rFonts w:asciiTheme="minorHAnsi" w:hAnsiTheme="minorHAnsi" w:cs="Arial"/>
          <w:color w:val="auto"/>
          <w:sz w:val="22"/>
          <w:szCs w:val="22"/>
        </w:rPr>
        <w:t>,000, of which 62,000 are between the ages of 18 and 64.  In addition, Torbay attracts around 1.6 million visitor trips each year.</w:t>
      </w:r>
    </w:p>
    <w:p w:rsidR="00203BAD" w:rsidRPr="00EF069E" w:rsidRDefault="00203BAD" w:rsidP="00203BAD">
      <w:pPr>
        <w:pStyle w:val="BodyText"/>
        <w:widowControl w:val="0"/>
        <w:rPr>
          <w:rFonts w:asciiTheme="minorHAnsi" w:hAnsiTheme="minorHAnsi" w:cs="Arial"/>
          <w:color w:val="auto"/>
          <w:sz w:val="22"/>
          <w:szCs w:val="22"/>
        </w:rPr>
      </w:pPr>
      <w:r w:rsidRPr="00EF069E">
        <w:rPr>
          <w:rFonts w:asciiTheme="minorHAnsi" w:hAnsiTheme="minorHAnsi" w:cs="Arial"/>
          <w:color w:val="auto"/>
          <w:sz w:val="22"/>
          <w:szCs w:val="22"/>
        </w:rPr>
        <w:t>Torbay has established areas of economic success in many industries including fishing, a large social care sector and growing pharmaceutical and tech industries.  Our residents have high levels of satisfaction with Torbay as a place to live.  However, like many coastal areas, Torbay suffers from high levels of poverty and deprivation with an ageing population and not enough opportunities for young people.</w:t>
      </w:r>
    </w:p>
    <w:p w:rsidR="00203BAD" w:rsidRPr="00EF069E" w:rsidRDefault="00203BAD" w:rsidP="00203BAD">
      <w:pPr>
        <w:pStyle w:val="BodyText"/>
        <w:widowControl w:val="0"/>
        <w:rPr>
          <w:rFonts w:asciiTheme="minorHAnsi" w:hAnsiTheme="minorHAnsi" w:cs="Arial"/>
          <w:b/>
          <w:color w:val="auto"/>
          <w:sz w:val="22"/>
          <w:szCs w:val="22"/>
        </w:rPr>
      </w:pPr>
      <w:r w:rsidRPr="00EF069E">
        <w:rPr>
          <w:rFonts w:asciiTheme="minorHAnsi" w:hAnsiTheme="minorHAnsi" w:cs="Arial"/>
          <w:b/>
          <w:color w:val="auto"/>
          <w:sz w:val="22"/>
          <w:szCs w:val="22"/>
        </w:rPr>
        <w:t>Our Council</w:t>
      </w:r>
    </w:p>
    <w:p w:rsidR="00203BAD" w:rsidRPr="00EF069E" w:rsidRDefault="00203BAD" w:rsidP="00203BAD">
      <w:pPr>
        <w:pStyle w:val="BodyText"/>
        <w:widowControl w:val="0"/>
        <w:rPr>
          <w:rFonts w:asciiTheme="minorHAnsi" w:hAnsiTheme="minorHAnsi" w:cs="Arial"/>
          <w:color w:val="auto"/>
          <w:sz w:val="22"/>
          <w:szCs w:val="22"/>
        </w:rPr>
      </w:pPr>
      <w:r w:rsidRPr="00EF069E">
        <w:rPr>
          <w:rFonts w:asciiTheme="minorHAnsi" w:hAnsiTheme="minorHAnsi" w:cs="Arial"/>
          <w:color w:val="auto"/>
          <w:sz w:val="22"/>
          <w:szCs w:val="22"/>
        </w:rPr>
        <w:t xml:space="preserve">As a unitary authority, Torbay Council is responsible for a wide range of services including social care, transport, culture, housing, parks, beaches and waste.  </w:t>
      </w:r>
    </w:p>
    <w:p w:rsidR="00203BAD" w:rsidRPr="00990EB1" w:rsidRDefault="00203BAD" w:rsidP="00203BAD">
      <w:pPr>
        <w:pStyle w:val="BodyText"/>
        <w:widowControl w:val="0"/>
        <w:rPr>
          <w:rFonts w:asciiTheme="minorHAnsi" w:hAnsiTheme="minorHAnsi" w:cs="Arial"/>
          <w:color w:val="auto"/>
          <w:sz w:val="22"/>
          <w:szCs w:val="22"/>
        </w:rPr>
      </w:pPr>
      <w:r w:rsidRPr="00EF069E">
        <w:rPr>
          <w:rFonts w:asciiTheme="minorHAnsi" w:hAnsiTheme="minorHAnsi" w:cs="Arial"/>
          <w:color w:val="auto"/>
          <w:sz w:val="22"/>
          <w:szCs w:val="22"/>
        </w:rPr>
        <w:t>Torbay Council has an Elected Mayor as well as 36 Councillors representing 15 wards.  Local elections are held every four years with the last election being held in May 2015 when Gordon Oliver was re-elected Mayor</w:t>
      </w:r>
      <w:r w:rsidRPr="00990EB1">
        <w:rPr>
          <w:rFonts w:asciiTheme="minorHAnsi" w:hAnsiTheme="minorHAnsi" w:cs="Arial"/>
          <w:color w:val="auto"/>
          <w:sz w:val="22"/>
          <w:szCs w:val="22"/>
        </w:rPr>
        <w:t>.  There are currently 20 Conservative councillors, 8 Liberal Democrats, 7 Independents and 1 UKIP councillor.</w:t>
      </w:r>
    </w:p>
    <w:p w:rsidR="00203BAD" w:rsidRPr="00990EB1" w:rsidRDefault="00203BAD" w:rsidP="00203BAD">
      <w:pPr>
        <w:pStyle w:val="BodyText"/>
        <w:widowControl w:val="0"/>
        <w:rPr>
          <w:rFonts w:asciiTheme="minorHAnsi" w:hAnsiTheme="minorHAnsi" w:cs="Arial"/>
          <w:color w:val="auto"/>
          <w:sz w:val="22"/>
          <w:szCs w:val="22"/>
        </w:rPr>
      </w:pPr>
      <w:r w:rsidRPr="00990EB1">
        <w:rPr>
          <w:rFonts w:asciiTheme="minorHAnsi" w:hAnsiTheme="minorHAnsi" w:cs="Arial"/>
          <w:color w:val="auto"/>
          <w:sz w:val="22"/>
          <w:szCs w:val="22"/>
        </w:rPr>
        <w:t>A referendum on the governance arrangements for Torbay Council was held in May 2016.  As a result of the ballot, from May 2019, the Council will no longer have an Elected Mayor and will instead have a Leader and Cabinet system of governance.</w:t>
      </w:r>
    </w:p>
    <w:p w:rsidR="00203BAD" w:rsidRPr="009B29D7" w:rsidRDefault="00203BAD" w:rsidP="00203BAD">
      <w:pPr>
        <w:pStyle w:val="BodyText"/>
        <w:widowControl w:val="0"/>
        <w:rPr>
          <w:rFonts w:asciiTheme="minorHAnsi" w:hAnsiTheme="minorHAnsi" w:cs="Arial"/>
          <w:color w:val="auto"/>
          <w:sz w:val="22"/>
          <w:szCs w:val="22"/>
        </w:rPr>
      </w:pPr>
      <w:r w:rsidRPr="009B29D7">
        <w:rPr>
          <w:rFonts w:asciiTheme="minorHAnsi" w:hAnsiTheme="minorHAnsi" w:cs="Arial"/>
          <w:color w:val="auto"/>
          <w:sz w:val="22"/>
          <w:szCs w:val="22"/>
        </w:rPr>
        <w:t xml:space="preserve">Supporting the work of the Elected Mayor and Councillors is the officer structure of the Council headed by the Senior Leadership Team (SLT).  This is made up of the Council’s most senior officers and ensures that the key Statutory Officers are represented at the most senior level of the Council. </w:t>
      </w:r>
    </w:p>
    <w:p w:rsidR="00203BAD" w:rsidRPr="009B29D7" w:rsidRDefault="00203BAD" w:rsidP="00203BAD">
      <w:pPr>
        <w:pStyle w:val="BodyText"/>
        <w:widowControl w:val="0"/>
        <w:rPr>
          <w:rFonts w:asciiTheme="minorHAnsi" w:hAnsiTheme="minorHAnsi" w:cs="Arial"/>
          <w:color w:val="auto"/>
          <w:sz w:val="22"/>
          <w:szCs w:val="22"/>
        </w:rPr>
      </w:pPr>
      <w:r w:rsidRPr="009B29D7">
        <w:rPr>
          <w:rFonts w:asciiTheme="minorHAnsi" w:hAnsiTheme="minorHAnsi" w:cs="Arial"/>
          <w:color w:val="auto"/>
          <w:sz w:val="22"/>
          <w:szCs w:val="22"/>
        </w:rPr>
        <w:t>Torbay Council employs a total of 1,006 people (excluding schools based employees).</w:t>
      </w:r>
    </w:p>
    <w:p w:rsidR="00203BAD" w:rsidRPr="009B29D7" w:rsidRDefault="00203BAD" w:rsidP="00203BAD">
      <w:pPr>
        <w:pStyle w:val="BodyText"/>
        <w:widowControl w:val="0"/>
        <w:rPr>
          <w:rFonts w:asciiTheme="minorHAnsi" w:hAnsiTheme="minorHAnsi" w:cs="Arial"/>
          <w:b/>
          <w:color w:val="auto"/>
          <w:sz w:val="22"/>
          <w:szCs w:val="22"/>
        </w:rPr>
      </w:pPr>
      <w:r w:rsidRPr="009B29D7">
        <w:rPr>
          <w:rFonts w:asciiTheme="minorHAnsi" w:hAnsiTheme="minorHAnsi" w:cs="Arial"/>
          <w:b/>
          <w:color w:val="auto"/>
          <w:sz w:val="22"/>
          <w:szCs w:val="22"/>
        </w:rPr>
        <w:t>Our Corporate Plan</w:t>
      </w:r>
    </w:p>
    <w:p w:rsidR="00203BAD" w:rsidRPr="009B29D7" w:rsidRDefault="00203BAD" w:rsidP="00203BAD">
      <w:pPr>
        <w:pStyle w:val="BodyText"/>
        <w:widowControl w:val="0"/>
        <w:rPr>
          <w:rFonts w:asciiTheme="minorHAnsi" w:hAnsiTheme="minorHAnsi" w:cs="Arial"/>
          <w:color w:val="auto"/>
          <w:sz w:val="22"/>
          <w:szCs w:val="22"/>
        </w:rPr>
      </w:pPr>
      <w:r w:rsidRPr="009B29D7">
        <w:rPr>
          <w:rFonts w:asciiTheme="minorHAnsi" w:hAnsiTheme="minorHAnsi" w:cs="Arial"/>
          <w:color w:val="auto"/>
          <w:sz w:val="22"/>
          <w:szCs w:val="22"/>
        </w:rPr>
        <w:t>The Council’s Corporate Plan sets out its ambition to create a Prosperous and Healthy Torbay.  In meeting this ambition we will target out actions in the five areas set out on the following page using the principles below:</w:t>
      </w:r>
    </w:p>
    <w:p w:rsidR="00203BAD" w:rsidRPr="009B29D7" w:rsidRDefault="00203BAD" w:rsidP="00203BAD">
      <w:pPr>
        <w:pStyle w:val="BodyText"/>
        <w:widowControl w:val="0"/>
        <w:numPr>
          <w:ilvl w:val="0"/>
          <w:numId w:val="32"/>
        </w:numPr>
        <w:rPr>
          <w:rFonts w:asciiTheme="minorHAnsi" w:hAnsiTheme="minorHAnsi" w:cs="Arial"/>
          <w:color w:val="auto"/>
          <w:sz w:val="22"/>
          <w:szCs w:val="22"/>
        </w:rPr>
      </w:pPr>
      <w:r w:rsidRPr="009B29D7">
        <w:rPr>
          <w:rFonts w:asciiTheme="minorHAnsi" w:hAnsiTheme="minorHAnsi" w:cs="Arial"/>
          <w:color w:val="auto"/>
          <w:sz w:val="22"/>
          <w:szCs w:val="22"/>
        </w:rPr>
        <w:t>Use reducing resources to best effect</w:t>
      </w:r>
    </w:p>
    <w:p w:rsidR="00203BAD" w:rsidRPr="009B29D7" w:rsidRDefault="00203BAD" w:rsidP="00203BAD">
      <w:pPr>
        <w:pStyle w:val="BodyText"/>
        <w:widowControl w:val="0"/>
        <w:numPr>
          <w:ilvl w:val="0"/>
          <w:numId w:val="32"/>
        </w:numPr>
        <w:rPr>
          <w:rFonts w:asciiTheme="minorHAnsi" w:hAnsiTheme="minorHAnsi" w:cs="Arial"/>
          <w:color w:val="auto"/>
          <w:sz w:val="22"/>
          <w:szCs w:val="22"/>
        </w:rPr>
      </w:pPr>
      <w:r w:rsidRPr="009B29D7">
        <w:rPr>
          <w:rFonts w:asciiTheme="minorHAnsi" w:hAnsiTheme="minorHAnsi" w:cs="Arial"/>
          <w:color w:val="auto"/>
          <w:sz w:val="22"/>
          <w:szCs w:val="22"/>
        </w:rPr>
        <w:t>Reduce demand through prevention and innovation</w:t>
      </w:r>
    </w:p>
    <w:p w:rsidR="00203BAD" w:rsidRPr="009B29D7" w:rsidRDefault="00203BAD" w:rsidP="00203BAD">
      <w:pPr>
        <w:pStyle w:val="BodyText"/>
        <w:widowControl w:val="0"/>
        <w:numPr>
          <w:ilvl w:val="0"/>
          <w:numId w:val="32"/>
        </w:numPr>
        <w:rPr>
          <w:rFonts w:asciiTheme="minorHAnsi" w:hAnsiTheme="minorHAnsi" w:cs="Arial"/>
          <w:color w:val="auto"/>
          <w:sz w:val="22"/>
          <w:szCs w:val="22"/>
        </w:rPr>
      </w:pPr>
      <w:r w:rsidRPr="009B29D7">
        <w:rPr>
          <w:rFonts w:asciiTheme="minorHAnsi" w:hAnsiTheme="minorHAnsi" w:cs="Arial"/>
          <w:color w:val="auto"/>
          <w:sz w:val="22"/>
          <w:szCs w:val="22"/>
        </w:rPr>
        <w:t>Take an integrated and joined up approach</w:t>
      </w:r>
    </w:p>
    <w:p w:rsidR="00203BAD" w:rsidRPr="0005794A" w:rsidRDefault="00203BAD" w:rsidP="00203BAD">
      <w:pPr>
        <w:pStyle w:val="BodyText"/>
        <w:widowControl w:val="0"/>
        <w:rPr>
          <w:rFonts w:asciiTheme="minorHAnsi" w:hAnsiTheme="minorHAnsi" w:cs="Arial"/>
          <w:color w:val="548DD4" w:themeColor="text2" w:themeTint="99"/>
          <w:sz w:val="22"/>
          <w:szCs w:val="22"/>
        </w:rPr>
        <w:sectPr w:rsidR="00203BAD" w:rsidRPr="0005794A" w:rsidSect="002C155D">
          <w:headerReference w:type="first" r:id="rId18"/>
          <w:pgSz w:w="11906" w:h="16838" w:code="9"/>
          <w:pgMar w:top="1103" w:right="1080" w:bottom="1440" w:left="1080" w:header="544" w:footer="544" w:gutter="0"/>
          <w:cols w:space="708"/>
          <w:titlePg/>
          <w:docGrid w:linePitch="360"/>
        </w:sectPr>
      </w:pPr>
      <w:r w:rsidRPr="009B29D7">
        <w:rPr>
          <w:rFonts w:asciiTheme="minorHAnsi" w:hAnsiTheme="minorHAnsi" w:cs="Arial"/>
          <w:color w:val="auto"/>
          <w:sz w:val="22"/>
          <w:szCs w:val="22"/>
        </w:rPr>
        <w:t xml:space="preserve">Many of the actions within the Corporate Plan form part of the Council’s Transformation Programme which will transform the way we deliver services and strengthen the way we engage with customers and partners, improving outcomes for our communities.  We are continuing to build a Council which is </w:t>
      </w:r>
      <w:proofErr w:type="gramStart"/>
      <w:r w:rsidRPr="009B29D7">
        <w:rPr>
          <w:rFonts w:asciiTheme="minorHAnsi" w:hAnsiTheme="minorHAnsi" w:cs="Arial"/>
          <w:color w:val="auto"/>
          <w:sz w:val="22"/>
          <w:szCs w:val="22"/>
        </w:rPr>
        <w:t>Fit</w:t>
      </w:r>
      <w:proofErr w:type="gramEnd"/>
      <w:r w:rsidRPr="009B29D7">
        <w:rPr>
          <w:rFonts w:asciiTheme="minorHAnsi" w:hAnsiTheme="minorHAnsi" w:cs="Arial"/>
          <w:color w:val="auto"/>
          <w:sz w:val="22"/>
          <w:szCs w:val="22"/>
        </w:rPr>
        <w:t xml:space="preserve"> for the Future</w:t>
      </w:r>
      <w:r w:rsidRPr="0005794A">
        <w:rPr>
          <w:rFonts w:asciiTheme="minorHAnsi" w:hAnsiTheme="minorHAnsi" w:cs="Arial"/>
          <w:color w:val="548DD4" w:themeColor="text2" w:themeTint="99"/>
          <w:sz w:val="22"/>
          <w:szCs w:val="22"/>
        </w:rPr>
        <w:t>.</w:t>
      </w:r>
    </w:p>
    <w:p w:rsidR="00203BAD" w:rsidRPr="009B29D7" w:rsidRDefault="00203BAD" w:rsidP="00203BAD">
      <w:pPr>
        <w:pStyle w:val="BodyText"/>
        <w:widowControl w:val="0"/>
        <w:spacing w:after="0" w:line="240" w:lineRule="auto"/>
        <w:rPr>
          <w:rFonts w:asciiTheme="minorHAnsi" w:hAnsiTheme="minorHAnsi" w:cs="Arial"/>
          <w:color w:val="auto"/>
          <w:sz w:val="22"/>
          <w:szCs w:val="22"/>
          <w:u w:val="single"/>
        </w:rPr>
      </w:pPr>
      <w:r w:rsidRPr="009B29D7">
        <w:rPr>
          <w:rFonts w:asciiTheme="minorHAnsi" w:hAnsiTheme="minorHAnsi" w:cs="Arial"/>
          <w:noProof/>
          <w:color w:val="auto"/>
          <w:sz w:val="22"/>
          <w:szCs w:val="22"/>
          <w:u w:val="single"/>
          <w:lang w:eastAsia="en-GB"/>
        </w:rPr>
        <w:lastRenderedPageBreak/>
        <w:drawing>
          <wp:anchor distT="0" distB="0" distL="114300" distR="114300" simplePos="0" relativeHeight="251738112" behindDoc="0" locked="0" layoutInCell="1" allowOverlap="1" wp14:anchorId="603CDDE2" wp14:editId="1A190E6E">
            <wp:simplePos x="0" y="0"/>
            <wp:positionH relativeFrom="column">
              <wp:posOffset>19050</wp:posOffset>
            </wp:positionH>
            <wp:positionV relativeFrom="paragraph">
              <wp:posOffset>1270</wp:posOffset>
            </wp:positionV>
            <wp:extent cx="1181597" cy="1757238"/>
            <wp:effectExtent l="19050" t="0" r="0" b="0"/>
            <wp:wrapSquare wrapText="bothSides"/>
            <wp:docPr id="2" name="Picture 5" descr="children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_icon-01.jpg"/>
                    <pic:cNvPicPr/>
                  </pic:nvPicPr>
                  <pic:blipFill>
                    <a:blip r:embed="rId19" cstate="print"/>
                    <a:srcRect l="30724"/>
                    <a:stretch>
                      <a:fillRect/>
                    </a:stretch>
                  </pic:blipFill>
                  <pic:spPr>
                    <a:xfrm>
                      <a:off x="0" y="0"/>
                      <a:ext cx="1181597" cy="1757238"/>
                    </a:xfrm>
                    <a:prstGeom prst="rect">
                      <a:avLst/>
                    </a:prstGeom>
                  </pic:spPr>
                </pic:pic>
              </a:graphicData>
            </a:graphic>
          </wp:anchor>
        </w:drawing>
      </w:r>
      <w:r w:rsidRPr="009B29D7">
        <w:rPr>
          <w:rFonts w:asciiTheme="minorHAnsi" w:hAnsiTheme="minorHAnsi" w:cs="Arial"/>
          <w:color w:val="auto"/>
          <w:sz w:val="22"/>
          <w:szCs w:val="22"/>
          <w:u w:val="single"/>
        </w:rPr>
        <w:t>Protecting all children and giving them the best start in life</w:t>
      </w:r>
    </w:p>
    <w:p w:rsidR="00203BAD" w:rsidRPr="009B29D7" w:rsidRDefault="00203BAD" w:rsidP="00203BAD">
      <w:pPr>
        <w:pStyle w:val="BodyText"/>
        <w:widowControl w:val="0"/>
        <w:spacing w:after="0" w:line="240" w:lineRule="auto"/>
        <w:rPr>
          <w:rFonts w:asciiTheme="minorHAnsi" w:hAnsiTheme="minorHAnsi" w:cs="Arial"/>
          <w:color w:val="auto"/>
          <w:sz w:val="22"/>
          <w:szCs w:val="22"/>
          <w:u w:val="single"/>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are committed to improving outcomes for children and families and we will adopt a child-focused culture across all Council services.</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will develop our partnership working on cross-cutting priorities.  We will continue to adopt a collective approach to the development of new services.</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b/>
          <w:color w:val="auto"/>
          <w:sz w:val="22"/>
          <w:szCs w:val="22"/>
        </w:rPr>
      </w:pPr>
      <w:r w:rsidRPr="009B29D7">
        <w:rPr>
          <w:rFonts w:asciiTheme="minorHAnsi" w:hAnsiTheme="minorHAnsi" w:cs="Arial"/>
          <w:color w:val="auto"/>
          <w:sz w:val="22"/>
          <w:szCs w:val="22"/>
        </w:rPr>
        <w:t>We will ensure our children and young people develop the ability and aspiration to maximise their future employment opportunities.</w:t>
      </w:r>
    </w:p>
    <w:p w:rsidR="00203BAD" w:rsidRPr="009B29D7" w:rsidRDefault="00203BAD" w:rsidP="00203BAD">
      <w:pPr>
        <w:pStyle w:val="BodyText"/>
        <w:widowControl w:val="0"/>
        <w:spacing w:after="0" w:line="240" w:lineRule="auto"/>
        <w:rPr>
          <w:rFonts w:asciiTheme="minorHAnsi" w:hAnsiTheme="minorHAnsi" w:cs="Arial"/>
          <w:noProof/>
          <w:color w:val="auto"/>
          <w:sz w:val="22"/>
          <w:szCs w:val="22"/>
          <w:u w:val="single"/>
          <w:lang w:eastAsia="en-GB"/>
        </w:rPr>
      </w:pPr>
    </w:p>
    <w:p w:rsidR="00203BAD" w:rsidRPr="009B29D7" w:rsidRDefault="00203BAD" w:rsidP="00203BAD">
      <w:pPr>
        <w:pStyle w:val="BodyText"/>
        <w:widowControl w:val="0"/>
        <w:spacing w:after="0" w:line="240" w:lineRule="auto"/>
        <w:rPr>
          <w:rFonts w:asciiTheme="minorHAnsi" w:hAnsiTheme="minorHAnsi" w:cs="Arial"/>
          <w:noProof/>
          <w:color w:val="auto"/>
          <w:sz w:val="22"/>
          <w:szCs w:val="22"/>
          <w:u w:val="single"/>
          <w:lang w:eastAsia="en-GB"/>
        </w:rPr>
      </w:pPr>
      <w:r w:rsidRPr="009B29D7">
        <w:rPr>
          <w:rFonts w:asciiTheme="minorHAnsi" w:hAnsiTheme="minorHAnsi" w:cs="Arial"/>
          <w:b/>
          <w:noProof/>
          <w:color w:val="auto"/>
          <w:sz w:val="22"/>
          <w:szCs w:val="22"/>
          <w:lang w:eastAsia="en-GB"/>
        </w:rPr>
        <w:drawing>
          <wp:anchor distT="0" distB="0" distL="114300" distR="114300" simplePos="0" relativeHeight="251739136" behindDoc="0" locked="0" layoutInCell="1" allowOverlap="1" wp14:anchorId="4E4B57F2" wp14:editId="3B79AB6B">
            <wp:simplePos x="0" y="0"/>
            <wp:positionH relativeFrom="column">
              <wp:posOffset>42545</wp:posOffset>
            </wp:positionH>
            <wp:positionV relativeFrom="paragraph">
              <wp:posOffset>10160</wp:posOffset>
            </wp:positionV>
            <wp:extent cx="1163320" cy="1749425"/>
            <wp:effectExtent l="19050" t="0" r="0" b="0"/>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cstate="print"/>
                    <a:srcRect l="43481" t="17021" r="24862" b="6649"/>
                    <a:stretch>
                      <a:fillRect/>
                    </a:stretch>
                  </pic:blipFill>
                  <pic:spPr bwMode="auto">
                    <a:xfrm>
                      <a:off x="0" y="0"/>
                      <a:ext cx="1163320" cy="1749425"/>
                    </a:xfrm>
                    <a:prstGeom prst="rect">
                      <a:avLst/>
                    </a:prstGeom>
                    <a:noFill/>
                    <a:ln w="9525">
                      <a:noFill/>
                      <a:miter lim="800000"/>
                      <a:headEnd/>
                      <a:tailEnd/>
                    </a:ln>
                  </pic:spPr>
                </pic:pic>
              </a:graphicData>
            </a:graphic>
          </wp:anchor>
        </w:drawing>
      </w:r>
      <w:r w:rsidRPr="009B29D7">
        <w:rPr>
          <w:rFonts w:asciiTheme="minorHAnsi" w:hAnsiTheme="minorHAnsi" w:cs="Arial"/>
          <w:noProof/>
          <w:color w:val="auto"/>
          <w:sz w:val="22"/>
          <w:szCs w:val="22"/>
          <w:u w:val="single"/>
          <w:lang w:eastAsia="en-GB"/>
        </w:rPr>
        <w:t>Working towards a more prosperous Torbay</w:t>
      </w:r>
    </w:p>
    <w:p w:rsidR="00203BAD" w:rsidRPr="009B29D7" w:rsidRDefault="00203BAD" w:rsidP="00203BAD">
      <w:pPr>
        <w:pStyle w:val="BodyText"/>
        <w:widowControl w:val="0"/>
        <w:spacing w:after="0" w:line="240" w:lineRule="auto"/>
        <w:rPr>
          <w:rFonts w:asciiTheme="minorHAnsi" w:hAnsiTheme="minorHAnsi" w:cs="Arial"/>
          <w:noProof/>
          <w:color w:val="auto"/>
          <w:sz w:val="22"/>
          <w:szCs w:val="22"/>
          <w:u w:val="single"/>
          <w:lang w:eastAsia="en-GB"/>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aim to increase the extent of full time employment in Torbay and increase the level of resident based earnings.</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will maximise opportunities from the Heart of the South West Local Enterprise Partnership and align more closely with the economic growth plans of Greater Exeter.</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will increase the business rate base for Torbay Council, in part through the rapid delivery of the town centre regeneration.</w:t>
      </w:r>
    </w:p>
    <w:p w:rsidR="00203BAD" w:rsidRPr="009B29D7" w:rsidRDefault="00203BAD" w:rsidP="00203BAD">
      <w:pPr>
        <w:pStyle w:val="BodyText"/>
        <w:widowControl w:val="0"/>
        <w:spacing w:after="0" w:line="240" w:lineRule="auto"/>
        <w:rPr>
          <w:rFonts w:asciiTheme="minorHAnsi" w:hAnsiTheme="minorHAnsi" w:cs="Arial"/>
          <w:b/>
          <w:color w:val="auto"/>
          <w:sz w:val="22"/>
          <w:szCs w:val="22"/>
        </w:rPr>
      </w:pPr>
    </w:p>
    <w:p w:rsidR="00203BAD" w:rsidRPr="009B29D7" w:rsidRDefault="00203BAD" w:rsidP="00203BAD">
      <w:pPr>
        <w:pStyle w:val="BodyText"/>
        <w:widowControl w:val="0"/>
        <w:spacing w:after="0" w:line="240" w:lineRule="auto"/>
        <w:rPr>
          <w:rFonts w:asciiTheme="minorHAnsi" w:hAnsiTheme="minorHAnsi" w:cs="Arial"/>
          <w:color w:val="auto"/>
          <w:sz w:val="22"/>
          <w:szCs w:val="22"/>
          <w:u w:val="single"/>
        </w:rPr>
      </w:pPr>
      <w:r w:rsidRPr="009B29D7">
        <w:rPr>
          <w:rFonts w:asciiTheme="minorHAnsi" w:hAnsiTheme="minorHAnsi" w:cs="Arial"/>
          <w:noProof/>
          <w:color w:val="auto"/>
          <w:sz w:val="22"/>
          <w:szCs w:val="22"/>
          <w:u w:val="single"/>
          <w:lang w:eastAsia="en-GB"/>
        </w:rPr>
        <w:drawing>
          <wp:anchor distT="0" distB="0" distL="114300" distR="114300" simplePos="0" relativeHeight="251740160" behindDoc="0" locked="0" layoutInCell="1" allowOverlap="1" wp14:anchorId="45B1ECCE" wp14:editId="55D678DF">
            <wp:simplePos x="0" y="0"/>
            <wp:positionH relativeFrom="column">
              <wp:posOffset>19050</wp:posOffset>
            </wp:positionH>
            <wp:positionV relativeFrom="paragraph">
              <wp:posOffset>60325</wp:posOffset>
            </wp:positionV>
            <wp:extent cx="1165225" cy="1752600"/>
            <wp:effectExtent l="19050" t="0" r="0" b="0"/>
            <wp:wrapSquare wrapText="bothSides"/>
            <wp:docPr id="52" name="Picture 7" descr="healthy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_icon-01.jpg"/>
                    <pic:cNvPicPr/>
                  </pic:nvPicPr>
                  <pic:blipFill>
                    <a:blip r:embed="rId21" cstate="print"/>
                    <a:srcRect l="22768" t="4432" r="13744"/>
                    <a:stretch>
                      <a:fillRect/>
                    </a:stretch>
                  </pic:blipFill>
                  <pic:spPr>
                    <a:xfrm>
                      <a:off x="0" y="0"/>
                      <a:ext cx="1165225" cy="1752600"/>
                    </a:xfrm>
                    <a:prstGeom prst="rect">
                      <a:avLst/>
                    </a:prstGeom>
                  </pic:spPr>
                </pic:pic>
              </a:graphicData>
            </a:graphic>
          </wp:anchor>
        </w:drawing>
      </w:r>
      <w:r w:rsidRPr="009B29D7">
        <w:rPr>
          <w:rFonts w:asciiTheme="minorHAnsi" w:hAnsiTheme="minorHAnsi" w:cs="Arial"/>
          <w:color w:val="auto"/>
          <w:sz w:val="22"/>
          <w:szCs w:val="22"/>
          <w:u w:val="single"/>
        </w:rPr>
        <w:t>Promoting healthy lifestyles across Torbay</w:t>
      </w:r>
    </w:p>
    <w:p w:rsidR="00203BAD" w:rsidRPr="009B29D7" w:rsidRDefault="00203BAD" w:rsidP="00203BAD">
      <w:pPr>
        <w:pStyle w:val="BodyText"/>
        <w:widowControl w:val="0"/>
        <w:spacing w:after="0" w:line="240" w:lineRule="auto"/>
        <w:rPr>
          <w:rFonts w:asciiTheme="minorHAnsi" w:hAnsiTheme="minorHAnsi" w:cs="Arial"/>
          <w:color w:val="auto"/>
          <w:sz w:val="22"/>
          <w:szCs w:val="22"/>
          <w:u w:val="single"/>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will improve population health outcomes by preventing ill health and tackling lifestyle issues.</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will focus on areas of inequality across Torbay and on groups were less healthy behaviour is common.</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will encourage cycling and walking and healthy eating options.  We will improve accessibility to leisure and sports facilities and green spaces.</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rPr>
          <w:rFonts w:asciiTheme="minorHAnsi" w:hAnsiTheme="minorHAnsi" w:cs="Arial"/>
          <w:color w:val="auto"/>
          <w:sz w:val="22"/>
          <w:szCs w:val="22"/>
          <w:u w:val="single"/>
        </w:rPr>
      </w:pPr>
      <w:r w:rsidRPr="009B29D7">
        <w:rPr>
          <w:rFonts w:asciiTheme="minorHAnsi" w:hAnsiTheme="minorHAnsi" w:cs="Arial"/>
          <w:noProof/>
          <w:color w:val="auto"/>
          <w:sz w:val="22"/>
          <w:szCs w:val="22"/>
          <w:u w:val="single"/>
          <w:lang w:eastAsia="en-GB"/>
        </w:rPr>
        <w:drawing>
          <wp:anchor distT="0" distB="0" distL="114300" distR="114300" simplePos="0" relativeHeight="251741184" behindDoc="0" locked="0" layoutInCell="1" allowOverlap="1" wp14:anchorId="1FE7DB48" wp14:editId="1CD40B96">
            <wp:simplePos x="0" y="0"/>
            <wp:positionH relativeFrom="column">
              <wp:posOffset>36195</wp:posOffset>
            </wp:positionH>
            <wp:positionV relativeFrom="paragraph">
              <wp:posOffset>154940</wp:posOffset>
            </wp:positionV>
            <wp:extent cx="1149350" cy="1653540"/>
            <wp:effectExtent l="19050" t="0" r="0" b="0"/>
            <wp:wrapSquare wrapText="bothSides"/>
            <wp:docPr id="53" name="Picture 13" descr="attractive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ctive_icon-01.jpg"/>
                    <pic:cNvPicPr/>
                  </pic:nvPicPr>
                  <pic:blipFill>
                    <a:blip r:embed="rId22" cstate="print"/>
                    <a:srcRect l="31950" t="1035" r="10947" b="17846"/>
                    <a:stretch>
                      <a:fillRect/>
                    </a:stretch>
                  </pic:blipFill>
                  <pic:spPr>
                    <a:xfrm>
                      <a:off x="0" y="0"/>
                      <a:ext cx="1149350" cy="1653540"/>
                    </a:xfrm>
                    <a:prstGeom prst="rect">
                      <a:avLst/>
                    </a:prstGeom>
                  </pic:spPr>
                </pic:pic>
              </a:graphicData>
            </a:graphic>
          </wp:anchor>
        </w:drawing>
      </w:r>
      <w:r w:rsidRPr="009B29D7">
        <w:rPr>
          <w:rFonts w:asciiTheme="minorHAnsi" w:hAnsiTheme="minorHAnsi" w:cs="Arial"/>
          <w:color w:val="auto"/>
          <w:sz w:val="22"/>
          <w:szCs w:val="22"/>
          <w:u w:val="single"/>
        </w:rPr>
        <w:t>Ensuring Torbay remains an attractive and safe place to live and visit</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will focus on protecting and retaining the quality of our built and natural environment.</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will continue to work with partners to identify efficiencies which can be made to improve service delivery and we will act at pace to rationalise and reduce the service we provide directly.</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will maintain a commitment to work together to reduce crime and disorder across all agencies within the Community Safety Partnership.</w:t>
      </w:r>
    </w:p>
    <w:p w:rsidR="00203BAD" w:rsidRPr="009B29D7" w:rsidRDefault="00203BAD" w:rsidP="00203BAD">
      <w:pPr>
        <w:pStyle w:val="BodyText"/>
        <w:widowControl w:val="0"/>
        <w:spacing w:after="0" w:line="240" w:lineRule="auto"/>
        <w:rPr>
          <w:rFonts w:asciiTheme="minorHAnsi" w:hAnsiTheme="minorHAnsi" w:cs="Arial"/>
          <w:b/>
          <w:color w:val="auto"/>
          <w:sz w:val="22"/>
          <w:szCs w:val="22"/>
        </w:rPr>
      </w:pPr>
      <w:r w:rsidRPr="009B29D7">
        <w:rPr>
          <w:rFonts w:asciiTheme="minorHAnsi" w:hAnsiTheme="minorHAnsi" w:cs="Arial"/>
          <w:b/>
          <w:noProof/>
          <w:color w:val="auto"/>
          <w:sz w:val="22"/>
          <w:szCs w:val="22"/>
          <w:lang w:eastAsia="en-GB"/>
        </w:rPr>
        <w:drawing>
          <wp:anchor distT="0" distB="0" distL="114300" distR="114300" simplePos="0" relativeHeight="251742208" behindDoc="0" locked="0" layoutInCell="1" allowOverlap="1" wp14:anchorId="0DCD3656" wp14:editId="14AA479A">
            <wp:simplePos x="0" y="0"/>
            <wp:positionH relativeFrom="column">
              <wp:posOffset>26670</wp:posOffset>
            </wp:positionH>
            <wp:positionV relativeFrom="paragraph">
              <wp:posOffset>175895</wp:posOffset>
            </wp:positionV>
            <wp:extent cx="1163320" cy="1654810"/>
            <wp:effectExtent l="19050" t="0" r="0" b="0"/>
            <wp:wrapSquare wrapText="bothSides"/>
            <wp:docPr id="54" name="Picture 16" descr="vulnerable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nerable_icon-01.jpg"/>
                    <pic:cNvPicPr/>
                  </pic:nvPicPr>
                  <pic:blipFill>
                    <a:blip r:embed="rId23" cstate="print"/>
                    <a:srcRect l="21341" t="9620" r="13864" b="2146"/>
                    <a:stretch>
                      <a:fillRect/>
                    </a:stretch>
                  </pic:blipFill>
                  <pic:spPr>
                    <a:xfrm>
                      <a:off x="0" y="0"/>
                      <a:ext cx="1163320" cy="1654810"/>
                    </a:xfrm>
                    <a:prstGeom prst="rect">
                      <a:avLst/>
                    </a:prstGeom>
                  </pic:spPr>
                </pic:pic>
              </a:graphicData>
            </a:graphic>
          </wp:anchor>
        </w:drawing>
      </w:r>
    </w:p>
    <w:p w:rsidR="00203BAD" w:rsidRPr="009B29D7" w:rsidRDefault="00203BAD" w:rsidP="00203BAD">
      <w:pPr>
        <w:pStyle w:val="BodyText"/>
        <w:widowControl w:val="0"/>
        <w:spacing w:after="0" w:line="240" w:lineRule="auto"/>
        <w:rPr>
          <w:rFonts w:asciiTheme="minorHAnsi" w:hAnsiTheme="minorHAnsi" w:cs="Arial"/>
          <w:color w:val="auto"/>
          <w:sz w:val="22"/>
          <w:szCs w:val="22"/>
          <w:u w:val="single"/>
        </w:rPr>
      </w:pPr>
      <w:r w:rsidRPr="009B29D7">
        <w:rPr>
          <w:rFonts w:asciiTheme="minorHAnsi" w:hAnsiTheme="minorHAnsi" w:cs="Arial"/>
          <w:color w:val="auto"/>
          <w:sz w:val="22"/>
          <w:szCs w:val="22"/>
          <w:u w:val="single"/>
        </w:rPr>
        <w:t>Protecting and supporting vulnerable adults</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 xml:space="preserve">We will initiate and support integrated working and developing a seamless system of care and health. </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r w:rsidRPr="009B29D7">
        <w:rPr>
          <w:rFonts w:asciiTheme="minorHAnsi" w:hAnsiTheme="minorHAnsi" w:cs="Arial"/>
          <w:color w:val="auto"/>
          <w:sz w:val="22"/>
          <w:szCs w:val="22"/>
        </w:rPr>
        <w:t>We will ensure people are better informed so they can better access services to help them manage more independently.</w:t>
      </w:r>
    </w:p>
    <w:p w:rsidR="00203BAD" w:rsidRPr="009B29D7" w:rsidRDefault="00203BAD" w:rsidP="00203BAD">
      <w:pPr>
        <w:pStyle w:val="BodyText"/>
        <w:widowControl w:val="0"/>
        <w:spacing w:after="0" w:line="240" w:lineRule="auto"/>
        <w:rPr>
          <w:rFonts w:asciiTheme="minorHAnsi" w:hAnsiTheme="minorHAnsi" w:cs="Arial"/>
          <w:color w:val="auto"/>
          <w:sz w:val="22"/>
          <w:szCs w:val="22"/>
        </w:rPr>
      </w:pPr>
    </w:p>
    <w:p w:rsidR="00203BAD" w:rsidRPr="009B29D7" w:rsidRDefault="00203BAD" w:rsidP="00203BAD">
      <w:pPr>
        <w:pStyle w:val="BodyText"/>
        <w:widowControl w:val="0"/>
        <w:spacing w:after="0" w:line="240" w:lineRule="auto"/>
        <w:rPr>
          <w:rFonts w:asciiTheme="minorHAnsi" w:hAnsiTheme="minorHAnsi" w:cs="Arial"/>
          <w:b/>
          <w:color w:val="auto"/>
          <w:sz w:val="22"/>
          <w:szCs w:val="22"/>
        </w:rPr>
        <w:sectPr w:rsidR="00203BAD" w:rsidRPr="009B29D7" w:rsidSect="002C155D">
          <w:pgSz w:w="11906" w:h="16838" w:code="9"/>
          <w:pgMar w:top="470" w:right="1080" w:bottom="851" w:left="1080" w:header="544" w:footer="544" w:gutter="0"/>
          <w:cols w:space="708"/>
          <w:titlePg/>
          <w:docGrid w:linePitch="360"/>
        </w:sectPr>
      </w:pPr>
      <w:r w:rsidRPr="009B29D7">
        <w:rPr>
          <w:rFonts w:asciiTheme="minorHAnsi" w:hAnsiTheme="minorHAnsi" w:cs="Arial"/>
          <w:color w:val="auto"/>
          <w:sz w:val="22"/>
          <w:szCs w:val="22"/>
        </w:rPr>
        <w:t>We will ensure that people have the right environment in which to stay well with secure homes and fulfilling lives a priority.</w:t>
      </w:r>
    </w:p>
    <w:p w:rsidR="00203BAD" w:rsidRPr="009B29D7" w:rsidRDefault="00203BAD" w:rsidP="00203BAD">
      <w:pPr>
        <w:pStyle w:val="BodyText"/>
        <w:widowControl w:val="0"/>
        <w:rPr>
          <w:rFonts w:asciiTheme="minorHAnsi" w:hAnsiTheme="minorHAnsi" w:cs="Arial"/>
          <w:b/>
          <w:color w:val="auto"/>
          <w:sz w:val="22"/>
          <w:szCs w:val="22"/>
        </w:rPr>
      </w:pPr>
      <w:r w:rsidRPr="009B29D7">
        <w:rPr>
          <w:rFonts w:asciiTheme="minorHAnsi" w:hAnsiTheme="minorHAnsi" w:cs="Arial"/>
          <w:b/>
          <w:color w:val="auto"/>
          <w:sz w:val="22"/>
          <w:szCs w:val="22"/>
        </w:rPr>
        <w:lastRenderedPageBreak/>
        <w:t>Our Achievements</w:t>
      </w:r>
    </w:p>
    <w:p w:rsidR="00203BAD" w:rsidRPr="00905BDE"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905BDE">
        <w:rPr>
          <w:rFonts w:asciiTheme="minorHAnsi" w:hAnsiTheme="minorHAnsi" w:cs="Arial"/>
          <w:color w:val="auto"/>
          <w:sz w:val="22"/>
          <w:szCs w:val="22"/>
        </w:rPr>
        <w:t xml:space="preserve">Our Children’s Services Improvement Plan has continued to be implemented and developed further informed by the programme of Ofsted Monitoring Visits. </w:t>
      </w:r>
    </w:p>
    <w:p w:rsidR="00203BAD" w:rsidRPr="00905BDE"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905BDE">
        <w:rPr>
          <w:rFonts w:asciiTheme="minorHAnsi" w:hAnsiTheme="minorHAnsi" w:cs="Arial"/>
          <w:color w:val="auto"/>
          <w:sz w:val="22"/>
          <w:szCs w:val="22"/>
        </w:rPr>
        <w:t xml:space="preserve">A revised Early Help Strategy has been agreed and launched with a single front door model now in place.  The Strategy provides for community-based support for families when they need it in order to prevent the escalation of concerns thereby preventing families from feeling that they are not able to cope.  </w:t>
      </w:r>
    </w:p>
    <w:p w:rsidR="00203BAD"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C63575">
        <w:rPr>
          <w:rFonts w:asciiTheme="minorHAnsi" w:hAnsiTheme="minorHAnsi" w:cs="Arial"/>
          <w:color w:val="auto"/>
          <w:sz w:val="22"/>
          <w:szCs w:val="22"/>
        </w:rPr>
        <w:t>Torbay’s schools are performing either at or above national comparators across all Key Stages.</w:t>
      </w:r>
      <w:r>
        <w:rPr>
          <w:rFonts w:asciiTheme="minorHAnsi" w:hAnsiTheme="minorHAnsi" w:cs="Arial"/>
          <w:color w:val="auto"/>
          <w:sz w:val="22"/>
          <w:szCs w:val="22"/>
        </w:rPr>
        <w:t xml:space="preserve">  </w:t>
      </w:r>
    </w:p>
    <w:p w:rsidR="00203BAD" w:rsidRPr="009B3396"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Pr>
          <w:rFonts w:asciiTheme="minorHAnsi" w:hAnsiTheme="minorHAnsi" w:cs="Arial"/>
          <w:color w:val="auto"/>
          <w:sz w:val="22"/>
          <w:szCs w:val="22"/>
        </w:rPr>
        <w:t xml:space="preserve">The Torbay Local Education Board is now in place with the aim of further improving educational outcomes in all schools and to provide a co-ordinated approach to improving education outcomes </w:t>
      </w:r>
      <w:r w:rsidRPr="009B3396">
        <w:rPr>
          <w:rFonts w:asciiTheme="minorHAnsi" w:hAnsiTheme="minorHAnsi" w:cs="Arial"/>
          <w:color w:val="auto"/>
          <w:sz w:val="22"/>
          <w:szCs w:val="22"/>
        </w:rPr>
        <w:t>for all pupils in Torbay.</w:t>
      </w:r>
    </w:p>
    <w:p w:rsidR="009B3396" w:rsidRDefault="00203BAD" w:rsidP="00802ABC">
      <w:pPr>
        <w:pStyle w:val="BodyText"/>
        <w:widowControl w:val="0"/>
        <w:numPr>
          <w:ilvl w:val="0"/>
          <w:numId w:val="33"/>
        </w:numPr>
        <w:spacing w:line="240" w:lineRule="auto"/>
        <w:ind w:left="714" w:hanging="357"/>
        <w:rPr>
          <w:rFonts w:asciiTheme="minorHAnsi" w:hAnsiTheme="minorHAnsi" w:cs="Arial"/>
          <w:color w:val="auto"/>
          <w:sz w:val="22"/>
          <w:szCs w:val="22"/>
        </w:rPr>
      </w:pPr>
      <w:r w:rsidRPr="009B3396">
        <w:rPr>
          <w:rFonts w:asciiTheme="minorHAnsi" w:hAnsiTheme="minorHAnsi" w:cs="Arial"/>
          <w:color w:val="auto"/>
          <w:sz w:val="22"/>
          <w:szCs w:val="22"/>
        </w:rPr>
        <w:t>The Council’s Investment Portfolio is in place with the surplus income over costs (</w:t>
      </w:r>
      <w:r w:rsidR="00C6266E" w:rsidRPr="009B3396">
        <w:rPr>
          <w:rFonts w:asciiTheme="minorHAnsi" w:hAnsiTheme="minorHAnsi" w:cs="Arial"/>
          <w:color w:val="auto"/>
          <w:sz w:val="22"/>
          <w:szCs w:val="22"/>
        </w:rPr>
        <w:t xml:space="preserve">budget </w:t>
      </w:r>
      <w:r w:rsidRPr="009B3396">
        <w:rPr>
          <w:rFonts w:asciiTheme="minorHAnsi" w:hAnsiTheme="minorHAnsi" w:cs="Arial"/>
          <w:color w:val="auto"/>
          <w:sz w:val="22"/>
          <w:szCs w:val="22"/>
        </w:rPr>
        <w:t>£2.8m in 2018/19) being used to support the delivery of Council services.  The Portfolio includes offices, shops and manufacturing units in Devon, Dorset, Oxford and Kent</w:t>
      </w:r>
      <w:r w:rsidR="00FC1EDD" w:rsidRPr="009B3396">
        <w:rPr>
          <w:rFonts w:asciiTheme="minorHAnsi" w:hAnsiTheme="minorHAnsi" w:cs="Arial"/>
          <w:color w:val="auto"/>
          <w:sz w:val="22"/>
          <w:szCs w:val="22"/>
        </w:rPr>
        <w:t>.</w:t>
      </w:r>
      <w:r w:rsidRPr="009B3396">
        <w:rPr>
          <w:rFonts w:asciiTheme="minorHAnsi" w:hAnsiTheme="minorHAnsi" w:cs="Arial"/>
          <w:color w:val="auto"/>
          <w:sz w:val="22"/>
          <w:szCs w:val="22"/>
        </w:rPr>
        <w:t xml:space="preserve"> </w:t>
      </w:r>
    </w:p>
    <w:p w:rsidR="00203BAD" w:rsidRPr="009B3396" w:rsidRDefault="00203BAD" w:rsidP="00802ABC">
      <w:pPr>
        <w:pStyle w:val="BodyText"/>
        <w:widowControl w:val="0"/>
        <w:numPr>
          <w:ilvl w:val="0"/>
          <w:numId w:val="33"/>
        </w:numPr>
        <w:spacing w:line="240" w:lineRule="auto"/>
        <w:ind w:left="714" w:hanging="357"/>
        <w:rPr>
          <w:rFonts w:asciiTheme="minorHAnsi" w:hAnsiTheme="minorHAnsi" w:cs="Arial"/>
          <w:color w:val="auto"/>
          <w:sz w:val="22"/>
          <w:szCs w:val="22"/>
        </w:rPr>
      </w:pPr>
      <w:r w:rsidRPr="009B3396">
        <w:rPr>
          <w:rFonts w:asciiTheme="minorHAnsi" w:hAnsiTheme="minorHAnsi" w:cs="Arial"/>
          <w:color w:val="auto"/>
          <w:sz w:val="22"/>
          <w:szCs w:val="22"/>
        </w:rPr>
        <w:t xml:space="preserve">Progress has been made on implementing the Transformation Strategy for Torbay’s Town Centres with funding approved to support a public realm scheme in Paignton and bid submitted for external funding for a public realm scheme in Torquay.  </w:t>
      </w:r>
    </w:p>
    <w:p w:rsidR="00203BAD" w:rsidRPr="006C4854"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6C4854">
        <w:rPr>
          <w:rFonts w:asciiTheme="minorHAnsi" w:hAnsiTheme="minorHAnsi" w:cs="Arial"/>
          <w:color w:val="auto"/>
          <w:sz w:val="22"/>
          <w:szCs w:val="22"/>
        </w:rPr>
        <w:t xml:space="preserve">The Council has been successful in securing funding from Land Release Fund for three </w:t>
      </w:r>
      <w:proofErr w:type="gramStart"/>
      <w:r w:rsidRPr="006C4854">
        <w:rPr>
          <w:rFonts w:asciiTheme="minorHAnsi" w:hAnsiTheme="minorHAnsi" w:cs="Arial"/>
          <w:color w:val="auto"/>
          <w:sz w:val="22"/>
          <w:szCs w:val="22"/>
        </w:rPr>
        <w:t>development  sites</w:t>
      </w:r>
      <w:proofErr w:type="gramEnd"/>
      <w:r w:rsidRPr="006C4854">
        <w:rPr>
          <w:rFonts w:asciiTheme="minorHAnsi" w:hAnsiTheme="minorHAnsi" w:cs="Arial"/>
          <w:color w:val="auto"/>
          <w:sz w:val="22"/>
          <w:szCs w:val="22"/>
        </w:rPr>
        <w:t>, including Victoria Square, Paignton.</w:t>
      </w:r>
      <w:r>
        <w:rPr>
          <w:rFonts w:asciiTheme="minorHAnsi" w:hAnsiTheme="minorHAnsi" w:cs="Arial"/>
          <w:color w:val="auto"/>
          <w:sz w:val="22"/>
          <w:szCs w:val="22"/>
        </w:rPr>
        <w:t xml:space="preserve">  The Council is in the process of developing a programme of work for each site to enable the Funding to be committed within the Government’s timeframes.</w:t>
      </w:r>
    </w:p>
    <w:p w:rsidR="00203BAD"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090933">
        <w:rPr>
          <w:rFonts w:asciiTheme="minorHAnsi" w:hAnsiTheme="minorHAnsi" w:cs="Arial"/>
          <w:color w:val="auto"/>
          <w:sz w:val="22"/>
          <w:szCs w:val="22"/>
        </w:rPr>
        <w:t>A revised Economic Strategy has been agreed which will ensure that Torbay builds on its strengths to deliver economic growth, tackle inequality and create change in the area that benefit everyone who lives here.</w:t>
      </w:r>
    </w:p>
    <w:p w:rsidR="00203BAD" w:rsidRPr="000961CF"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Pr>
          <w:rFonts w:asciiTheme="minorHAnsi" w:hAnsiTheme="minorHAnsi" w:cs="Arial"/>
          <w:color w:val="auto"/>
          <w:sz w:val="22"/>
          <w:szCs w:val="22"/>
        </w:rPr>
        <w:t>C</w:t>
      </w:r>
      <w:r w:rsidRPr="000961CF">
        <w:rPr>
          <w:rFonts w:asciiTheme="minorHAnsi" w:hAnsiTheme="minorHAnsi" w:cs="Arial"/>
          <w:color w:val="auto"/>
          <w:sz w:val="22"/>
          <w:szCs w:val="22"/>
        </w:rPr>
        <w:t xml:space="preserve">onstruction </w:t>
      </w:r>
      <w:r>
        <w:rPr>
          <w:rFonts w:asciiTheme="minorHAnsi" w:hAnsiTheme="minorHAnsi" w:cs="Arial"/>
          <w:color w:val="auto"/>
          <w:sz w:val="22"/>
          <w:szCs w:val="22"/>
        </w:rPr>
        <w:t xml:space="preserve">of </w:t>
      </w:r>
      <w:r w:rsidRPr="000961CF">
        <w:rPr>
          <w:rFonts w:asciiTheme="minorHAnsi" w:hAnsiTheme="minorHAnsi" w:cs="Arial"/>
          <w:color w:val="auto"/>
          <w:sz w:val="22"/>
          <w:szCs w:val="22"/>
        </w:rPr>
        <w:t xml:space="preserve">the Electronics </w:t>
      </w:r>
      <w:r>
        <w:rPr>
          <w:rFonts w:asciiTheme="minorHAnsi" w:hAnsiTheme="minorHAnsi" w:cs="Arial"/>
          <w:color w:val="auto"/>
          <w:sz w:val="22"/>
          <w:szCs w:val="22"/>
        </w:rPr>
        <w:t>and</w:t>
      </w:r>
      <w:r w:rsidRPr="000961CF">
        <w:rPr>
          <w:rFonts w:asciiTheme="minorHAnsi" w:hAnsiTheme="minorHAnsi" w:cs="Arial"/>
          <w:color w:val="auto"/>
          <w:sz w:val="22"/>
          <w:szCs w:val="22"/>
        </w:rPr>
        <w:t xml:space="preserve"> Photonics Innovation Centre</w:t>
      </w:r>
      <w:r>
        <w:rPr>
          <w:rFonts w:asciiTheme="minorHAnsi" w:hAnsiTheme="minorHAnsi" w:cs="Arial"/>
          <w:color w:val="auto"/>
          <w:sz w:val="22"/>
          <w:szCs w:val="22"/>
        </w:rPr>
        <w:t xml:space="preserve"> (EPIC)</w:t>
      </w:r>
      <w:r w:rsidRPr="000961CF">
        <w:rPr>
          <w:rFonts w:asciiTheme="minorHAnsi" w:hAnsiTheme="minorHAnsi" w:cs="Arial"/>
          <w:color w:val="auto"/>
          <w:sz w:val="22"/>
          <w:szCs w:val="22"/>
        </w:rPr>
        <w:t xml:space="preserve"> has begun</w:t>
      </w:r>
      <w:r>
        <w:rPr>
          <w:rFonts w:asciiTheme="minorHAnsi" w:hAnsiTheme="minorHAnsi" w:cs="Arial"/>
          <w:color w:val="auto"/>
          <w:sz w:val="22"/>
          <w:szCs w:val="22"/>
        </w:rPr>
        <w:t xml:space="preserve"> and </w:t>
      </w:r>
      <w:r w:rsidRPr="000961CF">
        <w:rPr>
          <w:rFonts w:asciiTheme="minorHAnsi" w:hAnsiTheme="minorHAnsi" w:cs="Arial"/>
          <w:color w:val="auto"/>
          <w:sz w:val="22"/>
          <w:szCs w:val="22"/>
        </w:rPr>
        <w:t xml:space="preserve">will be complete in April 2019. </w:t>
      </w:r>
      <w:r>
        <w:rPr>
          <w:rFonts w:asciiTheme="minorHAnsi" w:hAnsiTheme="minorHAnsi" w:cs="Arial"/>
          <w:color w:val="auto"/>
          <w:sz w:val="22"/>
          <w:szCs w:val="22"/>
        </w:rPr>
        <w:t xml:space="preserve"> </w:t>
      </w:r>
      <w:r w:rsidRPr="000961CF">
        <w:rPr>
          <w:rFonts w:asciiTheme="minorHAnsi" w:hAnsiTheme="minorHAnsi" w:cs="Arial"/>
          <w:color w:val="auto"/>
          <w:sz w:val="22"/>
          <w:szCs w:val="22"/>
        </w:rPr>
        <w:t>This scheme is forecast to create 220 new jobs over the coming years.</w:t>
      </w:r>
    </w:p>
    <w:p w:rsidR="00203BAD" w:rsidRPr="000961CF"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0961CF">
        <w:rPr>
          <w:rFonts w:asciiTheme="minorHAnsi" w:hAnsiTheme="minorHAnsi" w:cs="Arial"/>
          <w:color w:val="auto"/>
          <w:sz w:val="22"/>
          <w:szCs w:val="22"/>
        </w:rPr>
        <w:t xml:space="preserve">Negotiations have progressed with the anchor tenant for the </w:t>
      </w:r>
      <w:proofErr w:type="spellStart"/>
      <w:r w:rsidRPr="000961CF">
        <w:rPr>
          <w:rFonts w:asciiTheme="minorHAnsi" w:hAnsiTheme="minorHAnsi" w:cs="Arial"/>
          <w:color w:val="auto"/>
          <w:sz w:val="22"/>
          <w:szCs w:val="22"/>
        </w:rPr>
        <w:t>Claylands</w:t>
      </w:r>
      <w:proofErr w:type="spellEnd"/>
      <w:r w:rsidRPr="000961CF">
        <w:rPr>
          <w:rFonts w:asciiTheme="minorHAnsi" w:hAnsiTheme="minorHAnsi" w:cs="Arial"/>
          <w:color w:val="auto"/>
          <w:sz w:val="22"/>
          <w:szCs w:val="22"/>
        </w:rPr>
        <w:t xml:space="preserve"> employment scheme in Paignton. </w:t>
      </w:r>
      <w:r>
        <w:rPr>
          <w:rFonts w:asciiTheme="minorHAnsi" w:hAnsiTheme="minorHAnsi" w:cs="Arial"/>
          <w:color w:val="auto"/>
          <w:sz w:val="22"/>
          <w:szCs w:val="22"/>
        </w:rPr>
        <w:t xml:space="preserve"> </w:t>
      </w:r>
      <w:r w:rsidRPr="000961CF">
        <w:rPr>
          <w:rFonts w:asciiTheme="minorHAnsi" w:hAnsiTheme="minorHAnsi" w:cs="Arial"/>
          <w:color w:val="auto"/>
          <w:sz w:val="22"/>
          <w:szCs w:val="22"/>
        </w:rPr>
        <w:t xml:space="preserve">Construction is forecast to begin in autumn 2018. This project will bring forward new employment space leading to additional </w:t>
      </w:r>
      <w:r>
        <w:rPr>
          <w:rFonts w:asciiTheme="minorHAnsi" w:hAnsiTheme="minorHAnsi" w:cs="Arial"/>
          <w:color w:val="auto"/>
          <w:sz w:val="22"/>
          <w:szCs w:val="22"/>
        </w:rPr>
        <w:t xml:space="preserve">employment opportunities and </w:t>
      </w:r>
      <w:r w:rsidRPr="000961CF">
        <w:rPr>
          <w:rFonts w:asciiTheme="minorHAnsi" w:hAnsiTheme="minorHAnsi" w:cs="Arial"/>
          <w:color w:val="auto"/>
          <w:sz w:val="22"/>
          <w:szCs w:val="22"/>
        </w:rPr>
        <w:t>business rates</w:t>
      </w:r>
      <w:r>
        <w:rPr>
          <w:rFonts w:asciiTheme="minorHAnsi" w:hAnsiTheme="minorHAnsi" w:cs="Arial"/>
          <w:color w:val="auto"/>
          <w:sz w:val="22"/>
          <w:szCs w:val="22"/>
        </w:rPr>
        <w:t>.</w:t>
      </w:r>
    </w:p>
    <w:p w:rsidR="00203BAD"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090933">
        <w:rPr>
          <w:rFonts w:asciiTheme="minorHAnsi" w:hAnsiTheme="minorHAnsi" w:cs="Arial"/>
          <w:color w:val="auto"/>
          <w:sz w:val="22"/>
          <w:szCs w:val="22"/>
        </w:rPr>
        <w:t xml:space="preserve">The Port Masterplan continues to be delivered with external funding secured to improve the infrastructure and facilities at </w:t>
      </w:r>
      <w:proofErr w:type="spellStart"/>
      <w:r w:rsidRPr="00090933">
        <w:rPr>
          <w:rFonts w:asciiTheme="minorHAnsi" w:hAnsiTheme="minorHAnsi" w:cs="Arial"/>
          <w:color w:val="auto"/>
          <w:sz w:val="22"/>
          <w:szCs w:val="22"/>
        </w:rPr>
        <w:t>Brixham</w:t>
      </w:r>
      <w:proofErr w:type="spellEnd"/>
      <w:r w:rsidRPr="00090933">
        <w:rPr>
          <w:rFonts w:asciiTheme="minorHAnsi" w:hAnsiTheme="minorHAnsi" w:cs="Arial"/>
          <w:color w:val="auto"/>
          <w:sz w:val="22"/>
          <w:szCs w:val="22"/>
        </w:rPr>
        <w:t xml:space="preserve"> Breakwater.  Work has commenced to improve Princess Pier in Torquay.</w:t>
      </w:r>
    </w:p>
    <w:p w:rsidR="00203BAD" w:rsidRPr="00F34618"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F34618">
        <w:rPr>
          <w:rFonts w:asciiTheme="minorHAnsi" w:hAnsiTheme="minorHAnsi" w:cs="Arial"/>
          <w:color w:val="auto"/>
          <w:sz w:val="22"/>
          <w:szCs w:val="22"/>
        </w:rPr>
        <w:t>Within health and social care, we have continued to work with partners to promote prevention, early intervention and self-care with partners.  Prevention forms a clear priority within the implementation of the next phase of the Care Model in Torbay and South Devon.</w:t>
      </w:r>
    </w:p>
    <w:p w:rsidR="00203BAD" w:rsidRPr="00F34618"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F34618">
        <w:rPr>
          <w:rFonts w:asciiTheme="minorHAnsi" w:hAnsiTheme="minorHAnsi" w:cs="Arial"/>
          <w:color w:val="auto"/>
          <w:sz w:val="22"/>
          <w:szCs w:val="22"/>
        </w:rPr>
        <w:t>We continue to work promoting healthy weight with programmes such as Run for your Life and Holiday Hunger. </w:t>
      </w:r>
    </w:p>
    <w:p w:rsidR="00203BAD" w:rsidRPr="00F34618"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F34618">
        <w:rPr>
          <w:rFonts w:asciiTheme="minorHAnsi" w:hAnsiTheme="minorHAnsi" w:cs="Arial"/>
          <w:color w:val="auto"/>
          <w:sz w:val="22"/>
          <w:szCs w:val="22"/>
        </w:rPr>
        <w:t xml:space="preserve">Our services for 0-19 year olds are being re-designed.  Moving forward the service will build on people’s individual and community strengths and give children and young people in Torbay the best </w:t>
      </w:r>
      <w:r w:rsidRPr="00F34618">
        <w:rPr>
          <w:rFonts w:asciiTheme="minorHAnsi" w:hAnsiTheme="minorHAnsi" w:cs="Arial"/>
          <w:color w:val="auto"/>
          <w:sz w:val="22"/>
          <w:szCs w:val="22"/>
        </w:rPr>
        <w:lastRenderedPageBreak/>
        <w:t xml:space="preserve">start in life.  This will enable the services to be designed around the needs of children, young people and their families and will incorporate a number of services currently funded by Public Health and Children’s Services.  </w:t>
      </w:r>
    </w:p>
    <w:p w:rsidR="00203BAD" w:rsidRPr="006C4854"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6C4854">
        <w:rPr>
          <w:rFonts w:asciiTheme="minorHAnsi" w:hAnsiTheme="minorHAnsi" w:cs="Arial"/>
          <w:color w:val="auto"/>
          <w:sz w:val="22"/>
          <w:szCs w:val="22"/>
        </w:rPr>
        <w:t>We have made changes within our Lifestyle Services to ensure that they are focused on those people who need the most support.</w:t>
      </w:r>
    </w:p>
    <w:p w:rsidR="00203BAD" w:rsidRPr="00851904"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851904">
        <w:rPr>
          <w:rFonts w:asciiTheme="minorHAnsi" w:hAnsiTheme="minorHAnsi" w:cs="Arial"/>
          <w:color w:val="auto"/>
          <w:sz w:val="22"/>
          <w:szCs w:val="22"/>
        </w:rPr>
        <w:t xml:space="preserve">The second Torbay </w:t>
      </w:r>
      <w:proofErr w:type="spellStart"/>
      <w:r w:rsidRPr="00851904">
        <w:rPr>
          <w:rFonts w:asciiTheme="minorHAnsi" w:hAnsiTheme="minorHAnsi" w:cs="Arial"/>
          <w:color w:val="auto"/>
          <w:sz w:val="22"/>
          <w:szCs w:val="22"/>
        </w:rPr>
        <w:t>Airshow</w:t>
      </w:r>
      <w:proofErr w:type="spellEnd"/>
      <w:r w:rsidRPr="00851904">
        <w:rPr>
          <w:rFonts w:asciiTheme="minorHAnsi" w:hAnsiTheme="minorHAnsi" w:cs="Arial"/>
          <w:color w:val="auto"/>
          <w:sz w:val="22"/>
          <w:szCs w:val="22"/>
        </w:rPr>
        <w:t xml:space="preserve"> held in June 2017 attracted over 150,000 visitors across Torbay over the two days and hosted the RAF Red Arrows first display of the season, revealing the world’s premier aerobatic team’s 2017 routine.  The Torbay </w:t>
      </w:r>
      <w:proofErr w:type="spellStart"/>
      <w:r w:rsidRPr="00851904">
        <w:rPr>
          <w:rFonts w:asciiTheme="minorHAnsi" w:hAnsiTheme="minorHAnsi" w:cs="Arial"/>
          <w:color w:val="auto"/>
          <w:sz w:val="22"/>
          <w:szCs w:val="22"/>
        </w:rPr>
        <w:t>Airshow</w:t>
      </w:r>
      <w:proofErr w:type="spellEnd"/>
      <w:r w:rsidRPr="00851904">
        <w:rPr>
          <w:rFonts w:asciiTheme="minorHAnsi" w:hAnsiTheme="minorHAnsi" w:cs="Arial"/>
          <w:color w:val="auto"/>
          <w:sz w:val="22"/>
          <w:szCs w:val="22"/>
        </w:rPr>
        <w:t xml:space="preserve"> brings a much needed boost to Torbay’s economy, placing the area on the national map as a destination of choice and a great place to bring all the family.  As such, the Council has agreed make a new five year funding commitmen</w:t>
      </w:r>
      <w:r>
        <w:rPr>
          <w:rFonts w:asciiTheme="minorHAnsi" w:hAnsiTheme="minorHAnsi" w:cs="Arial"/>
          <w:color w:val="auto"/>
          <w:sz w:val="22"/>
          <w:szCs w:val="22"/>
        </w:rPr>
        <w:t xml:space="preserve">t to develop the Torbay </w:t>
      </w:r>
      <w:proofErr w:type="spellStart"/>
      <w:r>
        <w:rPr>
          <w:rFonts w:asciiTheme="minorHAnsi" w:hAnsiTheme="minorHAnsi" w:cs="Arial"/>
          <w:color w:val="auto"/>
          <w:sz w:val="22"/>
          <w:szCs w:val="22"/>
        </w:rPr>
        <w:t>Airshow</w:t>
      </w:r>
      <w:proofErr w:type="spellEnd"/>
      <w:r>
        <w:rPr>
          <w:rFonts w:asciiTheme="minorHAnsi" w:hAnsiTheme="minorHAnsi" w:cs="Arial"/>
          <w:color w:val="auto"/>
          <w:sz w:val="22"/>
          <w:szCs w:val="22"/>
        </w:rPr>
        <w:t>.</w:t>
      </w:r>
    </w:p>
    <w:p w:rsidR="00203BAD" w:rsidRPr="00B40D21"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B40D21">
        <w:rPr>
          <w:rFonts w:asciiTheme="minorHAnsi" w:hAnsiTheme="minorHAnsi" w:cs="Arial"/>
          <w:color w:val="auto"/>
          <w:sz w:val="22"/>
          <w:szCs w:val="22"/>
        </w:rPr>
        <w:t xml:space="preserve">The second </w:t>
      </w:r>
      <w:proofErr w:type="spellStart"/>
      <w:r w:rsidRPr="00B40D21">
        <w:rPr>
          <w:rFonts w:asciiTheme="minorHAnsi" w:hAnsiTheme="minorHAnsi" w:cs="Arial"/>
          <w:color w:val="auto"/>
          <w:sz w:val="22"/>
          <w:szCs w:val="22"/>
        </w:rPr>
        <w:t>Grinagog</w:t>
      </w:r>
      <w:proofErr w:type="spellEnd"/>
      <w:r w:rsidRPr="00B40D21">
        <w:rPr>
          <w:rFonts w:asciiTheme="minorHAnsi" w:hAnsiTheme="minorHAnsi" w:cs="Arial"/>
          <w:color w:val="auto"/>
          <w:sz w:val="22"/>
          <w:szCs w:val="22"/>
        </w:rPr>
        <w:t xml:space="preserve"> Festival was held in April 2018 which showcased a myriad of musical genres that celebrate creativity and diversity.  There were 200 live bands, solo artists and DJs performing across multiple stages at Torre Abbey and the Riviera International Conference Centre.</w:t>
      </w:r>
    </w:p>
    <w:p w:rsidR="00203BAD" w:rsidRPr="00501DCC"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501DCC">
        <w:rPr>
          <w:rFonts w:asciiTheme="minorHAnsi" w:hAnsiTheme="minorHAnsi" w:cs="Arial"/>
          <w:color w:val="auto"/>
          <w:sz w:val="22"/>
          <w:szCs w:val="22"/>
        </w:rPr>
        <w:t xml:space="preserve">Torre Abbey saw a 33% increase in visitor numbers in the year to 31 March 2018 compared to footfall figures for the previous year.  This was the highest footfall at Torre Abbey for ten years and was predominantly attributed to the museum’s new dynamic exhibition, events programme and the delivery of extensive learning and education activities.  </w:t>
      </w:r>
    </w:p>
    <w:p w:rsidR="00203BAD"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94793B">
        <w:rPr>
          <w:rFonts w:asciiTheme="minorHAnsi" w:hAnsiTheme="minorHAnsi" w:cs="Arial"/>
          <w:color w:val="auto"/>
          <w:sz w:val="22"/>
          <w:szCs w:val="22"/>
        </w:rPr>
        <w:t xml:space="preserve">Devon-based charity Libraries Unlimited has taken over responsibility for running the libraries in Torquay, </w:t>
      </w:r>
      <w:proofErr w:type="spellStart"/>
      <w:r w:rsidRPr="0094793B">
        <w:rPr>
          <w:rFonts w:asciiTheme="minorHAnsi" w:hAnsiTheme="minorHAnsi" w:cs="Arial"/>
          <w:color w:val="auto"/>
          <w:sz w:val="22"/>
          <w:szCs w:val="22"/>
        </w:rPr>
        <w:t>Brixham</w:t>
      </w:r>
      <w:proofErr w:type="spellEnd"/>
      <w:r w:rsidRPr="0094793B">
        <w:rPr>
          <w:rFonts w:asciiTheme="minorHAnsi" w:hAnsiTheme="minorHAnsi" w:cs="Arial"/>
          <w:color w:val="auto"/>
          <w:sz w:val="22"/>
          <w:szCs w:val="22"/>
        </w:rPr>
        <w:t xml:space="preserve">, Paignton and </w:t>
      </w:r>
      <w:proofErr w:type="spellStart"/>
      <w:r w:rsidRPr="0094793B">
        <w:rPr>
          <w:rFonts w:asciiTheme="minorHAnsi" w:hAnsiTheme="minorHAnsi" w:cs="Arial"/>
          <w:color w:val="auto"/>
          <w:sz w:val="22"/>
          <w:szCs w:val="22"/>
        </w:rPr>
        <w:t>Churston</w:t>
      </w:r>
      <w:proofErr w:type="spellEnd"/>
      <w:r w:rsidRPr="0094793B">
        <w:rPr>
          <w:rFonts w:asciiTheme="minorHAnsi" w:hAnsiTheme="minorHAnsi" w:cs="Arial"/>
          <w:color w:val="auto"/>
          <w:sz w:val="22"/>
          <w:szCs w:val="22"/>
        </w:rPr>
        <w:t xml:space="preserve"> through a five-year contract with the council.  All four libraries will remain open with the same opening hours and will be professionally staffed.  Over time, the charity aims to implement a more integrated library service that will offer extended services and resources whilst making financial savings and ensuring the sustainability of the service. </w:t>
      </w:r>
    </w:p>
    <w:p w:rsidR="00203BAD" w:rsidRPr="00122767"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122767">
        <w:rPr>
          <w:rFonts w:asciiTheme="minorHAnsi" w:hAnsiTheme="minorHAnsi" w:cs="Arial"/>
          <w:color w:val="auto"/>
          <w:sz w:val="22"/>
          <w:szCs w:val="22"/>
        </w:rPr>
        <w:t xml:space="preserve">As from the 1st May 2018 Torbay Council have commissioned </w:t>
      </w:r>
      <w:proofErr w:type="spellStart"/>
      <w:r w:rsidRPr="00122767">
        <w:rPr>
          <w:rFonts w:asciiTheme="minorHAnsi" w:hAnsiTheme="minorHAnsi" w:cs="Arial"/>
          <w:color w:val="auto"/>
          <w:sz w:val="22"/>
          <w:szCs w:val="22"/>
        </w:rPr>
        <w:t>Healthmatic</w:t>
      </w:r>
      <w:proofErr w:type="spellEnd"/>
      <w:r w:rsidRPr="00122767">
        <w:rPr>
          <w:rFonts w:asciiTheme="minorHAnsi" w:hAnsiTheme="minorHAnsi" w:cs="Arial"/>
          <w:color w:val="auto"/>
          <w:sz w:val="22"/>
          <w:szCs w:val="22"/>
        </w:rPr>
        <w:t xml:space="preserve"> Limited to carry out the modernisation of toilet blocks across the Bay. </w:t>
      </w:r>
      <w:proofErr w:type="spellStart"/>
      <w:r w:rsidRPr="00122767">
        <w:rPr>
          <w:rFonts w:asciiTheme="minorHAnsi" w:hAnsiTheme="minorHAnsi" w:cs="Arial"/>
          <w:color w:val="auto"/>
          <w:sz w:val="22"/>
          <w:szCs w:val="22"/>
        </w:rPr>
        <w:t>Healthmatic</w:t>
      </w:r>
      <w:proofErr w:type="spellEnd"/>
      <w:r w:rsidRPr="00122767">
        <w:rPr>
          <w:rFonts w:asciiTheme="minorHAnsi" w:hAnsiTheme="minorHAnsi" w:cs="Arial"/>
          <w:color w:val="auto"/>
          <w:sz w:val="22"/>
          <w:szCs w:val="22"/>
        </w:rPr>
        <w:t xml:space="preserve">, will also be providing the daily operation and cleaning of the toilets, and will provide modern, clean and hygienic facilities for residents and visitors to Torbay. </w:t>
      </w:r>
    </w:p>
    <w:p w:rsidR="00203BAD"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F93A17">
        <w:rPr>
          <w:rFonts w:asciiTheme="minorHAnsi" w:hAnsiTheme="minorHAnsi" w:cs="Arial"/>
          <w:color w:val="auto"/>
          <w:sz w:val="22"/>
          <w:szCs w:val="22"/>
        </w:rPr>
        <w:t xml:space="preserve">The new lease </w:t>
      </w:r>
      <w:r>
        <w:rPr>
          <w:rFonts w:asciiTheme="minorHAnsi" w:hAnsiTheme="minorHAnsi" w:cs="Arial"/>
          <w:color w:val="auto"/>
          <w:sz w:val="22"/>
          <w:szCs w:val="22"/>
        </w:rPr>
        <w:t xml:space="preserve">has been agreed </w:t>
      </w:r>
      <w:r w:rsidRPr="00F93A17">
        <w:rPr>
          <w:rFonts w:asciiTheme="minorHAnsi" w:hAnsiTheme="minorHAnsi" w:cs="Arial"/>
          <w:color w:val="auto"/>
          <w:sz w:val="22"/>
          <w:szCs w:val="22"/>
        </w:rPr>
        <w:t xml:space="preserve">between Torbay Council and Parkwood Leisure </w:t>
      </w:r>
      <w:r>
        <w:rPr>
          <w:rFonts w:asciiTheme="minorHAnsi" w:hAnsiTheme="minorHAnsi" w:cs="Arial"/>
          <w:color w:val="auto"/>
          <w:sz w:val="22"/>
          <w:szCs w:val="22"/>
        </w:rPr>
        <w:t xml:space="preserve">with </w:t>
      </w:r>
      <w:r w:rsidRPr="00F93A17">
        <w:rPr>
          <w:rFonts w:asciiTheme="minorHAnsi" w:hAnsiTheme="minorHAnsi" w:cs="Arial"/>
          <w:color w:val="auto"/>
          <w:sz w:val="22"/>
          <w:szCs w:val="22"/>
        </w:rPr>
        <w:t>the current operator maintain</w:t>
      </w:r>
      <w:r>
        <w:rPr>
          <w:rFonts w:asciiTheme="minorHAnsi" w:hAnsiTheme="minorHAnsi" w:cs="Arial"/>
          <w:color w:val="auto"/>
          <w:sz w:val="22"/>
          <w:szCs w:val="22"/>
        </w:rPr>
        <w:t>ing</w:t>
      </w:r>
      <w:r w:rsidRPr="00F93A17">
        <w:rPr>
          <w:rFonts w:asciiTheme="minorHAnsi" w:hAnsiTheme="minorHAnsi" w:cs="Arial"/>
          <w:color w:val="auto"/>
          <w:sz w:val="22"/>
          <w:szCs w:val="22"/>
        </w:rPr>
        <w:t xml:space="preserve"> and improv</w:t>
      </w:r>
      <w:r>
        <w:rPr>
          <w:rFonts w:asciiTheme="minorHAnsi" w:hAnsiTheme="minorHAnsi" w:cs="Arial"/>
          <w:color w:val="auto"/>
          <w:sz w:val="22"/>
          <w:szCs w:val="22"/>
        </w:rPr>
        <w:t>ing</w:t>
      </w:r>
      <w:r w:rsidRPr="00F93A17">
        <w:rPr>
          <w:rFonts w:asciiTheme="minorHAnsi" w:hAnsiTheme="minorHAnsi" w:cs="Arial"/>
          <w:color w:val="auto"/>
          <w:sz w:val="22"/>
          <w:szCs w:val="22"/>
        </w:rPr>
        <w:t xml:space="preserve"> the facilities at Torbay Leisure Centre over the next 12 years.  The new lease also incorporates the adjacent </w:t>
      </w:r>
      <w:proofErr w:type="spellStart"/>
      <w:r w:rsidRPr="00F93A17">
        <w:rPr>
          <w:rFonts w:asciiTheme="minorHAnsi" w:hAnsiTheme="minorHAnsi" w:cs="Arial"/>
          <w:color w:val="auto"/>
          <w:sz w:val="22"/>
          <w:szCs w:val="22"/>
        </w:rPr>
        <w:t>Velopark</w:t>
      </w:r>
      <w:proofErr w:type="spellEnd"/>
      <w:r>
        <w:rPr>
          <w:rFonts w:asciiTheme="minorHAnsi" w:hAnsiTheme="minorHAnsi" w:cs="Arial"/>
          <w:color w:val="auto"/>
          <w:sz w:val="22"/>
          <w:szCs w:val="22"/>
        </w:rPr>
        <w:t xml:space="preserve">.  </w:t>
      </w:r>
    </w:p>
    <w:p w:rsidR="00203BAD" w:rsidRPr="00122767"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122767">
        <w:rPr>
          <w:rFonts w:asciiTheme="minorHAnsi" w:hAnsiTheme="minorHAnsi" w:cs="Arial"/>
          <w:color w:val="auto"/>
          <w:sz w:val="22"/>
          <w:szCs w:val="22"/>
        </w:rPr>
        <w:t xml:space="preserve">The Council is currently in the final stages of negotiations to enter into a long lease for the future operation of the Palace Theatre. A local Community interest Company ‘Jazz Hands’ is due to take on the delivery of the theatre in June 2018. </w:t>
      </w:r>
    </w:p>
    <w:p w:rsidR="00203BAD" w:rsidRPr="00AB17E3"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AB17E3">
        <w:rPr>
          <w:rFonts w:asciiTheme="minorHAnsi" w:hAnsiTheme="minorHAnsi" w:cs="Arial"/>
          <w:color w:val="auto"/>
          <w:sz w:val="22"/>
          <w:szCs w:val="22"/>
        </w:rPr>
        <w:t>We have reduced the number of adults in permanent care home placements.  This is in line with our strategy of supporting more people at home.  Through developing a more diverse market for care and accommodation, people needing care have more choice.</w:t>
      </w:r>
    </w:p>
    <w:p w:rsidR="00203BAD" w:rsidRPr="00AB17E3"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AB17E3">
        <w:rPr>
          <w:rFonts w:asciiTheme="minorHAnsi" w:hAnsiTheme="minorHAnsi" w:cs="Arial"/>
          <w:color w:val="auto"/>
          <w:sz w:val="22"/>
          <w:szCs w:val="22"/>
        </w:rPr>
        <w:t>Torbay has good carers’ services and which are a vital part of supporting people at home with their family and natural support mechanisms.  We achieved (within agreed tolerance) our 2017/18 target of ensuring a high proportion of carers have their needs assessed.  Our All Age Carers Strategy is currently subject to consultation.</w:t>
      </w:r>
    </w:p>
    <w:p w:rsidR="00203BAD" w:rsidRPr="00AB17E3"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AB17E3">
        <w:rPr>
          <w:rFonts w:asciiTheme="minorHAnsi" w:hAnsiTheme="minorHAnsi" w:cs="Arial"/>
          <w:color w:val="auto"/>
          <w:sz w:val="22"/>
          <w:szCs w:val="22"/>
        </w:rPr>
        <w:t xml:space="preserve">The low number of repeat adult safeguarding referrals is an indication that the triage system and </w:t>
      </w:r>
      <w:r w:rsidRPr="00AB17E3">
        <w:rPr>
          <w:rFonts w:asciiTheme="minorHAnsi" w:hAnsiTheme="minorHAnsi" w:cs="Arial"/>
          <w:color w:val="auto"/>
          <w:sz w:val="22"/>
          <w:szCs w:val="22"/>
        </w:rPr>
        <w:lastRenderedPageBreak/>
        <w:t>processes are working in line with our strategy.</w:t>
      </w:r>
    </w:p>
    <w:p w:rsidR="00203BAD" w:rsidRPr="00AB17E3"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AB17E3">
        <w:rPr>
          <w:rFonts w:asciiTheme="minorHAnsi" w:hAnsiTheme="minorHAnsi" w:cs="Arial"/>
          <w:color w:val="auto"/>
          <w:sz w:val="22"/>
          <w:szCs w:val="22"/>
        </w:rPr>
        <w:t xml:space="preserve">Torbay’s performance in reduced the delays in the transfer of care from hospital remains significantly better than the England and South West average. Torbay as an integrated system has performed better than most areas despite a huge pressure this winter on health and social care resources. </w:t>
      </w:r>
    </w:p>
    <w:p w:rsidR="00203BAD" w:rsidRPr="00AB17E3"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AB17E3">
        <w:rPr>
          <w:rFonts w:asciiTheme="minorHAnsi" w:hAnsiTheme="minorHAnsi" w:cs="Arial"/>
          <w:color w:val="auto"/>
          <w:sz w:val="22"/>
          <w:szCs w:val="22"/>
        </w:rPr>
        <w:t>Torbay Council and Torbay and South Devon NHS Foundation Trust and partners won the Health and Social Care category in the 2018 Local Government Chronicle (LGC) Awards for the creation and operation of the Integrated Care Organisation.  The awards seek to identify and recognise local government’s greatest innovators, whose achievements are often under reported. They aim to shine a spotlight on the achievements of those councils and their partners whose pioneering best practice can inspire others to improve services.</w:t>
      </w:r>
    </w:p>
    <w:p w:rsidR="00203BAD" w:rsidRPr="00122767"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122767">
        <w:rPr>
          <w:rFonts w:asciiTheme="minorHAnsi" w:hAnsiTheme="minorHAnsi" w:cs="Arial"/>
          <w:color w:val="auto"/>
          <w:sz w:val="22"/>
          <w:szCs w:val="22"/>
        </w:rPr>
        <w:t xml:space="preserve">Torbay Council has established a Housing Company to support the delivery of the Councils Housing Strategy, this may include the following: Increasing the number of affordable homes delivered, increasing standards in the private rented sector, unlocking stalled sites in and around the Town Centre and assisting with regenerating areas of deprivation. </w:t>
      </w:r>
    </w:p>
    <w:p w:rsidR="00203BAD" w:rsidRPr="00A045D8" w:rsidRDefault="00203BAD" w:rsidP="00203BAD">
      <w:pPr>
        <w:pStyle w:val="BodyText"/>
        <w:widowControl w:val="0"/>
        <w:numPr>
          <w:ilvl w:val="0"/>
          <w:numId w:val="33"/>
        </w:numPr>
        <w:spacing w:line="240" w:lineRule="auto"/>
        <w:ind w:left="714" w:hanging="357"/>
        <w:rPr>
          <w:rFonts w:asciiTheme="minorHAnsi" w:hAnsiTheme="minorHAnsi" w:cs="Arial"/>
          <w:color w:val="auto"/>
          <w:sz w:val="22"/>
          <w:szCs w:val="22"/>
        </w:rPr>
      </w:pPr>
      <w:r w:rsidRPr="00A045D8">
        <w:rPr>
          <w:rFonts w:asciiTheme="minorHAnsi" w:hAnsiTheme="minorHAnsi" w:cs="Arial"/>
          <w:color w:val="auto"/>
          <w:sz w:val="22"/>
          <w:szCs w:val="22"/>
        </w:rPr>
        <w:t>The Torbay Lottery has been up and running for 12 months and has raised around £</w:t>
      </w:r>
      <w:r>
        <w:rPr>
          <w:rFonts w:asciiTheme="minorHAnsi" w:hAnsiTheme="minorHAnsi" w:cs="Arial"/>
          <w:color w:val="auto"/>
          <w:sz w:val="22"/>
          <w:szCs w:val="22"/>
        </w:rPr>
        <w:t xml:space="preserve">38,000 for local good causes.  </w:t>
      </w:r>
      <w:r w:rsidRPr="00A045D8">
        <w:rPr>
          <w:rFonts w:asciiTheme="minorHAnsi" w:hAnsiTheme="minorHAnsi" w:cs="Arial"/>
          <w:color w:val="auto"/>
          <w:sz w:val="22"/>
          <w:szCs w:val="22"/>
        </w:rPr>
        <w:t>89 local good causes have received funding over the past year and 10 organisations shared the £9,200 Torbay Lottery Small Grants Fund.</w:t>
      </w:r>
    </w:p>
    <w:p w:rsidR="00203BAD" w:rsidRPr="00602E0D" w:rsidRDefault="00203BAD" w:rsidP="00203BAD">
      <w:pPr>
        <w:pStyle w:val="BodyText"/>
        <w:keepNext/>
        <w:widowControl w:val="0"/>
        <w:rPr>
          <w:rFonts w:asciiTheme="minorHAnsi" w:hAnsiTheme="minorHAnsi" w:cs="Arial"/>
          <w:b/>
          <w:color w:val="auto"/>
          <w:sz w:val="22"/>
          <w:szCs w:val="22"/>
        </w:rPr>
      </w:pPr>
      <w:r w:rsidRPr="00602E0D">
        <w:rPr>
          <w:rFonts w:asciiTheme="minorHAnsi" w:hAnsiTheme="minorHAnsi" w:cs="Arial"/>
          <w:b/>
          <w:color w:val="auto"/>
          <w:sz w:val="22"/>
          <w:szCs w:val="22"/>
        </w:rPr>
        <w:t>Our Performance</w:t>
      </w:r>
    </w:p>
    <w:p w:rsidR="00203BAD" w:rsidRDefault="00203BAD" w:rsidP="00203BAD">
      <w:pPr>
        <w:pStyle w:val="BodyText"/>
        <w:widowControl w:val="0"/>
        <w:spacing w:after="120" w:line="240" w:lineRule="auto"/>
        <w:rPr>
          <w:rFonts w:asciiTheme="minorHAnsi" w:hAnsiTheme="minorHAnsi" w:cs="Arial"/>
          <w:color w:val="auto"/>
          <w:sz w:val="22"/>
          <w:szCs w:val="22"/>
          <w:u w:val="single"/>
        </w:rPr>
      </w:pPr>
      <w:r w:rsidRPr="00106EC7">
        <w:rPr>
          <w:rFonts w:asciiTheme="minorHAnsi" w:hAnsiTheme="minorHAnsi" w:cs="Arial"/>
          <w:color w:val="auto"/>
          <w:sz w:val="22"/>
          <w:szCs w:val="22"/>
          <w:u w:val="single"/>
        </w:rPr>
        <w:t>Protecting all children and giving them the best start in life</w:t>
      </w:r>
      <w:r w:rsidRPr="00106EC7">
        <w:rPr>
          <w:rStyle w:val="FootnoteReference"/>
          <w:rFonts w:asciiTheme="minorHAnsi" w:hAnsiTheme="minorHAnsi"/>
          <w:color w:val="auto"/>
          <w:sz w:val="22"/>
          <w:szCs w:val="22"/>
          <w:u w:val="single"/>
        </w:rPr>
        <w:footnoteReference w:id="1"/>
      </w:r>
    </w:p>
    <w:p w:rsidR="00203BAD" w:rsidRPr="00106EC7"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106EC7">
        <w:rPr>
          <w:rFonts w:asciiTheme="minorHAnsi" w:hAnsiTheme="minorHAnsi" w:cs="Arial"/>
          <w:color w:val="auto"/>
          <w:sz w:val="22"/>
          <w:szCs w:val="22"/>
        </w:rPr>
        <w:t>Social work staffing vacancies fell by 5.6% on the same period last year</w:t>
      </w:r>
      <w:r>
        <w:rPr>
          <w:rFonts w:asciiTheme="minorHAnsi" w:hAnsiTheme="minorHAnsi" w:cs="Arial"/>
          <w:color w:val="auto"/>
          <w:sz w:val="22"/>
          <w:szCs w:val="22"/>
        </w:rPr>
        <w:t xml:space="preserve"> down</w:t>
      </w:r>
      <w:r w:rsidRPr="00106EC7">
        <w:rPr>
          <w:rFonts w:asciiTheme="minorHAnsi" w:hAnsiTheme="minorHAnsi" w:cs="Arial"/>
          <w:color w:val="auto"/>
          <w:sz w:val="22"/>
          <w:szCs w:val="22"/>
        </w:rPr>
        <w:t xml:space="preserve"> to 22.4% at the end of March 2018.</w:t>
      </w:r>
    </w:p>
    <w:p w:rsidR="00203BAD" w:rsidRPr="00106EC7"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106EC7">
        <w:rPr>
          <w:rFonts w:asciiTheme="minorHAnsi" w:hAnsiTheme="minorHAnsi" w:cs="Arial"/>
          <w:color w:val="auto"/>
          <w:sz w:val="22"/>
          <w:szCs w:val="22"/>
        </w:rPr>
        <w:t>The number of looked after children rose from 281 at the end of 201</w:t>
      </w:r>
      <w:r>
        <w:rPr>
          <w:rFonts w:asciiTheme="minorHAnsi" w:hAnsiTheme="minorHAnsi" w:cs="Arial"/>
          <w:color w:val="auto"/>
          <w:sz w:val="22"/>
          <w:szCs w:val="22"/>
        </w:rPr>
        <w:t>6</w:t>
      </w:r>
      <w:r w:rsidRPr="00106EC7">
        <w:rPr>
          <w:rFonts w:asciiTheme="minorHAnsi" w:hAnsiTheme="minorHAnsi" w:cs="Arial"/>
          <w:color w:val="auto"/>
          <w:sz w:val="22"/>
          <w:szCs w:val="22"/>
        </w:rPr>
        <w:t>/1</w:t>
      </w:r>
      <w:r>
        <w:rPr>
          <w:rFonts w:asciiTheme="minorHAnsi" w:hAnsiTheme="minorHAnsi" w:cs="Arial"/>
          <w:color w:val="auto"/>
          <w:sz w:val="22"/>
          <w:szCs w:val="22"/>
        </w:rPr>
        <w:t>7</w:t>
      </w:r>
      <w:r w:rsidRPr="00106EC7">
        <w:rPr>
          <w:rFonts w:asciiTheme="minorHAnsi" w:hAnsiTheme="minorHAnsi" w:cs="Arial"/>
          <w:color w:val="auto"/>
          <w:sz w:val="22"/>
          <w:szCs w:val="22"/>
        </w:rPr>
        <w:t xml:space="preserve"> to 323 in March 2018.</w:t>
      </w:r>
    </w:p>
    <w:p w:rsidR="00203BAD" w:rsidRPr="00106EC7" w:rsidRDefault="00C6266E"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Pr>
          <w:rFonts w:asciiTheme="minorHAnsi" w:hAnsiTheme="minorHAnsi" w:cs="Arial"/>
          <w:color w:val="auto"/>
          <w:sz w:val="22"/>
          <w:szCs w:val="22"/>
        </w:rPr>
        <w:t>95.3%</w:t>
      </w:r>
      <w:r w:rsidR="00203BAD" w:rsidRPr="00106EC7">
        <w:rPr>
          <w:rFonts w:asciiTheme="minorHAnsi" w:hAnsiTheme="minorHAnsi" w:cs="Arial"/>
          <w:color w:val="auto"/>
          <w:sz w:val="22"/>
          <w:szCs w:val="22"/>
        </w:rPr>
        <w:t xml:space="preserve"> of children looked after cases were reviewed within timescales during the month of March 2018. This is a 0.3% increase on </w:t>
      </w:r>
      <w:r w:rsidR="00203BAD">
        <w:rPr>
          <w:rFonts w:asciiTheme="minorHAnsi" w:hAnsiTheme="minorHAnsi" w:cs="Arial"/>
          <w:color w:val="auto"/>
          <w:sz w:val="22"/>
          <w:szCs w:val="22"/>
        </w:rPr>
        <w:t xml:space="preserve">the </w:t>
      </w:r>
      <w:r w:rsidR="00203BAD" w:rsidRPr="00106EC7">
        <w:rPr>
          <w:rFonts w:asciiTheme="minorHAnsi" w:hAnsiTheme="minorHAnsi" w:cs="Arial"/>
          <w:color w:val="auto"/>
          <w:sz w:val="22"/>
          <w:szCs w:val="22"/>
        </w:rPr>
        <w:t>March 2017</w:t>
      </w:r>
      <w:r w:rsidR="00203BAD">
        <w:rPr>
          <w:rFonts w:asciiTheme="minorHAnsi" w:hAnsiTheme="minorHAnsi" w:cs="Arial"/>
          <w:color w:val="auto"/>
          <w:sz w:val="22"/>
          <w:szCs w:val="22"/>
        </w:rPr>
        <w:t xml:space="preserve"> figure.</w:t>
      </w:r>
    </w:p>
    <w:p w:rsidR="00203BAD"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106EC7">
        <w:rPr>
          <w:rFonts w:asciiTheme="minorHAnsi" w:hAnsiTheme="minorHAnsi" w:cs="Arial"/>
          <w:color w:val="auto"/>
          <w:sz w:val="22"/>
          <w:szCs w:val="22"/>
        </w:rPr>
        <w:t>The number of early help referrals received in-month for March 2018 was 48. This is 53 less than at the same time in 2017</w:t>
      </w:r>
      <w:r>
        <w:rPr>
          <w:rFonts w:asciiTheme="minorHAnsi" w:hAnsiTheme="minorHAnsi" w:cs="Arial"/>
          <w:color w:val="auto"/>
          <w:sz w:val="22"/>
          <w:szCs w:val="22"/>
        </w:rPr>
        <w:t>.</w:t>
      </w:r>
    </w:p>
    <w:p w:rsidR="00203BAD" w:rsidRPr="003A4F9F" w:rsidRDefault="00203BAD" w:rsidP="00203BAD">
      <w:pPr>
        <w:pStyle w:val="BodyText"/>
        <w:widowControl w:val="0"/>
        <w:spacing w:after="120" w:line="240" w:lineRule="auto"/>
        <w:rPr>
          <w:rFonts w:asciiTheme="minorHAnsi" w:hAnsiTheme="minorHAnsi" w:cs="Arial"/>
          <w:noProof/>
          <w:color w:val="auto"/>
          <w:sz w:val="22"/>
          <w:szCs w:val="22"/>
          <w:u w:val="single"/>
          <w:lang w:eastAsia="en-GB"/>
        </w:rPr>
      </w:pPr>
      <w:r w:rsidRPr="003A4F9F">
        <w:rPr>
          <w:rFonts w:asciiTheme="minorHAnsi" w:hAnsiTheme="minorHAnsi" w:cs="Arial"/>
          <w:noProof/>
          <w:color w:val="auto"/>
          <w:sz w:val="22"/>
          <w:szCs w:val="22"/>
          <w:u w:val="single"/>
          <w:lang w:eastAsia="en-GB"/>
        </w:rPr>
        <w:t>Working towards a more prosperous Torbay</w:t>
      </w:r>
      <w:r w:rsidRPr="003A4F9F">
        <w:rPr>
          <w:rStyle w:val="FootnoteReference"/>
          <w:rFonts w:asciiTheme="minorHAnsi" w:hAnsiTheme="minorHAnsi"/>
          <w:noProof/>
          <w:color w:val="auto"/>
          <w:sz w:val="22"/>
          <w:szCs w:val="22"/>
          <w:u w:val="single"/>
          <w:lang w:eastAsia="en-GB"/>
        </w:rPr>
        <w:footnoteReference w:id="2"/>
      </w:r>
    </w:p>
    <w:p w:rsidR="00203BAD" w:rsidRPr="003A4F9F"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3A4F9F">
        <w:rPr>
          <w:rFonts w:asciiTheme="minorHAnsi" w:hAnsiTheme="minorHAnsi" w:cs="Arial"/>
          <w:color w:val="auto"/>
          <w:sz w:val="22"/>
          <w:szCs w:val="22"/>
        </w:rPr>
        <w:t>Average earnings for Torbay are a way below the target figures (the Great Britain average). For</w:t>
      </w:r>
      <w:r w:rsidRPr="003A4F9F">
        <w:t xml:space="preserve"> </w:t>
      </w:r>
      <w:r w:rsidRPr="003A4F9F">
        <w:rPr>
          <w:rFonts w:asciiTheme="minorHAnsi" w:hAnsiTheme="minorHAnsi" w:cs="Arial"/>
          <w:color w:val="auto"/>
          <w:sz w:val="22"/>
          <w:szCs w:val="22"/>
        </w:rPr>
        <w:t xml:space="preserve">2017 earnings by residence for full time workers was £477.10 against a target of £552.70. </w:t>
      </w:r>
    </w:p>
    <w:p w:rsidR="00203BAD" w:rsidRPr="00F1016D"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3A4F9F">
        <w:rPr>
          <w:rFonts w:asciiTheme="minorHAnsi" w:hAnsiTheme="minorHAnsi" w:cs="Arial"/>
          <w:color w:val="auto"/>
          <w:sz w:val="22"/>
          <w:szCs w:val="22"/>
        </w:rPr>
        <w:t>Earnings by workplace was £467.10 against a target of £552.30 in 2017. Torbay has increased on the previous year’ average of £422.4</w:t>
      </w:r>
      <w:r>
        <w:rPr>
          <w:rFonts w:asciiTheme="minorHAnsi" w:hAnsiTheme="minorHAnsi" w:cs="Arial"/>
          <w:color w:val="auto"/>
          <w:sz w:val="22"/>
          <w:szCs w:val="22"/>
        </w:rPr>
        <w:t>0 (£44.70</w:t>
      </w:r>
      <w:r w:rsidRPr="003A4F9F">
        <w:rPr>
          <w:rFonts w:asciiTheme="minorHAnsi" w:hAnsiTheme="minorHAnsi" w:cs="Arial"/>
          <w:color w:val="auto"/>
          <w:sz w:val="22"/>
          <w:szCs w:val="22"/>
        </w:rPr>
        <w:t xml:space="preserve">). Great Britain’s average has </w:t>
      </w:r>
      <w:r w:rsidRPr="00F1016D">
        <w:rPr>
          <w:rFonts w:asciiTheme="minorHAnsi" w:hAnsiTheme="minorHAnsi" w:cs="Arial"/>
          <w:color w:val="auto"/>
          <w:sz w:val="22"/>
          <w:szCs w:val="22"/>
        </w:rPr>
        <w:t>increased by £12.10 this year.</w:t>
      </w:r>
    </w:p>
    <w:p w:rsidR="00203BAD" w:rsidRPr="00256671" w:rsidRDefault="00203BAD" w:rsidP="00203BAD">
      <w:pPr>
        <w:pStyle w:val="BodyText"/>
        <w:widowControl w:val="0"/>
        <w:numPr>
          <w:ilvl w:val="0"/>
          <w:numId w:val="33"/>
        </w:numPr>
        <w:spacing w:after="120" w:line="240" w:lineRule="auto"/>
        <w:ind w:left="714" w:hanging="357"/>
        <w:rPr>
          <w:rFonts w:asciiTheme="minorHAnsi" w:hAnsiTheme="minorHAnsi" w:cs="Arial"/>
          <w:strike/>
          <w:color w:val="auto"/>
          <w:sz w:val="22"/>
          <w:szCs w:val="22"/>
        </w:rPr>
      </w:pPr>
      <w:r w:rsidRPr="00F1016D">
        <w:rPr>
          <w:rFonts w:asciiTheme="minorHAnsi" w:hAnsiTheme="minorHAnsi" w:cs="Arial"/>
          <w:color w:val="auto"/>
          <w:sz w:val="22"/>
          <w:szCs w:val="22"/>
        </w:rPr>
        <w:t xml:space="preserve">The percentage of those claiming out of work benefits at the end of 2017/18 was 2.4% against a target of 2.1% (England’s monthly average). The lowest figure this performance indicator fell to over the year, was 1.8%. </w:t>
      </w:r>
    </w:p>
    <w:p w:rsidR="00203BAD" w:rsidRPr="00764315" w:rsidRDefault="00203BAD" w:rsidP="00203BAD">
      <w:pPr>
        <w:pStyle w:val="BodyText"/>
        <w:widowControl w:val="0"/>
        <w:spacing w:after="120" w:line="240" w:lineRule="auto"/>
        <w:rPr>
          <w:rFonts w:asciiTheme="minorHAnsi" w:hAnsiTheme="minorHAnsi" w:cs="Arial"/>
          <w:color w:val="auto"/>
          <w:sz w:val="22"/>
          <w:szCs w:val="22"/>
          <w:u w:val="single"/>
        </w:rPr>
      </w:pPr>
      <w:r w:rsidRPr="00764315">
        <w:rPr>
          <w:rFonts w:asciiTheme="minorHAnsi" w:hAnsiTheme="minorHAnsi" w:cs="Arial"/>
          <w:color w:val="auto"/>
          <w:sz w:val="22"/>
          <w:szCs w:val="22"/>
          <w:u w:val="single"/>
        </w:rPr>
        <w:lastRenderedPageBreak/>
        <w:t>Promoting healthy lifestyles across Torbay</w:t>
      </w:r>
      <w:r w:rsidRPr="00764315">
        <w:rPr>
          <w:rStyle w:val="FootnoteReference"/>
          <w:rFonts w:asciiTheme="minorHAnsi" w:hAnsiTheme="minorHAnsi"/>
          <w:color w:val="auto"/>
          <w:sz w:val="22"/>
          <w:szCs w:val="22"/>
          <w:u w:val="single"/>
        </w:rPr>
        <w:footnoteReference w:id="3"/>
      </w:r>
    </w:p>
    <w:p w:rsidR="00203BAD" w:rsidRPr="00764315"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64315">
        <w:rPr>
          <w:rFonts w:asciiTheme="minorHAnsi" w:hAnsiTheme="minorHAnsi" w:cs="Arial"/>
          <w:color w:val="auto"/>
          <w:sz w:val="22"/>
          <w:szCs w:val="22"/>
        </w:rPr>
        <w:t>Excess weight in 4-5 year olds (Per 100,000 population) increased slightly for 2016/17 up to 24.3% compared to the 2015/16 figure which was 24.2%. This indicator is in excess of its target of 22.6%.</w:t>
      </w:r>
    </w:p>
    <w:p w:rsidR="00203BAD" w:rsidRPr="00795AE0"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95AE0">
        <w:rPr>
          <w:rFonts w:asciiTheme="minorHAnsi" w:hAnsiTheme="minorHAnsi" w:cs="Arial"/>
          <w:color w:val="auto"/>
          <w:sz w:val="22"/>
          <w:szCs w:val="22"/>
        </w:rPr>
        <w:t>The successful treatment of opiate users increased to 8.4% in 2016, from 5.9% in 2015 and 7.4% in 2014. This is well above the target of 6.7%.</w:t>
      </w:r>
    </w:p>
    <w:p w:rsidR="00203BAD"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Pr>
          <w:rFonts w:asciiTheme="minorHAnsi" w:hAnsiTheme="minorHAnsi" w:cs="Arial"/>
          <w:color w:val="auto"/>
          <w:sz w:val="22"/>
          <w:szCs w:val="22"/>
        </w:rPr>
        <w:t>The percentage of physically active adults rose from 55.5% in 2015/16 to 67.1% in 2016/17. This is above the target of 66.0%</w:t>
      </w:r>
    </w:p>
    <w:p w:rsidR="00203BAD"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Pr>
          <w:rFonts w:asciiTheme="minorHAnsi" w:hAnsiTheme="minorHAnsi" w:cs="Arial"/>
          <w:color w:val="auto"/>
          <w:sz w:val="22"/>
          <w:szCs w:val="22"/>
        </w:rPr>
        <w:t>The above indicator’s direction is reflected with a reduction in the percentage of physically inactive adults, which has fallen from 24.3% in 2015/16 to 20.8% in 2016/17. This is below the target of 22.2%.</w:t>
      </w:r>
    </w:p>
    <w:p w:rsidR="00203BAD" w:rsidRPr="00290289" w:rsidRDefault="00203BAD" w:rsidP="00203BAD">
      <w:pPr>
        <w:pStyle w:val="BodyText"/>
        <w:widowControl w:val="0"/>
        <w:spacing w:after="120" w:line="240" w:lineRule="auto"/>
        <w:rPr>
          <w:rFonts w:asciiTheme="minorHAnsi" w:hAnsiTheme="minorHAnsi" w:cs="Arial"/>
          <w:color w:val="auto"/>
          <w:sz w:val="22"/>
          <w:szCs w:val="22"/>
          <w:u w:val="single"/>
        </w:rPr>
      </w:pPr>
      <w:r w:rsidRPr="00290289">
        <w:rPr>
          <w:rFonts w:asciiTheme="minorHAnsi" w:hAnsiTheme="minorHAnsi" w:cs="Arial"/>
          <w:color w:val="auto"/>
          <w:sz w:val="22"/>
          <w:szCs w:val="22"/>
          <w:u w:val="single"/>
        </w:rPr>
        <w:t>Ensuring Torbay remains an attractive and safe place to live and visit</w:t>
      </w:r>
    </w:p>
    <w:p w:rsidR="00203BAD" w:rsidRPr="00290289"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290289">
        <w:rPr>
          <w:rFonts w:asciiTheme="minorHAnsi" w:hAnsiTheme="minorHAnsi" w:cs="Arial"/>
          <w:color w:val="auto"/>
          <w:sz w:val="22"/>
          <w:szCs w:val="22"/>
        </w:rPr>
        <w:t>Residual household waste for quarter 4 2017/18 was at 124kg per household, a decrease on the same period the previous year, 1</w:t>
      </w:r>
      <w:r>
        <w:rPr>
          <w:rFonts w:asciiTheme="minorHAnsi" w:hAnsiTheme="minorHAnsi" w:cs="Arial"/>
          <w:color w:val="auto"/>
          <w:sz w:val="22"/>
          <w:szCs w:val="22"/>
        </w:rPr>
        <w:t>29</w:t>
      </w:r>
      <w:r w:rsidRPr="00290289">
        <w:rPr>
          <w:rFonts w:asciiTheme="minorHAnsi" w:hAnsiTheme="minorHAnsi" w:cs="Arial"/>
          <w:color w:val="auto"/>
          <w:sz w:val="22"/>
          <w:szCs w:val="22"/>
        </w:rPr>
        <w:t>kg in 2016/17. For each quarter of 2017/18, the figure has been above the target of 120kg.</w:t>
      </w:r>
    </w:p>
    <w:p w:rsidR="00203BAD" w:rsidRPr="00290289"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290289">
        <w:rPr>
          <w:rFonts w:asciiTheme="minorHAnsi" w:hAnsiTheme="minorHAnsi" w:cs="Arial"/>
          <w:color w:val="auto"/>
          <w:sz w:val="22"/>
          <w:szCs w:val="22"/>
        </w:rPr>
        <w:t xml:space="preserve">Household waste sent for reuse, recycling and composting was at 42.44 % for the last quarter of 2017/18. This is a </w:t>
      </w:r>
      <w:r>
        <w:rPr>
          <w:rFonts w:asciiTheme="minorHAnsi" w:hAnsiTheme="minorHAnsi" w:cs="Arial"/>
          <w:color w:val="auto"/>
          <w:sz w:val="22"/>
          <w:szCs w:val="22"/>
        </w:rPr>
        <w:t xml:space="preserve">very </w:t>
      </w:r>
      <w:r w:rsidRPr="00290289">
        <w:rPr>
          <w:rFonts w:asciiTheme="minorHAnsi" w:hAnsiTheme="minorHAnsi" w:cs="Arial"/>
          <w:color w:val="auto"/>
          <w:sz w:val="22"/>
          <w:szCs w:val="22"/>
        </w:rPr>
        <w:t xml:space="preserve">slight decrease when compared to the same period the previous year 42.61%, </w:t>
      </w:r>
      <w:r>
        <w:rPr>
          <w:rFonts w:asciiTheme="minorHAnsi" w:hAnsiTheme="minorHAnsi" w:cs="Arial"/>
          <w:color w:val="auto"/>
          <w:sz w:val="22"/>
          <w:szCs w:val="22"/>
        </w:rPr>
        <w:t>and</w:t>
      </w:r>
      <w:r w:rsidRPr="00290289">
        <w:rPr>
          <w:rFonts w:asciiTheme="minorHAnsi" w:hAnsiTheme="minorHAnsi" w:cs="Arial"/>
          <w:color w:val="auto"/>
          <w:sz w:val="22"/>
          <w:szCs w:val="22"/>
        </w:rPr>
        <w:t xml:space="preserve"> below the target of 50.00%.</w:t>
      </w:r>
    </w:p>
    <w:p w:rsidR="00203BAD" w:rsidRPr="00795AE0"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795AE0">
        <w:rPr>
          <w:rFonts w:asciiTheme="minorHAnsi" w:hAnsiTheme="minorHAnsi" w:cs="Arial"/>
          <w:color w:val="auto"/>
          <w:sz w:val="22"/>
          <w:szCs w:val="22"/>
        </w:rPr>
        <w:t xml:space="preserve">The average number of people sleeping rough at the end of quarter 4 2017/18 rose to 37 from 22 </w:t>
      </w:r>
      <w:r>
        <w:rPr>
          <w:rFonts w:asciiTheme="minorHAnsi" w:hAnsiTheme="minorHAnsi" w:cs="Arial"/>
          <w:color w:val="auto"/>
          <w:sz w:val="22"/>
          <w:szCs w:val="22"/>
        </w:rPr>
        <w:t>for</w:t>
      </w:r>
      <w:r w:rsidRPr="00795AE0">
        <w:rPr>
          <w:rFonts w:asciiTheme="minorHAnsi" w:hAnsiTheme="minorHAnsi" w:cs="Arial"/>
          <w:color w:val="auto"/>
          <w:sz w:val="22"/>
          <w:szCs w:val="22"/>
        </w:rPr>
        <w:t xml:space="preserve"> the same period the year before. </w:t>
      </w:r>
    </w:p>
    <w:p w:rsidR="00203BAD" w:rsidRPr="009C1680"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9C1680">
        <w:rPr>
          <w:rFonts w:asciiTheme="minorHAnsi" w:hAnsiTheme="minorHAnsi" w:cs="Arial"/>
          <w:color w:val="auto"/>
          <w:sz w:val="22"/>
          <w:szCs w:val="22"/>
        </w:rPr>
        <w:t>In 2017/18 there were 3,541 recorded domestic violence</w:t>
      </w:r>
      <w:r>
        <w:rPr>
          <w:rFonts w:asciiTheme="minorHAnsi" w:hAnsiTheme="minorHAnsi" w:cs="Arial"/>
          <w:color w:val="auto"/>
          <w:sz w:val="22"/>
          <w:szCs w:val="22"/>
        </w:rPr>
        <w:t xml:space="preserve"> incidents in Torbay. This is </w:t>
      </w:r>
      <w:r w:rsidRPr="009C1680">
        <w:rPr>
          <w:rFonts w:asciiTheme="minorHAnsi" w:hAnsiTheme="minorHAnsi" w:cs="Arial"/>
          <w:color w:val="auto"/>
          <w:sz w:val="22"/>
          <w:szCs w:val="22"/>
        </w:rPr>
        <w:t>an increase of 5</w:t>
      </w:r>
      <w:r>
        <w:rPr>
          <w:rFonts w:asciiTheme="minorHAnsi" w:hAnsiTheme="minorHAnsi" w:cs="Arial"/>
          <w:color w:val="auto"/>
          <w:sz w:val="22"/>
          <w:szCs w:val="22"/>
        </w:rPr>
        <w:t>21</w:t>
      </w:r>
      <w:r w:rsidRPr="009C1680">
        <w:rPr>
          <w:rFonts w:asciiTheme="minorHAnsi" w:hAnsiTheme="minorHAnsi" w:cs="Arial"/>
          <w:color w:val="auto"/>
          <w:sz w:val="22"/>
          <w:szCs w:val="22"/>
        </w:rPr>
        <w:t xml:space="preserve"> recorded incidents on the number of incidents of the previous year, </w:t>
      </w:r>
      <w:r>
        <w:rPr>
          <w:rFonts w:asciiTheme="minorHAnsi" w:hAnsiTheme="minorHAnsi" w:cs="Arial"/>
          <w:color w:val="auto"/>
          <w:sz w:val="22"/>
          <w:szCs w:val="22"/>
        </w:rPr>
        <w:t>3</w:t>
      </w:r>
      <w:r w:rsidRPr="009C1680">
        <w:rPr>
          <w:rFonts w:asciiTheme="minorHAnsi" w:hAnsiTheme="minorHAnsi" w:cs="Arial"/>
          <w:color w:val="auto"/>
          <w:sz w:val="22"/>
          <w:szCs w:val="22"/>
        </w:rPr>
        <w:t>,</w:t>
      </w:r>
      <w:r>
        <w:rPr>
          <w:rFonts w:asciiTheme="minorHAnsi" w:hAnsiTheme="minorHAnsi" w:cs="Arial"/>
          <w:color w:val="auto"/>
          <w:sz w:val="22"/>
          <w:szCs w:val="22"/>
        </w:rPr>
        <w:t>020</w:t>
      </w:r>
      <w:r w:rsidRPr="009C1680">
        <w:rPr>
          <w:rFonts w:asciiTheme="minorHAnsi" w:hAnsiTheme="minorHAnsi" w:cs="Arial"/>
          <w:color w:val="auto"/>
          <w:sz w:val="22"/>
          <w:szCs w:val="22"/>
        </w:rPr>
        <w:t xml:space="preserve"> were recorded in 2016/17.</w:t>
      </w:r>
    </w:p>
    <w:p w:rsidR="00203BAD" w:rsidRPr="00BB2131"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BB2131">
        <w:rPr>
          <w:rFonts w:asciiTheme="minorHAnsi" w:hAnsiTheme="minorHAnsi" w:cs="Arial"/>
          <w:color w:val="auto"/>
          <w:sz w:val="22"/>
          <w:szCs w:val="22"/>
        </w:rPr>
        <w:t xml:space="preserve">There has been an increase in the number of Multi Agency Assessment Conferences (MARAC) since 2016/17. In 2016/17 there were 344 referrals, in 2017/18 there were 352. </w:t>
      </w:r>
    </w:p>
    <w:p w:rsidR="00203BAD" w:rsidRPr="00BB2131"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BB2131">
        <w:rPr>
          <w:rFonts w:asciiTheme="minorHAnsi" w:hAnsiTheme="minorHAnsi" w:cs="Arial"/>
          <w:color w:val="auto"/>
          <w:sz w:val="22"/>
          <w:szCs w:val="22"/>
        </w:rPr>
        <w:t xml:space="preserve">The number of repeat MARAC referrals has increased from 153 in 2016/17 to 187 last year. </w:t>
      </w:r>
    </w:p>
    <w:p w:rsidR="00203BAD" w:rsidRPr="00DF02F6" w:rsidRDefault="00203BAD" w:rsidP="00203BAD">
      <w:pPr>
        <w:pStyle w:val="BodyText"/>
        <w:widowControl w:val="0"/>
        <w:spacing w:after="120" w:line="240" w:lineRule="auto"/>
        <w:rPr>
          <w:rFonts w:asciiTheme="minorHAnsi" w:hAnsiTheme="minorHAnsi" w:cs="Arial"/>
          <w:color w:val="auto"/>
          <w:sz w:val="22"/>
          <w:szCs w:val="22"/>
          <w:u w:val="single"/>
        </w:rPr>
      </w:pPr>
      <w:r w:rsidRPr="00DF02F6">
        <w:rPr>
          <w:rFonts w:asciiTheme="minorHAnsi" w:hAnsiTheme="minorHAnsi" w:cs="Arial"/>
          <w:color w:val="auto"/>
          <w:sz w:val="22"/>
          <w:szCs w:val="22"/>
          <w:u w:val="single"/>
        </w:rPr>
        <w:t>Protecting and supporting vulnerable adult</w:t>
      </w:r>
      <w:r>
        <w:rPr>
          <w:rFonts w:asciiTheme="minorHAnsi" w:hAnsiTheme="minorHAnsi" w:cs="Arial"/>
          <w:color w:val="auto"/>
          <w:sz w:val="22"/>
          <w:szCs w:val="22"/>
          <w:u w:val="single"/>
        </w:rPr>
        <w:t>s</w:t>
      </w:r>
      <w:r>
        <w:rPr>
          <w:rStyle w:val="FootnoteReference"/>
          <w:rFonts w:asciiTheme="minorHAnsi" w:hAnsiTheme="minorHAnsi"/>
          <w:color w:val="auto"/>
          <w:sz w:val="22"/>
          <w:szCs w:val="22"/>
          <w:u w:val="single"/>
        </w:rPr>
        <w:footnoteReference w:id="4"/>
      </w:r>
    </w:p>
    <w:p w:rsidR="00203BAD" w:rsidRPr="00DF02F6"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DF02F6">
        <w:rPr>
          <w:rFonts w:asciiTheme="minorHAnsi" w:hAnsiTheme="minorHAnsi" w:cs="Arial"/>
          <w:color w:val="auto"/>
          <w:sz w:val="22"/>
          <w:szCs w:val="22"/>
        </w:rPr>
        <w:t>The number of permanent care home placements in Torbay has fluctuated between 604 and 638 throughout the last year. At the end of March 2018 it was 604, just below the target of 617 for that month.</w:t>
      </w:r>
    </w:p>
    <w:p w:rsidR="00203BAD" w:rsidRPr="00DF02F6"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DF02F6">
        <w:rPr>
          <w:rFonts w:asciiTheme="minorHAnsi" w:hAnsiTheme="minorHAnsi" w:cs="Arial"/>
          <w:color w:val="auto"/>
          <w:sz w:val="22"/>
          <w:szCs w:val="22"/>
        </w:rPr>
        <w:t>The percentage of carers receiving a needs assessment or review, and a specific carer's service or advice and information was 42% at the end of March 2017/18</w:t>
      </w:r>
      <w:r>
        <w:rPr>
          <w:rFonts w:asciiTheme="minorHAnsi" w:hAnsiTheme="minorHAnsi" w:cs="Arial"/>
          <w:color w:val="auto"/>
          <w:sz w:val="22"/>
          <w:szCs w:val="22"/>
        </w:rPr>
        <w:t xml:space="preserve"> only </w:t>
      </w:r>
      <w:r w:rsidRPr="00DF02F6">
        <w:rPr>
          <w:rFonts w:asciiTheme="minorHAnsi" w:hAnsiTheme="minorHAnsi" w:cs="Arial"/>
          <w:color w:val="auto"/>
          <w:sz w:val="22"/>
          <w:szCs w:val="22"/>
        </w:rPr>
        <w:t>slightly less than the target of 43%.</w:t>
      </w:r>
    </w:p>
    <w:p w:rsidR="00203BAD" w:rsidRPr="00806344"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806344">
        <w:rPr>
          <w:rFonts w:asciiTheme="minorHAnsi" w:hAnsiTheme="minorHAnsi" w:cs="Arial"/>
          <w:color w:val="auto"/>
          <w:sz w:val="22"/>
          <w:szCs w:val="22"/>
        </w:rPr>
        <w:t>The percentage of repeat safeguarding referrals in the last 12 months was below the target of 8% for March 2017/18 at 7.1%. The target was exceeded only once during the year when 10% was reached in June.</w:t>
      </w:r>
    </w:p>
    <w:p w:rsidR="00203BAD" w:rsidRPr="0002170E" w:rsidRDefault="00203BAD" w:rsidP="00203BAD">
      <w:pPr>
        <w:pStyle w:val="BodyText"/>
        <w:widowControl w:val="0"/>
        <w:spacing w:after="120" w:line="240" w:lineRule="auto"/>
        <w:rPr>
          <w:rFonts w:asciiTheme="minorHAnsi" w:hAnsiTheme="minorHAnsi" w:cs="Arial"/>
          <w:color w:val="auto"/>
          <w:sz w:val="22"/>
          <w:szCs w:val="22"/>
          <w:u w:val="single"/>
        </w:rPr>
      </w:pPr>
      <w:r w:rsidRPr="0002170E">
        <w:rPr>
          <w:rFonts w:asciiTheme="minorHAnsi" w:hAnsiTheme="minorHAnsi" w:cs="Arial"/>
          <w:color w:val="auto"/>
          <w:sz w:val="22"/>
          <w:szCs w:val="22"/>
          <w:u w:val="single"/>
        </w:rPr>
        <w:t>Running an Efficient Council</w:t>
      </w:r>
    </w:p>
    <w:p w:rsidR="00203BAD" w:rsidRPr="0002170E"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Pr>
          <w:rFonts w:asciiTheme="minorHAnsi" w:hAnsiTheme="minorHAnsi" w:cs="Arial"/>
          <w:color w:val="auto"/>
          <w:sz w:val="22"/>
          <w:szCs w:val="22"/>
        </w:rPr>
        <w:t>The number of s</w:t>
      </w:r>
      <w:r w:rsidRPr="0002170E">
        <w:rPr>
          <w:rFonts w:asciiTheme="minorHAnsi" w:hAnsiTheme="minorHAnsi" w:cs="Arial"/>
          <w:color w:val="auto"/>
          <w:sz w:val="22"/>
          <w:szCs w:val="22"/>
        </w:rPr>
        <w:t xml:space="preserve">tage </w:t>
      </w:r>
      <w:r>
        <w:rPr>
          <w:rFonts w:asciiTheme="minorHAnsi" w:hAnsiTheme="minorHAnsi" w:cs="Arial"/>
          <w:color w:val="auto"/>
          <w:sz w:val="22"/>
          <w:szCs w:val="22"/>
        </w:rPr>
        <w:t xml:space="preserve">one </w:t>
      </w:r>
      <w:r w:rsidRPr="0002170E">
        <w:rPr>
          <w:rFonts w:asciiTheme="minorHAnsi" w:hAnsiTheme="minorHAnsi" w:cs="Arial"/>
          <w:color w:val="auto"/>
          <w:sz w:val="22"/>
          <w:szCs w:val="22"/>
        </w:rPr>
        <w:t xml:space="preserve">complaints logged by the Information Compliance </w:t>
      </w:r>
      <w:r>
        <w:rPr>
          <w:rFonts w:asciiTheme="minorHAnsi" w:hAnsiTheme="minorHAnsi" w:cs="Arial"/>
          <w:color w:val="auto"/>
          <w:sz w:val="22"/>
          <w:szCs w:val="22"/>
        </w:rPr>
        <w:t>T</w:t>
      </w:r>
      <w:r w:rsidRPr="0002170E">
        <w:rPr>
          <w:rFonts w:asciiTheme="minorHAnsi" w:hAnsiTheme="minorHAnsi" w:cs="Arial"/>
          <w:color w:val="auto"/>
          <w:sz w:val="22"/>
          <w:szCs w:val="22"/>
        </w:rPr>
        <w:t>eam in 201</w:t>
      </w:r>
      <w:r>
        <w:rPr>
          <w:rFonts w:asciiTheme="minorHAnsi" w:hAnsiTheme="minorHAnsi" w:cs="Arial"/>
          <w:color w:val="auto"/>
          <w:sz w:val="22"/>
          <w:szCs w:val="22"/>
        </w:rPr>
        <w:t>7</w:t>
      </w:r>
      <w:r w:rsidRPr="0002170E">
        <w:rPr>
          <w:rFonts w:asciiTheme="minorHAnsi" w:hAnsiTheme="minorHAnsi" w:cs="Arial"/>
          <w:color w:val="auto"/>
          <w:sz w:val="22"/>
          <w:szCs w:val="22"/>
        </w:rPr>
        <w:t>/1</w:t>
      </w:r>
      <w:r>
        <w:rPr>
          <w:rFonts w:asciiTheme="minorHAnsi" w:hAnsiTheme="minorHAnsi" w:cs="Arial"/>
          <w:color w:val="auto"/>
          <w:sz w:val="22"/>
          <w:szCs w:val="22"/>
        </w:rPr>
        <w:t>8</w:t>
      </w:r>
      <w:r w:rsidRPr="0002170E">
        <w:rPr>
          <w:rFonts w:asciiTheme="minorHAnsi" w:hAnsiTheme="minorHAnsi" w:cs="Arial"/>
          <w:color w:val="auto"/>
          <w:sz w:val="22"/>
          <w:szCs w:val="22"/>
        </w:rPr>
        <w:t xml:space="preserve"> </w:t>
      </w:r>
      <w:r>
        <w:rPr>
          <w:rFonts w:asciiTheme="minorHAnsi" w:hAnsiTheme="minorHAnsi" w:cs="Arial"/>
          <w:color w:val="auto"/>
          <w:sz w:val="22"/>
          <w:szCs w:val="22"/>
        </w:rPr>
        <w:t>was</w:t>
      </w:r>
      <w:r w:rsidRPr="0002170E">
        <w:rPr>
          <w:rFonts w:asciiTheme="minorHAnsi" w:hAnsiTheme="minorHAnsi" w:cs="Arial"/>
          <w:color w:val="auto"/>
          <w:sz w:val="22"/>
          <w:szCs w:val="22"/>
        </w:rPr>
        <w:t xml:space="preserve"> </w:t>
      </w:r>
      <w:r>
        <w:rPr>
          <w:rFonts w:asciiTheme="minorHAnsi" w:hAnsiTheme="minorHAnsi" w:cs="Arial"/>
          <w:color w:val="auto"/>
          <w:sz w:val="22"/>
          <w:szCs w:val="22"/>
        </w:rPr>
        <w:t>395</w:t>
      </w:r>
      <w:r w:rsidRPr="0002170E">
        <w:rPr>
          <w:rFonts w:asciiTheme="minorHAnsi" w:hAnsiTheme="minorHAnsi" w:cs="Arial"/>
          <w:color w:val="auto"/>
          <w:sz w:val="22"/>
          <w:szCs w:val="22"/>
        </w:rPr>
        <w:t>. Th</w:t>
      </w:r>
      <w:r>
        <w:rPr>
          <w:rFonts w:asciiTheme="minorHAnsi" w:hAnsiTheme="minorHAnsi" w:cs="Arial"/>
          <w:color w:val="auto"/>
          <w:sz w:val="22"/>
          <w:szCs w:val="22"/>
        </w:rPr>
        <w:t>is equates to complaints from 3</w:t>
      </w:r>
      <w:r w:rsidRPr="0002170E">
        <w:rPr>
          <w:rFonts w:asciiTheme="minorHAnsi" w:hAnsiTheme="minorHAnsi" w:cs="Arial"/>
          <w:color w:val="auto"/>
          <w:sz w:val="22"/>
          <w:szCs w:val="22"/>
        </w:rPr>
        <w:t xml:space="preserve"> people per 1000 residents in Torbay. It is less than the </w:t>
      </w:r>
      <w:r w:rsidRPr="0002170E">
        <w:rPr>
          <w:rFonts w:asciiTheme="minorHAnsi" w:hAnsiTheme="minorHAnsi" w:cs="Arial"/>
          <w:color w:val="auto"/>
          <w:sz w:val="22"/>
          <w:szCs w:val="22"/>
        </w:rPr>
        <w:lastRenderedPageBreak/>
        <w:t>previous year when 4</w:t>
      </w:r>
      <w:r>
        <w:rPr>
          <w:rFonts w:asciiTheme="minorHAnsi" w:hAnsiTheme="minorHAnsi" w:cs="Arial"/>
          <w:color w:val="auto"/>
          <w:sz w:val="22"/>
          <w:szCs w:val="22"/>
        </w:rPr>
        <w:t>7</w:t>
      </w:r>
      <w:r w:rsidRPr="0002170E">
        <w:rPr>
          <w:rFonts w:asciiTheme="minorHAnsi" w:hAnsiTheme="minorHAnsi" w:cs="Arial"/>
          <w:color w:val="auto"/>
          <w:sz w:val="22"/>
          <w:szCs w:val="22"/>
        </w:rPr>
        <w:t xml:space="preserve">2 </w:t>
      </w:r>
      <w:r>
        <w:rPr>
          <w:rFonts w:asciiTheme="minorHAnsi" w:hAnsiTheme="minorHAnsi" w:cs="Arial"/>
          <w:color w:val="auto"/>
          <w:sz w:val="22"/>
          <w:szCs w:val="22"/>
        </w:rPr>
        <w:t>s</w:t>
      </w:r>
      <w:r w:rsidRPr="0002170E">
        <w:rPr>
          <w:rFonts w:asciiTheme="minorHAnsi" w:hAnsiTheme="minorHAnsi" w:cs="Arial"/>
          <w:color w:val="auto"/>
          <w:sz w:val="22"/>
          <w:szCs w:val="22"/>
        </w:rPr>
        <w:t xml:space="preserve">tage </w:t>
      </w:r>
      <w:r>
        <w:rPr>
          <w:rFonts w:asciiTheme="minorHAnsi" w:hAnsiTheme="minorHAnsi" w:cs="Arial"/>
          <w:color w:val="auto"/>
          <w:sz w:val="22"/>
          <w:szCs w:val="22"/>
        </w:rPr>
        <w:t>one</w:t>
      </w:r>
      <w:r w:rsidRPr="0002170E">
        <w:rPr>
          <w:rFonts w:asciiTheme="minorHAnsi" w:hAnsiTheme="minorHAnsi" w:cs="Arial"/>
          <w:color w:val="auto"/>
          <w:sz w:val="22"/>
          <w:szCs w:val="22"/>
        </w:rPr>
        <w:t xml:space="preserve"> complaints were logged.</w:t>
      </w:r>
    </w:p>
    <w:p w:rsidR="00203BAD" w:rsidRPr="0002170E" w:rsidRDefault="00203BAD" w:rsidP="00203BAD">
      <w:pPr>
        <w:pStyle w:val="BodyText"/>
        <w:widowControl w:val="0"/>
        <w:numPr>
          <w:ilvl w:val="0"/>
          <w:numId w:val="33"/>
        </w:numPr>
        <w:spacing w:after="120"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 xml:space="preserve">Of the </w:t>
      </w:r>
      <w:r>
        <w:rPr>
          <w:rFonts w:asciiTheme="minorHAnsi" w:hAnsiTheme="minorHAnsi" w:cs="Arial"/>
          <w:color w:val="auto"/>
          <w:sz w:val="22"/>
          <w:szCs w:val="22"/>
        </w:rPr>
        <w:t>s</w:t>
      </w:r>
      <w:r w:rsidRPr="0002170E">
        <w:rPr>
          <w:rFonts w:asciiTheme="minorHAnsi" w:hAnsiTheme="minorHAnsi" w:cs="Arial"/>
          <w:color w:val="auto"/>
          <w:sz w:val="22"/>
          <w:szCs w:val="22"/>
        </w:rPr>
        <w:t xml:space="preserve">tage </w:t>
      </w:r>
      <w:r>
        <w:rPr>
          <w:rFonts w:asciiTheme="minorHAnsi" w:hAnsiTheme="minorHAnsi" w:cs="Arial"/>
          <w:color w:val="auto"/>
          <w:sz w:val="22"/>
          <w:szCs w:val="22"/>
        </w:rPr>
        <w:t>one</w:t>
      </w:r>
      <w:r w:rsidRPr="0002170E">
        <w:rPr>
          <w:rFonts w:asciiTheme="minorHAnsi" w:hAnsiTheme="minorHAnsi" w:cs="Arial"/>
          <w:color w:val="auto"/>
          <w:sz w:val="22"/>
          <w:szCs w:val="22"/>
        </w:rPr>
        <w:t xml:space="preserve"> complaints, the percentage </w:t>
      </w:r>
      <w:r>
        <w:rPr>
          <w:rFonts w:asciiTheme="minorHAnsi" w:hAnsiTheme="minorHAnsi" w:cs="Arial"/>
          <w:color w:val="auto"/>
          <w:sz w:val="22"/>
          <w:szCs w:val="22"/>
        </w:rPr>
        <w:t>that were dealt with on time</w:t>
      </w:r>
      <w:r w:rsidRPr="0002170E">
        <w:rPr>
          <w:rFonts w:asciiTheme="minorHAnsi" w:hAnsiTheme="minorHAnsi" w:cs="Arial"/>
          <w:color w:val="auto"/>
          <w:sz w:val="22"/>
          <w:szCs w:val="22"/>
        </w:rPr>
        <w:t xml:space="preserve"> each quart</w:t>
      </w:r>
      <w:r>
        <w:rPr>
          <w:rFonts w:asciiTheme="minorHAnsi" w:hAnsiTheme="minorHAnsi" w:cs="Arial"/>
          <w:color w:val="auto"/>
          <w:sz w:val="22"/>
          <w:szCs w:val="22"/>
        </w:rPr>
        <w:t>er fluctuated throughout the year, starting at 84% for quarter one and ending</w:t>
      </w:r>
      <w:r w:rsidRPr="0002170E">
        <w:rPr>
          <w:rFonts w:asciiTheme="minorHAnsi" w:hAnsiTheme="minorHAnsi" w:cs="Arial"/>
          <w:color w:val="auto"/>
          <w:sz w:val="22"/>
          <w:szCs w:val="22"/>
        </w:rPr>
        <w:t xml:space="preserve"> the year at </w:t>
      </w:r>
      <w:r>
        <w:rPr>
          <w:rFonts w:asciiTheme="minorHAnsi" w:hAnsiTheme="minorHAnsi" w:cs="Arial"/>
          <w:color w:val="auto"/>
          <w:sz w:val="22"/>
          <w:szCs w:val="22"/>
        </w:rPr>
        <w:t>54</w:t>
      </w:r>
      <w:r w:rsidRPr="0002170E">
        <w:rPr>
          <w:rFonts w:asciiTheme="minorHAnsi" w:hAnsiTheme="minorHAnsi" w:cs="Arial"/>
          <w:color w:val="auto"/>
          <w:sz w:val="22"/>
          <w:szCs w:val="22"/>
        </w:rPr>
        <w:t>%</w:t>
      </w:r>
      <w:r>
        <w:rPr>
          <w:rFonts w:asciiTheme="minorHAnsi" w:hAnsiTheme="minorHAnsi" w:cs="Arial"/>
          <w:color w:val="auto"/>
          <w:sz w:val="22"/>
          <w:szCs w:val="22"/>
        </w:rPr>
        <w:t xml:space="preserve">  for </w:t>
      </w:r>
      <w:r w:rsidRPr="0002170E">
        <w:rPr>
          <w:rFonts w:asciiTheme="minorHAnsi" w:hAnsiTheme="minorHAnsi" w:cs="Arial"/>
          <w:color w:val="auto"/>
          <w:sz w:val="22"/>
          <w:szCs w:val="22"/>
        </w:rPr>
        <w:t xml:space="preserve">quarter </w:t>
      </w:r>
      <w:r>
        <w:rPr>
          <w:rFonts w:asciiTheme="minorHAnsi" w:hAnsiTheme="minorHAnsi" w:cs="Arial"/>
          <w:color w:val="auto"/>
          <w:sz w:val="22"/>
          <w:szCs w:val="22"/>
        </w:rPr>
        <w:t>four</w:t>
      </w:r>
      <w:r w:rsidRPr="0002170E">
        <w:rPr>
          <w:rFonts w:asciiTheme="minorHAnsi" w:hAnsiTheme="minorHAnsi" w:cs="Arial"/>
          <w:color w:val="auto"/>
          <w:sz w:val="22"/>
          <w:szCs w:val="22"/>
        </w:rPr>
        <w:t xml:space="preserve">. This is </w:t>
      </w:r>
      <w:r>
        <w:rPr>
          <w:rFonts w:asciiTheme="minorHAnsi" w:hAnsiTheme="minorHAnsi" w:cs="Arial"/>
          <w:color w:val="auto"/>
          <w:sz w:val="22"/>
          <w:szCs w:val="22"/>
        </w:rPr>
        <w:t xml:space="preserve">well </w:t>
      </w:r>
      <w:r w:rsidRPr="0002170E">
        <w:rPr>
          <w:rFonts w:asciiTheme="minorHAnsi" w:hAnsiTheme="minorHAnsi" w:cs="Arial"/>
          <w:color w:val="auto"/>
          <w:sz w:val="22"/>
          <w:szCs w:val="22"/>
        </w:rPr>
        <w:t>below the target of 90%.</w:t>
      </w:r>
    </w:p>
    <w:p w:rsidR="00203BAD" w:rsidRPr="009B3396" w:rsidRDefault="00203BAD" w:rsidP="00203BAD">
      <w:pPr>
        <w:pStyle w:val="BodyText"/>
        <w:widowControl w:val="0"/>
        <w:numPr>
          <w:ilvl w:val="0"/>
          <w:numId w:val="33"/>
        </w:numPr>
        <w:spacing w:after="120" w:line="240" w:lineRule="auto"/>
        <w:ind w:left="714" w:hanging="357"/>
      </w:pPr>
      <w:r w:rsidRPr="00423A16">
        <w:rPr>
          <w:rFonts w:asciiTheme="minorHAnsi" w:hAnsiTheme="minorHAnsi" w:cs="Arial"/>
          <w:color w:val="auto"/>
          <w:sz w:val="22"/>
          <w:szCs w:val="22"/>
        </w:rPr>
        <w:t>The number of data breaches increased from 34 in 2016/17 to 4</w:t>
      </w:r>
      <w:r>
        <w:rPr>
          <w:rFonts w:asciiTheme="minorHAnsi" w:hAnsiTheme="minorHAnsi" w:cs="Arial"/>
          <w:color w:val="auto"/>
          <w:sz w:val="22"/>
          <w:szCs w:val="22"/>
        </w:rPr>
        <w:t>4</w:t>
      </w:r>
      <w:r w:rsidRPr="00423A16">
        <w:rPr>
          <w:rFonts w:asciiTheme="minorHAnsi" w:hAnsiTheme="minorHAnsi" w:cs="Arial"/>
          <w:color w:val="auto"/>
          <w:sz w:val="22"/>
          <w:szCs w:val="22"/>
        </w:rPr>
        <w:t xml:space="preserve"> in 2017/18. </w:t>
      </w:r>
      <w:r>
        <w:rPr>
          <w:rFonts w:asciiTheme="minorHAnsi" w:hAnsiTheme="minorHAnsi" w:cs="Arial"/>
          <w:color w:val="auto"/>
          <w:sz w:val="22"/>
          <w:szCs w:val="22"/>
        </w:rPr>
        <w:t>This is well above the target of 25.</w:t>
      </w:r>
    </w:p>
    <w:p w:rsidR="009B3396" w:rsidRPr="00DF02F6" w:rsidRDefault="009B3396" w:rsidP="009B3396">
      <w:pPr>
        <w:pStyle w:val="BodyText"/>
        <w:widowControl w:val="0"/>
        <w:spacing w:after="120" w:line="240" w:lineRule="auto"/>
        <w:ind w:left="714"/>
      </w:pPr>
    </w:p>
    <w:p w:rsidR="00203BAD" w:rsidRPr="00DD45E9" w:rsidRDefault="00203BAD" w:rsidP="00203BAD">
      <w:pPr>
        <w:pStyle w:val="BodyText"/>
        <w:keepNext/>
        <w:widowControl w:val="0"/>
        <w:rPr>
          <w:rFonts w:asciiTheme="minorHAnsi" w:hAnsiTheme="minorHAnsi" w:cs="Arial"/>
          <w:b/>
          <w:color w:val="auto"/>
          <w:sz w:val="22"/>
          <w:szCs w:val="22"/>
        </w:rPr>
      </w:pPr>
      <w:r w:rsidRPr="00DD45E9">
        <w:rPr>
          <w:rFonts w:asciiTheme="minorHAnsi" w:hAnsiTheme="minorHAnsi" w:cs="Arial"/>
          <w:b/>
          <w:color w:val="auto"/>
          <w:sz w:val="22"/>
          <w:szCs w:val="22"/>
        </w:rPr>
        <w:t>Our Financial Performance</w:t>
      </w:r>
    </w:p>
    <w:p w:rsidR="00203BAD" w:rsidRPr="00DD45E9" w:rsidRDefault="00203BAD" w:rsidP="00203BAD">
      <w:pPr>
        <w:pStyle w:val="BodyText"/>
        <w:widowControl w:val="0"/>
        <w:rPr>
          <w:rFonts w:asciiTheme="minorHAnsi" w:hAnsiTheme="minorHAnsi" w:cs="Arial"/>
          <w:color w:val="auto"/>
          <w:sz w:val="22"/>
          <w:szCs w:val="22"/>
          <w:u w:val="single"/>
        </w:rPr>
      </w:pPr>
      <w:r w:rsidRPr="00DD45E9">
        <w:rPr>
          <w:rFonts w:asciiTheme="minorHAnsi" w:hAnsiTheme="minorHAnsi" w:cs="Arial"/>
          <w:color w:val="auto"/>
          <w:sz w:val="22"/>
          <w:szCs w:val="22"/>
          <w:u w:val="single"/>
        </w:rPr>
        <w:t>Financial Context</w:t>
      </w:r>
    </w:p>
    <w:p w:rsidR="00203BAD" w:rsidRPr="0005794A" w:rsidRDefault="00203BAD" w:rsidP="00203BAD">
      <w:pPr>
        <w:pStyle w:val="BodyText"/>
        <w:widowControl w:val="0"/>
        <w:rPr>
          <w:rFonts w:asciiTheme="minorHAnsi" w:hAnsiTheme="minorHAnsi" w:cs="Arial"/>
          <w:color w:val="548DD4" w:themeColor="text2" w:themeTint="99"/>
          <w:sz w:val="22"/>
          <w:szCs w:val="22"/>
        </w:rPr>
      </w:pPr>
      <w:r w:rsidRPr="00DD45E9">
        <w:rPr>
          <w:rFonts w:asciiTheme="minorHAnsi" w:hAnsiTheme="minorHAnsi" w:cs="Arial"/>
          <w:color w:val="auto"/>
          <w:sz w:val="22"/>
          <w:szCs w:val="22"/>
        </w:rPr>
        <w:t xml:space="preserve">Torbay Council is responsible for managing cash flows and assets </w:t>
      </w:r>
      <w:r w:rsidR="00BB7635">
        <w:rPr>
          <w:rFonts w:asciiTheme="minorHAnsi" w:hAnsiTheme="minorHAnsi" w:cs="Arial"/>
          <w:color w:val="auto"/>
          <w:sz w:val="22"/>
          <w:szCs w:val="22"/>
        </w:rPr>
        <w:t>of around</w:t>
      </w:r>
      <w:r w:rsidRPr="002D7C12">
        <w:rPr>
          <w:rFonts w:asciiTheme="minorHAnsi" w:hAnsiTheme="minorHAnsi" w:cs="Arial"/>
          <w:color w:val="auto"/>
          <w:sz w:val="22"/>
          <w:szCs w:val="22"/>
        </w:rPr>
        <w:t xml:space="preserve"> £</w:t>
      </w:r>
      <w:r w:rsidR="00BB7635">
        <w:rPr>
          <w:rFonts w:asciiTheme="minorHAnsi" w:hAnsiTheme="minorHAnsi" w:cs="Arial"/>
          <w:color w:val="auto"/>
          <w:sz w:val="22"/>
          <w:szCs w:val="22"/>
        </w:rPr>
        <w:t>900</w:t>
      </w:r>
      <w:r w:rsidRPr="002D7C12">
        <w:rPr>
          <w:rFonts w:asciiTheme="minorHAnsi" w:hAnsiTheme="minorHAnsi" w:cs="Arial"/>
          <w:color w:val="auto"/>
          <w:sz w:val="22"/>
          <w:szCs w:val="22"/>
        </w:rPr>
        <w:t xml:space="preserve"> million.</w:t>
      </w:r>
    </w:p>
    <w:p w:rsidR="00203BAD" w:rsidRPr="00F326CB" w:rsidRDefault="00203BAD" w:rsidP="00203BAD">
      <w:pPr>
        <w:pStyle w:val="BodyText"/>
        <w:widowControl w:val="0"/>
        <w:rPr>
          <w:rFonts w:asciiTheme="minorHAnsi" w:hAnsiTheme="minorHAnsi" w:cs="Arial"/>
          <w:color w:val="auto"/>
          <w:sz w:val="22"/>
          <w:szCs w:val="22"/>
        </w:rPr>
      </w:pPr>
      <w:r w:rsidRPr="00F326CB">
        <w:rPr>
          <w:rFonts w:asciiTheme="minorHAnsi" w:hAnsiTheme="minorHAnsi" w:cs="Arial"/>
          <w:color w:val="auto"/>
          <w:sz w:val="22"/>
          <w:szCs w:val="22"/>
        </w:rPr>
        <w:t>The Council:</w:t>
      </w:r>
    </w:p>
    <w:p w:rsidR="00203BAD" w:rsidRPr="00F326CB" w:rsidRDefault="00203BAD" w:rsidP="00203BAD">
      <w:pPr>
        <w:pStyle w:val="BodyText"/>
        <w:widowControl w:val="0"/>
        <w:numPr>
          <w:ilvl w:val="0"/>
          <w:numId w:val="35"/>
        </w:numPr>
        <w:rPr>
          <w:rFonts w:asciiTheme="minorHAnsi" w:hAnsiTheme="minorHAnsi" w:cs="Arial"/>
          <w:color w:val="auto"/>
          <w:sz w:val="22"/>
          <w:szCs w:val="22"/>
        </w:rPr>
      </w:pPr>
      <w:r w:rsidRPr="00F326CB">
        <w:rPr>
          <w:rFonts w:asciiTheme="minorHAnsi" w:hAnsiTheme="minorHAnsi" w:cs="Arial"/>
          <w:color w:val="auto"/>
          <w:sz w:val="22"/>
          <w:szCs w:val="22"/>
        </w:rPr>
        <w:t>Collects £76m of Council Tax which is an in-year collection rate of 95.6% (95.5% 16/17) and £31m of National Non-Domestic Rates (Business Rates) which is an in-year collection rate of 96.4% (96.6% 16/17)</w:t>
      </w:r>
    </w:p>
    <w:p w:rsidR="00203BAD" w:rsidRPr="00645962" w:rsidRDefault="00203BAD" w:rsidP="00203BAD">
      <w:pPr>
        <w:pStyle w:val="BodyText"/>
        <w:widowControl w:val="0"/>
        <w:numPr>
          <w:ilvl w:val="0"/>
          <w:numId w:val="35"/>
        </w:numPr>
        <w:rPr>
          <w:rFonts w:asciiTheme="minorHAnsi" w:hAnsiTheme="minorHAnsi" w:cs="Arial"/>
          <w:color w:val="auto"/>
          <w:sz w:val="22"/>
          <w:szCs w:val="22"/>
        </w:rPr>
      </w:pPr>
      <w:r w:rsidRPr="00FF7E51">
        <w:rPr>
          <w:rFonts w:asciiTheme="minorHAnsi" w:hAnsiTheme="minorHAnsi" w:cs="Arial"/>
          <w:color w:val="auto"/>
          <w:sz w:val="22"/>
          <w:szCs w:val="22"/>
        </w:rPr>
        <w:t>Holds £</w:t>
      </w:r>
      <w:r>
        <w:rPr>
          <w:rFonts w:asciiTheme="minorHAnsi" w:hAnsiTheme="minorHAnsi" w:cs="Arial"/>
          <w:color w:val="auto"/>
          <w:sz w:val="22"/>
          <w:szCs w:val="22"/>
        </w:rPr>
        <w:t>4</w:t>
      </w:r>
      <w:r w:rsidR="001C3049">
        <w:rPr>
          <w:rFonts w:asciiTheme="minorHAnsi" w:hAnsiTheme="minorHAnsi" w:cs="Arial"/>
          <w:color w:val="auto"/>
          <w:sz w:val="22"/>
          <w:szCs w:val="22"/>
        </w:rPr>
        <w:t>45</w:t>
      </w:r>
      <w:r w:rsidRPr="00FF7E51">
        <w:rPr>
          <w:rFonts w:asciiTheme="minorHAnsi" w:hAnsiTheme="minorHAnsi" w:cs="Arial"/>
          <w:color w:val="auto"/>
          <w:sz w:val="22"/>
          <w:szCs w:val="22"/>
        </w:rPr>
        <w:t>m of fixed assets comprising of £</w:t>
      </w:r>
      <w:r w:rsidR="001C3049">
        <w:rPr>
          <w:rFonts w:asciiTheme="minorHAnsi" w:hAnsiTheme="minorHAnsi" w:cs="Arial"/>
          <w:color w:val="auto"/>
          <w:sz w:val="22"/>
          <w:szCs w:val="22"/>
        </w:rPr>
        <w:t>298</w:t>
      </w:r>
      <w:r w:rsidRPr="00FF7E51">
        <w:rPr>
          <w:rFonts w:asciiTheme="minorHAnsi" w:hAnsiTheme="minorHAnsi" w:cs="Arial"/>
          <w:color w:val="auto"/>
          <w:sz w:val="22"/>
          <w:szCs w:val="22"/>
        </w:rPr>
        <w:t>m operational assets for delivering services, £32m of heritage assets and £115m of investment property</w:t>
      </w:r>
      <w:r>
        <w:rPr>
          <w:rFonts w:asciiTheme="minorHAnsi" w:hAnsiTheme="minorHAnsi" w:cs="Arial"/>
          <w:color w:val="auto"/>
          <w:sz w:val="22"/>
          <w:szCs w:val="22"/>
        </w:rPr>
        <w:t xml:space="preserve"> which </w:t>
      </w:r>
      <w:r w:rsidRPr="00645962">
        <w:rPr>
          <w:rFonts w:asciiTheme="minorHAnsi" w:hAnsiTheme="minorHAnsi" w:cs="Arial"/>
          <w:color w:val="auto"/>
          <w:sz w:val="22"/>
          <w:szCs w:val="22"/>
        </w:rPr>
        <w:t xml:space="preserve">generates </w:t>
      </w:r>
      <w:r>
        <w:rPr>
          <w:rFonts w:asciiTheme="minorHAnsi" w:hAnsiTheme="minorHAnsi" w:cs="Arial"/>
          <w:color w:val="auto"/>
          <w:sz w:val="22"/>
          <w:szCs w:val="22"/>
        </w:rPr>
        <w:t xml:space="preserve">rental </w:t>
      </w:r>
      <w:r w:rsidRPr="00645962">
        <w:rPr>
          <w:rFonts w:asciiTheme="minorHAnsi" w:hAnsiTheme="minorHAnsi" w:cs="Arial"/>
          <w:color w:val="auto"/>
          <w:sz w:val="22"/>
          <w:szCs w:val="22"/>
        </w:rPr>
        <w:t>income of £9m annually.</w:t>
      </w:r>
    </w:p>
    <w:p w:rsidR="00203BAD" w:rsidRPr="00372F39" w:rsidRDefault="00203BAD" w:rsidP="00203BAD">
      <w:pPr>
        <w:pStyle w:val="BodyText"/>
        <w:widowControl w:val="0"/>
        <w:numPr>
          <w:ilvl w:val="0"/>
          <w:numId w:val="35"/>
        </w:numPr>
        <w:rPr>
          <w:rFonts w:asciiTheme="minorHAnsi" w:hAnsiTheme="minorHAnsi" w:cs="Arial"/>
          <w:color w:val="auto"/>
          <w:sz w:val="22"/>
          <w:szCs w:val="22"/>
        </w:rPr>
      </w:pPr>
      <w:r w:rsidRPr="00372F39">
        <w:rPr>
          <w:rFonts w:asciiTheme="minorHAnsi" w:hAnsiTheme="minorHAnsi" w:cs="Arial"/>
          <w:color w:val="auto"/>
          <w:sz w:val="22"/>
          <w:szCs w:val="22"/>
        </w:rPr>
        <w:t>Generates £</w:t>
      </w:r>
      <w:r w:rsidR="00372F39">
        <w:rPr>
          <w:rFonts w:asciiTheme="minorHAnsi" w:hAnsiTheme="minorHAnsi" w:cs="Arial"/>
          <w:color w:val="auto"/>
          <w:sz w:val="22"/>
          <w:szCs w:val="22"/>
        </w:rPr>
        <w:t>60</w:t>
      </w:r>
      <w:r w:rsidRPr="00372F39">
        <w:rPr>
          <w:rFonts w:asciiTheme="minorHAnsi" w:hAnsiTheme="minorHAnsi" w:cs="Arial"/>
          <w:color w:val="auto"/>
          <w:sz w:val="22"/>
          <w:szCs w:val="22"/>
        </w:rPr>
        <w:t>m of fees, charges</w:t>
      </w:r>
      <w:r w:rsidR="00372F39">
        <w:rPr>
          <w:rFonts w:asciiTheme="minorHAnsi" w:hAnsiTheme="minorHAnsi" w:cs="Arial"/>
          <w:color w:val="auto"/>
          <w:sz w:val="22"/>
          <w:szCs w:val="22"/>
        </w:rPr>
        <w:t xml:space="preserve">, </w:t>
      </w:r>
      <w:r w:rsidRPr="00372F39">
        <w:rPr>
          <w:rFonts w:asciiTheme="minorHAnsi" w:hAnsiTheme="minorHAnsi" w:cs="Arial"/>
          <w:color w:val="auto"/>
          <w:sz w:val="22"/>
          <w:szCs w:val="22"/>
        </w:rPr>
        <w:t xml:space="preserve">rental </w:t>
      </w:r>
      <w:r w:rsidR="00372F39">
        <w:rPr>
          <w:rFonts w:asciiTheme="minorHAnsi" w:hAnsiTheme="minorHAnsi" w:cs="Arial"/>
          <w:color w:val="auto"/>
          <w:sz w:val="22"/>
          <w:szCs w:val="22"/>
        </w:rPr>
        <w:t xml:space="preserve">and other </w:t>
      </w:r>
      <w:r w:rsidRPr="00372F39">
        <w:rPr>
          <w:rFonts w:asciiTheme="minorHAnsi" w:hAnsiTheme="minorHAnsi" w:cs="Arial"/>
          <w:color w:val="auto"/>
          <w:sz w:val="22"/>
          <w:szCs w:val="22"/>
        </w:rPr>
        <w:t>income used to fund the delivery of services</w:t>
      </w:r>
    </w:p>
    <w:p w:rsidR="00203BAD" w:rsidRPr="00372F39"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b/>
          <w:color w:val="auto"/>
          <w:sz w:val="22"/>
          <w:szCs w:val="22"/>
        </w:rPr>
      </w:pPr>
      <w:r w:rsidRPr="00372F39">
        <w:rPr>
          <w:rFonts w:asciiTheme="minorHAnsi" w:hAnsiTheme="minorHAnsi" w:cs="Arial"/>
          <w:b/>
          <w:color w:val="auto"/>
          <w:sz w:val="22"/>
          <w:szCs w:val="22"/>
        </w:rPr>
        <w:t>Revenue Cash Flows</w:t>
      </w:r>
    </w:p>
    <w:p w:rsidR="00203BAD" w:rsidRPr="00372F39" w:rsidRDefault="003543DB"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44256" behindDoc="0" locked="0" layoutInCell="1" allowOverlap="1">
                <wp:simplePos x="0" y="0"/>
                <wp:positionH relativeFrom="column">
                  <wp:posOffset>1190625</wp:posOffset>
                </wp:positionH>
                <wp:positionV relativeFrom="paragraph">
                  <wp:posOffset>53975</wp:posOffset>
                </wp:positionV>
                <wp:extent cx="953135" cy="405765"/>
                <wp:effectExtent l="0" t="0" r="18415" b="1333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 xml:space="preserve">Revenue Grants </w:t>
                            </w:r>
                          </w:p>
                          <w:p w:rsidR="00BB1B4D" w:rsidRPr="00087A7A" w:rsidRDefault="00BB1B4D" w:rsidP="00203BAD">
                            <w:pPr>
                              <w:jc w:val="center"/>
                              <w:rPr>
                                <w:rFonts w:asciiTheme="minorHAnsi" w:hAnsiTheme="minorHAnsi"/>
                                <w:b/>
                                <w:color w:val="auto"/>
                                <w:sz w:val="20"/>
                                <w:szCs w:val="18"/>
                              </w:rPr>
                            </w:pPr>
                            <w:r w:rsidRPr="00087A7A">
                              <w:rPr>
                                <w:rFonts w:asciiTheme="minorHAnsi" w:hAnsiTheme="minorHAnsi"/>
                                <w:b/>
                                <w:color w:val="auto"/>
                                <w:sz w:val="20"/>
                                <w:szCs w:val="18"/>
                              </w:rPr>
                              <w:t>£160m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93.75pt;margin-top:4.25pt;width:75.05pt;height:3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">
                <v:textbox>
                  <w:txbxContent>
                    <w:p w:rsidR="00BB1B4D" w:rsidRPr="00BA57DF" w:rsidRDefault="00BB1B4D"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 xml:space="preserve">Revenue Grants </w:t>
                      </w:r>
                    </w:p>
                    <w:p w:rsidR="00BB1B4D" w:rsidRPr="00087A7A" w:rsidRDefault="00BB1B4D" w:rsidP="00203BAD">
                      <w:pPr>
                        <w:jc w:val="center"/>
                        <w:rPr>
                          <w:rFonts w:asciiTheme="minorHAnsi" w:hAnsiTheme="minorHAnsi"/>
                          <w:b/>
                          <w:color w:val="auto"/>
                          <w:sz w:val="20"/>
                          <w:szCs w:val="18"/>
                        </w:rPr>
                      </w:pPr>
                      <w:r w:rsidRPr="00087A7A">
                        <w:rPr>
                          <w:rFonts w:asciiTheme="minorHAnsi" w:hAnsiTheme="minorHAnsi"/>
                          <w:b/>
                          <w:color w:val="auto"/>
                          <w:sz w:val="20"/>
                          <w:szCs w:val="18"/>
                        </w:rPr>
                        <w:t>£160m</w:t>
                      </w:r>
                    </w:p>
                  </w:txbxContent>
                </v:textbox>
              </v:rect>
            </w:pict>
          </mc:Fallback>
        </mc:AlternateContent>
      </w:r>
      <w:r w:rsidR="00203BAD"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47328" behindDoc="0" locked="0" layoutInCell="1" allowOverlap="1">
                <wp:simplePos x="0" y="0"/>
                <wp:positionH relativeFrom="column">
                  <wp:posOffset>4968240</wp:posOffset>
                </wp:positionH>
                <wp:positionV relativeFrom="paragraph">
                  <wp:posOffset>55880</wp:posOffset>
                </wp:positionV>
                <wp:extent cx="905510" cy="405765"/>
                <wp:effectExtent l="0" t="0" r="27940" b="1333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Capital Finance</w:t>
                            </w:r>
                          </w:p>
                          <w:p w:rsidR="00BB1B4D" w:rsidRPr="00F57548" w:rsidRDefault="00BB1B4D" w:rsidP="00203BAD">
                            <w:pPr>
                              <w:jc w:val="center"/>
                              <w:rPr>
                                <w:rFonts w:asciiTheme="minorHAnsi" w:hAnsiTheme="minorHAnsi"/>
                                <w:b/>
                                <w:color w:val="auto"/>
                                <w:sz w:val="20"/>
                                <w:szCs w:val="18"/>
                              </w:rPr>
                            </w:pPr>
                            <w:r w:rsidRPr="00F57548">
                              <w:rPr>
                                <w:rFonts w:asciiTheme="minorHAnsi" w:hAnsiTheme="minorHAnsi"/>
                                <w:b/>
                                <w:color w:val="auto"/>
                                <w:sz w:val="20"/>
                                <w:szCs w:val="18"/>
                              </w:rPr>
                              <w:t>£121m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7" style="position:absolute;margin-left:391.2pt;margin-top:4.4pt;width:71.3pt;height:3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">
                <v:textbo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Capital Finance</w:t>
                      </w:r>
                    </w:p>
                    <w:p w:rsidR="00BB1B4D" w:rsidRPr="00F57548" w:rsidRDefault="00BB1B4D" w:rsidP="00203BAD">
                      <w:pPr>
                        <w:jc w:val="center"/>
                        <w:rPr>
                          <w:rFonts w:asciiTheme="minorHAnsi" w:hAnsiTheme="minorHAnsi"/>
                          <w:b/>
                          <w:color w:val="auto"/>
                          <w:sz w:val="20"/>
                          <w:szCs w:val="18"/>
                        </w:rPr>
                      </w:pPr>
                      <w:r w:rsidRPr="00F57548">
                        <w:rPr>
                          <w:rFonts w:asciiTheme="minorHAnsi" w:hAnsiTheme="minorHAnsi"/>
                          <w:b/>
                          <w:color w:val="auto"/>
                          <w:sz w:val="20"/>
                          <w:szCs w:val="18"/>
                        </w:rPr>
                        <w:t>£121m</w:t>
                      </w:r>
                    </w:p>
                  </w:txbxContent>
                </v:textbox>
              </v:rect>
            </w:pict>
          </mc:Fallback>
        </mc:AlternateContent>
      </w:r>
      <w:r w:rsidR="00203BAD" w:rsidRPr="00372F39">
        <w:rPr>
          <w:rFonts w:asciiTheme="minorHAnsi" w:hAnsiTheme="minorHAnsi" w:cs="Arial"/>
          <w:b/>
          <w:noProof/>
          <w:color w:val="auto"/>
          <w:sz w:val="22"/>
          <w:szCs w:val="22"/>
          <w:lang w:eastAsia="en-GB"/>
        </w:rPr>
        <mc:AlternateContent>
          <mc:Choice Requires="wps">
            <w:drawing>
              <wp:anchor distT="0" distB="0" distL="114300" distR="114300" simplePos="0" relativeHeight="251746304" behindDoc="0" locked="0" layoutInCell="1" allowOverlap="1">
                <wp:simplePos x="0" y="0"/>
                <wp:positionH relativeFrom="column">
                  <wp:posOffset>3688080</wp:posOffset>
                </wp:positionH>
                <wp:positionV relativeFrom="paragraph">
                  <wp:posOffset>55880</wp:posOffset>
                </wp:positionV>
                <wp:extent cx="905510" cy="405765"/>
                <wp:effectExtent l="0" t="0" r="27940" b="1333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Council Tax</w:t>
                            </w:r>
                          </w:p>
                          <w:p w:rsidR="00BB1B4D" w:rsidRPr="00770EAA" w:rsidRDefault="00BB1B4D" w:rsidP="00203BAD">
                            <w:pPr>
                              <w:jc w:val="center"/>
                              <w:rPr>
                                <w:rFonts w:asciiTheme="minorHAnsi" w:hAnsiTheme="minorHAnsi"/>
                                <w:b/>
                                <w:color w:val="auto"/>
                                <w:sz w:val="20"/>
                                <w:szCs w:val="18"/>
                              </w:rPr>
                            </w:pPr>
                            <w:r w:rsidRPr="00770EAA">
                              <w:rPr>
                                <w:rFonts w:asciiTheme="minorHAnsi" w:hAnsiTheme="minorHAnsi"/>
                                <w:b/>
                                <w:color w:val="auto"/>
                                <w:sz w:val="20"/>
                                <w:szCs w:val="18"/>
                              </w:rPr>
                              <w:t>£76m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8" style="position:absolute;margin-left:290.4pt;margin-top:4.4pt;width:71.3pt;height:3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">
                <v:textbo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Council Tax</w:t>
                      </w:r>
                    </w:p>
                    <w:p w:rsidR="00BB1B4D" w:rsidRPr="00770EAA" w:rsidRDefault="00BB1B4D" w:rsidP="00203BAD">
                      <w:pPr>
                        <w:jc w:val="center"/>
                        <w:rPr>
                          <w:rFonts w:asciiTheme="minorHAnsi" w:hAnsiTheme="minorHAnsi"/>
                          <w:b/>
                          <w:color w:val="auto"/>
                          <w:sz w:val="20"/>
                          <w:szCs w:val="18"/>
                        </w:rPr>
                      </w:pPr>
                      <w:r w:rsidRPr="00770EAA">
                        <w:rPr>
                          <w:rFonts w:asciiTheme="minorHAnsi" w:hAnsiTheme="minorHAnsi"/>
                          <w:b/>
                          <w:color w:val="auto"/>
                          <w:sz w:val="20"/>
                          <w:szCs w:val="18"/>
                        </w:rPr>
                        <w:t>£76m</w:t>
                      </w:r>
                    </w:p>
                  </w:txbxContent>
                </v:textbox>
              </v:rect>
            </w:pict>
          </mc:Fallback>
        </mc:AlternateContent>
      </w:r>
      <w:r w:rsidR="00203BAD" w:rsidRPr="00372F39">
        <w:rPr>
          <w:rFonts w:asciiTheme="minorHAnsi" w:hAnsiTheme="minorHAnsi" w:cs="Arial"/>
          <w:b/>
          <w:noProof/>
          <w:color w:val="auto"/>
          <w:sz w:val="22"/>
          <w:szCs w:val="22"/>
          <w:lang w:eastAsia="en-GB"/>
        </w:rPr>
        <mc:AlternateContent>
          <mc:Choice Requires="wps">
            <w:drawing>
              <wp:anchor distT="0" distB="0" distL="114300" distR="114300" simplePos="0" relativeHeight="251745280" behindDoc="0" locked="0" layoutInCell="1" allowOverlap="1">
                <wp:simplePos x="0" y="0"/>
                <wp:positionH relativeFrom="column">
                  <wp:posOffset>2448560</wp:posOffset>
                </wp:positionH>
                <wp:positionV relativeFrom="paragraph">
                  <wp:posOffset>55880</wp:posOffset>
                </wp:positionV>
                <wp:extent cx="905510" cy="405765"/>
                <wp:effectExtent l="0" t="0" r="27940" b="1333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Other Income</w:t>
                            </w:r>
                          </w:p>
                          <w:p w:rsidR="00BB1B4D" w:rsidRPr="00372F39" w:rsidRDefault="00BB1B4D" w:rsidP="00203BAD">
                            <w:pPr>
                              <w:jc w:val="center"/>
                              <w:rPr>
                                <w:rFonts w:asciiTheme="minorHAnsi" w:hAnsiTheme="minorHAnsi"/>
                                <w:b/>
                                <w:color w:val="auto"/>
                                <w:sz w:val="20"/>
                                <w:szCs w:val="18"/>
                              </w:rPr>
                            </w:pPr>
                            <w:r w:rsidRPr="00372F39">
                              <w:rPr>
                                <w:rFonts w:asciiTheme="minorHAnsi" w:hAnsiTheme="minorHAnsi"/>
                                <w:b/>
                                <w:color w:val="auto"/>
                                <w:sz w:val="20"/>
                                <w:szCs w:val="18"/>
                              </w:rPr>
                              <w:t>£</w:t>
                            </w:r>
                            <w:r>
                              <w:rPr>
                                <w:rFonts w:asciiTheme="minorHAnsi" w:hAnsiTheme="minorHAnsi"/>
                                <w:b/>
                                <w:color w:val="auto"/>
                                <w:sz w:val="20"/>
                                <w:szCs w:val="18"/>
                              </w:rPr>
                              <w:t>45</w:t>
                            </w:r>
                            <w:r w:rsidRPr="00372F39">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9" style="position:absolute;margin-left:192.8pt;margin-top:4.4pt;width:71.3pt;height:3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">
                <v:textbox>
                  <w:txbxContent>
                    <w:p w:rsidR="00BB1B4D" w:rsidRPr="00BA57DF" w:rsidRDefault="00BB1B4D"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Other Income</w:t>
                      </w:r>
                    </w:p>
                    <w:p w:rsidR="00BB1B4D" w:rsidRPr="00372F39" w:rsidRDefault="00BB1B4D" w:rsidP="00203BAD">
                      <w:pPr>
                        <w:jc w:val="center"/>
                        <w:rPr>
                          <w:rFonts w:asciiTheme="minorHAnsi" w:hAnsiTheme="minorHAnsi"/>
                          <w:b/>
                          <w:color w:val="auto"/>
                          <w:sz w:val="20"/>
                          <w:szCs w:val="18"/>
                        </w:rPr>
                      </w:pPr>
                      <w:r w:rsidRPr="00372F39">
                        <w:rPr>
                          <w:rFonts w:asciiTheme="minorHAnsi" w:hAnsiTheme="minorHAnsi"/>
                          <w:b/>
                          <w:color w:val="auto"/>
                          <w:sz w:val="20"/>
                          <w:szCs w:val="18"/>
                        </w:rPr>
                        <w:t>£</w:t>
                      </w:r>
                      <w:r>
                        <w:rPr>
                          <w:rFonts w:asciiTheme="minorHAnsi" w:hAnsiTheme="minorHAnsi"/>
                          <w:b/>
                          <w:color w:val="auto"/>
                          <w:sz w:val="20"/>
                          <w:szCs w:val="18"/>
                        </w:rPr>
                        <w:t>45</w:t>
                      </w:r>
                      <w:r w:rsidRPr="00372F39">
                        <w:rPr>
                          <w:rFonts w:asciiTheme="minorHAnsi" w:hAnsiTheme="minorHAnsi"/>
                          <w:b/>
                          <w:color w:val="auto"/>
                          <w:sz w:val="20"/>
                          <w:szCs w:val="18"/>
                        </w:rPr>
                        <w:t>m</w:t>
                      </w:r>
                    </w:p>
                  </w:txbxContent>
                </v:textbox>
              </v:rect>
            </w:pict>
          </mc:Fallback>
        </mc:AlternateContent>
      </w:r>
      <w:r w:rsidR="00203BAD"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43232" behindDoc="0" locked="0" layoutInCell="1" allowOverlap="1">
                <wp:simplePos x="0" y="0"/>
                <wp:positionH relativeFrom="column">
                  <wp:posOffset>81915</wp:posOffset>
                </wp:positionH>
                <wp:positionV relativeFrom="paragraph">
                  <wp:posOffset>55880</wp:posOffset>
                </wp:positionV>
                <wp:extent cx="905510" cy="405765"/>
                <wp:effectExtent l="0" t="0" r="27940" b="133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Business Rates</w:t>
                            </w:r>
                          </w:p>
                          <w:p w:rsidR="00BB1B4D" w:rsidRPr="00770EAA" w:rsidRDefault="00BB1B4D" w:rsidP="00203BAD">
                            <w:pPr>
                              <w:jc w:val="center"/>
                              <w:rPr>
                                <w:rFonts w:asciiTheme="minorHAnsi" w:hAnsiTheme="minorHAnsi"/>
                                <w:b/>
                                <w:color w:val="auto"/>
                                <w:sz w:val="20"/>
                                <w:szCs w:val="18"/>
                              </w:rPr>
                            </w:pPr>
                            <w:r w:rsidRPr="00770EAA">
                              <w:rPr>
                                <w:rFonts w:asciiTheme="minorHAnsi" w:hAnsiTheme="minorHAnsi"/>
                                <w:b/>
                                <w:color w:val="auto"/>
                                <w:sz w:val="20"/>
                                <w:szCs w:val="18"/>
                              </w:rPr>
                              <w:t>£31m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0" style="position:absolute;margin-left:6.45pt;margin-top:4.4pt;width:71.3pt;height:3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">
                <v:textbo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Business Rates</w:t>
                      </w:r>
                    </w:p>
                    <w:p w:rsidR="00BB1B4D" w:rsidRPr="00770EAA" w:rsidRDefault="00BB1B4D" w:rsidP="00203BAD">
                      <w:pPr>
                        <w:jc w:val="center"/>
                        <w:rPr>
                          <w:rFonts w:asciiTheme="minorHAnsi" w:hAnsiTheme="minorHAnsi"/>
                          <w:b/>
                          <w:color w:val="auto"/>
                          <w:sz w:val="20"/>
                          <w:szCs w:val="18"/>
                        </w:rPr>
                      </w:pPr>
                      <w:r w:rsidRPr="00770EAA">
                        <w:rPr>
                          <w:rFonts w:asciiTheme="minorHAnsi" w:hAnsiTheme="minorHAnsi"/>
                          <w:b/>
                          <w:color w:val="auto"/>
                          <w:sz w:val="20"/>
                          <w:szCs w:val="18"/>
                        </w:rPr>
                        <w:t>£31m</w:t>
                      </w:r>
                    </w:p>
                  </w:txbxContent>
                </v:textbox>
              </v:rect>
            </w:pict>
          </mc:Fallback>
        </mc:AlternateContent>
      </w:r>
    </w:p>
    <w:p w:rsidR="00203BAD" w:rsidRPr="00372F39"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60640" behindDoc="0" locked="0" layoutInCell="1" allowOverlap="1">
                <wp:simplePos x="0" y="0"/>
                <wp:positionH relativeFrom="column">
                  <wp:posOffset>3773805</wp:posOffset>
                </wp:positionH>
                <wp:positionV relativeFrom="paragraph">
                  <wp:posOffset>229870</wp:posOffset>
                </wp:positionV>
                <wp:extent cx="1553210" cy="292735"/>
                <wp:effectExtent l="38100" t="0" r="27940" b="8826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321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209269" id="_x0000_t32" coordsize="21600,21600" o:spt="32" o:oned="t" path="m,l21600,21600e" filled="f">
                <v:path arrowok="t" fillok="f" o:connecttype="none"/>
                <o:lock v:ext="edit" shapetype="t"/>
              </v:shapetype>
              <v:shape id="Straight Arrow Connector 84" o:spid="_x0000_s1026" type="#_x0000_t32" style="position:absolute;margin-left:297.15pt;margin-top:18.1pt;width:122.3pt;height:23.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59616" behindDoc="0" locked="0" layoutInCell="1" allowOverlap="1">
                <wp:simplePos x="0" y="0"/>
                <wp:positionH relativeFrom="column">
                  <wp:posOffset>3592830</wp:posOffset>
                </wp:positionH>
                <wp:positionV relativeFrom="paragraph">
                  <wp:posOffset>229870</wp:posOffset>
                </wp:positionV>
                <wp:extent cx="594995" cy="180975"/>
                <wp:effectExtent l="38100" t="0" r="14605" b="6667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499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2198B" id="Straight Arrow Connector 83" o:spid="_x0000_s1026" type="#_x0000_t32" style="position:absolute;margin-left:282.9pt;margin-top:18.1pt;width:46.85pt;height:14.2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58592" behindDoc="0" locked="0" layoutInCell="1" allowOverlap="1">
                <wp:simplePos x="0" y="0"/>
                <wp:positionH relativeFrom="column">
                  <wp:posOffset>495935</wp:posOffset>
                </wp:positionH>
                <wp:positionV relativeFrom="paragraph">
                  <wp:posOffset>229870</wp:posOffset>
                </wp:positionV>
                <wp:extent cx="1383030" cy="336550"/>
                <wp:effectExtent l="0" t="0" r="45720" b="825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303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336EF" id="Straight Arrow Connector 82" o:spid="_x0000_s1026" type="#_x0000_t32" style="position:absolute;margin-left:39.05pt;margin-top:18.1pt;width:108.9pt;height:2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57568" behindDoc="0" locked="0" layoutInCell="1" allowOverlap="1">
                <wp:simplePos x="0" y="0"/>
                <wp:positionH relativeFrom="column">
                  <wp:posOffset>1790065</wp:posOffset>
                </wp:positionH>
                <wp:positionV relativeFrom="paragraph">
                  <wp:posOffset>229870</wp:posOffset>
                </wp:positionV>
                <wp:extent cx="442595" cy="224155"/>
                <wp:effectExtent l="0" t="0" r="71755" b="6159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A91B3" id="Straight Arrow Connector 81" o:spid="_x0000_s1026" type="#_x0000_t32" style="position:absolute;margin-left:140.95pt;margin-top:18.1pt;width:34.85pt;height:1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56544" behindDoc="0" locked="0" layoutInCell="1" allowOverlap="1">
                <wp:simplePos x="0" y="0"/>
                <wp:positionH relativeFrom="column">
                  <wp:posOffset>2902585</wp:posOffset>
                </wp:positionH>
                <wp:positionV relativeFrom="paragraph">
                  <wp:posOffset>229870</wp:posOffset>
                </wp:positionV>
                <wp:extent cx="8890" cy="224155"/>
                <wp:effectExtent l="38100" t="0" r="67310" b="6159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140EB" id="Straight Arrow Connector 80" o:spid="_x0000_s1026" type="#_x0000_t32" style="position:absolute;margin-left:228.55pt;margin-top:18.1pt;width:.7pt;height:1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">
                <v:stroke endarrow="block"/>
              </v:shape>
            </w:pict>
          </mc:Fallback>
        </mc:AlternateContent>
      </w:r>
    </w:p>
    <w:p w:rsidR="00203BAD" w:rsidRPr="00372F39"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49376" behindDoc="0" locked="0" layoutInCell="1" allowOverlap="1">
                <wp:simplePos x="0" y="0"/>
                <wp:positionH relativeFrom="column">
                  <wp:posOffset>4747260</wp:posOffset>
                </wp:positionH>
                <wp:positionV relativeFrom="paragraph">
                  <wp:posOffset>130810</wp:posOffset>
                </wp:positionV>
                <wp:extent cx="1126490" cy="405765"/>
                <wp:effectExtent l="0" t="0" r="16510" b="1333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 xml:space="preserve">Net </w:t>
                            </w:r>
                            <w:proofErr w:type="spellStart"/>
                            <w:r w:rsidRPr="00BA57DF">
                              <w:rPr>
                                <w:rFonts w:asciiTheme="minorHAnsi" w:hAnsiTheme="minorHAnsi"/>
                                <w:color w:val="auto"/>
                                <w:sz w:val="18"/>
                                <w:szCs w:val="18"/>
                              </w:rPr>
                              <w:t>tfr</w:t>
                            </w:r>
                            <w:proofErr w:type="spellEnd"/>
                            <w:r w:rsidRPr="00BA57DF">
                              <w:rPr>
                                <w:rFonts w:asciiTheme="minorHAnsi" w:hAnsiTheme="minorHAnsi"/>
                                <w:color w:val="auto"/>
                                <w:sz w:val="18"/>
                                <w:szCs w:val="18"/>
                              </w:rPr>
                              <w:t xml:space="preserve"> </w:t>
                            </w:r>
                            <w:r>
                              <w:rPr>
                                <w:rFonts w:asciiTheme="minorHAnsi" w:hAnsiTheme="minorHAnsi"/>
                                <w:color w:val="auto"/>
                                <w:sz w:val="18"/>
                                <w:szCs w:val="18"/>
                              </w:rPr>
                              <w:t>to</w:t>
                            </w:r>
                            <w:r w:rsidRPr="00BA57DF">
                              <w:rPr>
                                <w:rFonts w:asciiTheme="minorHAnsi" w:hAnsiTheme="minorHAnsi"/>
                                <w:color w:val="auto"/>
                                <w:sz w:val="18"/>
                                <w:szCs w:val="18"/>
                              </w:rPr>
                              <w:t xml:space="preserve"> Reserves </w:t>
                            </w:r>
                            <w:r w:rsidRPr="00F57548">
                              <w:rPr>
                                <w:rFonts w:asciiTheme="minorHAnsi" w:hAnsiTheme="minorHAnsi"/>
                                <w:b/>
                                <w:color w:val="auto"/>
                                <w:sz w:val="18"/>
                                <w:szCs w:val="18"/>
                              </w:rPr>
                              <w:t>£</w:t>
                            </w:r>
                            <w:r>
                              <w:rPr>
                                <w:rFonts w:asciiTheme="minorHAnsi" w:hAnsiTheme="minorHAnsi"/>
                                <w:b/>
                                <w:color w:val="auto"/>
                                <w:sz w:val="18"/>
                                <w:szCs w:val="18"/>
                              </w:rPr>
                              <w:t>2</w:t>
                            </w:r>
                            <w:r w:rsidRPr="00F57548">
                              <w:rPr>
                                <w:rFonts w:asciiTheme="minorHAnsi" w:hAnsiTheme="minorHAnsi"/>
                                <w:b/>
                                <w:color w:val="auto"/>
                                <w:sz w:val="18"/>
                                <w:szCs w:val="18"/>
                              </w:rPr>
                              <w:t>m</w:t>
                            </w:r>
                          </w:p>
                          <w:p w:rsidR="00BB1B4D" w:rsidRPr="00BF4168" w:rsidRDefault="00BB1B4D" w:rsidP="00203BAD">
                            <w:pPr>
                              <w:jc w:val="center"/>
                              <w:rPr>
                                <w:rFonts w:asciiTheme="minorHAnsi" w:hAnsiTheme="minorHAnsi"/>
                                <w:b/>
                                <w:color w:val="1F497D" w:themeColor="text2"/>
                                <w:sz w:val="20"/>
                                <w:szCs w:val="18"/>
                              </w:rPr>
                            </w:pPr>
                            <w:r w:rsidRPr="00BF4168">
                              <w:rPr>
                                <w:rFonts w:asciiTheme="minorHAnsi" w:hAnsiTheme="minorHAnsi"/>
                                <w:b/>
                                <w:color w:val="1F497D" w:themeColor="text2"/>
                                <w:sz w:val="20"/>
                                <w:szCs w:val="18"/>
                              </w:rPr>
                              <w:t>£</w:t>
                            </w:r>
                            <w:proofErr w:type="spellStart"/>
                            <w:r w:rsidRPr="00BF4168">
                              <w:rPr>
                                <w:rFonts w:asciiTheme="minorHAnsi" w:hAnsiTheme="minorHAnsi"/>
                                <w:b/>
                                <w:color w:val="1F497D" w:themeColor="text2"/>
                                <w:sz w:val="20"/>
                                <w:szCs w:val="18"/>
                              </w:rPr>
                              <w:t>xm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1" style="position:absolute;margin-left:373.8pt;margin-top:10.3pt;width:88.7pt;height:3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">
                <v:textbo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 xml:space="preserve">Net </w:t>
                      </w:r>
                      <w:proofErr w:type="spellStart"/>
                      <w:r w:rsidRPr="00BA57DF">
                        <w:rPr>
                          <w:rFonts w:asciiTheme="minorHAnsi" w:hAnsiTheme="minorHAnsi"/>
                          <w:color w:val="auto"/>
                          <w:sz w:val="18"/>
                          <w:szCs w:val="18"/>
                        </w:rPr>
                        <w:t>tfr</w:t>
                      </w:r>
                      <w:proofErr w:type="spellEnd"/>
                      <w:r w:rsidRPr="00BA57DF">
                        <w:rPr>
                          <w:rFonts w:asciiTheme="minorHAnsi" w:hAnsiTheme="minorHAnsi"/>
                          <w:color w:val="auto"/>
                          <w:sz w:val="18"/>
                          <w:szCs w:val="18"/>
                        </w:rPr>
                        <w:t xml:space="preserve"> </w:t>
                      </w:r>
                      <w:r>
                        <w:rPr>
                          <w:rFonts w:asciiTheme="minorHAnsi" w:hAnsiTheme="minorHAnsi"/>
                          <w:color w:val="auto"/>
                          <w:sz w:val="18"/>
                          <w:szCs w:val="18"/>
                        </w:rPr>
                        <w:t>to</w:t>
                      </w:r>
                      <w:r w:rsidRPr="00BA57DF">
                        <w:rPr>
                          <w:rFonts w:asciiTheme="minorHAnsi" w:hAnsiTheme="minorHAnsi"/>
                          <w:color w:val="auto"/>
                          <w:sz w:val="18"/>
                          <w:szCs w:val="18"/>
                        </w:rPr>
                        <w:t xml:space="preserve"> Reserves </w:t>
                      </w:r>
                      <w:r w:rsidRPr="00F57548">
                        <w:rPr>
                          <w:rFonts w:asciiTheme="minorHAnsi" w:hAnsiTheme="minorHAnsi"/>
                          <w:b/>
                          <w:color w:val="auto"/>
                          <w:sz w:val="18"/>
                          <w:szCs w:val="18"/>
                        </w:rPr>
                        <w:t>£</w:t>
                      </w:r>
                      <w:r>
                        <w:rPr>
                          <w:rFonts w:asciiTheme="minorHAnsi" w:hAnsiTheme="minorHAnsi"/>
                          <w:b/>
                          <w:color w:val="auto"/>
                          <w:sz w:val="18"/>
                          <w:szCs w:val="18"/>
                        </w:rPr>
                        <w:t>2</w:t>
                      </w:r>
                      <w:r w:rsidRPr="00F57548">
                        <w:rPr>
                          <w:rFonts w:asciiTheme="minorHAnsi" w:hAnsiTheme="minorHAnsi"/>
                          <w:b/>
                          <w:color w:val="auto"/>
                          <w:sz w:val="18"/>
                          <w:szCs w:val="18"/>
                        </w:rPr>
                        <w:t>m</w:t>
                      </w:r>
                    </w:p>
                    <w:p w:rsidR="00BB1B4D" w:rsidRPr="00BF4168" w:rsidRDefault="00BB1B4D" w:rsidP="00203BAD">
                      <w:pPr>
                        <w:jc w:val="center"/>
                        <w:rPr>
                          <w:rFonts w:asciiTheme="minorHAnsi" w:hAnsiTheme="minorHAnsi"/>
                          <w:b/>
                          <w:color w:val="1F497D" w:themeColor="text2"/>
                          <w:sz w:val="20"/>
                          <w:szCs w:val="18"/>
                        </w:rPr>
                      </w:pPr>
                      <w:r w:rsidRPr="00BF4168">
                        <w:rPr>
                          <w:rFonts w:asciiTheme="minorHAnsi" w:hAnsiTheme="minorHAnsi"/>
                          <w:b/>
                          <w:color w:val="1F497D" w:themeColor="text2"/>
                          <w:sz w:val="20"/>
                          <w:szCs w:val="18"/>
                        </w:rPr>
                        <w:t>£</w:t>
                      </w:r>
                      <w:proofErr w:type="spellStart"/>
                      <w:r w:rsidRPr="00BF4168">
                        <w:rPr>
                          <w:rFonts w:asciiTheme="minorHAnsi" w:hAnsiTheme="minorHAnsi"/>
                          <w:b/>
                          <w:color w:val="1F497D" w:themeColor="text2"/>
                          <w:sz w:val="20"/>
                          <w:szCs w:val="18"/>
                        </w:rPr>
                        <w:t>xm</w:t>
                      </w:r>
                      <w:proofErr w:type="spellEnd"/>
                    </w:p>
                  </w:txbxContent>
                </v:textbox>
              </v:rect>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48352" behindDoc="0" locked="0" layoutInCell="1" allowOverlap="1">
                <wp:simplePos x="0" y="0"/>
                <wp:positionH relativeFrom="column">
                  <wp:posOffset>2017395</wp:posOffset>
                </wp:positionH>
                <wp:positionV relativeFrom="paragraph">
                  <wp:posOffset>199390</wp:posOffset>
                </wp:positionV>
                <wp:extent cx="1670685" cy="405765"/>
                <wp:effectExtent l="0" t="0" r="24765" b="1333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TOTAL RESOURCES</w:t>
                            </w:r>
                          </w:p>
                          <w:p w:rsidR="00BB1B4D" w:rsidRPr="00372F39" w:rsidRDefault="00BB1B4D" w:rsidP="00203BAD">
                            <w:pPr>
                              <w:jc w:val="center"/>
                              <w:rPr>
                                <w:rFonts w:asciiTheme="minorHAnsi" w:hAnsiTheme="minorHAnsi"/>
                                <w:b/>
                                <w:color w:val="auto"/>
                                <w:sz w:val="20"/>
                                <w:szCs w:val="18"/>
                              </w:rPr>
                            </w:pPr>
                            <w:r w:rsidRPr="00372F39">
                              <w:rPr>
                                <w:rFonts w:asciiTheme="minorHAnsi" w:hAnsiTheme="minorHAnsi"/>
                                <w:b/>
                                <w:color w:val="auto"/>
                                <w:sz w:val="20"/>
                                <w:szCs w:val="18"/>
                              </w:rPr>
                              <w:t>£4</w:t>
                            </w:r>
                            <w:r>
                              <w:rPr>
                                <w:rFonts w:asciiTheme="minorHAnsi" w:hAnsiTheme="minorHAnsi"/>
                                <w:b/>
                                <w:color w:val="auto"/>
                                <w:sz w:val="20"/>
                                <w:szCs w:val="18"/>
                              </w:rPr>
                              <w:t>33</w:t>
                            </w:r>
                            <w:r w:rsidRPr="00372F39">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2" style="position:absolute;margin-left:158.85pt;margin-top:15.7pt;width:131.55pt;height:3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">
                <v:textbo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TOTAL RESOURCES</w:t>
                      </w:r>
                    </w:p>
                    <w:p w:rsidR="00BB1B4D" w:rsidRPr="00372F39" w:rsidRDefault="00BB1B4D" w:rsidP="00203BAD">
                      <w:pPr>
                        <w:jc w:val="center"/>
                        <w:rPr>
                          <w:rFonts w:asciiTheme="minorHAnsi" w:hAnsiTheme="minorHAnsi"/>
                          <w:b/>
                          <w:color w:val="auto"/>
                          <w:sz w:val="20"/>
                          <w:szCs w:val="18"/>
                        </w:rPr>
                      </w:pPr>
                      <w:r w:rsidRPr="00372F39">
                        <w:rPr>
                          <w:rFonts w:asciiTheme="minorHAnsi" w:hAnsiTheme="minorHAnsi"/>
                          <w:b/>
                          <w:color w:val="auto"/>
                          <w:sz w:val="20"/>
                          <w:szCs w:val="18"/>
                        </w:rPr>
                        <w:t>£4</w:t>
                      </w:r>
                      <w:r>
                        <w:rPr>
                          <w:rFonts w:asciiTheme="minorHAnsi" w:hAnsiTheme="minorHAnsi"/>
                          <w:b/>
                          <w:color w:val="auto"/>
                          <w:sz w:val="20"/>
                          <w:szCs w:val="18"/>
                        </w:rPr>
                        <w:t>33</w:t>
                      </w:r>
                      <w:r w:rsidRPr="00372F39">
                        <w:rPr>
                          <w:rFonts w:asciiTheme="minorHAnsi" w:hAnsiTheme="minorHAnsi"/>
                          <w:b/>
                          <w:color w:val="auto"/>
                          <w:sz w:val="20"/>
                          <w:szCs w:val="18"/>
                        </w:rPr>
                        <w:t>m</w:t>
                      </w:r>
                    </w:p>
                  </w:txbxContent>
                </v:textbox>
              </v:rect>
            </w:pict>
          </mc:Fallback>
        </mc:AlternateContent>
      </w:r>
    </w:p>
    <w:p w:rsidR="00203BAD" w:rsidRPr="00372F39"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74976" behindDoc="0" locked="0" layoutInCell="1" allowOverlap="1">
                <wp:simplePos x="0" y="0"/>
                <wp:positionH relativeFrom="column">
                  <wp:posOffset>3787140</wp:posOffset>
                </wp:positionH>
                <wp:positionV relativeFrom="paragraph">
                  <wp:posOffset>48260</wp:posOffset>
                </wp:positionV>
                <wp:extent cx="814705" cy="0"/>
                <wp:effectExtent l="5715" t="59055" r="17780" b="5524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3861E" id="Straight Arrow Connector 77" o:spid="_x0000_s1026" type="#_x0000_t32" style="position:absolute;margin-left:298.2pt;margin-top:3.8pt;width:64.1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4294967294" distB="4294967294" distL="114298" distR="114298" simplePos="0" relativeHeight="251761664" behindDoc="0" locked="0" layoutInCell="1" allowOverlap="1">
                <wp:simplePos x="0" y="0"/>
                <wp:positionH relativeFrom="column">
                  <wp:posOffset>3773804</wp:posOffset>
                </wp:positionH>
                <wp:positionV relativeFrom="paragraph">
                  <wp:posOffset>58419</wp:posOffset>
                </wp:positionV>
                <wp:extent cx="0" cy="0"/>
                <wp:effectExtent l="0" t="0" r="0" b="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A3FB9" id="Straight Arrow Connector 76" o:spid="_x0000_s1026" type="#_x0000_t32" style="position:absolute;margin-left:297.15pt;margin-top:4.6pt;width:0;height:0;z-index:2517616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">
                <v:stroke endarrow="block"/>
              </v:shape>
            </w:pict>
          </mc:Fallback>
        </mc:AlternateContent>
      </w:r>
    </w:p>
    <w:p w:rsidR="00203BAD" w:rsidRPr="00372F39"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372F39">
        <w:rPr>
          <w:rFonts w:asciiTheme="minorHAnsi" w:hAnsiTheme="minorHAnsi" w:cs="Arial"/>
          <w:noProof/>
          <w:color w:val="auto"/>
          <w:sz w:val="22"/>
          <w:szCs w:val="22"/>
          <w:lang w:eastAsia="en-GB"/>
        </w:rPr>
        <mc:AlternateContent>
          <mc:Choice Requires="wps">
            <w:drawing>
              <wp:anchor distT="0" distB="0" distL="114298" distR="114298" simplePos="0" relativeHeight="251763712" behindDoc="0" locked="0" layoutInCell="1" allowOverlap="1">
                <wp:simplePos x="0" y="0"/>
                <wp:positionH relativeFrom="column">
                  <wp:posOffset>3489324</wp:posOffset>
                </wp:positionH>
                <wp:positionV relativeFrom="paragraph">
                  <wp:posOffset>37465</wp:posOffset>
                </wp:positionV>
                <wp:extent cx="0" cy="163830"/>
                <wp:effectExtent l="76200" t="0" r="57150" b="6477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E3642" id="Straight Arrow Connector 75" o:spid="_x0000_s1026" type="#_x0000_t32" style="position:absolute;margin-left:274.75pt;margin-top:2.95pt;width:0;height:12.9pt;z-index:251763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298" distR="114298" simplePos="0" relativeHeight="251762688" behindDoc="0" locked="0" layoutInCell="1" allowOverlap="1">
                <wp:simplePos x="0" y="0"/>
                <wp:positionH relativeFrom="column">
                  <wp:posOffset>2139949</wp:posOffset>
                </wp:positionH>
                <wp:positionV relativeFrom="paragraph">
                  <wp:posOffset>37465</wp:posOffset>
                </wp:positionV>
                <wp:extent cx="0" cy="163830"/>
                <wp:effectExtent l="76200" t="0" r="57150" b="6477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AA828" id="Straight Arrow Connector 74" o:spid="_x0000_s1026" type="#_x0000_t32" style="position:absolute;margin-left:168.5pt;margin-top:2.95pt;width:0;height:12.9pt;z-index:251762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tXOwIAAG0EAAAOAAAAZHJzL2Uyb0RvYy54bWysVF1v2yAUfZ+0/4B4Tx0nb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50400" behindDoc="0" locked="0" layoutInCell="1" allowOverlap="1">
                <wp:simplePos x="0" y="0"/>
                <wp:positionH relativeFrom="column">
                  <wp:posOffset>3265805</wp:posOffset>
                </wp:positionH>
                <wp:positionV relativeFrom="paragraph">
                  <wp:posOffset>278130</wp:posOffset>
                </wp:positionV>
                <wp:extent cx="1702435" cy="405765"/>
                <wp:effectExtent l="0" t="0" r="12065" b="1333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RETAINED BY TORBAY COUNCIL</w:t>
                            </w:r>
                          </w:p>
                          <w:p w:rsidR="00BB1B4D" w:rsidRPr="00372F39" w:rsidRDefault="00BB1B4D" w:rsidP="00203BAD">
                            <w:pPr>
                              <w:jc w:val="center"/>
                              <w:rPr>
                                <w:rFonts w:asciiTheme="minorHAnsi" w:hAnsiTheme="minorHAnsi"/>
                                <w:b/>
                                <w:color w:val="auto"/>
                                <w:sz w:val="20"/>
                                <w:szCs w:val="18"/>
                              </w:rPr>
                            </w:pPr>
                            <w:r w:rsidRPr="00372F39">
                              <w:rPr>
                                <w:rFonts w:asciiTheme="minorHAnsi" w:hAnsiTheme="minorHAnsi"/>
                                <w:b/>
                                <w:color w:val="auto"/>
                                <w:sz w:val="20"/>
                                <w:szCs w:val="18"/>
                              </w:rPr>
                              <w:t>£4</w:t>
                            </w:r>
                            <w:r>
                              <w:rPr>
                                <w:rFonts w:asciiTheme="minorHAnsi" w:hAnsiTheme="minorHAnsi"/>
                                <w:b/>
                                <w:color w:val="auto"/>
                                <w:sz w:val="20"/>
                                <w:szCs w:val="18"/>
                              </w:rPr>
                              <w:t>04</w:t>
                            </w:r>
                            <w:r w:rsidRPr="00372F39">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3" style="position:absolute;margin-left:257.15pt;margin-top:21.9pt;width:134.05pt;height:3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">
                <v:textbo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RETAINED BY TORBAY COUNCIL</w:t>
                      </w:r>
                    </w:p>
                    <w:p w:rsidR="00BB1B4D" w:rsidRPr="00372F39" w:rsidRDefault="00BB1B4D" w:rsidP="00203BAD">
                      <w:pPr>
                        <w:jc w:val="center"/>
                        <w:rPr>
                          <w:rFonts w:asciiTheme="minorHAnsi" w:hAnsiTheme="minorHAnsi"/>
                          <w:b/>
                          <w:color w:val="auto"/>
                          <w:sz w:val="20"/>
                          <w:szCs w:val="18"/>
                        </w:rPr>
                      </w:pPr>
                      <w:r w:rsidRPr="00372F39">
                        <w:rPr>
                          <w:rFonts w:asciiTheme="minorHAnsi" w:hAnsiTheme="minorHAnsi"/>
                          <w:b/>
                          <w:color w:val="auto"/>
                          <w:sz w:val="20"/>
                          <w:szCs w:val="18"/>
                        </w:rPr>
                        <w:t>£4</w:t>
                      </w:r>
                      <w:r>
                        <w:rPr>
                          <w:rFonts w:asciiTheme="minorHAnsi" w:hAnsiTheme="minorHAnsi"/>
                          <w:b/>
                          <w:color w:val="auto"/>
                          <w:sz w:val="20"/>
                          <w:szCs w:val="18"/>
                        </w:rPr>
                        <w:t>04</w:t>
                      </w:r>
                      <w:r w:rsidRPr="00372F39">
                        <w:rPr>
                          <w:rFonts w:asciiTheme="minorHAnsi" w:hAnsiTheme="minorHAnsi"/>
                          <w:b/>
                          <w:color w:val="auto"/>
                          <w:sz w:val="20"/>
                          <w:szCs w:val="18"/>
                        </w:rPr>
                        <w:t>m</w:t>
                      </w:r>
                    </w:p>
                  </w:txbxContent>
                </v:textbox>
              </v:rect>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51424" behindDoc="0" locked="0" layoutInCell="1" allowOverlap="1">
                <wp:simplePos x="0" y="0"/>
                <wp:positionH relativeFrom="column">
                  <wp:posOffset>1327150</wp:posOffset>
                </wp:positionH>
                <wp:positionV relativeFrom="paragraph">
                  <wp:posOffset>278130</wp:posOffset>
                </wp:positionV>
                <wp:extent cx="905510" cy="405765"/>
                <wp:effectExtent l="0" t="0" r="27940" b="1333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Taxation p</w:t>
                            </w:r>
                            <w:r w:rsidRPr="00BA57DF">
                              <w:rPr>
                                <w:rFonts w:asciiTheme="minorHAnsi" w:hAnsiTheme="minorHAnsi"/>
                                <w:color w:val="auto"/>
                                <w:sz w:val="18"/>
                                <w:szCs w:val="18"/>
                              </w:rPr>
                              <w:t xml:space="preserve">aid to </w:t>
                            </w:r>
                            <w:proofErr w:type="gramStart"/>
                            <w:r w:rsidRPr="00BA57DF">
                              <w:rPr>
                                <w:rFonts w:asciiTheme="minorHAnsi" w:hAnsiTheme="minorHAnsi"/>
                                <w:color w:val="auto"/>
                                <w:sz w:val="18"/>
                                <w:szCs w:val="18"/>
                              </w:rPr>
                              <w:t>Others</w:t>
                            </w:r>
                            <w:proofErr w:type="gramEnd"/>
                          </w:p>
                          <w:p w:rsidR="00BB1B4D" w:rsidRPr="00BA57DF" w:rsidRDefault="00BB1B4D" w:rsidP="00203BAD">
                            <w:pPr>
                              <w:jc w:val="center"/>
                              <w:rPr>
                                <w:rFonts w:asciiTheme="minorHAnsi" w:hAnsiTheme="minorHAnsi"/>
                                <w:b/>
                                <w:color w:val="auto"/>
                                <w:sz w:val="20"/>
                                <w:szCs w:val="18"/>
                              </w:rPr>
                            </w:pPr>
                            <w:r w:rsidRPr="00BA57DF">
                              <w:rPr>
                                <w:rFonts w:asciiTheme="minorHAnsi" w:hAnsiTheme="minorHAnsi"/>
                                <w:b/>
                                <w:color w:val="auto"/>
                                <w:sz w:val="20"/>
                                <w:szCs w:val="18"/>
                              </w:rPr>
                              <w:t>£30m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4" style="position:absolute;margin-left:104.5pt;margin-top:21.9pt;width:71.3pt;height:3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">
                <v:textbox>
                  <w:txbxContent>
                    <w:p w:rsidR="00BB1B4D" w:rsidRPr="00BA57DF" w:rsidRDefault="00BB1B4D" w:rsidP="00203BAD">
                      <w:pPr>
                        <w:spacing w:after="0" w:line="240" w:lineRule="auto"/>
                        <w:jc w:val="center"/>
                        <w:rPr>
                          <w:rFonts w:asciiTheme="minorHAnsi" w:hAnsiTheme="minorHAnsi"/>
                          <w:color w:val="auto"/>
                          <w:sz w:val="18"/>
                          <w:szCs w:val="18"/>
                        </w:rPr>
                      </w:pPr>
                      <w:r>
                        <w:rPr>
                          <w:rFonts w:asciiTheme="minorHAnsi" w:hAnsiTheme="minorHAnsi"/>
                          <w:color w:val="auto"/>
                          <w:sz w:val="18"/>
                          <w:szCs w:val="18"/>
                        </w:rPr>
                        <w:t>Taxation p</w:t>
                      </w:r>
                      <w:r w:rsidRPr="00BA57DF">
                        <w:rPr>
                          <w:rFonts w:asciiTheme="minorHAnsi" w:hAnsiTheme="minorHAnsi"/>
                          <w:color w:val="auto"/>
                          <w:sz w:val="18"/>
                          <w:szCs w:val="18"/>
                        </w:rPr>
                        <w:t xml:space="preserve">aid to </w:t>
                      </w:r>
                      <w:proofErr w:type="gramStart"/>
                      <w:r w:rsidRPr="00BA57DF">
                        <w:rPr>
                          <w:rFonts w:asciiTheme="minorHAnsi" w:hAnsiTheme="minorHAnsi"/>
                          <w:color w:val="auto"/>
                          <w:sz w:val="18"/>
                          <w:szCs w:val="18"/>
                        </w:rPr>
                        <w:t>Others</w:t>
                      </w:r>
                      <w:proofErr w:type="gramEnd"/>
                    </w:p>
                    <w:p w:rsidR="00BB1B4D" w:rsidRPr="00BA57DF" w:rsidRDefault="00BB1B4D" w:rsidP="00203BAD">
                      <w:pPr>
                        <w:jc w:val="center"/>
                        <w:rPr>
                          <w:rFonts w:asciiTheme="minorHAnsi" w:hAnsiTheme="minorHAnsi"/>
                          <w:b/>
                          <w:color w:val="auto"/>
                          <w:sz w:val="20"/>
                          <w:szCs w:val="18"/>
                        </w:rPr>
                      </w:pPr>
                      <w:r w:rsidRPr="00BA57DF">
                        <w:rPr>
                          <w:rFonts w:asciiTheme="minorHAnsi" w:hAnsiTheme="minorHAnsi"/>
                          <w:b/>
                          <w:color w:val="auto"/>
                          <w:sz w:val="20"/>
                          <w:szCs w:val="18"/>
                        </w:rPr>
                        <w:t>£30m</w:t>
                      </w:r>
                    </w:p>
                  </w:txbxContent>
                </v:textbox>
              </v:rect>
            </w:pict>
          </mc:Fallback>
        </mc:AlternateContent>
      </w:r>
    </w:p>
    <w:p w:rsidR="00203BAD" w:rsidRPr="00372F39"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p>
    <w:p w:rsidR="00203BAD" w:rsidRPr="00372F39"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sidRPr="00372F39">
        <w:rPr>
          <w:rFonts w:asciiTheme="minorHAnsi" w:hAnsiTheme="minorHAnsi" w:cs="Arial"/>
          <w:noProof/>
          <w:color w:val="auto"/>
          <w:sz w:val="22"/>
          <w:szCs w:val="22"/>
          <w:lang w:eastAsia="en-GB"/>
        </w:rPr>
        <mc:AlternateContent>
          <mc:Choice Requires="wps">
            <w:drawing>
              <wp:anchor distT="0" distB="0" distL="114298" distR="114298" simplePos="0" relativeHeight="251764736" behindDoc="0" locked="0" layoutInCell="1" allowOverlap="1">
                <wp:simplePos x="0" y="0"/>
                <wp:positionH relativeFrom="column">
                  <wp:posOffset>1470659</wp:posOffset>
                </wp:positionH>
                <wp:positionV relativeFrom="paragraph">
                  <wp:posOffset>59055</wp:posOffset>
                </wp:positionV>
                <wp:extent cx="0" cy="163830"/>
                <wp:effectExtent l="76200" t="0" r="57150" b="6477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FADB8" id="Straight Arrow Connector 71" o:spid="_x0000_s1026" type="#_x0000_t32" style="position:absolute;margin-left:115.8pt;margin-top:4.65pt;width:0;height:12.9pt;z-index:251764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298" distR="114298" simplePos="0" relativeHeight="251765760" behindDoc="0" locked="0" layoutInCell="1" allowOverlap="1">
                <wp:simplePos x="0" y="0"/>
                <wp:positionH relativeFrom="column">
                  <wp:posOffset>2017394</wp:posOffset>
                </wp:positionH>
                <wp:positionV relativeFrom="paragraph">
                  <wp:posOffset>59055</wp:posOffset>
                </wp:positionV>
                <wp:extent cx="0" cy="163830"/>
                <wp:effectExtent l="76200" t="0" r="57150" b="647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2E4D1" id="Straight Arrow Connector 70" o:spid="_x0000_s1026" type="#_x0000_t32" style="position:absolute;margin-left:158.85pt;margin-top:4.65pt;width:0;height:12.9pt;z-index:251765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298" distR="114298" simplePos="0" relativeHeight="251766784" behindDoc="0" locked="0" layoutInCell="1" allowOverlap="1">
                <wp:simplePos x="0" y="0"/>
                <wp:positionH relativeFrom="column">
                  <wp:posOffset>3592829</wp:posOffset>
                </wp:positionH>
                <wp:positionV relativeFrom="paragraph">
                  <wp:posOffset>59055</wp:posOffset>
                </wp:positionV>
                <wp:extent cx="0" cy="163830"/>
                <wp:effectExtent l="76200" t="0" r="57150" b="6477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E92C5" id="Straight Arrow Connector 69" o:spid="_x0000_s1026" type="#_x0000_t32" style="position:absolute;margin-left:282.9pt;margin-top:4.65pt;width:0;height:12.9pt;z-index:251766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298" distR="114298" simplePos="0" relativeHeight="251767808" behindDoc="0" locked="0" layoutInCell="1" allowOverlap="1">
                <wp:simplePos x="0" y="0"/>
                <wp:positionH relativeFrom="column">
                  <wp:posOffset>4671059</wp:posOffset>
                </wp:positionH>
                <wp:positionV relativeFrom="paragraph">
                  <wp:posOffset>59055</wp:posOffset>
                </wp:positionV>
                <wp:extent cx="0" cy="163830"/>
                <wp:effectExtent l="76200" t="0" r="57150" b="6477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23A7C" id="Straight Arrow Connector 68" o:spid="_x0000_s1026" type="#_x0000_t32" style="position:absolute;margin-left:367.8pt;margin-top:4.65pt;width:0;height:12.9pt;z-index:251767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">
                <v:stroke endarrow="block"/>
              </v:shape>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55520" behindDoc="0" locked="0" layoutInCell="1" allowOverlap="1">
                <wp:simplePos x="0" y="0"/>
                <wp:positionH relativeFrom="column">
                  <wp:posOffset>4237355</wp:posOffset>
                </wp:positionH>
                <wp:positionV relativeFrom="paragraph">
                  <wp:posOffset>305435</wp:posOffset>
                </wp:positionV>
                <wp:extent cx="905510" cy="405765"/>
                <wp:effectExtent l="0" t="0" r="27940" b="1333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BB1B4D" w:rsidRPr="00F57548" w:rsidRDefault="00BB1B4D" w:rsidP="00203BAD">
                            <w:pPr>
                              <w:spacing w:after="0" w:line="240" w:lineRule="auto"/>
                              <w:jc w:val="center"/>
                              <w:rPr>
                                <w:rFonts w:asciiTheme="minorHAnsi" w:hAnsiTheme="minorHAnsi"/>
                                <w:color w:val="auto"/>
                                <w:sz w:val="18"/>
                                <w:szCs w:val="18"/>
                              </w:rPr>
                            </w:pPr>
                            <w:r w:rsidRPr="00F57548">
                              <w:rPr>
                                <w:rFonts w:asciiTheme="minorHAnsi" w:hAnsiTheme="minorHAnsi"/>
                                <w:color w:val="auto"/>
                                <w:sz w:val="18"/>
                                <w:szCs w:val="18"/>
                              </w:rPr>
                              <w:t>Capital</w:t>
                            </w:r>
                          </w:p>
                          <w:p w:rsidR="00BB1B4D" w:rsidRPr="00F57548" w:rsidRDefault="00BB1B4D" w:rsidP="00203BAD">
                            <w:pPr>
                              <w:jc w:val="center"/>
                              <w:rPr>
                                <w:rFonts w:asciiTheme="minorHAnsi" w:hAnsiTheme="minorHAnsi"/>
                                <w:b/>
                                <w:color w:val="auto"/>
                                <w:sz w:val="20"/>
                                <w:szCs w:val="18"/>
                              </w:rPr>
                            </w:pPr>
                            <w:r w:rsidRPr="00F57548">
                              <w:rPr>
                                <w:rFonts w:asciiTheme="minorHAnsi" w:hAnsiTheme="minorHAnsi"/>
                                <w:b/>
                                <w:color w:val="auto"/>
                                <w:sz w:val="20"/>
                                <w:szCs w:val="18"/>
                              </w:rPr>
                              <w:t>£121m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5" style="position:absolute;margin-left:333.65pt;margin-top:24.05pt;width:71.3pt;height:3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">
                <v:textbox>
                  <w:txbxContent>
                    <w:p w:rsidR="00BB1B4D" w:rsidRPr="00F57548" w:rsidRDefault="00BB1B4D" w:rsidP="00203BAD">
                      <w:pPr>
                        <w:spacing w:after="0" w:line="240" w:lineRule="auto"/>
                        <w:jc w:val="center"/>
                        <w:rPr>
                          <w:rFonts w:asciiTheme="minorHAnsi" w:hAnsiTheme="minorHAnsi"/>
                          <w:color w:val="auto"/>
                          <w:sz w:val="18"/>
                          <w:szCs w:val="18"/>
                        </w:rPr>
                      </w:pPr>
                      <w:r w:rsidRPr="00F57548">
                        <w:rPr>
                          <w:rFonts w:asciiTheme="minorHAnsi" w:hAnsiTheme="minorHAnsi"/>
                          <w:color w:val="auto"/>
                          <w:sz w:val="18"/>
                          <w:szCs w:val="18"/>
                        </w:rPr>
                        <w:t>Capital</w:t>
                      </w:r>
                    </w:p>
                    <w:p w:rsidR="00BB1B4D" w:rsidRPr="00F57548" w:rsidRDefault="00BB1B4D" w:rsidP="00203BAD">
                      <w:pPr>
                        <w:jc w:val="center"/>
                        <w:rPr>
                          <w:rFonts w:asciiTheme="minorHAnsi" w:hAnsiTheme="minorHAnsi"/>
                          <w:b/>
                          <w:color w:val="auto"/>
                          <w:sz w:val="20"/>
                          <w:szCs w:val="18"/>
                        </w:rPr>
                      </w:pPr>
                      <w:r w:rsidRPr="00F57548">
                        <w:rPr>
                          <w:rFonts w:asciiTheme="minorHAnsi" w:hAnsiTheme="minorHAnsi"/>
                          <w:b/>
                          <w:color w:val="auto"/>
                          <w:sz w:val="20"/>
                          <w:szCs w:val="18"/>
                        </w:rPr>
                        <w:t>£121m</w:t>
                      </w:r>
                    </w:p>
                  </w:txbxContent>
                </v:textbox>
              </v:rect>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52448" behindDoc="0" locked="0" layoutInCell="1" allowOverlap="1">
                <wp:simplePos x="0" y="0"/>
                <wp:positionH relativeFrom="column">
                  <wp:posOffset>3115310</wp:posOffset>
                </wp:positionH>
                <wp:positionV relativeFrom="paragraph">
                  <wp:posOffset>305435</wp:posOffset>
                </wp:positionV>
                <wp:extent cx="905510" cy="405765"/>
                <wp:effectExtent l="0" t="0" r="27940" b="1333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General Fund</w:t>
                            </w:r>
                          </w:p>
                          <w:p w:rsidR="00BB1B4D" w:rsidRPr="00372F39" w:rsidRDefault="00BB1B4D" w:rsidP="00203BAD">
                            <w:pPr>
                              <w:jc w:val="center"/>
                              <w:rPr>
                                <w:rFonts w:asciiTheme="minorHAnsi" w:hAnsiTheme="minorHAnsi"/>
                                <w:b/>
                                <w:color w:val="auto"/>
                                <w:sz w:val="20"/>
                                <w:szCs w:val="18"/>
                              </w:rPr>
                            </w:pPr>
                            <w:r w:rsidRPr="00372F39">
                              <w:rPr>
                                <w:rFonts w:asciiTheme="minorHAnsi" w:hAnsiTheme="minorHAnsi"/>
                                <w:b/>
                                <w:color w:val="auto"/>
                                <w:sz w:val="20"/>
                                <w:szCs w:val="18"/>
                              </w:rPr>
                              <w:t>£2</w:t>
                            </w:r>
                            <w:r>
                              <w:rPr>
                                <w:rFonts w:asciiTheme="minorHAnsi" w:hAnsiTheme="minorHAnsi"/>
                                <w:b/>
                                <w:color w:val="auto"/>
                                <w:sz w:val="20"/>
                                <w:szCs w:val="18"/>
                              </w:rPr>
                              <w:t>83</w:t>
                            </w:r>
                            <w:r w:rsidRPr="00372F39">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6" style="position:absolute;margin-left:245.3pt;margin-top:24.05pt;width:71.3pt;height:3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">
                <v:textbo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General Fund</w:t>
                      </w:r>
                    </w:p>
                    <w:p w:rsidR="00BB1B4D" w:rsidRPr="00372F39" w:rsidRDefault="00BB1B4D" w:rsidP="00203BAD">
                      <w:pPr>
                        <w:jc w:val="center"/>
                        <w:rPr>
                          <w:rFonts w:asciiTheme="minorHAnsi" w:hAnsiTheme="minorHAnsi"/>
                          <w:b/>
                          <w:color w:val="auto"/>
                          <w:sz w:val="20"/>
                          <w:szCs w:val="18"/>
                        </w:rPr>
                      </w:pPr>
                      <w:r w:rsidRPr="00372F39">
                        <w:rPr>
                          <w:rFonts w:asciiTheme="minorHAnsi" w:hAnsiTheme="minorHAnsi"/>
                          <w:b/>
                          <w:color w:val="auto"/>
                          <w:sz w:val="20"/>
                          <w:szCs w:val="18"/>
                        </w:rPr>
                        <w:t>£2</w:t>
                      </w:r>
                      <w:r>
                        <w:rPr>
                          <w:rFonts w:asciiTheme="minorHAnsi" w:hAnsiTheme="minorHAnsi"/>
                          <w:b/>
                          <w:color w:val="auto"/>
                          <w:sz w:val="20"/>
                          <w:szCs w:val="18"/>
                        </w:rPr>
                        <w:t>83</w:t>
                      </w:r>
                      <w:r w:rsidRPr="00372F39">
                        <w:rPr>
                          <w:rFonts w:asciiTheme="minorHAnsi" w:hAnsiTheme="minorHAnsi"/>
                          <w:b/>
                          <w:color w:val="auto"/>
                          <w:sz w:val="20"/>
                          <w:szCs w:val="18"/>
                        </w:rPr>
                        <w:t>m</w:t>
                      </w:r>
                    </w:p>
                  </w:txbxContent>
                </v:textbox>
              </v:rect>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53472" behindDoc="0" locked="0" layoutInCell="1" allowOverlap="1">
                <wp:simplePos x="0" y="0"/>
                <wp:positionH relativeFrom="column">
                  <wp:posOffset>1878965</wp:posOffset>
                </wp:positionH>
                <wp:positionV relativeFrom="paragraph">
                  <wp:posOffset>305435</wp:posOffset>
                </wp:positionV>
                <wp:extent cx="905510" cy="405765"/>
                <wp:effectExtent l="0" t="0" r="27940" b="1333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Council Tax</w:t>
                            </w:r>
                          </w:p>
                          <w:p w:rsidR="00BB1B4D" w:rsidRPr="00770EAA" w:rsidRDefault="00BB1B4D" w:rsidP="00203BAD">
                            <w:pPr>
                              <w:jc w:val="center"/>
                              <w:rPr>
                                <w:rFonts w:asciiTheme="minorHAnsi" w:hAnsiTheme="minorHAnsi"/>
                                <w:b/>
                                <w:color w:val="auto"/>
                                <w:sz w:val="20"/>
                                <w:szCs w:val="18"/>
                              </w:rPr>
                            </w:pPr>
                            <w:r w:rsidRPr="00770EAA">
                              <w:rPr>
                                <w:rFonts w:asciiTheme="minorHAnsi" w:hAnsiTheme="minorHAnsi"/>
                                <w:b/>
                                <w:color w:val="auto"/>
                                <w:sz w:val="20"/>
                                <w:szCs w:val="18"/>
                              </w:rPr>
                              <w:t>£12m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7" style="position:absolute;margin-left:147.95pt;margin-top:24.05pt;width:71.3pt;height:3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">
                <v:textbo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Council Tax</w:t>
                      </w:r>
                    </w:p>
                    <w:p w:rsidR="00BB1B4D" w:rsidRPr="00770EAA" w:rsidRDefault="00BB1B4D" w:rsidP="00203BAD">
                      <w:pPr>
                        <w:jc w:val="center"/>
                        <w:rPr>
                          <w:rFonts w:asciiTheme="minorHAnsi" w:hAnsiTheme="minorHAnsi"/>
                          <w:b/>
                          <w:color w:val="auto"/>
                          <w:sz w:val="20"/>
                          <w:szCs w:val="18"/>
                        </w:rPr>
                      </w:pPr>
                      <w:r w:rsidRPr="00770EAA">
                        <w:rPr>
                          <w:rFonts w:asciiTheme="minorHAnsi" w:hAnsiTheme="minorHAnsi"/>
                          <w:b/>
                          <w:color w:val="auto"/>
                          <w:sz w:val="20"/>
                          <w:szCs w:val="18"/>
                        </w:rPr>
                        <w:t>£12m</w:t>
                      </w:r>
                    </w:p>
                  </w:txbxContent>
                </v:textbox>
              </v:rect>
            </w:pict>
          </mc:Fallback>
        </mc:AlternateContent>
      </w:r>
      <w:r w:rsidRPr="00372F39">
        <w:rPr>
          <w:rFonts w:asciiTheme="minorHAnsi" w:hAnsiTheme="minorHAnsi" w:cs="Arial"/>
          <w:noProof/>
          <w:color w:val="auto"/>
          <w:sz w:val="22"/>
          <w:szCs w:val="22"/>
          <w:lang w:eastAsia="en-GB"/>
        </w:rPr>
        <mc:AlternateContent>
          <mc:Choice Requires="wps">
            <w:drawing>
              <wp:anchor distT="0" distB="0" distL="114300" distR="114300" simplePos="0" relativeHeight="251754496" behindDoc="0" locked="0" layoutInCell="1" allowOverlap="1">
                <wp:simplePos x="0" y="0"/>
                <wp:positionH relativeFrom="column">
                  <wp:posOffset>732790</wp:posOffset>
                </wp:positionH>
                <wp:positionV relativeFrom="paragraph">
                  <wp:posOffset>305435</wp:posOffset>
                </wp:positionV>
                <wp:extent cx="905510" cy="405765"/>
                <wp:effectExtent l="0" t="0" r="27940" b="1333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Business Rates</w:t>
                            </w:r>
                          </w:p>
                          <w:p w:rsidR="00BB1B4D" w:rsidRPr="00770EAA" w:rsidRDefault="00BB1B4D" w:rsidP="00203BAD">
                            <w:pPr>
                              <w:jc w:val="center"/>
                              <w:rPr>
                                <w:rFonts w:asciiTheme="minorHAnsi" w:hAnsiTheme="minorHAnsi"/>
                                <w:b/>
                                <w:color w:val="auto"/>
                                <w:sz w:val="20"/>
                                <w:szCs w:val="18"/>
                              </w:rPr>
                            </w:pPr>
                            <w:r w:rsidRPr="00770EAA">
                              <w:rPr>
                                <w:rFonts w:asciiTheme="minorHAnsi" w:hAnsiTheme="minorHAnsi"/>
                                <w:b/>
                                <w:color w:val="auto"/>
                                <w:sz w:val="20"/>
                                <w:szCs w:val="18"/>
                              </w:rPr>
                              <w:t>£15m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8" style="position:absolute;margin-left:57.7pt;margin-top:24.05pt;width:71.3pt;height:3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">
                <v:textbox>
                  <w:txbxContent>
                    <w:p w:rsidR="00BB1B4D" w:rsidRPr="00BA57DF" w:rsidRDefault="00BB1B4D" w:rsidP="00203BAD">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Business Rates</w:t>
                      </w:r>
                    </w:p>
                    <w:p w:rsidR="00BB1B4D" w:rsidRPr="00770EAA" w:rsidRDefault="00BB1B4D" w:rsidP="00203BAD">
                      <w:pPr>
                        <w:jc w:val="center"/>
                        <w:rPr>
                          <w:rFonts w:asciiTheme="minorHAnsi" w:hAnsiTheme="minorHAnsi"/>
                          <w:b/>
                          <w:color w:val="auto"/>
                          <w:sz w:val="20"/>
                          <w:szCs w:val="18"/>
                        </w:rPr>
                      </w:pPr>
                      <w:r w:rsidRPr="00770EAA">
                        <w:rPr>
                          <w:rFonts w:asciiTheme="minorHAnsi" w:hAnsiTheme="minorHAnsi"/>
                          <w:b/>
                          <w:color w:val="auto"/>
                          <w:sz w:val="20"/>
                          <w:szCs w:val="18"/>
                        </w:rPr>
                        <w:t>£15m</w:t>
                      </w:r>
                    </w:p>
                  </w:txbxContent>
                </v:textbox>
              </v:rect>
            </w:pict>
          </mc:Fallback>
        </mc:AlternateContent>
      </w:r>
    </w:p>
    <w:p w:rsidR="00203BAD" w:rsidRPr="0005794A"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548DD4" w:themeColor="text2" w:themeTint="99"/>
          <w:sz w:val="22"/>
          <w:szCs w:val="22"/>
        </w:rPr>
      </w:pPr>
    </w:p>
    <w:p w:rsidR="00203BAD" w:rsidRPr="0005794A"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548DD4" w:themeColor="text2" w:themeTint="99"/>
          <w:sz w:val="22"/>
          <w:szCs w:val="22"/>
        </w:rPr>
      </w:pPr>
    </w:p>
    <w:p w:rsidR="00203BAD" w:rsidRDefault="00203BAD" w:rsidP="00203BAD">
      <w:pPr>
        <w:pStyle w:val="BodyText"/>
        <w:widowControl w:val="0"/>
        <w:rPr>
          <w:rFonts w:asciiTheme="minorHAnsi" w:hAnsiTheme="minorHAnsi" w:cs="Arial"/>
          <w:color w:val="548DD4" w:themeColor="text2" w:themeTint="99"/>
          <w:sz w:val="22"/>
          <w:szCs w:val="22"/>
        </w:rPr>
      </w:pPr>
    </w:p>
    <w:p w:rsidR="005049D9" w:rsidRDefault="005049D9" w:rsidP="00203BAD">
      <w:pPr>
        <w:pStyle w:val="BodyText"/>
        <w:widowControl w:val="0"/>
        <w:rPr>
          <w:rFonts w:asciiTheme="minorHAnsi" w:hAnsiTheme="minorHAnsi" w:cs="Arial"/>
          <w:color w:val="548DD4" w:themeColor="text2" w:themeTint="99"/>
          <w:sz w:val="22"/>
          <w:szCs w:val="22"/>
        </w:rPr>
      </w:pPr>
    </w:p>
    <w:p w:rsidR="009B3396" w:rsidRDefault="009B3396" w:rsidP="00203BAD">
      <w:pPr>
        <w:pStyle w:val="BodyText"/>
        <w:widowControl w:val="0"/>
        <w:rPr>
          <w:rFonts w:asciiTheme="minorHAnsi" w:hAnsiTheme="minorHAnsi" w:cs="Arial"/>
          <w:color w:val="548DD4" w:themeColor="text2" w:themeTint="99"/>
          <w:sz w:val="22"/>
          <w:szCs w:val="22"/>
        </w:rPr>
      </w:pPr>
    </w:p>
    <w:p w:rsidR="005049D9" w:rsidRPr="0005794A" w:rsidRDefault="005049D9" w:rsidP="00203BAD">
      <w:pPr>
        <w:pStyle w:val="BodyText"/>
        <w:widowControl w:val="0"/>
        <w:rPr>
          <w:rFonts w:asciiTheme="minorHAnsi" w:hAnsiTheme="minorHAnsi" w:cs="Arial"/>
          <w:color w:val="548DD4" w:themeColor="text2" w:themeTint="99"/>
          <w:sz w:val="22"/>
          <w:szCs w:val="22"/>
        </w:rPr>
      </w:pPr>
    </w:p>
    <w:p w:rsidR="00203BAD"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b/>
          <w:color w:val="auto"/>
          <w:sz w:val="22"/>
          <w:szCs w:val="22"/>
        </w:rPr>
      </w:pPr>
      <w:r>
        <w:rPr>
          <w:rFonts w:asciiTheme="minorHAnsi" w:hAnsiTheme="minorHAnsi" w:cs="Arial"/>
          <w:b/>
          <w:noProof/>
          <w:color w:val="auto"/>
          <w:sz w:val="22"/>
          <w:szCs w:val="22"/>
          <w:lang w:eastAsia="en-GB"/>
        </w:rPr>
        <w:lastRenderedPageBreak/>
        <mc:AlternateContent>
          <mc:Choice Requires="wps">
            <w:drawing>
              <wp:anchor distT="0" distB="0" distL="114300" distR="114300" simplePos="0" relativeHeight="251768832" behindDoc="0" locked="0" layoutInCell="1" allowOverlap="1">
                <wp:simplePos x="0" y="0"/>
                <wp:positionH relativeFrom="column">
                  <wp:posOffset>2041525</wp:posOffset>
                </wp:positionH>
                <wp:positionV relativeFrom="paragraph">
                  <wp:posOffset>135255</wp:posOffset>
                </wp:positionV>
                <wp:extent cx="1851660" cy="405765"/>
                <wp:effectExtent l="0" t="0" r="15240" b="133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660" cy="405765"/>
                        </a:xfrm>
                        <a:prstGeom prst="rect">
                          <a:avLst/>
                        </a:prstGeom>
                        <a:solidFill>
                          <a:srgbClr val="FFFFFF"/>
                        </a:solidFill>
                        <a:ln w="9525">
                          <a:solidFill>
                            <a:srgbClr val="000000"/>
                          </a:solidFill>
                          <a:miter lim="800000"/>
                          <a:headEnd/>
                          <a:tailEnd/>
                        </a:ln>
                      </wps:spPr>
                      <wps:txbx>
                        <w:txbxContent>
                          <w:p w:rsidR="00BB1B4D" w:rsidRPr="00D02BCF" w:rsidRDefault="00BB1B4D" w:rsidP="00203BAD">
                            <w:pPr>
                              <w:spacing w:after="0" w:line="240" w:lineRule="auto"/>
                              <w:jc w:val="center"/>
                              <w:rPr>
                                <w:rFonts w:asciiTheme="minorHAnsi" w:hAnsiTheme="minorHAnsi"/>
                                <w:color w:val="auto"/>
                                <w:sz w:val="18"/>
                                <w:szCs w:val="18"/>
                              </w:rPr>
                            </w:pPr>
                            <w:r w:rsidRPr="00D02BCF">
                              <w:rPr>
                                <w:rFonts w:asciiTheme="minorHAnsi" w:hAnsiTheme="minorHAnsi"/>
                                <w:color w:val="auto"/>
                                <w:sz w:val="18"/>
                                <w:szCs w:val="18"/>
                              </w:rPr>
                              <w:t>Total Assets Brought Forward</w:t>
                            </w:r>
                          </w:p>
                          <w:p w:rsidR="00BB1B4D" w:rsidRPr="00D02BCF" w:rsidRDefault="00BB1B4D" w:rsidP="00203BAD">
                            <w:pPr>
                              <w:jc w:val="center"/>
                              <w:rPr>
                                <w:rFonts w:asciiTheme="minorHAnsi" w:hAnsiTheme="minorHAnsi"/>
                                <w:b/>
                                <w:color w:val="auto"/>
                                <w:sz w:val="20"/>
                                <w:szCs w:val="18"/>
                              </w:rPr>
                            </w:pPr>
                            <w:r>
                              <w:rPr>
                                <w:rFonts w:asciiTheme="minorHAnsi" w:hAnsiTheme="minorHAnsi"/>
                                <w:b/>
                                <w:color w:val="auto"/>
                                <w:sz w:val="20"/>
                                <w:szCs w:val="18"/>
                              </w:rPr>
                              <w:t>£354</w:t>
                            </w:r>
                            <w:r w:rsidRPr="00D02BCF">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9" style="position:absolute;margin-left:160.75pt;margin-top:10.65pt;width:145.8pt;height:3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">
                <v:textbox>
                  <w:txbxContent>
                    <w:p w:rsidR="00BB1B4D" w:rsidRPr="00D02BCF" w:rsidRDefault="00BB1B4D" w:rsidP="00203BAD">
                      <w:pPr>
                        <w:spacing w:after="0" w:line="240" w:lineRule="auto"/>
                        <w:jc w:val="center"/>
                        <w:rPr>
                          <w:rFonts w:asciiTheme="minorHAnsi" w:hAnsiTheme="minorHAnsi"/>
                          <w:color w:val="auto"/>
                          <w:sz w:val="18"/>
                          <w:szCs w:val="18"/>
                        </w:rPr>
                      </w:pPr>
                      <w:r w:rsidRPr="00D02BCF">
                        <w:rPr>
                          <w:rFonts w:asciiTheme="minorHAnsi" w:hAnsiTheme="minorHAnsi"/>
                          <w:color w:val="auto"/>
                          <w:sz w:val="18"/>
                          <w:szCs w:val="18"/>
                        </w:rPr>
                        <w:t>Total Assets Brought Forward</w:t>
                      </w:r>
                    </w:p>
                    <w:p w:rsidR="00BB1B4D" w:rsidRPr="00D02BCF" w:rsidRDefault="00BB1B4D" w:rsidP="00203BAD">
                      <w:pPr>
                        <w:jc w:val="center"/>
                        <w:rPr>
                          <w:rFonts w:asciiTheme="minorHAnsi" w:hAnsiTheme="minorHAnsi"/>
                          <w:b/>
                          <w:color w:val="auto"/>
                          <w:sz w:val="20"/>
                          <w:szCs w:val="18"/>
                        </w:rPr>
                      </w:pPr>
                      <w:r>
                        <w:rPr>
                          <w:rFonts w:asciiTheme="minorHAnsi" w:hAnsiTheme="minorHAnsi"/>
                          <w:b/>
                          <w:color w:val="auto"/>
                          <w:sz w:val="20"/>
                          <w:szCs w:val="18"/>
                        </w:rPr>
                        <w:t>£354</w:t>
                      </w:r>
                      <w:r w:rsidRPr="00D02BCF">
                        <w:rPr>
                          <w:rFonts w:asciiTheme="minorHAnsi" w:hAnsiTheme="minorHAnsi"/>
                          <w:b/>
                          <w:color w:val="auto"/>
                          <w:sz w:val="20"/>
                          <w:szCs w:val="18"/>
                        </w:rPr>
                        <w:t>m</w:t>
                      </w:r>
                    </w:p>
                  </w:txbxContent>
                </v:textbox>
              </v:rect>
            </w:pict>
          </mc:Fallback>
        </mc:AlternateContent>
      </w:r>
      <w:proofErr w:type="spellStart"/>
      <w:r w:rsidR="00C26C25">
        <w:rPr>
          <w:rFonts w:asciiTheme="minorHAnsi" w:hAnsiTheme="minorHAnsi" w:cs="Arial"/>
          <w:b/>
          <w:color w:val="auto"/>
          <w:sz w:val="22"/>
          <w:szCs w:val="22"/>
        </w:rPr>
        <w:t>Non Current</w:t>
      </w:r>
      <w:proofErr w:type="spellEnd"/>
      <w:r w:rsidR="00C26C25">
        <w:rPr>
          <w:rFonts w:asciiTheme="minorHAnsi" w:hAnsiTheme="minorHAnsi" w:cs="Arial"/>
          <w:b/>
          <w:color w:val="auto"/>
          <w:sz w:val="22"/>
          <w:szCs w:val="22"/>
        </w:rPr>
        <w:t xml:space="preserve"> Assets</w:t>
      </w:r>
    </w:p>
    <w:p w:rsidR="00203BAD" w:rsidRPr="0005794A" w:rsidRDefault="005049D9"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548DD4" w:themeColor="text2" w:themeTint="99"/>
          <w:sz w:val="22"/>
          <w:szCs w:val="22"/>
        </w:rPr>
      </w:pPr>
      <w:r>
        <w:rPr>
          <w:rFonts w:asciiTheme="minorHAnsi" w:hAnsiTheme="minorHAnsi" w:cs="Arial"/>
          <w:noProof/>
          <w:color w:val="548DD4" w:themeColor="text2" w:themeTint="99"/>
          <w:sz w:val="22"/>
          <w:szCs w:val="22"/>
          <w:lang w:eastAsia="en-GB"/>
        </w:rPr>
        <mc:AlternateContent>
          <mc:Choice Requires="wps">
            <w:drawing>
              <wp:anchor distT="0" distB="0" distL="114300" distR="114300" simplePos="0" relativeHeight="251771904" behindDoc="0" locked="0" layoutInCell="1" allowOverlap="1">
                <wp:simplePos x="0" y="0"/>
                <wp:positionH relativeFrom="column">
                  <wp:posOffset>180892</wp:posOffset>
                </wp:positionH>
                <wp:positionV relativeFrom="paragraph">
                  <wp:posOffset>310433</wp:posOffset>
                </wp:positionV>
                <wp:extent cx="1708592" cy="405765"/>
                <wp:effectExtent l="0" t="0" r="25400" b="1333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592" cy="405765"/>
                        </a:xfrm>
                        <a:prstGeom prst="rect">
                          <a:avLst/>
                        </a:prstGeom>
                        <a:solidFill>
                          <a:srgbClr val="FFFFFF"/>
                        </a:solidFill>
                        <a:ln w="9525">
                          <a:solidFill>
                            <a:srgbClr val="000000"/>
                          </a:solidFill>
                          <a:miter lim="800000"/>
                          <a:headEnd/>
                          <a:tailEnd/>
                        </a:ln>
                      </wps:spPr>
                      <wps:txbx>
                        <w:txbxContent>
                          <w:p w:rsidR="00BB1B4D" w:rsidRDefault="00BB1B4D" w:rsidP="00203BAD">
                            <w:pPr>
                              <w:spacing w:after="0" w:line="240" w:lineRule="auto"/>
                              <w:jc w:val="center"/>
                              <w:rPr>
                                <w:rFonts w:asciiTheme="minorHAnsi" w:hAnsiTheme="minorHAnsi"/>
                                <w:color w:val="auto"/>
                                <w:sz w:val="18"/>
                                <w:szCs w:val="18"/>
                              </w:rPr>
                            </w:pPr>
                            <w:r w:rsidRPr="008332D6">
                              <w:rPr>
                                <w:rFonts w:asciiTheme="minorHAnsi" w:hAnsiTheme="minorHAnsi"/>
                                <w:color w:val="auto"/>
                                <w:sz w:val="18"/>
                                <w:szCs w:val="18"/>
                              </w:rPr>
                              <w:t>Acquisitions</w:t>
                            </w:r>
                            <w:r>
                              <w:rPr>
                                <w:rFonts w:asciiTheme="minorHAnsi" w:hAnsiTheme="minorHAnsi"/>
                                <w:color w:val="auto"/>
                                <w:sz w:val="18"/>
                                <w:szCs w:val="18"/>
                              </w:rPr>
                              <w:t xml:space="preserve"> and Enhancements</w:t>
                            </w:r>
                          </w:p>
                          <w:p w:rsidR="00BB1B4D" w:rsidRPr="005049D9" w:rsidRDefault="00BB1B4D" w:rsidP="00203BAD">
                            <w:pPr>
                              <w:spacing w:after="0" w:line="240" w:lineRule="auto"/>
                              <w:jc w:val="center"/>
                              <w:rPr>
                                <w:rFonts w:asciiTheme="minorHAnsi" w:hAnsiTheme="minorHAnsi"/>
                                <w:b/>
                                <w:color w:val="auto"/>
                                <w:sz w:val="18"/>
                                <w:szCs w:val="18"/>
                              </w:rPr>
                            </w:pPr>
                            <w:r w:rsidRPr="005049D9">
                              <w:rPr>
                                <w:rFonts w:asciiTheme="minorHAnsi" w:hAnsiTheme="minorHAnsi"/>
                                <w:b/>
                                <w:color w:val="auto"/>
                                <w:sz w:val="18"/>
                                <w:szCs w:val="18"/>
                              </w:rPr>
                              <w:t>£114m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0" style="position:absolute;margin-left:14.25pt;margin-top:24.45pt;width:134.55pt;height:3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">
                <v:textbox>
                  <w:txbxContent>
                    <w:p w:rsidR="00BB1B4D" w:rsidRDefault="00BB1B4D" w:rsidP="00203BAD">
                      <w:pPr>
                        <w:spacing w:after="0" w:line="240" w:lineRule="auto"/>
                        <w:jc w:val="center"/>
                        <w:rPr>
                          <w:rFonts w:asciiTheme="minorHAnsi" w:hAnsiTheme="minorHAnsi"/>
                          <w:color w:val="auto"/>
                          <w:sz w:val="18"/>
                          <w:szCs w:val="18"/>
                        </w:rPr>
                      </w:pPr>
                      <w:r w:rsidRPr="008332D6">
                        <w:rPr>
                          <w:rFonts w:asciiTheme="minorHAnsi" w:hAnsiTheme="minorHAnsi"/>
                          <w:color w:val="auto"/>
                          <w:sz w:val="18"/>
                          <w:szCs w:val="18"/>
                        </w:rPr>
                        <w:t>Acquisitions</w:t>
                      </w:r>
                      <w:r>
                        <w:rPr>
                          <w:rFonts w:asciiTheme="minorHAnsi" w:hAnsiTheme="minorHAnsi"/>
                          <w:color w:val="auto"/>
                          <w:sz w:val="18"/>
                          <w:szCs w:val="18"/>
                        </w:rPr>
                        <w:t xml:space="preserve"> and Enhancements</w:t>
                      </w:r>
                    </w:p>
                    <w:p w:rsidR="00BB1B4D" w:rsidRPr="005049D9" w:rsidRDefault="00BB1B4D" w:rsidP="00203BAD">
                      <w:pPr>
                        <w:spacing w:after="0" w:line="240" w:lineRule="auto"/>
                        <w:jc w:val="center"/>
                        <w:rPr>
                          <w:rFonts w:asciiTheme="minorHAnsi" w:hAnsiTheme="minorHAnsi"/>
                          <w:b/>
                          <w:color w:val="auto"/>
                          <w:sz w:val="18"/>
                          <w:szCs w:val="18"/>
                        </w:rPr>
                      </w:pPr>
                      <w:r w:rsidRPr="005049D9">
                        <w:rPr>
                          <w:rFonts w:asciiTheme="minorHAnsi" w:hAnsiTheme="minorHAnsi"/>
                          <w:b/>
                          <w:color w:val="auto"/>
                          <w:sz w:val="18"/>
                          <w:szCs w:val="18"/>
                        </w:rPr>
                        <w:t>£114m</w:t>
                      </w:r>
                    </w:p>
                  </w:txbxContent>
                </v:textbox>
              </v:rect>
            </w:pict>
          </mc:Fallback>
        </mc:AlternateContent>
      </w:r>
      <w:r w:rsidR="00203BAD">
        <w:rPr>
          <w:rFonts w:asciiTheme="minorHAnsi" w:hAnsiTheme="minorHAnsi" w:cs="Arial"/>
          <w:noProof/>
          <w:color w:val="548DD4" w:themeColor="text2" w:themeTint="99"/>
          <w:sz w:val="22"/>
          <w:szCs w:val="22"/>
          <w:lang w:eastAsia="en-GB"/>
        </w:rPr>
        <mc:AlternateContent>
          <mc:Choice Requires="wps">
            <w:drawing>
              <wp:anchor distT="0" distB="0" distL="114300" distR="114300" simplePos="0" relativeHeight="251769856" behindDoc="0" locked="0" layoutInCell="1" allowOverlap="1">
                <wp:simplePos x="0" y="0"/>
                <wp:positionH relativeFrom="column">
                  <wp:posOffset>3744595</wp:posOffset>
                </wp:positionH>
                <wp:positionV relativeFrom="paragraph">
                  <wp:posOffset>316230</wp:posOffset>
                </wp:positionV>
                <wp:extent cx="1839595" cy="405765"/>
                <wp:effectExtent l="0" t="0" r="27305" b="1333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405765"/>
                        </a:xfrm>
                        <a:prstGeom prst="rect">
                          <a:avLst/>
                        </a:prstGeom>
                        <a:solidFill>
                          <a:srgbClr val="FFFFFF"/>
                        </a:solidFill>
                        <a:ln w="9525">
                          <a:solidFill>
                            <a:srgbClr val="000000"/>
                          </a:solidFill>
                          <a:miter lim="800000"/>
                          <a:headEnd/>
                          <a:tailEnd/>
                        </a:ln>
                      </wps:spPr>
                      <wps:txbx>
                        <w:txbxContent>
                          <w:p w:rsidR="00BB1B4D" w:rsidRPr="0066702E" w:rsidRDefault="00BB1B4D" w:rsidP="00203BAD">
                            <w:pPr>
                              <w:spacing w:after="0" w:line="240" w:lineRule="auto"/>
                              <w:jc w:val="center"/>
                              <w:rPr>
                                <w:rFonts w:asciiTheme="minorHAnsi" w:hAnsiTheme="minorHAnsi"/>
                                <w:color w:val="auto"/>
                                <w:sz w:val="18"/>
                                <w:szCs w:val="18"/>
                              </w:rPr>
                            </w:pPr>
                            <w:r w:rsidRPr="0066702E">
                              <w:rPr>
                                <w:rFonts w:asciiTheme="minorHAnsi" w:hAnsiTheme="minorHAnsi"/>
                                <w:color w:val="auto"/>
                                <w:sz w:val="18"/>
                                <w:szCs w:val="18"/>
                              </w:rPr>
                              <w:t>Revaluations</w:t>
                            </w:r>
                            <w:r>
                              <w:rPr>
                                <w:rFonts w:asciiTheme="minorHAnsi" w:hAnsiTheme="minorHAnsi"/>
                                <w:color w:val="auto"/>
                                <w:sz w:val="18"/>
                                <w:szCs w:val="18"/>
                              </w:rPr>
                              <w:t xml:space="preserve"> &amp; Depreciation</w:t>
                            </w:r>
                          </w:p>
                          <w:p w:rsidR="00BB1B4D" w:rsidRPr="005049D9" w:rsidRDefault="00BB1B4D" w:rsidP="00203BAD">
                            <w:pPr>
                              <w:jc w:val="center"/>
                              <w:rPr>
                                <w:rFonts w:asciiTheme="minorHAnsi" w:hAnsiTheme="minorHAnsi"/>
                                <w:b/>
                                <w:color w:val="auto"/>
                                <w:sz w:val="20"/>
                                <w:szCs w:val="18"/>
                              </w:rPr>
                            </w:pPr>
                            <w:r w:rsidRPr="005049D9">
                              <w:rPr>
                                <w:rFonts w:asciiTheme="minorHAnsi" w:hAnsiTheme="minorHAnsi"/>
                                <w:b/>
                                <w:color w:val="auto"/>
                                <w:sz w:val="20"/>
                                <w:szCs w:val="18"/>
                              </w:rPr>
                              <w:t>(£</w:t>
                            </w:r>
                            <w:r>
                              <w:rPr>
                                <w:rFonts w:asciiTheme="minorHAnsi" w:hAnsiTheme="minorHAnsi"/>
                                <w:b/>
                                <w:color w:val="auto"/>
                                <w:sz w:val="20"/>
                                <w:szCs w:val="18"/>
                              </w:rPr>
                              <w:t>15</w:t>
                            </w:r>
                            <w:r w:rsidRPr="005049D9">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1" style="position:absolute;margin-left:294.85pt;margin-top:24.9pt;width:144.85pt;height:3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3nKwIAAFEEAAAOAAAAZHJzL2Uyb0RvYy54bWysVFFv0zAQfkfiP1h+p0lK07V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">
                <v:textbox>
                  <w:txbxContent>
                    <w:p w:rsidR="00BB1B4D" w:rsidRPr="0066702E" w:rsidRDefault="00BB1B4D" w:rsidP="00203BAD">
                      <w:pPr>
                        <w:spacing w:after="0" w:line="240" w:lineRule="auto"/>
                        <w:jc w:val="center"/>
                        <w:rPr>
                          <w:rFonts w:asciiTheme="minorHAnsi" w:hAnsiTheme="minorHAnsi"/>
                          <w:color w:val="auto"/>
                          <w:sz w:val="18"/>
                          <w:szCs w:val="18"/>
                        </w:rPr>
                      </w:pPr>
                      <w:r w:rsidRPr="0066702E">
                        <w:rPr>
                          <w:rFonts w:asciiTheme="minorHAnsi" w:hAnsiTheme="minorHAnsi"/>
                          <w:color w:val="auto"/>
                          <w:sz w:val="18"/>
                          <w:szCs w:val="18"/>
                        </w:rPr>
                        <w:t>Revaluations</w:t>
                      </w:r>
                      <w:r>
                        <w:rPr>
                          <w:rFonts w:asciiTheme="minorHAnsi" w:hAnsiTheme="minorHAnsi"/>
                          <w:color w:val="auto"/>
                          <w:sz w:val="18"/>
                          <w:szCs w:val="18"/>
                        </w:rPr>
                        <w:t xml:space="preserve"> &amp; Depreciation</w:t>
                      </w:r>
                    </w:p>
                    <w:p w:rsidR="00BB1B4D" w:rsidRPr="005049D9" w:rsidRDefault="00BB1B4D" w:rsidP="00203BAD">
                      <w:pPr>
                        <w:jc w:val="center"/>
                        <w:rPr>
                          <w:rFonts w:asciiTheme="minorHAnsi" w:hAnsiTheme="minorHAnsi"/>
                          <w:b/>
                          <w:color w:val="auto"/>
                          <w:sz w:val="20"/>
                          <w:szCs w:val="18"/>
                        </w:rPr>
                      </w:pPr>
                      <w:r w:rsidRPr="005049D9">
                        <w:rPr>
                          <w:rFonts w:asciiTheme="minorHAnsi" w:hAnsiTheme="minorHAnsi"/>
                          <w:b/>
                          <w:color w:val="auto"/>
                          <w:sz w:val="20"/>
                          <w:szCs w:val="18"/>
                        </w:rPr>
                        <w:t>(£</w:t>
                      </w:r>
                      <w:r>
                        <w:rPr>
                          <w:rFonts w:asciiTheme="minorHAnsi" w:hAnsiTheme="minorHAnsi"/>
                          <w:b/>
                          <w:color w:val="auto"/>
                          <w:sz w:val="20"/>
                          <w:szCs w:val="18"/>
                        </w:rPr>
                        <w:t>15</w:t>
                      </w:r>
                      <w:r w:rsidRPr="005049D9">
                        <w:rPr>
                          <w:rFonts w:asciiTheme="minorHAnsi" w:hAnsiTheme="minorHAnsi"/>
                          <w:b/>
                          <w:color w:val="auto"/>
                          <w:sz w:val="20"/>
                          <w:szCs w:val="18"/>
                        </w:rPr>
                        <w:t>m)</w:t>
                      </w:r>
                    </w:p>
                  </w:txbxContent>
                </v:textbox>
              </v:rect>
            </w:pict>
          </mc:Fallback>
        </mc:AlternateContent>
      </w:r>
      <w:r w:rsidR="00203BAD">
        <w:rPr>
          <w:rFonts w:asciiTheme="minorHAnsi" w:hAnsiTheme="minorHAnsi" w:cs="Arial"/>
          <w:noProof/>
          <w:color w:val="548DD4" w:themeColor="text2" w:themeTint="99"/>
          <w:sz w:val="22"/>
          <w:szCs w:val="22"/>
          <w:lang w:eastAsia="en-GB"/>
        </w:rPr>
        <mc:AlternateContent>
          <mc:Choice Requires="wps">
            <w:drawing>
              <wp:anchor distT="0" distB="0" distL="114300" distR="114300" simplePos="0" relativeHeight="251770880" behindDoc="0" locked="0" layoutInCell="1" allowOverlap="1">
                <wp:simplePos x="0" y="0"/>
                <wp:positionH relativeFrom="column">
                  <wp:posOffset>2479675</wp:posOffset>
                </wp:positionH>
                <wp:positionV relativeFrom="paragraph">
                  <wp:posOffset>316230</wp:posOffset>
                </wp:positionV>
                <wp:extent cx="905510" cy="405765"/>
                <wp:effectExtent l="0" t="0" r="27940" b="1333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405765"/>
                        </a:xfrm>
                        <a:prstGeom prst="rect">
                          <a:avLst/>
                        </a:prstGeom>
                        <a:solidFill>
                          <a:srgbClr val="FFFFFF"/>
                        </a:solidFill>
                        <a:ln w="9525">
                          <a:solidFill>
                            <a:srgbClr val="000000"/>
                          </a:solidFill>
                          <a:miter lim="800000"/>
                          <a:headEnd/>
                          <a:tailEnd/>
                        </a:ln>
                      </wps:spPr>
                      <wps:txbx>
                        <w:txbxContent>
                          <w:p w:rsidR="00BB1B4D" w:rsidRPr="0066702E" w:rsidRDefault="00BB1B4D" w:rsidP="00203BAD">
                            <w:pPr>
                              <w:spacing w:after="0" w:line="240" w:lineRule="auto"/>
                              <w:jc w:val="center"/>
                              <w:rPr>
                                <w:rFonts w:asciiTheme="minorHAnsi" w:hAnsiTheme="minorHAnsi"/>
                                <w:color w:val="auto"/>
                                <w:sz w:val="18"/>
                                <w:szCs w:val="18"/>
                              </w:rPr>
                            </w:pPr>
                            <w:r w:rsidRPr="0066702E">
                              <w:rPr>
                                <w:rFonts w:asciiTheme="minorHAnsi" w:hAnsiTheme="minorHAnsi"/>
                                <w:color w:val="auto"/>
                                <w:sz w:val="18"/>
                                <w:szCs w:val="18"/>
                              </w:rPr>
                              <w:t>Disposals</w:t>
                            </w:r>
                          </w:p>
                          <w:p w:rsidR="00BB1B4D" w:rsidRPr="005049D9" w:rsidRDefault="00BB1B4D" w:rsidP="00203BAD">
                            <w:pPr>
                              <w:jc w:val="center"/>
                              <w:rPr>
                                <w:rFonts w:asciiTheme="minorHAnsi" w:hAnsiTheme="minorHAnsi"/>
                                <w:b/>
                                <w:color w:val="auto"/>
                                <w:sz w:val="20"/>
                                <w:szCs w:val="18"/>
                              </w:rPr>
                            </w:pPr>
                            <w:r w:rsidRPr="005049D9">
                              <w:rPr>
                                <w:rFonts w:asciiTheme="minorHAnsi" w:hAnsiTheme="minorHAnsi"/>
                                <w:b/>
                                <w:color w:val="auto"/>
                                <w:sz w:val="20"/>
                                <w:szCs w:val="18"/>
                              </w:rPr>
                              <w:t>(£8m)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2" style="position:absolute;margin-left:195.25pt;margin-top:24.9pt;width:71.3pt;height:3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">
                <v:textbox>
                  <w:txbxContent>
                    <w:p w:rsidR="00BB1B4D" w:rsidRPr="0066702E" w:rsidRDefault="00BB1B4D" w:rsidP="00203BAD">
                      <w:pPr>
                        <w:spacing w:after="0" w:line="240" w:lineRule="auto"/>
                        <w:jc w:val="center"/>
                        <w:rPr>
                          <w:rFonts w:asciiTheme="minorHAnsi" w:hAnsiTheme="minorHAnsi"/>
                          <w:color w:val="auto"/>
                          <w:sz w:val="18"/>
                          <w:szCs w:val="18"/>
                        </w:rPr>
                      </w:pPr>
                      <w:r w:rsidRPr="0066702E">
                        <w:rPr>
                          <w:rFonts w:asciiTheme="minorHAnsi" w:hAnsiTheme="minorHAnsi"/>
                          <w:color w:val="auto"/>
                          <w:sz w:val="18"/>
                          <w:szCs w:val="18"/>
                        </w:rPr>
                        <w:t>Disposals</w:t>
                      </w:r>
                    </w:p>
                    <w:p w:rsidR="00BB1B4D" w:rsidRPr="005049D9" w:rsidRDefault="00BB1B4D" w:rsidP="00203BAD">
                      <w:pPr>
                        <w:jc w:val="center"/>
                        <w:rPr>
                          <w:rFonts w:asciiTheme="minorHAnsi" w:hAnsiTheme="minorHAnsi"/>
                          <w:b/>
                          <w:color w:val="auto"/>
                          <w:sz w:val="20"/>
                          <w:szCs w:val="18"/>
                        </w:rPr>
                      </w:pPr>
                      <w:r w:rsidRPr="005049D9">
                        <w:rPr>
                          <w:rFonts w:asciiTheme="minorHAnsi" w:hAnsiTheme="minorHAnsi"/>
                          <w:b/>
                          <w:color w:val="auto"/>
                          <w:sz w:val="20"/>
                          <w:szCs w:val="18"/>
                        </w:rPr>
                        <w:t>(£8m)</w:t>
                      </w:r>
                    </w:p>
                  </w:txbxContent>
                </v:textbox>
              </v:rect>
            </w:pict>
          </mc:Fallback>
        </mc:AlternateContent>
      </w:r>
    </w:p>
    <w:p w:rsidR="00203BAD" w:rsidRPr="0005794A"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548DD4" w:themeColor="text2" w:themeTint="99"/>
          <w:sz w:val="22"/>
          <w:szCs w:val="22"/>
        </w:rPr>
      </w:pPr>
    </w:p>
    <w:p w:rsidR="00203BAD" w:rsidRPr="0005794A"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548DD4" w:themeColor="text2" w:themeTint="99"/>
          <w:sz w:val="22"/>
          <w:szCs w:val="22"/>
        </w:rPr>
      </w:pPr>
      <w:r>
        <w:rPr>
          <w:rFonts w:asciiTheme="minorHAnsi" w:hAnsiTheme="minorHAnsi" w:cs="Arial"/>
          <w:noProof/>
          <w:color w:val="548DD4" w:themeColor="text2" w:themeTint="99"/>
          <w:sz w:val="22"/>
          <w:szCs w:val="22"/>
          <w:lang w:eastAsia="en-GB"/>
        </w:rPr>
        <mc:AlternateContent>
          <mc:Choice Requires="wps">
            <w:drawing>
              <wp:anchor distT="0" distB="0" distL="114300" distR="114300" simplePos="0" relativeHeight="251772928" behindDoc="0" locked="0" layoutInCell="1" allowOverlap="1">
                <wp:simplePos x="0" y="0"/>
                <wp:positionH relativeFrom="column">
                  <wp:posOffset>2139950</wp:posOffset>
                </wp:positionH>
                <wp:positionV relativeFrom="paragraph">
                  <wp:posOffset>297815</wp:posOffset>
                </wp:positionV>
                <wp:extent cx="1903730" cy="405765"/>
                <wp:effectExtent l="0" t="0" r="20320" b="1333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405765"/>
                        </a:xfrm>
                        <a:prstGeom prst="rect">
                          <a:avLst/>
                        </a:prstGeom>
                        <a:solidFill>
                          <a:srgbClr val="FFFFFF"/>
                        </a:solidFill>
                        <a:ln w="9525">
                          <a:solidFill>
                            <a:srgbClr val="000000"/>
                          </a:solidFill>
                          <a:miter lim="800000"/>
                          <a:headEnd/>
                          <a:tailEnd/>
                        </a:ln>
                      </wps:spPr>
                      <wps:txbx>
                        <w:txbxContent>
                          <w:p w:rsidR="00BB1B4D" w:rsidRPr="00732311" w:rsidRDefault="00BB1B4D" w:rsidP="00203BAD">
                            <w:pPr>
                              <w:spacing w:after="0" w:line="240" w:lineRule="auto"/>
                              <w:jc w:val="center"/>
                              <w:rPr>
                                <w:rFonts w:asciiTheme="minorHAnsi" w:hAnsiTheme="minorHAnsi"/>
                                <w:color w:val="auto"/>
                                <w:sz w:val="18"/>
                                <w:szCs w:val="18"/>
                              </w:rPr>
                            </w:pPr>
                            <w:r w:rsidRPr="00732311">
                              <w:rPr>
                                <w:rFonts w:asciiTheme="minorHAnsi" w:hAnsiTheme="minorHAnsi"/>
                                <w:color w:val="auto"/>
                                <w:sz w:val="18"/>
                                <w:szCs w:val="18"/>
                              </w:rPr>
                              <w:t>TOTAL ASSETS CARRIED FORWARD</w:t>
                            </w:r>
                          </w:p>
                          <w:p w:rsidR="00BB1B4D" w:rsidRPr="00FF7E51" w:rsidRDefault="00BB1B4D" w:rsidP="00203BAD">
                            <w:pPr>
                              <w:jc w:val="center"/>
                              <w:rPr>
                                <w:rFonts w:asciiTheme="minorHAnsi" w:hAnsiTheme="minorHAnsi"/>
                                <w:b/>
                                <w:color w:val="auto"/>
                                <w:sz w:val="20"/>
                                <w:szCs w:val="18"/>
                              </w:rPr>
                            </w:pPr>
                            <w:r w:rsidRPr="00FF7E51">
                              <w:rPr>
                                <w:rFonts w:asciiTheme="minorHAnsi" w:hAnsiTheme="minorHAnsi"/>
                                <w:b/>
                                <w:color w:val="auto"/>
                                <w:sz w:val="20"/>
                                <w:szCs w:val="18"/>
                              </w:rPr>
                              <w:t>£4</w:t>
                            </w:r>
                            <w:r>
                              <w:rPr>
                                <w:rFonts w:asciiTheme="minorHAnsi" w:hAnsiTheme="minorHAnsi"/>
                                <w:b/>
                                <w:color w:val="auto"/>
                                <w:sz w:val="20"/>
                                <w:szCs w:val="18"/>
                              </w:rPr>
                              <w:t>45</w:t>
                            </w:r>
                            <w:r w:rsidRPr="00FF7E51">
                              <w:rPr>
                                <w:rFonts w:asciiTheme="minorHAnsi" w:hAnsiTheme="minorHAnsi"/>
                                <w:b/>
                                <w:color w:val="auto"/>
                                <w:sz w:val="20"/>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3" style="position:absolute;margin-left:168.5pt;margin-top:23.45pt;width:149.9pt;height:3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">
                <v:textbox>
                  <w:txbxContent>
                    <w:p w:rsidR="00BB1B4D" w:rsidRPr="00732311" w:rsidRDefault="00BB1B4D" w:rsidP="00203BAD">
                      <w:pPr>
                        <w:spacing w:after="0" w:line="240" w:lineRule="auto"/>
                        <w:jc w:val="center"/>
                        <w:rPr>
                          <w:rFonts w:asciiTheme="minorHAnsi" w:hAnsiTheme="minorHAnsi"/>
                          <w:color w:val="auto"/>
                          <w:sz w:val="18"/>
                          <w:szCs w:val="18"/>
                        </w:rPr>
                      </w:pPr>
                      <w:r w:rsidRPr="00732311">
                        <w:rPr>
                          <w:rFonts w:asciiTheme="minorHAnsi" w:hAnsiTheme="minorHAnsi"/>
                          <w:color w:val="auto"/>
                          <w:sz w:val="18"/>
                          <w:szCs w:val="18"/>
                        </w:rPr>
                        <w:t>TOTAL ASSETS CARRIED FORWARD</w:t>
                      </w:r>
                    </w:p>
                    <w:p w:rsidR="00BB1B4D" w:rsidRPr="00FF7E51" w:rsidRDefault="00BB1B4D" w:rsidP="00203BAD">
                      <w:pPr>
                        <w:jc w:val="center"/>
                        <w:rPr>
                          <w:rFonts w:asciiTheme="minorHAnsi" w:hAnsiTheme="minorHAnsi"/>
                          <w:b/>
                          <w:color w:val="auto"/>
                          <w:sz w:val="20"/>
                          <w:szCs w:val="18"/>
                        </w:rPr>
                      </w:pPr>
                      <w:r w:rsidRPr="00FF7E51">
                        <w:rPr>
                          <w:rFonts w:asciiTheme="minorHAnsi" w:hAnsiTheme="minorHAnsi"/>
                          <w:b/>
                          <w:color w:val="auto"/>
                          <w:sz w:val="20"/>
                          <w:szCs w:val="18"/>
                        </w:rPr>
                        <w:t>£4</w:t>
                      </w:r>
                      <w:r>
                        <w:rPr>
                          <w:rFonts w:asciiTheme="minorHAnsi" w:hAnsiTheme="minorHAnsi"/>
                          <w:b/>
                          <w:color w:val="auto"/>
                          <w:sz w:val="20"/>
                          <w:szCs w:val="18"/>
                        </w:rPr>
                        <w:t>45</w:t>
                      </w:r>
                      <w:r w:rsidRPr="00FF7E51">
                        <w:rPr>
                          <w:rFonts w:asciiTheme="minorHAnsi" w:hAnsiTheme="minorHAnsi"/>
                          <w:b/>
                          <w:color w:val="auto"/>
                          <w:sz w:val="20"/>
                          <w:szCs w:val="18"/>
                        </w:rPr>
                        <w:t>m</w:t>
                      </w:r>
                    </w:p>
                  </w:txbxContent>
                </v:textbox>
              </v:rect>
            </w:pict>
          </mc:Fallback>
        </mc:AlternateContent>
      </w:r>
    </w:p>
    <w:p w:rsidR="00203BAD" w:rsidRPr="0005794A"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548DD4" w:themeColor="text2" w:themeTint="99"/>
          <w:sz w:val="22"/>
          <w:szCs w:val="22"/>
        </w:rPr>
      </w:pPr>
    </w:p>
    <w:p w:rsidR="00203BAD" w:rsidRPr="0005794A" w:rsidRDefault="00203BAD" w:rsidP="00203BAD">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b/>
          <w:color w:val="548DD4" w:themeColor="text2" w:themeTint="99"/>
          <w:sz w:val="22"/>
          <w:szCs w:val="22"/>
        </w:rPr>
      </w:pPr>
    </w:p>
    <w:p w:rsidR="00203BAD" w:rsidRPr="00FC4486" w:rsidRDefault="00203BAD" w:rsidP="00203BAD">
      <w:pPr>
        <w:pStyle w:val="BodyText"/>
        <w:widowControl w:val="0"/>
        <w:rPr>
          <w:rFonts w:asciiTheme="minorHAnsi" w:hAnsiTheme="minorHAnsi" w:cs="Arial"/>
          <w:color w:val="auto"/>
          <w:sz w:val="22"/>
          <w:szCs w:val="22"/>
        </w:rPr>
      </w:pPr>
      <w:r w:rsidRPr="00FC4486">
        <w:rPr>
          <w:rFonts w:asciiTheme="minorHAnsi" w:hAnsiTheme="minorHAnsi" w:cs="Arial"/>
          <w:color w:val="auto"/>
          <w:sz w:val="22"/>
          <w:szCs w:val="22"/>
        </w:rPr>
        <w:t>On a national level changes in funding, services and legislation by the Government continue to impact on the Council, its partners and residents.</w:t>
      </w:r>
    </w:p>
    <w:p w:rsidR="00203BAD" w:rsidRPr="0005794A" w:rsidRDefault="00203BAD" w:rsidP="00203BAD">
      <w:pPr>
        <w:pStyle w:val="BodyText"/>
        <w:widowControl w:val="0"/>
        <w:rPr>
          <w:rFonts w:asciiTheme="minorHAnsi" w:hAnsiTheme="minorHAnsi" w:cs="Arial"/>
          <w:color w:val="548DD4" w:themeColor="text2" w:themeTint="99"/>
          <w:sz w:val="22"/>
          <w:szCs w:val="22"/>
        </w:rPr>
      </w:pPr>
      <w:r w:rsidRPr="00FC4486">
        <w:rPr>
          <w:rFonts w:asciiTheme="minorHAnsi" w:hAnsiTheme="minorHAnsi" w:cs="Arial"/>
          <w:color w:val="auto"/>
          <w:sz w:val="22"/>
          <w:szCs w:val="22"/>
        </w:rPr>
        <w:t xml:space="preserve">The Council continued to plan for, and work with, reduced funding levels for both revenue and capital from Central Government for 2017/18 and future financial years as a result on the ongoing “austerity” reductions in public expenditure.   </w:t>
      </w:r>
      <w:r>
        <w:rPr>
          <w:rFonts w:asciiTheme="minorHAnsi" w:hAnsiTheme="minorHAnsi" w:cs="Arial"/>
          <w:color w:val="auto"/>
          <w:sz w:val="22"/>
          <w:szCs w:val="22"/>
        </w:rPr>
        <w:t xml:space="preserve">The Council has certainty over the reductions as the Council accepted the MHCLG “offer” of a four year funding settlement to 2019/20. </w:t>
      </w:r>
      <w:r w:rsidRPr="00FC4486">
        <w:rPr>
          <w:rFonts w:asciiTheme="minorHAnsi" w:hAnsiTheme="minorHAnsi" w:cs="Arial"/>
          <w:color w:val="auto"/>
          <w:sz w:val="22"/>
          <w:szCs w:val="22"/>
        </w:rPr>
        <w:t>In this period central government funding for local government will reduce by 56% or £6.1 billion.  For Torbay Council, this is a reduction in its Revenue Support Grant from £27 million (restated) in 2015/16 to £6 million by 2019/20.</w:t>
      </w:r>
    </w:p>
    <w:p w:rsidR="00203BAD" w:rsidRPr="0005794A" w:rsidRDefault="00203BAD" w:rsidP="00203BAD">
      <w:pPr>
        <w:pStyle w:val="BodyText"/>
        <w:widowControl w:val="0"/>
        <w:jc w:val="center"/>
        <w:rPr>
          <w:rFonts w:asciiTheme="minorHAnsi" w:hAnsiTheme="minorHAnsi" w:cs="Arial"/>
          <w:color w:val="548DD4" w:themeColor="text2" w:themeTint="99"/>
          <w:sz w:val="22"/>
          <w:szCs w:val="22"/>
        </w:rPr>
      </w:pPr>
      <w:r w:rsidRPr="0005794A">
        <w:rPr>
          <w:rFonts w:asciiTheme="minorHAnsi" w:hAnsiTheme="minorHAnsi" w:cs="Arial"/>
          <w:b/>
          <w:noProof/>
          <w:color w:val="548DD4" w:themeColor="text2" w:themeTint="99"/>
          <w:sz w:val="22"/>
          <w:szCs w:val="22"/>
          <w:lang w:eastAsia="en-GB"/>
        </w:rPr>
        <w:drawing>
          <wp:inline distT="0" distB="0" distL="0" distR="0" wp14:anchorId="6389A7EC" wp14:editId="32FC05CA">
            <wp:extent cx="4991100" cy="2686050"/>
            <wp:effectExtent l="19050" t="0" r="19050" b="0"/>
            <wp:docPr id="5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3BAD" w:rsidRPr="00501431" w:rsidRDefault="00203BAD" w:rsidP="00203BAD">
      <w:pPr>
        <w:pStyle w:val="BodyText"/>
        <w:widowControl w:val="0"/>
        <w:rPr>
          <w:rFonts w:asciiTheme="minorHAnsi" w:hAnsiTheme="minorHAnsi" w:cs="Arial"/>
          <w:color w:val="auto"/>
          <w:sz w:val="22"/>
          <w:szCs w:val="22"/>
        </w:rPr>
      </w:pPr>
      <w:r w:rsidRPr="00501431">
        <w:rPr>
          <w:rFonts w:asciiTheme="minorHAnsi" w:hAnsiTheme="minorHAnsi" w:cs="Arial"/>
          <w:color w:val="auto"/>
          <w:sz w:val="22"/>
          <w:szCs w:val="22"/>
        </w:rPr>
        <w:t>It is uncertain what the Council</w:t>
      </w:r>
      <w:r w:rsidR="00403DF2">
        <w:rPr>
          <w:rFonts w:asciiTheme="minorHAnsi" w:hAnsiTheme="minorHAnsi" w:cs="Arial"/>
          <w:color w:val="auto"/>
          <w:sz w:val="22"/>
          <w:szCs w:val="22"/>
        </w:rPr>
        <w:t>’</w:t>
      </w:r>
      <w:r w:rsidRPr="00501431">
        <w:rPr>
          <w:rFonts w:asciiTheme="minorHAnsi" w:hAnsiTheme="minorHAnsi" w:cs="Arial"/>
          <w:color w:val="auto"/>
          <w:sz w:val="22"/>
          <w:szCs w:val="22"/>
        </w:rPr>
        <w:t>s future funding will be from 2020/21 onwards. 2019 is the date of the next national Spending Review which will allocate the total central government funding for local government. In 2020/21 MHCLG intend to introduce a new funding formula to allocate the total funding between councils. In addition MHCLG intend to introduce a 75% NNDR rete</w:t>
      </w:r>
      <w:r>
        <w:rPr>
          <w:rFonts w:asciiTheme="minorHAnsi" w:hAnsiTheme="minorHAnsi" w:cs="Arial"/>
          <w:color w:val="auto"/>
          <w:sz w:val="22"/>
          <w:szCs w:val="22"/>
        </w:rPr>
        <w:t>ntion system in which local Councils</w:t>
      </w:r>
      <w:r w:rsidRPr="00501431">
        <w:rPr>
          <w:rFonts w:asciiTheme="minorHAnsi" w:hAnsiTheme="minorHAnsi" w:cs="Arial"/>
          <w:color w:val="auto"/>
          <w:sz w:val="22"/>
          <w:szCs w:val="22"/>
        </w:rPr>
        <w:t xml:space="preserve"> bear 75% of the risks/reward of changes in local NNDR income.</w:t>
      </w:r>
    </w:p>
    <w:p w:rsidR="00203BAD" w:rsidRDefault="00203BAD" w:rsidP="00203BAD">
      <w:pPr>
        <w:pStyle w:val="BodyText"/>
        <w:widowControl w:val="0"/>
        <w:rPr>
          <w:rFonts w:asciiTheme="minorHAnsi" w:hAnsiTheme="minorHAnsi" w:cs="Arial"/>
          <w:color w:val="auto"/>
          <w:sz w:val="22"/>
          <w:szCs w:val="22"/>
        </w:rPr>
      </w:pPr>
      <w:r w:rsidRPr="00EB0334">
        <w:rPr>
          <w:rFonts w:asciiTheme="minorHAnsi" w:hAnsiTheme="minorHAnsi" w:cs="Arial"/>
          <w:color w:val="auto"/>
          <w:sz w:val="22"/>
          <w:szCs w:val="22"/>
        </w:rPr>
        <w:t>In 201</w:t>
      </w:r>
      <w:r w:rsidR="0099052E">
        <w:rPr>
          <w:rFonts w:asciiTheme="minorHAnsi" w:hAnsiTheme="minorHAnsi" w:cs="Arial"/>
          <w:color w:val="auto"/>
          <w:sz w:val="22"/>
          <w:szCs w:val="22"/>
        </w:rPr>
        <w:t>8</w:t>
      </w:r>
      <w:r w:rsidRPr="00EB0334">
        <w:rPr>
          <w:rFonts w:asciiTheme="minorHAnsi" w:hAnsiTheme="minorHAnsi" w:cs="Arial"/>
          <w:color w:val="auto"/>
          <w:sz w:val="22"/>
          <w:szCs w:val="22"/>
        </w:rPr>
        <w:t>/1</w:t>
      </w:r>
      <w:r w:rsidR="0099052E">
        <w:rPr>
          <w:rFonts w:asciiTheme="minorHAnsi" w:hAnsiTheme="minorHAnsi" w:cs="Arial"/>
          <w:color w:val="auto"/>
          <w:sz w:val="22"/>
          <w:szCs w:val="22"/>
        </w:rPr>
        <w:t>9</w:t>
      </w:r>
      <w:r w:rsidRPr="00EB0334">
        <w:rPr>
          <w:rFonts w:asciiTheme="minorHAnsi" w:hAnsiTheme="minorHAnsi" w:cs="Arial"/>
          <w:color w:val="auto"/>
          <w:sz w:val="22"/>
          <w:szCs w:val="22"/>
        </w:rPr>
        <w:t xml:space="preserve"> Torbay</w:t>
      </w:r>
      <w:r>
        <w:rPr>
          <w:rFonts w:asciiTheme="minorHAnsi" w:hAnsiTheme="minorHAnsi" w:cs="Arial"/>
          <w:color w:val="auto"/>
          <w:sz w:val="22"/>
          <w:szCs w:val="22"/>
        </w:rPr>
        <w:t>,</w:t>
      </w:r>
      <w:r w:rsidRPr="00EB0334">
        <w:rPr>
          <w:rFonts w:asciiTheme="minorHAnsi" w:hAnsiTheme="minorHAnsi" w:cs="Arial"/>
          <w:color w:val="auto"/>
          <w:sz w:val="22"/>
          <w:szCs w:val="22"/>
        </w:rPr>
        <w:t xml:space="preserve"> along with all other Councils in Devon</w:t>
      </w:r>
      <w:r>
        <w:rPr>
          <w:rFonts w:asciiTheme="minorHAnsi" w:hAnsiTheme="minorHAnsi" w:cs="Arial"/>
          <w:color w:val="auto"/>
          <w:sz w:val="22"/>
          <w:szCs w:val="22"/>
        </w:rPr>
        <w:t>,</w:t>
      </w:r>
      <w:r w:rsidRPr="00EB0334">
        <w:rPr>
          <w:rFonts w:asciiTheme="minorHAnsi" w:hAnsiTheme="minorHAnsi" w:cs="Arial"/>
          <w:color w:val="auto"/>
          <w:sz w:val="22"/>
          <w:szCs w:val="22"/>
        </w:rPr>
        <w:t xml:space="preserve"> are participating in a 100% NNDR retention pilot. </w:t>
      </w:r>
      <w:r>
        <w:rPr>
          <w:rFonts w:asciiTheme="minorHAnsi" w:hAnsiTheme="minorHAnsi" w:cs="Arial"/>
          <w:color w:val="auto"/>
          <w:sz w:val="22"/>
          <w:szCs w:val="22"/>
        </w:rPr>
        <w:t xml:space="preserve">The pilot has been confirmed for 2018/19 only. </w:t>
      </w:r>
      <w:r w:rsidRPr="00EB0334">
        <w:rPr>
          <w:rFonts w:asciiTheme="minorHAnsi" w:hAnsiTheme="minorHAnsi" w:cs="Arial"/>
          <w:color w:val="auto"/>
          <w:sz w:val="22"/>
          <w:szCs w:val="22"/>
        </w:rPr>
        <w:t xml:space="preserve">This </w:t>
      </w:r>
      <w:r>
        <w:rPr>
          <w:rFonts w:asciiTheme="minorHAnsi" w:hAnsiTheme="minorHAnsi" w:cs="Arial"/>
          <w:color w:val="auto"/>
          <w:sz w:val="22"/>
          <w:szCs w:val="22"/>
        </w:rPr>
        <w:t>allows all the Councils</w:t>
      </w:r>
      <w:r w:rsidRPr="00EB0334">
        <w:rPr>
          <w:rFonts w:asciiTheme="minorHAnsi" w:hAnsiTheme="minorHAnsi" w:cs="Arial"/>
          <w:color w:val="auto"/>
          <w:sz w:val="22"/>
          <w:szCs w:val="22"/>
        </w:rPr>
        <w:t xml:space="preserve"> a gain from being able to retain a higher level of NNDR growth in the area with the gain shar</w:t>
      </w:r>
      <w:r>
        <w:rPr>
          <w:rFonts w:asciiTheme="minorHAnsi" w:hAnsiTheme="minorHAnsi" w:cs="Arial"/>
          <w:color w:val="auto"/>
          <w:sz w:val="22"/>
          <w:szCs w:val="22"/>
        </w:rPr>
        <w:t>ed between all Councils</w:t>
      </w:r>
      <w:r w:rsidRPr="00EB0334">
        <w:rPr>
          <w:rFonts w:asciiTheme="minorHAnsi" w:hAnsiTheme="minorHAnsi" w:cs="Arial"/>
          <w:color w:val="auto"/>
          <w:sz w:val="22"/>
          <w:szCs w:val="22"/>
        </w:rPr>
        <w:t>. To ensure that th</w:t>
      </w:r>
      <w:r>
        <w:rPr>
          <w:rFonts w:asciiTheme="minorHAnsi" w:hAnsiTheme="minorHAnsi" w:cs="Arial"/>
          <w:color w:val="auto"/>
          <w:sz w:val="22"/>
          <w:szCs w:val="22"/>
        </w:rPr>
        <w:t xml:space="preserve">e pilot </w:t>
      </w:r>
      <w:r w:rsidR="00403DF2">
        <w:rPr>
          <w:rFonts w:asciiTheme="minorHAnsi" w:hAnsiTheme="minorHAnsi" w:cs="Arial"/>
          <w:color w:val="auto"/>
          <w:sz w:val="22"/>
          <w:szCs w:val="22"/>
        </w:rPr>
        <w:t xml:space="preserve">is </w:t>
      </w:r>
      <w:r w:rsidRPr="00EB0334">
        <w:rPr>
          <w:rFonts w:asciiTheme="minorHAnsi" w:hAnsiTheme="minorHAnsi" w:cs="Arial"/>
          <w:color w:val="auto"/>
          <w:sz w:val="22"/>
          <w:szCs w:val="22"/>
        </w:rPr>
        <w:t>fiscally neutral M</w:t>
      </w:r>
      <w:r w:rsidR="0099052E">
        <w:rPr>
          <w:rFonts w:asciiTheme="minorHAnsi" w:hAnsiTheme="minorHAnsi" w:cs="Arial"/>
          <w:color w:val="auto"/>
          <w:sz w:val="22"/>
          <w:szCs w:val="22"/>
        </w:rPr>
        <w:t>H</w:t>
      </w:r>
      <w:r w:rsidRPr="00EB0334">
        <w:rPr>
          <w:rFonts w:asciiTheme="minorHAnsi" w:hAnsiTheme="minorHAnsi" w:cs="Arial"/>
          <w:color w:val="auto"/>
          <w:sz w:val="22"/>
          <w:szCs w:val="22"/>
        </w:rPr>
        <w:t xml:space="preserve">CLG have adjusted other funding. For Torbay this means that in 2018/19 it </w:t>
      </w:r>
      <w:r w:rsidR="0099052E">
        <w:rPr>
          <w:rFonts w:asciiTheme="minorHAnsi" w:hAnsiTheme="minorHAnsi" w:cs="Arial"/>
          <w:color w:val="auto"/>
          <w:sz w:val="22"/>
          <w:szCs w:val="22"/>
        </w:rPr>
        <w:t xml:space="preserve">will not </w:t>
      </w:r>
      <w:r w:rsidRPr="00EB0334">
        <w:rPr>
          <w:rFonts w:asciiTheme="minorHAnsi" w:hAnsiTheme="minorHAnsi" w:cs="Arial"/>
          <w:color w:val="auto"/>
          <w:sz w:val="22"/>
          <w:szCs w:val="22"/>
        </w:rPr>
        <w:t xml:space="preserve">receive any RSG and </w:t>
      </w:r>
      <w:r w:rsidR="0099052E">
        <w:rPr>
          <w:rFonts w:asciiTheme="minorHAnsi" w:hAnsiTheme="minorHAnsi" w:cs="Arial"/>
          <w:color w:val="auto"/>
          <w:sz w:val="22"/>
          <w:szCs w:val="22"/>
        </w:rPr>
        <w:t>will have a</w:t>
      </w:r>
      <w:r w:rsidRPr="00EB0334">
        <w:rPr>
          <w:rFonts w:asciiTheme="minorHAnsi" w:hAnsiTheme="minorHAnsi" w:cs="Arial"/>
          <w:color w:val="auto"/>
          <w:sz w:val="22"/>
          <w:szCs w:val="22"/>
        </w:rPr>
        <w:t xml:space="preserve"> lower NNDR Top Up grant. The </w:t>
      </w:r>
      <w:r w:rsidR="0099052E">
        <w:rPr>
          <w:rFonts w:asciiTheme="minorHAnsi" w:hAnsiTheme="minorHAnsi" w:cs="Arial"/>
          <w:color w:val="auto"/>
          <w:sz w:val="22"/>
          <w:szCs w:val="22"/>
        </w:rPr>
        <w:t xml:space="preserve">18/19 </w:t>
      </w:r>
      <w:r w:rsidRPr="00EB0334">
        <w:rPr>
          <w:rFonts w:asciiTheme="minorHAnsi" w:hAnsiTheme="minorHAnsi" w:cs="Arial"/>
          <w:color w:val="auto"/>
          <w:sz w:val="22"/>
          <w:szCs w:val="22"/>
        </w:rPr>
        <w:t xml:space="preserve">reduction in the RSG table above was </w:t>
      </w:r>
      <w:r>
        <w:rPr>
          <w:rFonts w:asciiTheme="minorHAnsi" w:hAnsiTheme="minorHAnsi" w:cs="Arial"/>
          <w:color w:val="auto"/>
          <w:sz w:val="22"/>
          <w:szCs w:val="22"/>
        </w:rPr>
        <w:t xml:space="preserve">reflected in a lower NNDR Top </w:t>
      </w:r>
      <w:proofErr w:type="gramStart"/>
      <w:r>
        <w:rPr>
          <w:rFonts w:asciiTheme="minorHAnsi" w:hAnsiTheme="minorHAnsi" w:cs="Arial"/>
          <w:color w:val="auto"/>
          <w:sz w:val="22"/>
          <w:szCs w:val="22"/>
        </w:rPr>
        <w:t>Up</w:t>
      </w:r>
      <w:proofErr w:type="gramEnd"/>
      <w:r>
        <w:rPr>
          <w:rFonts w:asciiTheme="minorHAnsi" w:hAnsiTheme="minorHAnsi" w:cs="Arial"/>
          <w:color w:val="auto"/>
          <w:sz w:val="22"/>
          <w:szCs w:val="22"/>
        </w:rPr>
        <w:t xml:space="preserve"> Grant.</w:t>
      </w:r>
    </w:p>
    <w:p w:rsidR="00203BAD" w:rsidRPr="00EB0334" w:rsidRDefault="00203BAD" w:rsidP="00203BAD">
      <w:pPr>
        <w:pStyle w:val="BodyText"/>
        <w:widowControl w:val="0"/>
        <w:rPr>
          <w:rFonts w:asciiTheme="minorHAnsi" w:hAnsiTheme="minorHAnsi" w:cs="Arial"/>
          <w:color w:val="auto"/>
          <w:sz w:val="22"/>
          <w:szCs w:val="22"/>
        </w:rPr>
      </w:pPr>
      <w:r>
        <w:rPr>
          <w:rFonts w:asciiTheme="minorHAnsi" w:hAnsiTheme="minorHAnsi" w:cs="Arial"/>
          <w:color w:val="auto"/>
          <w:sz w:val="22"/>
          <w:szCs w:val="22"/>
        </w:rPr>
        <w:lastRenderedPageBreak/>
        <w:t>From 2017 the updated national NNDR revaluations were implemented. In Torbay there was an average £6m (6%) reduction in the gross rateable values of businesses.</w:t>
      </w:r>
    </w:p>
    <w:p w:rsidR="00203BAD" w:rsidRPr="00E6149D" w:rsidRDefault="00203BAD" w:rsidP="00203BAD">
      <w:pPr>
        <w:spacing w:after="0" w:line="240" w:lineRule="auto"/>
        <w:rPr>
          <w:rFonts w:asciiTheme="minorHAnsi" w:hAnsiTheme="minorHAnsi" w:cs="Arial"/>
          <w:color w:val="auto"/>
          <w:sz w:val="22"/>
          <w:szCs w:val="22"/>
          <w:u w:val="single"/>
        </w:rPr>
      </w:pPr>
      <w:r w:rsidRPr="00E6149D">
        <w:rPr>
          <w:rFonts w:asciiTheme="minorHAnsi" w:hAnsiTheme="minorHAnsi" w:cs="Arial"/>
          <w:color w:val="auto"/>
          <w:sz w:val="22"/>
          <w:szCs w:val="22"/>
          <w:u w:val="single"/>
        </w:rPr>
        <w:t>Revenue Budget 2017/2018</w:t>
      </w:r>
    </w:p>
    <w:p w:rsidR="00203BAD" w:rsidRPr="0005794A" w:rsidRDefault="00203BAD" w:rsidP="00203BAD">
      <w:pPr>
        <w:spacing w:after="0" w:line="240" w:lineRule="auto"/>
        <w:rPr>
          <w:rFonts w:asciiTheme="minorHAnsi" w:hAnsiTheme="minorHAnsi" w:cs="Arial"/>
          <w:color w:val="548DD4" w:themeColor="text2" w:themeTint="99"/>
          <w:sz w:val="22"/>
          <w:szCs w:val="22"/>
          <w:u w:val="single"/>
        </w:rPr>
      </w:pPr>
    </w:p>
    <w:p w:rsidR="00203BAD" w:rsidRPr="00DD6D08" w:rsidRDefault="00203BAD" w:rsidP="00203BAD">
      <w:pPr>
        <w:pStyle w:val="BodyText"/>
        <w:widowControl w:val="0"/>
        <w:rPr>
          <w:rFonts w:asciiTheme="minorHAnsi" w:hAnsiTheme="minorHAnsi" w:cs="Arial"/>
          <w:color w:val="auto"/>
          <w:sz w:val="22"/>
          <w:szCs w:val="22"/>
        </w:rPr>
      </w:pPr>
      <w:r w:rsidRPr="00EF0ED1">
        <w:rPr>
          <w:rFonts w:asciiTheme="minorHAnsi" w:hAnsiTheme="minorHAnsi" w:cs="Arial"/>
          <w:color w:val="auto"/>
          <w:sz w:val="22"/>
          <w:szCs w:val="22"/>
        </w:rPr>
        <w:t>In February 2017, the Council set a budget for 2017/18 of £110 million (against a budget of £109 million in 2016/17). £7 million of reductions were required to set a balanced budget for 2017/18</w:t>
      </w:r>
      <w:r w:rsidRPr="0005794A">
        <w:rPr>
          <w:rFonts w:asciiTheme="minorHAnsi" w:hAnsiTheme="minorHAnsi" w:cs="Arial"/>
          <w:color w:val="548DD4" w:themeColor="text2" w:themeTint="99"/>
          <w:sz w:val="22"/>
          <w:szCs w:val="22"/>
        </w:rPr>
        <w:t xml:space="preserve"> </w:t>
      </w:r>
      <w:r w:rsidRPr="00EF0ED1">
        <w:rPr>
          <w:rFonts w:asciiTheme="minorHAnsi" w:hAnsiTheme="minorHAnsi" w:cs="Arial"/>
          <w:color w:val="auto"/>
          <w:sz w:val="22"/>
          <w:szCs w:val="22"/>
        </w:rPr>
        <w:t>and there is also an estimated funding gap up to £15 million for the following three years</w:t>
      </w:r>
      <w:r>
        <w:rPr>
          <w:rFonts w:asciiTheme="minorHAnsi" w:hAnsiTheme="minorHAnsi" w:cs="Arial"/>
          <w:color w:val="auto"/>
          <w:sz w:val="22"/>
          <w:szCs w:val="22"/>
        </w:rPr>
        <w:t xml:space="preserve"> from 2019/20</w:t>
      </w:r>
      <w:r w:rsidRPr="00EF0ED1">
        <w:rPr>
          <w:rFonts w:asciiTheme="minorHAnsi" w:hAnsiTheme="minorHAnsi" w:cs="Arial"/>
          <w:color w:val="auto"/>
          <w:sz w:val="22"/>
          <w:szCs w:val="22"/>
        </w:rPr>
        <w:t>. The Council is me</w:t>
      </w:r>
      <w:r w:rsidRPr="00DD6D08">
        <w:rPr>
          <w:rFonts w:asciiTheme="minorHAnsi" w:hAnsiTheme="minorHAnsi" w:cs="Arial"/>
          <w:color w:val="auto"/>
          <w:sz w:val="22"/>
          <w:szCs w:val="22"/>
        </w:rPr>
        <w:t>eting the financial challenges through identifying and implementing service changes and income generation opportunities, and, in some case, service reductions.</w:t>
      </w:r>
    </w:p>
    <w:p w:rsidR="00203BAD" w:rsidRPr="0005794A" w:rsidRDefault="00203BAD" w:rsidP="00203BAD">
      <w:pPr>
        <w:pStyle w:val="BodyText"/>
        <w:widowControl w:val="0"/>
        <w:rPr>
          <w:rFonts w:asciiTheme="minorHAnsi" w:hAnsiTheme="minorHAnsi" w:cs="Arial"/>
          <w:color w:val="548DD4" w:themeColor="text2" w:themeTint="99"/>
          <w:sz w:val="22"/>
          <w:szCs w:val="22"/>
        </w:rPr>
      </w:pPr>
      <w:r w:rsidRPr="001023DF">
        <w:rPr>
          <w:rFonts w:asciiTheme="minorHAnsi" w:hAnsiTheme="minorHAnsi" w:cs="Arial"/>
          <w:color w:val="auto"/>
          <w:sz w:val="22"/>
          <w:szCs w:val="22"/>
        </w:rPr>
        <w:t xml:space="preserve">The Council raised its level of Council Tax by 4.99%, comprising 1.99% for the Council services and 3% specifically </w:t>
      </w:r>
      <w:r>
        <w:rPr>
          <w:rFonts w:asciiTheme="minorHAnsi" w:hAnsiTheme="minorHAnsi" w:cs="Arial"/>
          <w:color w:val="auto"/>
          <w:sz w:val="22"/>
          <w:szCs w:val="22"/>
        </w:rPr>
        <w:t xml:space="preserve">to support </w:t>
      </w:r>
      <w:r w:rsidRPr="001023DF">
        <w:rPr>
          <w:rFonts w:asciiTheme="minorHAnsi" w:hAnsiTheme="minorHAnsi" w:cs="Arial"/>
          <w:color w:val="auto"/>
          <w:sz w:val="22"/>
          <w:szCs w:val="22"/>
        </w:rPr>
        <w:t>Adult So</w:t>
      </w:r>
      <w:r w:rsidRPr="008B3A5A">
        <w:rPr>
          <w:rFonts w:asciiTheme="minorHAnsi" w:hAnsiTheme="minorHAnsi" w:cs="Arial"/>
          <w:color w:val="auto"/>
          <w:sz w:val="22"/>
          <w:szCs w:val="22"/>
        </w:rPr>
        <w:t>cial Care.  This resulted in the Council setting its share of the Council Tax for a Band D property at £1,376.93.</w:t>
      </w:r>
    </w:p>
    <w:p w:rsidR="00203BAD" w:rsidRPr="00E6149D" w:rsidRDefault="00203BAD" w:rsidP="00203BAD">
      <w:pPr>
        <w:pStyle w:val="BodyText"/>
        <w:widowControl w:val="0"/>
        <w:rPr>
          <w:rFonts w:asciiTheme="minorHAnsi" w:hAnsiTheme="minorHAnsi" w:cs="Arial"/>
          <w:color w:val="auto"/>
          <w:sz w:val="22"/>
          <w:szCs w:val="22"/>
        </w:rPr>
      </w:pPr>
      <w:r w:rsidRPr="00E6149D">
        <w:rPr>
          <w:rFonts w:asciiTheme="minorHAnsi" w:hAnsiTheme="minorHAnsi" w:cs="Arial"/>
          <w:color w:val="auto"/>
          <w:sz w:val="22"/>
          <w:szCs w:val="22"/>
        </w:rPr>
        <w:t xml:space="preserve">The table below shows how the Council’s revenue budget was funded in 2017/2018. </w:t>
      </w:r>
    </w:p>
    <w:tbl>
      <w:tblPr>
        <w:tblStyle w:val="ListTable3-Accent51"/>
        <w:tblW w:w="9061" w:type="dxa"/>
        <w:jc w:val="center"/>
        <w:tblLook w:val="01E0" w:firstRow="1" w:lastRow="1" w:firstColumn="1" w:lastColumn="1" w:noHBand="0" w:noVBand="0"/>
      </w:tblPr>
      <w:tblGrid>
        <w:gridCol w:w="5030"/>
        <w:gridCol w:w="1596"/>
        <w:gridCol w:w="1257"/>
        <w:gridCol w:w="1178"/>
      </w:tblGrid>
      <w:tr w:rsidR="00203BAD" w:rsidRPr="0005794A" w:rsidTr="002C155D">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100" w:firstRow="0" w:lastRow="0" w:firstColumn="1" w:lastColumn="0" w:oddVBand="0" w:evenVBand="0" w:oddHBand="0" w:evenHBand="0" w:firstRowFirstColumn="1" w:firstRowLastColumn="0" w:lastRowFirstColumn="0" w:lastRowLastColumn="0"/>
            <w:tcW w:w="5030" w:type="dxa"/>
          </w:tcPr>
          <w:p w:rsidR="00203BAD" w:rsidRPr="0005794A" w:rsidRDefault="00203BAD" w:rsidP="002C155D">
            <w:pPr>
              <w:pStyle w:val="BodyText"/>
              <w:widowControl w:val="0"/>
              <w:jc w:val="center"/>
              <w:rPr>
                <w:rFonts w:asciiTheme="minorHAnsi" w:hAnsiTheme="minorHAnsi" w:cs="Arial"/>
                <w:color w:val="548DD4" w:themeColor="text2" w:themeTint="99"/>
                <w:sz w:val="22"/>
                <w:szCs w:val="22"/>
              </w:rPr>
            </w:pPr>
          </w:p>
        </w:tc>
        <w:tc>
          <w:tcPr>
            <w:cnfStyle w:val="000010000000" w:firstRow="0" w:lastRow="0" w:firstColumn="0" w:lastColumn="0" w:oddVBand="1" w:evenVBand="0" w:oddHBand="0" w:evenHBand="0" w:firstRowFirstColumn="0" w:firstRowLastColumn="0" w:lastRowFirstColumn="0" w:lastRowLastColumn="0"/>
            <w:tcW w:w="1596" w:type="dxa"/>
            <w:tcBorders>
              <w:right w:val="nil"/>
            </w:tcBorders>
            <w:vAlign w:val="center"/>
          </w:tcPr>
          <w:p w:rsidR="00203BAD" w:rsidRPr="00E6149D" w:rsidRDefault="00203BAD" w:rsidP="002C155D">
            <w:pPr>
              <w:pStyle w:val="BodyText"/>
              <w:widowControl w:val="0"/>
              <w:spacing w:after="0" w:line="240" w:lineRule="auto"/>
              <w:jc w:val="center"/>
              <w:rPr>
                <w:rFonts w:asciiTheme="minorHAnsi" w:hAnsiTheme="minorHAnsi" w:cs="Arial"/>
                <w:color w:val="auto"/>
                <w:sz w:val="22"/>
                <w:szCs w:val="22"/>
              </w:rPr>
            </w:pPr>
            <w:r w:rsidRPr="00E6149D">
              <w:rPr>
                <w:rFonts w:asciiTheme="minorHAnsi" w:hAnsiTheme="minorHAnsi" w:cs="Arial"/>
                <w:color w:val="auto"/>
                <w:sz w:val="22"/>
                <w:szCs w:val="22"/>
              </w:rPr>
              <w:t>2016/17</w:t>
            </w:r>
          </w:p>
        </w:tc>
        <w:tc>
          <w:tcPr>
            <w:tcW w:w="1257" w:type="dxa"/>
            <w:tcBorders>
              <w:right w:val="nil"/>
            </w:tcBorders>
            <w:vAlign w:val="center"/>
          </w:tcPr>
          <w:p w:rsidR="00203BAD" w:rsidRPr="00E6149D" w:rsidRDefault="00203BAD" w:rsidP="002C155D">
            <w:pPr>
              <w:pStyle w:val="BodyT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sz w:val="22"/>
                <w:szCs w:val="22"/>
              </w:rPr>
            </w:pPr>
            <w:r w:rsidRPr="00E6149D">
              <w:rPr>
                <w:rFonts w:asciiTheme="minorHAnsi" w:hAnsiTheme="minorHAnsi" w:cs="Arial"/>
                <w:color w:val="auto"/>
                <w:sz w:val="22"/>
                <w:szCs w:val="22"/>
              </w:rPr>
              <w:t>2017/18</w:t>
            </w:r>
          </w:p>
        </w:tc>
        <w:tc>
          <w:tcPr>
            <w:cnfStyle w:val="000100001000" w:firstRow="0" w:lastRow="0" w:firstColumn="0" w:lastColumn="1" w:oddVBand="0" w:evenVBand="0" w:oddHBand="0" w:evenHBand="0" w:firstRowFirstColumn="0" w:firstRowLastColumn="1" w:lastRowFirstColumn="0" w:lastRowLastColumn="0"/>
            <w:tcW w:w="1178" w:type="dxa"/>
            <w:tcBorders>
              <w:right w:val="nil"/>
            </w:tcBorders>
          </w:tcPr>
          <w:p w:rsidR="00203BAD" w:rsidRPr="0005794A" w:rsidRDefault="00203BAD" w:rsidP="002C155D">
            <w:pPr>
              <w:pStyle w:val="BodyText"/>
              <w:widowControl w:val="0"/>
              <w:jc w:val="center"/>
              <w:rPr>
                <w:rFonts w:asciiTheme="minorHAnsi" w:hAnsiTheme="minorHAnsi" w:cs="Arial"/>
                <w:b w:val="0"/>
                <w:bCs w:val="0"/>
                <w:color w:val="548DD4" w:themeColor="text2" w:themeTint="99"/>
                <w:sz w:val="22"/>
                <w:szCs w:val="22"/>
              </w:rPr>
            </w:pP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05794A" w:rsidRDefault="00203BAD" w:rsidP="002C155D">
            <w:pPr>
              <w:pStyle w:val="BodyText"/>
              <w:widowControl w:val="0"/>
              <w:rPr>
                <w:rFonts w:asciiTheme="minorHAnsi" w:hAnsiTheme="minorHAnsi" w:cs="Arial"/>
                <w:b w:val="0"/>
                <w:color w:val="548DD4" w:themeColor="text2" w:themeTint="99"/>
                <w:sz w:val="22"/>
                <w:szCs w:val="22"/>
              </w:rPr>
            </w:pPr>
          </w:p>
        </w:tc>
        <w:tc>
          <w:tcPr>
            <w:cnfStyle w:val="000010000000" w:firstRow="0" w:lastRow="0" w:firstColumn="0" w:lastColumn="0" w:oddVBand="1" w:evenVBand="0" w:oddHBand="0" w:evenHBand="0" w:firstRowFirstColumn="0" w:firstRowLastColumn="0" w:lastRowFirstColumn="0" w:lastRowLastColumn="0"/>
            <w:tcW w:w="1596" w:type="dxa"/>
          </w:tcPr>
          <w:p w:rsidR="00203BAD" w:rsidRPr="00E6149D" w:rsidRDefault="00203BAD" w:rsidP="002C155D">
            <w:pPr>
              <w:pStyle w:val="BodyText"/>
              <w:widowControl w:val="0"/>
              <w:jc w:val="center"/>
              <w:rPr>
                <w:rFonts w:asciiTheme="minorHAnsi" w:hAnsiTheme="minorHAnsi" w:cs="Arial"/>
                <w:color w:val="auto"/>
                <w:sz w:val="22"/>
                <w:szCs w:val="22"/>
              </w:rPr>
            </w:pPr>
            <w:r w:rsidRPr="00E6149D">
              <w:rPr>
                <w:rFonts w:asciiTheme="minorHAnsi" w:hAnsiTheme="minorHAnsi" w:cs="Arial"/>
                <w:color w:val="auto"/>
                <w:sz w:val="22"/>
                <w:szCs w:val="22"/>
              </w:rPr>
              <w:t>£ m</w:t>
            </w:r>
          </w:p>
        </w:tc>
        <w:tc>
          <w:tcPr>
            <w:tcW w:w="1257" w:type="dxa"/>
          </w:tcPr>
          <w:p w:rsidR="00203BAD" w:rsidRPr="00E6149D" w:rsidRDefault="00203BAD" w:rsidP="002C155D">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E6149D">
              <w:rPr>
                <w:rFonts w:asciiTheme="minorHAnsi" w:hAnsiTheme="minorHAnsi" w:cs="Arial"/>
                <w:color w:val="auto"/>
                <w:sz w:val="22"/>
                <w:szCs w:val="22"/>
              </w:rPr>
              <w:t>£ m</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E6149D" w:rsidRDefault="00203BAD" w:rsidP="002C155D">
            <w:pPr>
              <w:pStyle w:val="BodyText"/>
              <w:widowControl w:val="0"/>
              <w:jc w:val="center"/>
              <w:rPr>
                <w:rFonts w:asciiTheme="minorHAnsi" w:hAnsiTheme="minorHAnsi" w:cs="Arial"/>
                <w:b w:val="0"/>
                <w:color w:val="auto"/>
                <w:sz w:val="22"/>
                <w:szCs w:val="22"/>
              </w:rPr>
            </w:pPr>
            <w:r w:rsidRPr="00E6149D">
              <w:rPr>
                <w:rFonts w:asciiTheme="minorHAnsi" w:hAnsiTheme="minorHAnsi" w:cs="Arial"/>
                <w:b w:val="0"/>
                <w:color w:val="auto"/>
                <w:sz w:val="22"/>
                <w:szCs w:val="22"/>
              </w:rPr>
              <w:t>% change</w:t>
            </w:r>
          </w:p>
        </w:tc>
      </w:tr>
      <w:tr w:rsidR="00203BAD" w:rsidRPr="0005794A"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E6149D" w:rsidRDefault="00203BAD" w:rsidP="002C155D">
            <w:pPr>
              <w:pStyle w:val="BodyText"/>
              <w:widowControl w:val="0"/>
              <w:rPr>
                <w:rFonts w:asciiTheme="minorHAnsi" w:hAnsiTheme="minorHAnsi" w:cs="Arial"/>
                <w:b w:val="0"/>
                <w:color w:val="auto"/>
                <w:sz w:val="22"/>
                <w:szCs w:val="22"/>
              </w:rPr>
            </w:pPr>
            <w:r w:rsidRPr="00E6149D">
              <w:rPr>
                <w:rFonts w:asciiTheme="minorHAnsi" w:hAnsiTheme="minorHAnsi" w:cs="Arial"/>
                <w:b w:val="0"/>
                <w:color w:val="auto"/>
                <w:sz w:val="22"/>
                <w:szCs w:val="22"/>
              </w:rPr>
              <w:t>Net Budget Requirement</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E6149D" w:rsidRDefault="00203BAD" w:rsidP="002C155D">
            <w:pPr>
              <w:pStyle w:val="BodyText"/>
              <w:widowControl w:val="0"/>
              <w:jc w:val="center"/>
              <w:rPr>
                <w:rFonts w:asciiTheme="minorHAnsi" w:hAnsiTheme="minorHAnsi" w:cs="Arial"/>
                <w:b/>
                <w:color w:val="auto"/>
                <w:sz w:val="22"/>
                <w:szCs w:val="22"/>
              </w:rPr>
            </w:pPr>
            <w:r w:rsidRPr="00E6149D">
              <w:rPr>
                <w:rFonts w:asciiTheme="minorHAnsi" w:hAnsiTheme="minorHAnsi" w:cs="Arial"/>
                <w:b/>
                <w:color w:val="auto"/>
                <w:sz w:val="22"/>
                <w:szCs w:val="22"/>
              </w:rPr>
              <w:t>109</w:t>
            </w:r>
          </w:p>
        </w:tc>
        <w:tc>
          <w:tcPr>
            <w:tcW w:w="1257" w:type="dxa"/>
          </w:tcPr>
          <w:p w:rsidR="00203BAD" w:rsidRPr="00E6149D" w:rsidRDefault="00203BAD" w:rsidP="002C155D">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r>
              <w:rPr>
                <w:rFonts w:asciiTheme="minorHAnsi" w:hAnsiTheme="minorHAnsi" w:cs="Arial"/>
                <w:b/>
                <w:color w:val="auto"/>
                <w:sz w:val="22"/>
                <w:szCs w:val="22"/>
              </w:rPr>
              <w:t>110</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55029C" w:rsidRDefault="00203BAD" w:rsidP="002C155D">
            <w:pPr>
              <w:pStyle w:val="BodyText"/>
              <w:widowControl w:val="0"/>
              <w:jc w:val="center"/>
              <w:rPr>
                <w:rFonts w:asciiTheme="minorHAnsi" w:hAnsiTheme="minorHAnsi" w:cs="Arial"/>
                <w:b w:val="0"/>
                <w:color w:val="auto"/>
                <w:sz w:val="22"/>
                <w:szCs w:val="22"/>
              </w:rPr>
            </w:pPr>
            <w:r w:rsidRPr="0055029C">
              <w:rPr>
                <w:rFonts w:asciiTheme="minorHAnsi" w:hAnsiTheme="minorHAnsi" w:cs="Arial"/>
                <w:b w:val="0"/>
                <w:color w:val="auto"/>
                <w:sz w:val="22"/>
                <w:szCs w:val="22"/>
              </w:rPr>
              <w:t>1</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E6149D" w:rsidRDefault="00203BAD" w:rsidP="002C155D">
            <w:pPr>
              <w:pStyle w:val="BodyText"/>
              <w:widowControl w:val="0"/>
              <w:rPr>
                <w:rFonts w:asciiTheme="minorHAnsi" w:hAnsiTheme="minorHAnsi" w:cs="Arial"/>
                <w:b w:val="0"/>
                <w:color w:val="auto"/>
                <w:sz w:val="22"/>
                <w:szCs w:val="22"/>
              </w:rPr>
            </w:pPr>
            <w:r>
              <w:rPr>
                <w:rFonts w:asciiTheme="minorHAnsi" w:hAnsiTheme="minorHAnsi" w:cs="Arial"/>
                <w:b w:val="0"/>
                <w:color w:val="auto"/>
                <w:sz w:val="22"/>
                <w:szCs w:val="22"/>
              </w:rPr>
              <w:t>New Homes Bonus and other general grants</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E6149D" w:rsidRDefault="00203BAD" w:rsidP="002C155D">
            <w:pPr>
              <w:pStyle w:val="BodyText"/>
              <w:widowControl w:val="0"/>
              <w:jc w:val="center"/>
              <w:rPr>
                <w:rFonts w:asciiTheme="minorHAnsi" w:hAnsiTheme="minorHAnsi" w:cs="Arial"/>
                <w:b/>
                <w:color w:val="auto"/>
                <w:sz w:val="22"/>
                <w:szCs w:val="22"/>
              </w:rPr>
            </w:pPr>
            <w:r w:rsidRPr="00E6149D">
              <w:rPr>
                <w:rFonts w:asciiTheme="minorHAnsi" w:hAnsiTheme="minorHAnsi" w:cs="Arial"/>
                <w:b/>
                <w:color w:val="auto"/>
                <w:sz w:val="22"/>
                <w:szCs w:val="22"/>
              </w:rPr>
              <w:t>(</w:t>
            </w:r>
            <w:r>
              <w:rPr>
                <w:rFonts w:asciiTheme="minorHAnsi" w:hAnsiTheme="minorHAnsi" w:cs="Arial"/>
                <w:b/>
                <w:color w:val="auto"/>
                <w:sz w:val="22"/>
                <w:szCs w:val="22"/>
              </w:rPr>
              <w:t>2</w:t>
            </w:r>
            <w:r w:rsidRPr="00E6149D">
              <w:rPr>
                <w:rFonts w:asciiTheme="minorHAnsi" w:hAnsiTheme="minorHAnsi" w:cs="Arial"/>
                <w:b/>
                <w:color w:val="auto"/>
                <w:sz w:val="22"/>
                <w:szCs w:val="22"/>
              </w:rPr>
              <w:t>)</w:t>
            </w:r>
          </w:p>
        </w:tc>
        <w:tc>
          <w:tcPr>
            <w:tcW w:w="1257" w:type="dxa"/>
          </w:tcPr>
          <w:p w:rsidR="00203BAD" w:rsidRPr="00E6149D" w:rsidRDefault="00203BAD" w:rsidP="002C155D">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Pr>
                <w:rFonts w:asciiTheme="minorHAnsi" w:hAnsiTheme="minorHAnsi" w:cs="Arial"/>
                <w:b/>
                <w:color w:val="auto"/>
                <w:sz w:val="22"/>
                <w:szCs w:val="22"/>
              </w:rPr>
              <w:t>(2)</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55029C" w:rsidRDefault="00203BAD" w:rsidP="002C155D">
            <w:pPr>
              <w:pStyle w:val="BodyText"/>
              <w:widowControl w:val="0"/>
              <w:jc w:val="center"/>
              <w:rPr>
                <w:rFonts w:asciiTheme="minorHAnsi" w:hAnsiTheme="minorHAnsi" w:cs="Arial"/>
                <w:b w:val="0"/>
                <w:color w:val="auto"/>
                <w:sz w:val="22"/>
                <w:szCs w:val="22"/>
              </w:rPr>
            </w:pPr>
            <w:r w:rsidRPr="0055029C">
              <w:rPr>
                <w:rFonts w:asciiTheme="minorHAnsi" w:hAnsiTheme="minorHAnsi" w:cs="Arial"/>
                <w:b w:val="0"/>
                <w:color w:val="auto"/>
                <w:sz w:val="22"/>
                <w:szCs w:val="22"/>
              </w:rPr>
              <w:t>0</w:t>
            </w:r>
          </w:p>
        </w:tc>
      </w:tr>
      <w:tr w:rsidR="00203BAD" w:rsidRPr="0005794A"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E6149D" w:rsidRDefault="00203BAD" w:rsidP="002C155D">
            <w:pPr>
              <w:pStyle w:val="BodyText"/>
              <w:widowControl w:val="0"/>
              <w:rPr>
                <w:rFonts w:asciiTheme="minorHAnsi" w:hAnsiTheme="minorHAnsi" w:cs="Arial"/>
                <w:b w:val="0"/>
                <w:color w:val="auto"/>
                <w:sz w:val="22"/>
                <w:szCs w:val="22"/>
              </w:rPr>
            </w:pPr>
            <w:r w:rsidRPr="00E6149D">
              <w:rPr>
                <w:rFonts w:asciiTheme="minorHAnsi" w:hAnsiTheme="minorHAnsi" w:cs="Arial"/>
                <w:b w:val="0"/>
                <w:color w:val="auto"/>
                <w:sz w:val="22"/>
                <w:szCs w:val="22"/>
              </w:rPr>
              <w:t>NNDR Rate Retention</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E6149D" w:rsidRDefault="00203BAD" w:rsidP="002C155D">
            <w:pPr>
              <w:pStyle w:val="BodyText"/>
              <w:widowControl w:val="0"/>
              <w:jc w:val="center"/>
              <w:rPr>
                <w:rFonts w:asciiTheme="minorHAnsi" w:hAnsiTheme="minorHAnsi" w:cs="Arial"/>
                <w:b/>
                <w:color w:val="auto"/>
                <w:sz w:val="22"/>
                <w:szCs w:val="22"/>
              </w:rPr>
            </w:pPr>
            <w:r w:rsidRPr="00E6149D">
              <w:rPr>
                <w:rFonts w:asciiTheme="minorHAnsi" w:hAnsiTheme="minorHAnsi" w:cs="Arial"/>
                <w:b/>
                <w:color w:val="auto"/>
                <w:sz w:val="22"/>
                <w:szCs w:val="22"/>
              </w:rPr>
              <w:t>(3</w:t>
            </w:r>
            <w:r>
              <w:rPr>
                <w:rFonts w:asciiTheme="minorHAnsi" w:hAnsiTheme="minorHAnsi" w:cs="Arial"/>
                <w:b/>
                <w:color w:val="auto"/>
                <w:sz w:val="22"/>
                <w:szCs w:val="22"/>
              </w:rPr>
              <w:t>0</w:t>
            </w:r>
            <w:r w:rsidRPr="00E6149D">
              <w:rPr>
                <w:rFonts w:asciiTheme="minorHAnsi" w:hAnsiTheme="minorHAnsi" w:cs="Arial"/>
                <w:b/>
                <w:color w:val="auto"/>
                <w:sz w:val="22"/>
                <w:szCs w:val="22"/>
              </w:rPr>
              <w:t>)</w:t>
            </w:r>
          </w:p>
        </w:tc>
        <w:tc>
          <w:tcPr>
            <w:tcW w:w="1257" w:type="dxa"/>
          </w:tcPr>
          <w:p w:rsidR="00203BAD" w:rsidRPr="00E6149D" w:rsidRDefault="00203BAD" w:rsidP="002C155D">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r>
              <w:rPr>
                <w:rFonts w:asciiTheme="minorHAnsi" w:hAnsiTheme="minorHAnsi" w:cs="Arial"/>
                <w:b/>
                <w:color w:val="auto"/>
                <w:sz w:val="22"/>
                <w:szCs w:val="22"/>
              </w:rPr>
              <w:t>(31)</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55029C" w:rsidRDefault="00203BAD" w:rsidP="002C155D">
            <w:pPr>
              <w:pStyle w:val="BodyText"/>
              <w:widowControl w:val="0"/>
              <w:jc w:val="center"/>
              <w:rPr>
                <w:rFonts w:asciiTheme="minorHAnsi" w:hAnsiTheme="minorHAnsi" w:cs="Arial"/>
                <w:b w:val="0"/>
                <w:color w:val="auto"/>
                <w:sz w:val="22"/>
                <w:szCs w:val="22"/>
              </w:rPr>
            </w:pPr>
            <w:r w:rsidRPr="0055029C">
              <w:rPr>
                <w:rFonts w:asciiTheme="minorHAnsi" w:hAnsiTheme="minorHAnsi" w:cs="Arial"/>
                <w:b w:val="0"/>
                <w:color w:val="auto"/>
                <w:sz w:val="22"/>
                <w:szCs w:val="22"/>
              </w:rPr>
              <w:t>3</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E6149D" w:rsidRDefault="00203BAD" w:rsidP="002C155D">
            <w:pPr>
              <w:pStyle w:val="BodyText"/>
              <w:widowControl w:val="0"/>
              <w:rPr>
                <w:rFonts w:asciiTheme="minorHAnsi" w:hAnsiTheme="minorHAnsi" w:cs="Arial"/>
                <w:b w:val="0"/>
                <w:color w:val="auto"/>
                <w:sz w:val="22"/>
                <w:szCs w:val="22"/>
              </w:rPr>
            </w:pPr>
            <w:r w:rsidRPr="00E6149D">
              <w:rPr>
                <w:rFonts w:asciiTheme="minorHAnsi" w:hAnsiTheme="minorHAnsi" w:cs="Arial"/>
                <w:b w:val="0"/>
                <w:color w:val="auto"/>
                <w:sz w:val="22"/>
                <w:szCs w:val="22"/>
              </w:rPr>
              <w:t>Revenue Support Grant</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E6149D" w:rsidRDefault="00203BAD" w:rsidP="002C155D">
            <w:pPr>
              <w:pStyle w:val="BodyText"/>
              <w:widowControl w:val="0"/>
              <w:jc w:val="center"/>
              <w:rPr>
                <w:rFonts w:asciiTheme="minorHAnsi" w:hAnsiTheme="minorHAnsi" w:cs="Arial"/>
                <w:b/>
                <w:color w:val="auto"/>
                <w:sz w:val="22"/>
                <w:szCs w:val="22"/>
              </w:rPr>
            </w:pPr>
            <w:r w:rsidRPr="00E6149D">
              <w:rPr>
                <w:rFonts w:asciiTheme="minorHAnsi" w:hAnsiTheme="minorHAnsi" w:cs="Arial"/>
                <w:b/>
                <w:color w:val="auto"/>
                <w:sz w:val="22"/>
                <w:szCs w:val="22"/>
              </w:rPr>
              <w:t>(20)</w:t>
            </w:r>
          </w:p>
        </w:tc>
        <w:tc>
          <w:tcPr>
            <w:tcW w:w="1257" w:type="dxa"/>
          </w:tcPr>
          <w:p w:rsidR="00203BAD" w:rsidRPr="00E6149D" w:rsidRDefault="00203BAD" w:rsidP="002C155D">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Pr>
                <w:rFonts w:asciiTheme="minorHAnsi" w:hAnsiTheme="minorHAnsi" w:cs="Arial"/>
                <w:b/>
                <w:color w:val="auto"/>
                <w:sz w:val="22"/>
                <w:szCs w:val="22"/>
              </w:rPr>
              <w:t>(14)</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55029C" w:rsidRDefault="00203BAD" w:rsidP="002C155D">
            <w:pPr>
              <w:pStyle w:val="BodyText"/>
              <w:widowControl w:val="0"/>
              <w:jc w:val="center"/>
              <w:rPr>
                <w:rFonts w:asciiTheme="minorHAnsi" w:hAnsiTheme="minorHAnsi" w:cs="Arial"/>
                <w:b w:val="0"/>
                <w:color w:val="auto"/>
                <w:sz w:val="22"/>
                <w:szCs w:val="22"/>
              </w:rPr>
            </w:pPr>
            <w:r w:rsidRPr="0055029C">
              <w:rPr>
                <w:rFonts w:asciiTheme="minorHAnsi" w:hAnsiTheme="minorHAnsi" w:cs="Arial"/>
                <w:b w:val="0"/>
                <w:color w:val="auto"/>
                <w:sz w:val="22"/>
                <w:szCs w:val="22"/>
              </w:rPr>
              <w:t>(30)</w:t>
            </w:r>
          </w:p>
        </w:tc>
      </w:tr>
      <w:tr w:rsidR="00203BAD" w:rsidRPr="0005794A"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Borders>
              <w:top w:val="single" w:sz="4" w:space="0" w:color="4BACC6" w:themeColor="accent5"/>
              <w:bottom w:val="single" w:sz="4" w:space="0" w:color="4BACC6" w:themeColor="accent5"/>
            </w:tcBorders>
          </w:tcPr>
          <w:p w:rsidR="00203BAD" w:rsidRPr="00E6149D" w:rsidRDefault="00203BAD" w:rsidP="002C155D">
            <w:pPr>
              <w:pStyle w:val="BodyText"/>
              <w:widowControl w:val="0"/>
              <w:rPr>
                <w:rFonts w:asciiTheme="minorHAnsi" w:hAnsiTheme="minorHAnsi" w:cs="Arial"/>
                <w:b w:val="0"/>
                <w:color w:val="auto"/>
                <w:sz w:val="22"/>
                <w:szCs w:val="22"/>
              </w:rPr>
            </w:pPr>
            <w:r w:rsidRPr="00E6149D">
              <w:rPr>
                <w:rFonts w:asciiTheme="minorHAnsi" w:hAnsiTheme="minorHAnsi" w:cs="Arial"/>
                <w:b w:val="0"/>
                <w:color w:val="auto"/>
                <w:sz w:val="22"/>
                <w:szCs w:val="22"/>
              </w:rPr>
              <w:t>Council Tax</w:t>
            </w:r>
          </w:p>
        </w:tc>
        <w:tc>
          <w:tcPr>
            <w:cnfStyle w:val="000010000000" w:firstRow="0" w:lastRow="0" w:firstColumn="0" w:lastColumn="0" w:oddVBand="1" w:evenVBand="0" w:oddHBand="0" w:evenHBand="0" w:firstRowFirstColumn="0" w:firstRowLastColumn="0" w:lastRowFirstColumn="0" w:lastRowLastColumn="0"/>
            <w:tcW w:w="1596" w:type="dxa"/>
            <w:tcBorders>
              <w:top w:val="single" w:sz="4" w:space="0" w:color="4BACC6" w:themeColor="accent5"/>
              <w:bottom w:val="single" w:sz="4" w:space="0" w:color="4BACC6" w:themeColor="accent5"/>
            </w:tcBorders>
          </w:tcPr>
          <w:p w:rsidR="00203BAD" w:rsidRPr="00E6149D" w:rsidRDefault="00203BAD" w:rsidP="002C155D">
            <w:pPr>
              <w:pStyle w:val="BodyText"/>
              <w:widowControl w:val="0"/>
              <w:jc w:val="center"/>
              <w:rPr>
                <w:rFonts w:asciiTheme="minorHAnsi" w:hAnsiTheme="minorHAnsi" w:cs="Arial"/>
                <w:b/>
                <w:color w:val="auto"/>
                <w:sz w:val="22"/>
                <w:szCs w:val="22"/>
              </w:rPr>
            </w:pPr>
            <w:r w:rsidRPr="00E6149D">
              <w:rPr>
                <w:rFonts w:asciiTheme="minorHAnsi" w:hAnsiTheme="minorHAnsi" w:cs="Arial"/>
                <w:b/>
                <w:color w:val="auto"/>
                <w:sz w:val="22"/>
                <w:szCs w:val="22"/>
              </w:rPr>
              <w:t>(5</w:t>
            </w:r>
            <w:r>
              <w:rPr>
                <w:rFonts w:asciiTheme="minorHAnsi" w:hAnsiTheme="minorHAnsi" w:cs="Arial"/>
                <w:b/>
                <w:color w:val="auto"/>
                <w:sz w:val="22"/>
                <w:szCs w:val="22"/>
              </w:rPr>
              <w:t>6</w:t>
            </w:r>
            <w:r w:rsidRPr="00E6149D">
              <w:rPr>
                <w:rFonts w:asciiTheme="minorHAnsi" w:hAnsiTheme="minorHAnsi" w:cs="Arial"/>
                <w:b/>
                <w:color w:val="auto"/>
                <w:sz w:val="22"/>
                <w:szCs w:val="22"/>
              </w:rPr>
              <w:t>)</w:t>
            </w:r>
          </w:p>
        </w:tc>
        <w:tc>
          <w:tcPr>
            <w:tcW w:w="1257" w:type="dxa"/>
            <w:tcBorders>
              <w:top w:val="single" w:sz="4" w:space="0" w:color="4BACC6" w:themeColor="accent5"/>
              <w:bottom w:val="single" w:sz="4" w:space="0" w:color="4BACC6" w:themeColor="accent5"/>
            </w:tcBorders>
          </w:tcPr>
          <w:p w:rsidR="00203BAD" w:rsidRPr="00E6149D" w:rsidRDefault="00203BAD" w:rsidP="002C155D">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auto"/>
                <w:sz w:val="22"/>
                <w:szCs w:val="22"/>
              </w:rPr>
            </w:pPr>
            <w:r>
              <w:rPr>
                <w:rFonts w:asciiTheme="minorHAnsi" w:hAnsiTheme="minorHAnsi" w:cs="Arial"/>
                <w:b/>
                <w:color w:val="auto"/>
                <w:sz w:val="22"/>
                <w:szCs w:val="22"/>
              </w:rPr>
              <w:t>(61)</w:t>
            </w:r>
          </w:p>
        </w:tc>
        <w:tc>
          <w:tcPr>
            <w:cnfStyle w:val="000100000000" w:firstRow="0" w:lastRow="0" w:firstColumn="0" w:lastColumn="1" w:oddVBand="0" w:evenVBand="0" w:oddHBand="0" w:evenHBand="0" w:firstRowFirstColumn="0" w:firstRowLastColumn="0" w:lastRowFirstColumn="0" w:lastRowLastColumn="0"/>
            <w:tcW w:w="1178" w:type="dxa"/>
            <w:tcBorders>
              <w:top w:val="single" w:sz="4" w:space="0" w:color="4BACC6" w:themeColor="accent5"/>
              <w:left w:val="single" w:sz="4" w:space="0" w:color="4BACC6" w:themeColor="accent5"/>
              <w:bottom w:val="single" w:sz="4" w:space="0" w:color="4BACC6" w:themeColor="accent5"/>
            </w:tcBorders>
          </w:tcPr>
          <w:p w:rsidR="00203BAD" w:rsidRPr="0055029C" w:rsidRDefault="00203BAD" w:rsidP="002C155D">
            <w:pPr>
              <w:pStyle w:val="BodyText"/>
              <w:widowControl w:val="0"/>
              <w:jc w:val="center"/>
              <w:rPr>
                <w:rFonts w:asciiTheme="minorHAnsi" w:hAnsiTheme="minorHAnsi" w:cs="Arial"/>
                <w:b w:val="0"/>
                <w:color w:val="auto"/>
                <w:sz w:val="22"/>
                <w:szCs w:val="22"/>
              </w:rPr>
            </w:pPr>
            <w:r w:rsidRPr="0055029C">
              <w:rPr>
                <w:rFonts w:asciiTheme="minorHAnsi" w:hAnsiTheme="minorHAnsi" w:cs="Arial"/>
                <w:b w:val="0"/>
                <w:color w:val="auto"/>
                <w:sz w:val="22"/>
                <w:szCs w:val="22"/>
              </w:rPr>
              <w:t>9</w:t>
            </w:r>
          </w:p>
        </w:tc>
      </w:tr>
      <w:tr w:rsidR="00203BAD" w:rsidRPr="0005794A" w:rsidTr="002C155D">
        <w:trPr>
          <w:cnfStyle w:val="010000000000" w:firstRow="0" w:lastRow="1" w:firstColumn="0" w:lastColumn="0" w:oddVBand="0" w:evenVBand="0" w:oddHBand="0" w:evenHBand="0" w:firstRowFirstColumn="0" w:firstRowLastColumn="0" w:lastRowFirstColumn="0" w:lastRowLastColumn="0"/>
          <w:trHeight w:hRule="exact" w:val="275"/>
          <w:jc w:val="center"/>
        </w:trPr>
        <w:tc>
          <w:tcPr>
            <w:cnfStyle w:val="001000000001" w:firstRow="0" w:lastRow="0" w:firstColumn="1" w:lastColumn="0" w:oddVBand="0" w:evenVBand="0" w:oddHBand="0" w:evenHBand="0" w:firstRowFirstColumn="0" w:firstRowLastColumn="0" w:lastRowFirstColumn="1" w:lastRowLastColumn="0"/>
            <w:tcW w:w="5030" w:type="dxa"/>
            <w:tcBorders>
              <w:top w:val="single" w:sz="4" w:space="0" w:color="4BACC6" w:themeColor="accent5"/>
              <w:bottom w:val="single" w:sz="4" w:space="0" w:color="4BACC6" w:themeColor="accent5"/>
            </w:tcBorders>
          </w:tcPr>
          <w:p w:rsidR="00203BAD" w:rsidRPr="00E6149D" w:rsidRDefault="00203BAD" w:rsidP="002C155D">
            <w:pPr>
              <w:pStyle w:val="BodyText"/>
              <w:widowControl w:val="0"/>
              <w:rPr>
                <w:rFonts w:asciiTheme="minorHAnsi" w:hAnsiTheme="minorHAnsi" w:cs="Arial"/>
                <w:b w:val="0"/>
                <w:color w:val="auto"/>
                <w:sz w:val="22"/>
                <w:szCs w:val="22"/>
              </w:rPr>
            </w:pPr>
            <w:r w:rsidRPr="00E6149D">
              <w:rPr>
                <w:rFonts w:asciiTheme="minorHAnsi" w:hAnsiTheme="minorHAnsi" w:cs="Arial"/>
                <w:b w:val="0"/>
                <w:color w:val="auto"/>
                <w:sz w:val="22"/>
                <w:szCs w:val="22"/>
              </w:rPr>
              <w:t>Collection Fund (surplus)/deficit</w:t>
            </w:r>
          </w:p>
        </w:tc>
        <w:tc>
          <w:tcPr>
            <w:cnfStyle w:val="000010000000" w:firstRow="0" w:lastRow="0" w:firstColumn="0" w:lastColumn="0" w:oddVBand="1" w:evenVBand="0" w:oddHBand="0" w:evenHBand="0" w:firstRowFirstColumn="0" w:firstRowLastColumn="0" w:lastRowFirstColumn="0" w:lastRowLastColumn="0"/>
            <w:tcW w:w="1596" w:type="dxa"/>
            <w:tcBorders>
              <w:top w:val="single" w:sz="4" w:space="0" w:color="4BACC6" w:themeColor="accent5"/>
              <w:bottom w:val="single" w:sz="4" w:space="0" w:color="4BACC6" w:themeColor="accent5"/>
            </w:tcBorders>
          </w:tcPr>
          <w:p w:rsidR="00203BAD" w:rsidRPr="00E6149D" w:rsidRDefault="00203BAD" w:rsidP="002C155D">
            <w:pPr>
              <w:pStyle w:val="BodyText"/>
              <w:widowControl w:val="0"/>
              <w:jc w:val="center"/>
              <w:rPr>
                <w:rFonts w:asciiTheme="minorHAnsi" w:hAnsiTheme="minorHAnsi" w:cs="Arial"/>
                <w:color w:val="auto"/>
                <w:sz w:val="22"/>
                <w:szCs w:val="22"/>
              </w:rPr>
            </w:pPr>
            <w:r w:rsidRPr="00E6149D">
              <w:rPr>
                <w:rFonts w:asciiTheme="minorHAnsi" w:hAnsiTheme="minorHAnsi" w:cs="Arial"/>
                <w:color w:val="auto"/>
                <w:sz w:val="22"/>
                <w:szCs w:val="22"/>
              </w:rPr>
              <w:t>(</w:t>
            </w:r>
            <w:r>
              <w:rPr>
                <w:rFonts w:asciiTheme="minorHAnsi" w:hAnsiTheme="minorHAnsi" w:cs="Arial"/>
                <w:color w:val="auto"/>
                <w:sz w:val="22"/>
                <w:szCs w:val="22"/>
              </w:rPr>
              <w:t>1</w:t>
            </w:r>
            <w:r w:rsidRPr="00E6149D">
              <w:rPr>
                <w:rFonts w:asciiTheme="minorHAnsi" w:hAnsiTheme="minorHAnsi" w:cs="Arial"/>
                <w:color w:val="auto"/>
                <w:sz w:val="22"/>
                <w:szCs w:val="22"/>
              </w:rPr>
              <w:t>)</w:t>
            </w:r>
          </w:p>
        </w:tc>
        <w:tc>
          <w:tcPr>
            <w:tcW w:w="1257" w:type="dxa"/>
            <w:tcBorders>
              <w:top w:val="single" w:sz="4" w:space="0" w:color="4BACC6" w:themeColor="accent5"/>
              <w:bottom w:val="single" w:sz="4" w:space="0" w:color="4BACC6" w:themeColor="accent5"/>
            </w:tcBorders>
          </w:tcPr>
          <w:p w:rsidR="00203BAD" w:rsidRPr="00E6149D" w:rsidRDefault="00203BAD" w:rsidP="002C155D">
            <w:pPr>
              <w:pStyle w:val="BodyText"/>
              <w:widowControl w:val="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(2)</w:t>
            </w:r>
          </w:p>
        </w:tc>
        <w:tc>
          <w:tcPr>
            <w:cnfStyle w:val="000100000010" w:firstRow="0" w:lastRow="0" w:firstColumn="0" w:lastColumn="1" w:oddVBand="0" w:evenVBand="0" w:oddHBand="0" w:evenHBand="0" w:firstRowFirstColumn="0" w:firstRowLastColumn="0" w:lastRowFirstColumn="0" w:lastRowLastColumn="1"/>
            <w:tcW w:w="1178" w:type="dxa"/>
            <w:tcBorders>
              <w:top w:val="single" w:sz="4" w:space="0" w:color="4BACC6" w:themeColor="accent5"/>
              <w:left w:val="single" w:sz="4" w:space="0" w:color="4BACC6" w:themeColor="accent5"/>
              <w:bottom w:val="single" w:sz="4" w:space="0" w:color="4BACC6" w:themeColor="accent5"/>
            </w:tcBorders>
          </w:tcPr>
          <w:p w:rsidR="00203BAD" w:rsidRPr="0055029C" w:rsidRDefault="00203BAD" w:rsidP="002C155D">
            <w:pPr>
              <w:pStyle w:val="BodyText"/>
              <w:widowControl w:val="0"/>
              <w:jc w:val="center"/>
              <w:rPr>
                <w:rFonts w:asciiTheme="minorHAnsi" w:hAnsiTheme="minorHAnsi" w:cs="Arial"/>
                <w:b w:val="0"/>
                <w:color w:val="auto"/>
                <w:sz w:val="22"/>
                <w:szCs w:val="22"/>
              </w:rPr>
            </w:pPr>
            <w:r w:rsidRPr="0055029C">
              <w:rPr>
                <w:rFonts w:asciiTheme="minorHAnsi" w:hAnsiTheme="minorHAnsi" w:cs="Arial"/>
                <w:b w:val="0"/>
                <w:color w:val="auto"/>
                <w:sz w:val="22"/>
                <w:szCs w:val="22"/>
              </w:rPr>
              <w:t>100</w:t>
            </w:r>
          </w:p>
        </w:tc>
      </w:tr>
    </w:tbl>
    <w:p w:rsidR="00203BAD" w:rsidRPr="0005794A" w:rsidRDefault="00203BAD" w:rsidP="00203BAD">
      <w:pPr>
        <w:pStyle w:val="BodyText"/>
        <w:widowControl w:val="0"/>
        <w:rPr>
          <w:rFonts w:asciiTheme="minorHAnsi" w:hAnsiTheme="minorHAnsi" w:cs="Arial"/>
          <w:color w:val="548DD4" w:themeColor="text2" w:themeTint="99"/>
          <w:sz w:val="22"/>
          <w:szCs w:val="22"/>
        </w:rPr>
      </w:pPr>
    </w:p>
    <w:p w:rsidR="00203BAD" w:rsidRPr="0005794A" w:rsidRDefault="00203BAD" w:rsidP="00203BAD">
      <w:pPr>
        <w:pStyle w:val="BodyText"/>
        <w:widowControl w:val="0"/>
        <w:jc w:val="center"/>
        <w:rPr>
          <w:rFonts w:asciiTheme="minorHAnsi" w:hAnsiTheme="minorHAnsi" w:cs="Arial"/>
          <w:color w:val="548DD4" w:themeColor="text2" w:themeTint="99"/>
          <w:sz w:val="22"/>
          <w:szCs w:val="22"/>
        </w:rPr>
      </w:pPr>
      <w:r w:rsidRPr="0005794A">
        <w:rPr>
          <w:rFonts w:asciiTheme="minorHAnsi" w:hAnsiTheme="minorHAnsi" w:cs="Arial"/>
          <w:noProof/>
          <w:color w:val="548DD4" w:themeColor="text2" w:themeTint="99"/>
          <w:sz w:val="22"/>
          <w:szCs w:val="22"/>
          <w:lang w:eastAsia="en-GB"/>
        </w:rPr>
        <w:drawing>
          <wp:inline distT="0" distB="0" distL="0" distR="0" wp14:anchorId="0976F64B" wp14:editId="33D361E8">
            <wp:extent cx="4648366" cy="2433099"/>
            <wp:effectExtent l="0" t="0" r="0" b="0"/>
            <wp:docPr id="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3BAD" w:rsidRPr="00E6149D" w:rsidRDefault="00203BAD" w:rsidP="00203BAD">
      <w:pPr>
        <w:spacing w:after="0" w:line="240" w:lineRule="auto"/>
        <w:rPr>
          <w:rFonts w:asciiTheme="minorHAnsi" w:hAnsiTheme="minorHAnsi" w:cs="Arial"/>
          <w:color w:val="auto"/>
          <w:sz w:val="22"/>
          <w:szCs w:val="22"/>
          <w:u w:val="single"/>
        </w:rPr>
      </w:pPr>
      <w:r w:rsidRPr="00E6149D">
        <w:rPr>
          <w:rFonts w:asciiTheme="minorHAnsi" w:hAnsiTheme="minorHAnsi" w:cs="Arial"/>
          <w:color w:val="auto"/>
          <w:sz w:val="22"/>
          <w:szCs w:val="22"/>
          <w:u w:val="single"/>
        </w:rPr>
        <w:t>Council Spending in 2017/2018</w:t>
      </w:r>
    </w:p>
    <w:p w:rsidR="00203BAD" w:rsidRPr="00391B76" w:rsidRDefault="00203BAD" w:rsidP="00203BAD">
      <w:pPr>
        <w:pStyle w:val="BodyText"/>
        <w:widowControl w:val="0"/>
        <w:rPr>
          <w:rFonts w:asciiTheme="minorHAnsi" w:hAnsiTheme="minorHAnsi" w:cs="Arial"/>
          <w:color w:val="auto"/>
          <w:sz w:val="22"/>
          <w:szCs w:val="22"/>
        </w:rPr>
      </w:pPr>
      <w:r w:rsidRPr="00391B76">
        <w:rPr>
          <w:rFonts w:asciiTheme="minorHAnsi" w:hAnsiTheme="minorHAnsi" w:cs="Arial"/>
          <w:color w:val="auto"/>
          <w:sz w:val="22"/>
          <w:szCs w:val="22"/>
        </w:rPr>
        <w:t>The table below provides a summary of the budget and expenditure by service in 2017/2018, together with the variances against each budget at the end of the year.  The final two columns of the table restate the Council’s management reporting to align with the Expenditure Funding Analysis as required in the Council’s Statement of Accounts. The charts below show the net expenditure by service and the budget variance at 31 March 2018.</w:t>
      </w:r>
    </w:p>
    <w:tbl>
      <w:tblPr>
        <w:tblStyle w:val="ListTable3-Accent51"/>
        <w:tblW w:w="7938" w:type="dxa"/>
        <w:tblInd w:w="898" w:type="dxa"/>
        <w:tblLayout w:type="fixed"/>
        <w:tblLook w:val="04A0" w:firstRow="1" w:lastRow="0" w:firstColumn="1" w:lastColumn="0" w:noHBand="0" w:noVBand="1"/>
      </w:tblPr>
      <w:tblGrid>
        <w:gridCol w:w="3119"/>
        <w:gridCol w:w="1417"/>
        <w:gridCol w:w="1134"/>
        <w:gridCol w:w="1021"/>
        <w:gridCol w:w="1247"/>
      </w:tblGrid>
      <w:tr w:rsidR="00EF2211" w:rsidRPr="0005794A" w:rsidTr="00EF22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vAlign w:val="center"/>
            <w:hideMark/>
          </w:tcPr>
          <w:p w:rsidR="00EF2211" w:rsidRPr="00E6149D" w:rsidRDefault="00EF2211" w:rsidP="002C155D">
            <w:pPr>
              <w:spacing w:after="0" w:line="240" w:lineRule="auto"/>
              <w:jc w:val="center"/>
              <w:rPr>
                <w:rFonts w:asciiTheme="minorHAnsi" w:eastAsia="Times New Roman" w:hAnsiTheme="minorHAnsi" w:cs="Arial"/>
                <w:bCs w:val="0"/>
                <w:color w:val="auto"/>
                <w:sz w:val="22"/>
                <w:szCs w:val="22"/>
              </w:rPr>
            </w:pPr>
            <w:r w:rsidRPr="00E6149D">
              <w:rPr>
                <w:rFonts w:asciiTheme="minorHAnsi" w:eastAsia="Times New Roman" w:hAnsiTheme="minorHAnsi" w:cs="Arial"/>
                <w:bCs w:val="0"/>
                <w:color w:val="auto"/>
                <w:sz w:val="22"/>
                <w:szCs w:val="22"/>
              </w:rPr>
              <w:lastRenderedPageBreak/>
              <w:t>Service</w:t>
            </w:r>
          </w:p>
        </w:tc>
        <w:tc>
          <w:tcPr>
            <w:tcW w:w="3572" w:type="dxa"/>
            <w:gridSpan w:val="3"/>
            <w:vAlign w:val="center"/>
            <w:hideMark/>
          </w:tcPr>
          <w:p w:rsidR="00EF2211" w:rsidRPr="00E6149D" w:rsidRDefault="00EF2211" w:rsidP="002C15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auto"/>
                <w:sz w:val="22"/>
                <w:szCs w:val="22"/>
              </w:rPr>
            </w:pPr>
            <w:r w:rsidRPr="00E6149D">
              <w:rPr>
                <w:rFonts w:asciiTheme="minorHAnsi" w:eastAsia="Times New Roman" w:hAnsiTheme="minorHAnsi" w:cs="Arial"/>
                <w:bCs w:val="0"/>
                <w:color w:val="auto"/>
                <w:sz w:val="22"/>
                <w:szCs w:val="22"/>
              </w:rPr>
              <w:t>2017/18 Budget (revised)</w:t>
            </w:r>
          </w:p>
        </w:tc>
        <w:tc>
          <w:tcPr>
            <w:tcW w:w="1247" w:type="dxa"/>
            <w:vAlign w:val="center"/>
          </w:tcPr>
          <w:p w:rsidR="00EF2211" w:rsidRPr="00E6149D" w:rsidRDefault="00EF2211" w:rsidP="00580B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auto"/>
                <w:sz w:val="22"/>
                <w:szCs w:val="22"/>
              </w:rPr>
            </w:pPr>
            <w:r w:rsidRPr="00E6149D">
              <w:rPr>
                <w:rFonts w:asciiTheme="minorHAnsi" w:eastAsia="Times New Roman" w:hAnsiTheme="minorHAnsi" w:cs="Arial"/>
                <w:bCs w:val="0"/>
                <w:color w:val="auto"/>
                <w:sz w:val="22"/>
                <w:szCs w:val="22"/>
              </w:rPr>
              <w:t xml:space="preserve">Full Year Variance </w:t>
            </w:r>
          </w:p>
        </w:tc>
      </w:tr>
      <w:tr w:rsidR="00EF2211" w:rsidRPr="0005794A" w:rsidTr="00EF221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05794A" w:rsidRDefault="00EF2211" w:rsidP="002C155D">
            <w:pPr>
              <w:spacing w:after="0" w:line="240" w:lineRule="auto"/>
              <w:rPr>
                <w:rFonts w:asciiTheme="minorHAnsi" w:eastAsia="Times New Roman" w:hAnsiTheme="minorHAnsi" w:cs="Arial"/>
                <w:color w:val="548DD4" w:themeColor="text2" w:themeTint="99"/>
                <w:sz w:val="22"/>
                <w:szCs w:val="22"/>
              </w:rPr>
            </w:pPr>
            <w:r w:rsidRPr="0005794A">
              <w:rPr>
                <w:rFonts w:asciiTheme="minorHAnsi" w:eastAsia="Times New Roman" w:hAnsiTheme="minorHAnsi" w:cs="Arial"/>
                <w:color w:val="548DD4" w:themeColor="text2" w:themeTint="99"/>
                <w:sz w:val="22"/>
                <w:szCs w:val="22"/>
              </w:rPr>
              <w:t> </w:t>
            </w:r>
          </w:p>
        </w:tc>
        <w:tc>
          <w:tcPr>
            <w:tcW w:w="1417" w:type="dxa"/>
            <w:hideMark/>
          </w:tcPr>
          <w:p w:rsidR="00EF2211" w:rsidRPr="00E6149D"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E6149D">
              <w:rPr>
                <w:rFonts w:asciiTheme="minorHAnsi" w:eastAsia="Times New Roman" w:hAnsiTheme="minorHAnsi" w:cs="Arial"/>
                <w:color w:val="auto"/>
                <w:sz w:val="22"/>
                <w:szCs w:val="22"/>
              </w:rPr>
              <w:t>Expenditure</w:t>
            </w:r>
          </w:p>
          <w:p w:rsidR="00EF2211" w:rsidRPr="00E6149D"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E6149D">
              <w:rPr>
                <w:rFonts w:asciiTheme="minorHAnsi" w:eastAsia="Times New Roman" w:hAnsiTheme="minorHAnsi" w:cs="Arial"/>
                <w:color w:val="auto"/>
                <w:sz w:val="22"/>
                <w:szCs w:val="22"/>
              </w:rPr>
              <w:t>£000s</w:t>
            </w:r>
          </w:p>
        </w:tc>
        <w:tc>
          <w:tcPr>
            <w:tcW w:w="1134" w:type="dxa"/>
            <w:hideMark/>
          </w:tcPr>
          <w:p w:rsidR="00EF2211" w:rsidRPr="00E6149D"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E6149D">
              <w:rPr>
                <w:rFonts w:asciiTheme="minorHAnsi" w:eastAsia="Times New Roman" w:hAnsiTheme="minorHAnsi" w:cs="Arial"/>
                <w:color w:val="auto"/>
                <w:sz w:val="22"/>
                <w:szCs w:val="22"/>
              </w:rPr>
              <w:t>Income</w:t>
            </w:r>
          </w:p>
          <w:p w:rsidR="00EF2211" w:rsidRPr="00E6149D"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E6149D">
              <w:rPr>
                <w:rFonts w:asciiTheme="minorHAnsi" w:eastAsia="Times New Roman" w:hAnsiTheme="minorHAnsi" w:cs="Arial"/>
                <w:color w:val="auto"/>
                <w:sz w:val="22"/>
                <w:szCs w:val="22"/>
              </w:rPr>
              <w:t>£000s</w:t>
            </w:r>
          </w:p>
        </w:tc>
        <w:tc>
          <w:tcPr>
            <w:tcW w:w="1021" w:type="dxa"/>
            <w:hideMark/>
          </w:tcPr>
          <w:p w:rsidR="00EF2211" w:rsidRPr="00E6149D"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E6149D">
              <w:rPr>
                <w:rFonts w:asciiTheme="minorHAnsi" w:eastAsia="Times New Roman" w:hAnsiTheme="minorHAnsi" w:cs="Arial"/>
                <w:color w:val="auto"/>
                <w:sz w:val="22"/>
                <w:szCs w:val="22"/>
              </w:rPr>
              <w:t xml:space="preserve">Net </w:t>
            </w:r>
          </w:p>
          <w:p w:rsidR="00EF2211" w:rsidRPr="00E6149D"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E6149D">
              <w:rPr>
                <w:rFonts w:asciiTheme="minorHAnsi" w:eastAsia="Times New Roman" w:hAnsiTheme="minorHAnsi" w:cs="Arial"/>
                <w:color w:val="auto"/>
                <w:sz w:val="22"/>
                <w:szCs w:val="22"/>
              </w:rPr>
              <w:t>£000s</w:t>
            </w:r>
          </w:p>
        </w:tc>
        <w:tc>
          <w:tcPr>
            <w:tcW w:w="1247" w:type="dxa"/>
            <w:hideMark/>
          </w:tcPr>
          <w:p w:rsidR="00EF2211" w:rsidRPr="00E6149D" w:rsidRDefault="00EF2211" w:rsidP="002C15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p>
          <w:p w:rsidR="00EF2211" w:rsidRPr="00E6149D" w:rsidRDefault="00EF2211" w:rsidP="002C15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E6149D">
              <w:rPr>
                <w:rFonts w:asciiTheme="minorHAnsi" w:eastAsia="Times New Roman" w:hAnsiTheme="minorHAnsi" w:cs="Arial"/>
                <w:color w:val="auto"/>
                <w:sz w:val="22"/>
                <w:szCs w:val="22"/>
              </w:rPr>
              <w:t>£000s</w:t>
            </w:r>
          </w:p>
        </w:tc>
      </w:tr>
      <w:tr w:rsidR="00EF2211" w:rsidRPr="0005794A" w:rsidTr="00EF2211">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 w:val="0"/>
                <w:color w:val="auto"/>
                <w:sz w:val="22"/>
                <w:szCs w:val="22"/>
              </w:rPr>
            </w:pPr>
            <w:r w:rsidRPr="00B1474E">
              <w:rPr>
                <w:rFonts w:asciiTheme="minorHAnsi" w:eastAsia="Times New Roman" w:hAnsiTheme="minorHAnsi" w:cs="Arial"/>
                <w:b w:val="0"/>
                <w:color w:val="auto"/>
                <w:sz w:val="22"/>
                <w:szCs w:val="22"/>
              </w:rPr>
              <w:t>Adult Social Care</w:t>
            </w:r>
          </w:p>
        </w:tc>
        <w:tc>
          <w:tcPr>
            <w:tcW w:w="1417" w:type="dxa"/>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49,554</w:t>
            </w:r>
          </w:p>
        </w:tc>
        <w:tc>
          <w:tcPr>
            <w:tcW w:w="1134" w:type="dxa"/>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(10,757)</w:t>
            </w:r>
          </w:p>
        </w:tc>
        <w:tc>
          <w:tcPr>
            <w:tcW w:w="1021" w:type="dxa"/>
            <w:hideMark/>
          </w:tcPr>
          <w:p w:rsidR="00EF2211" w:rsidRPr="00BF76F2"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3</w:t>
            </w:r>
            <w:r w:rsidRPr="00BF76F2">
              <w:rPr>
                <w:rFonts w:asciiTheme="minorHAnsi" w:eastAsia="Times New Roman" w:hAnsiTheme="minorHAnsi" w:cs="Arial"/>
                <w:color w:val="auto"/>
                <w:sz w:val="22"/>
                <w:szCs w:val="22"/>
              </w:rPr>
              <w:t>8,797</w:t>
            </w:r>
          </w:p>
        </w:tc>
        <w:tc>
          <w:tcPr>
            <w:tcW w:w="1247" w:type="dxa"/>
            <w:hideMark/>
          </w:tcPr>
          <w:p w:rsidR="00EF2211" w:rsidRPr="00BF76F2"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 w:val="22"/>
                <w:szCs w:val="22"/>
              </w:rPr>
            </w:pPr>
            <w:r w:rsidRPr="00BF76F2">
              <w:rPr>
                <w:rFonts w:asciiTheme="minorHAnsi" w:eastAsia="Times New Roman" w:hAnsiTheme="minorHAnsi" w:cs="Arial"/>
                <w:b/>
                <w:bCs/>
                <w:color w:val="auto"/>
                <w:sz w:val="22"/>
                <w:szCs w:val="22"/>
              </w:rPr>
              <w:t>0</w:t>
            </w:r>
          </w:p>
        </w:tc>
      </w:tr>
      <w:tr w:rsidR="00EF2211" w:rsidRPr="0005794A" w:rsidTr="00EF22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 w:val="0"/>
                <w:color w:val="auto"/>
                <w:sz w:val="22"/>
                <w:szCs w:val="22"/>
              </w:rPr>
            </w:pPr>
            <w:r w:rsidRPr="00B1474E">
              <w:rPr>
                <w:rFonts w:asciiTheme="minorHAnsi" w:eastAsia="Times New Roman" w:hAnsiTheme="minorHAnsi" w:cs="Arial"/>
                <w:b w:val="0"/>
                <w:color w:val="auto"/>
                <w:sz w:val="22"/>
                <w:szCs w:val="22"/>
              </w:rPr>
              <w:t>Children’s Services</w:t>
            </w:r>
          </w:p>
        </w:tc>
        <w:tc>
          <w:tcPr>
            <w:tcW w:w="1417"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77,506</w:t>
            </w:r>
          </w:p>
        </w:tc>
        <w:tc>
          <w:tcPr>
            <w:tcW w:w="1134"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(48,856)</w:t>
            </w:r>
          </w:p>
        </w:tc>
        <w:tc>
          <w:tcPr>
            <w:tcW w:w="1021" w:type="dxa"/>
            <w:hideMark/>
          </w:tcPr>
          <w:p w:rsidR="00EF2211" w:rsidRPr="00BF76F2"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F76F2">
              <w:rPr>
                <w:rFonts w:asciiTheme="minorHAnsi" w:eastAsia="Times New Roman" w:hAnsiTheme="minorHAnsi" w:cs="Arial"/>
                <w:color w:val="auto"/>
                <w:sz w:val="22"/>
                <w:szCs w:val="22"/>
              </w:rPr>
              <w:t>28,650</w:t>
            </w:r>
          </w:p>
        </w:tc>
        <w:tc>
          <w:tcPr>
            <w:tcW w:w="1247" w:type="dxa"/>
            <w:noWrap/>
            <w:hideMark/>
          </w:tcPr>
          <w:p w:rsidR="00EF2211" w:rsidRPr="00BF76F2"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F76F2">
              <w:rPr>
                <w:rFonts w:asciiTheme="minorHAnsi" w:eastAsia="Times New Roman" w:hAnsiTheme="minorHAnsi" w:cs="Arial"/>
                <w:b/>
                <w:bCs/>
                <w:color w:val="auto"/>
                <w:sz w:val="22"/>
                <w:szCs w:val="22"/>
              </w:rPr>
              <w:t>3,289</w:t>
            </w:r>
          </w:p>
        </w:tc>
      </w:tr>
      <w:tr w:rsidR="00EF2211" w:rsidRPr="0005794A" w:rsidTr="00EF2211">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 w:val="0"/>
                <w:color w:val="auto"/>
                <w:sz w:val="22"/>
                <w:szCs w:val="22"/>
              </w:rPr>
            </w:pPr>
            <w:r w:rsidRPr="00B1474E">
              <w:rPr>
                <w:rFonts w:asciiTheme="minorHAnsi" w:eastAsia="Times New Roman" w:hAnsiTheme="minorHAnsi" w:cs="Arial"/>
                <w:b w:val="0"/>
                <w:color w:val="auto"/>
                <w:sz w:val="22"/>
                <w:szCs w:val="22"/>
              </w:rPr>
              <w:t>Public Health</w:t>
            </w:r>
          </w:p>
        </w:tc>
        <w:tc>
          <w:tcPr>
            <w:tcW w:w="1417" w:type="dxa"/>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11,115</w:t>
            </w:r>
          </w:p>
        </w:tc>
        <w:tc>
          <w:tcPr>
            <w:tcW w:w="1134" w:type="dxa"/>
            <w:noWrap/>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(1,479)</w:t>
            </w:r>
          </w:p>
        </w:tc>
        <w:tc>
          <w:tcPr>
            <w:tcW w:w="1021" w:type="dxa"/>
            <w:hideMark/>
          </w:tcPr>
          <w:p w:rsidR="00EF2211" w:rsidRPr="00BF76F2"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F76F2">
              <w:rPr>
                <w:rFonts w:asciiTheme="minorHAnsi" w:eastAsia="Times New Roman" w:hAnsiTheme="minorHAnsi" w:cs="Arial"/>
                <w:color w:val="auto"/>
                <w:sz w:val="22"/>
                <w:szCs w:val="22"/>
              </w:rPr>
              <w:t>9,636</w:t>
            </w:r>
          </w:p>
        </w:tc>
        <w:tc>
          <w:tcPr>
            <w:tcW w:w="1247" w:type="dxa"/>
            <w:noWrap/>
            <w:hideMark/>
          </w:tcPr>
          <w:p w:rsidR="00EF2211" w:rsidRPr="00BF76F2"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 w:val="22"/>
                <w:szCs w:val="22"/>
              </w:rPr>
            </w:pPr>
            <w:r w:rsidRPr="00BF76F2">
              <w:rPr>
                <w:rFonts w:asciiTheme="minorHAnsi" w:eastAsia="Times New Roman" w:hAnsiTheme="minorHAnsi" w:cs="Arial"/>
                <w:b/>
                <w:bCs/>
                <w:color w:val="auto"/>
                <w:sz w:val="22"/>
                <w:szCs w:val="22"/>
              </w:rPr>
              <w:t>(4)</w:t>
            </w:r>
          </w:p>
        </w:tc>
      </w:tr>
      <w:tr w:rsidR="00EF2211" w:rsidRPr="0005794A" w:rsidTr="00EF22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Cs w:val="0"/>
                <w:color w:val="auto"/>
                <w:sz w:val="22"/>
                <w:szCs w:val="22"/>
              </w:rPr>
            </w:pPr>
            <w:r w:rsidRPr="00B1474E">
              <w:rPr>
                <w:rFonts w:asciiTheme="minorHAnsi" w:eastAsia="Times New Roman" w:hAnsiTheme="minorHAnsi" w:cs="Arial"/>
                <w:bCs w:val="0"/>
                <w:color w:val="auto"/>
                <w:sz w:val="22"/>
                <w:szCs w:val="22"/>
              </w:rPr>
              <w:t>Joint Commissioning</w:t>
            </w:r>
          </w:p>
        </w:tc>
        <w:tc>
          <w:tcPr>
            <w:tcW w:w="1417"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1474E">
              <w:rPr>
                <w:rFonts w:asciiTheme="minorHAnsi" w:eastAsia="Times New Roman" w:hAnsiTheme="minorHAnsi" w:cs="Arial"/>
                <w:b/>
                <w:bCs/>
                <w:color w:val="auto"/>
                <w:sz w:val="22"/>
                <w:szCs w:val="22"/>
              </w:rPr>
              <w:t>138,175</w:t>
            </w:r>
          </w:p>
        </w:tc>
        <w:tc>
          <w:tcPr>
            <w:tcW w:w="1134"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1474E">
              <w:rPr>
                <w:rFonts w:asciiTheme="minorHAnsi" w:eastAsia="Times New Roman" w:hAnsiTheme="minorHAnsi" w:cs="Arial"/>
                <w:b/>
                <w:bCs/>
                <w:color w:val="auto"/>
                <w:sz w:val="22"/>
                <w:szCs w:val="22"/>
              </w:rPr>
              <w:t>(61,092)</w:t>
            </w:r>
          </w:p>
        </w:tc>
        <w:tc>
          <w:tcPr>
            <w:tcW w:w="1021" w:type="dxa"/>
            <w:hideMark/>
          </w:tcPr>
          <w:p w:rsidR="00EF2211" w:rsidRPr="00BF76F2" w:rsidRDefault="00FB29C9" w:rsidP="00FB29C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Pr>
                <w:rFonts w:asciiTheme="minorHAnsi" w:eastAsia="Times New Roman" w:hAnsiTheme="minorHAnsi" w:cs="Arial"/>
                <w:b/>
                <w:bCs/>
                <w:color w:val="auto"/>
                <w:sz w:val="22"/>
                <w:szCs w:val="22"/>
              </w:rPr>
              <w:t>7</w:t>
            </w:r>
            <w:r w:rsidR="00EF2211" w:rsidRPr="00BF76F2">
              <w:rPr>
                <w:rFonts w:asciiTheme="minorHAnsi" w:eastAsia="Times New Roman" w:hAnsiTheme="minorHAnsi" w:cs="Arial"/>
                <w:b/>
                <w:bCs/>
                <w:color w:val="auto"/>
                <w:sz w:val="22"/>
                <w:szCs w:val="22"/>
              </w:rPr>
              <w:t>7,083</w:t>
            </w:r>
          </w:p>
        </w:tc>
        <w:tc>
          <w:tcPr>
            <w:tcW w:w="1247" w:type="dxa"/>
            <w:hideMark/>
          </w:tcPr>
          <w:p w:rsidR="00EF2211" w:rsidRPr="00BF76F2"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F76F2">
              <w:rPr>
                <w:rFonts w:asciiTheme="minorHAnsi" w:eastAsia="Times New Roman" w:hAnsiTheme="minorHAnsi" w:cs="Arial"/>
                <w:b/>
                <w:bCs/>
                <w:color w:val="auto"/>
                <w:sz w:val="22"/>
                <w:szCs w:val="22"/>
              </w:rPr>
              <w:t>3,285</w:t>
            </w:r>
          </w:p>
        </w:tc>
      </w:tr>
      <w:tr w:rsidR="00EF2211" w:rsidRPr="0005794A" w:rsidTr="00EF2211">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 w:val="0"/>
                <w:color w:val="548DD4" w:themeColor="text2" w:themeTint="99"/>
                <w:sz w:val="22"/>
                <w:szCs w:val="22"/>
              </w:rPr>
            </w:pPr>
            <w:r w:rsidRPr="00B1474E">
              <w:rPr>
                <w:rFonts w:asciiTheme="minorHAnsi" w:eastAsia="Times New Roman" w:hAnsiTheme="minorHAnsi" w:cs="Arial"/>
                <w:b w:val="0"/>
                <w:color w:val="548DD4" w:themeColor="text2" w:themeTint="99"/>
                <w:sz w:val="22"/>
                <w:szCs w:val="22"/>
              </w:rPr>
              <w:t> </w:t>
            </w:r>
          </w:p>
        </w:tc>
        <w:tc>
          <w:tcPr>
            <w:tcW w:w="1417" w:type="dxa"/>
            <w:hideMark/>
          </w:tcPr>
          <w:p w:rsidR="00EF2211" w:rsidRPr="0005794A"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2"/>
                <w:szCs w:val="22"/>
              </w:rPr>
            </w:pPr>
            <w:r w:rsidRPr="0005794A">
              <w:rPr>
                <w:rFonts w:asciiTheme="minorHAnsi" w:eastAsia="Times New Roman" w:hAnsiTheme="minorHAnsi" w:cs="Arial"/>
                <w:color w:val="548DD4" w:themeColor="text2" w:themeTint="99"/>
                <w:sz w:val="22"/>
                <w:szCs w:val="22"/>
              </w:rPr>
              <w:t> </w:t>
            </w:r>
          </w:p>
        </w:tc>
        <w:tc>
          <w:tcPr>
            <w:tcW w:w="1134" w:type="dxa"/>
            <w:hideMark/>
          </w:tcPr>
          <w:p w:rsidR="00EF2211" w:rsidRPr="0005794A"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2"/>
                <w:szCs w:val="22"/>
              </w:rPr>
            </w:pPr>
            <w:r w:rsidRPr="0005794A">
              <w:rPr>
                <w:rFonts w:asciiTheme="minorHAnsi" w:eastAsia="Times New Roman" w:hAnsiTheme="minorHAnsi" w:cs="Arial"/>
                <w:color w:val="548DD4" w:themeColor="text2" w:themeTint="99"/>
                <w:sz w:val="22"/>
                <w:szCs w:val="22"/>
              </w:rPr>
              <w:t> </w:t>
            </w:r>
          </w:p>
        </w:tc>
        <w:tc>
          <w:tcPr>
            <w:tcW w:w="1021" w:type="dxa"/>
            <w:hideMark/>
          </w:tcPr>
          <w:p w:rsidR="00EF2211" w:rsidRPr="0005794A"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2"/>
                <w:szCs w:val="22"/>
              </w:rPr>
            </w:pPr>
            <w:r w:rsidRPr="0005794A">
              <w:rPr>
                <w:rFonts w:asciiTheme="minorHAnsi" w:eastAsia="Times New Roman" w:hAnsiTheme="minorHAnsi" w:cs="Arial"/>
                <w:color w:val="548DD4" w:themeColor="text2" w:themeTint="99"/>
                <w:sz w:val="22"/>
                <w:szCs w:val="22"/>
              </w:rPr>
              <w:t> </w:t>
            </w:r>
          </w:p>
        </w:tc>
        <w:tc>
          <w:tcPr>
            <w:tcW w:w="1247" w:type="dxa"/>
            <w:noWrap/>
            <w:hideMark/>
          </w:tcPr>
          <w:p w:rsidR="00EF2211" w:rsidRPr="0005794A" w:rsidRDefault="00EF2211" w:rsidP="002C155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548DD4" w:themeColor="text2" w:themeTint="99"/>
                <w:sz w:val="22"/>
                <w:szCs w:val="22"/>
              </w:rPr>
            </w:pPr>
          </w:p>
        </w:tc>
      </w:tr>
      <w:tr w:rsidR="00EF2211" w:rsidRPr="0005794A" w:rsidTr="00EF22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 w:val="0"/>
                <w:color w:val="auto"/>
                <w:sz w:val="22"/>
                <w:szCs w:val="22"/>
              </w:rPr>
            </w:pPr>
            <w:r w:rsidRPr="00B1474E">
              <w:rPr>
                <w:rFonts w:asciiTheme="minorHAnsi" w:eastAsia="Times New Roman" w:hAnsiTheme="minorHAnsi" w:cs="Arial"/>
                <w:b w:val="0"/>
                <w:color w:val="auto"/>
                <w:sz w:val="22"/>
                <w:szCs w:val="22"/>
              </w:rPr>
              <w:t>Community Safety</w:t>
            </w:r>
          </w:p>
        </w:tc>
        <w:tc>
          <w:tcPr>
            <w:tcW w:w="1417"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3,905</w:t>
            </w:r>
          </w:p>
        </w:tc>
        <w:tc>
          <w:tcPr>
            <w:tcW w:w="1134"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(1,439)</w:t>
            </w:r>
          </w:p>
        </w:tc>
        <w:tc>
          <w:tcPr>
            <w:tcW w:w="1021"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2,466</w:t>
            </w:r>
          </w:p>
        </w:tc>
        <w:tc>
          <w:tcPr>
            <w:tcW w:w="1247" w:type="dxa"/>
            <w:noWrap/>
          </w:tcPr>
          <w:p w:rsidR="00EF2211" w:rsidRPr="00974417"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974417">
              <w:rPr>
                <w:rFonts w:asciiTheme="minorHAnsi" w:eastAsia="Times New Roman" w:hAnsiTheme="minorHAnsi" w:cs="Arial"/>
                <w:b/>
                <w:bCs/>
                <w:color w:val="auto"/>
                <w:sz w:val="22"/>
                <w:szCs w:val="22"/>
              </w:rPr>
              <w:t>17</w:t>
            </w:r>
          </w:p>
        </w:tc>
      </w:tr>
      <w:tr w:rsidR="00EF2211" w:rsidRPr="0005794A" w:rsidTr="00EF2211">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 w:val="0"/>
                <w:color w:val="auto"/>
                <w:sz w:val="22"/>
                <w:szCs w:val="22"/>
              </w:rPr>
            </w:pPr>
            <w:r w:rsidRPr="00B1474E">
              <w:rPr>
                <w:rFonts w:asciiTheme="minorHAnsi" w:eastAsia="Times New Roman" w:hAnsiTheme="minorHAnsi" w:cs="Arial"/>
                <w:b w:val="0"/>
                <w:color w:val="auto"/>
                <w:sz w:val="22"/>
                <w:szCs w:val="22"/>
              </w:rPr>
              <w:t>Customer Services</w:t>
            </w:r>
          </w:p>
        </w:tc>
        <w:tc>
          <w:tcPr>
            <w:tcW w:w="1417" w:type="dxa"/>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73,716</w:t>
            </w:r>
          </w:p>
        </w:tc>
        <w:tc>
          <w:tcPr>
            <w:tcW w:w="1134" w:type="dxa"/>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(70,225)</w:t>
            </w:r>
          </w:p>
        </w:tc>
        <w:tc>
          <w:tcPr>
            <w:tcW w:w="1021" w:type="dxa"/>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3,491</w:t>
            </w:r>
          </w:p>
        </w:tc>
        <w:tc>
          <w:tcPr>
            <w:tcW w:w="1247" w:type="dxa"/>
            <w:noWrap/>
          </w:tcPr>
          <w:p w:rsidR="00EF2211" w:rsidRPr="00974417"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 w:val="22"/>
                <w:szCs w:val="22"/>
              </w:rPr>
            </w:pPr>
            <w:r w:rsidRPr="00974417">
              <w:rPr>
                <w:rFonts w:asciiTheme="minorHAnsi" w:eastAsia="Times New Roman" w:hAnsiTheme="minorHAnsi" w:cs="Arial"/>
                <w:b/>
                <w:bCs/>
                <w:color w:val="auto"/>
                <w:sz w:val="22"/>
                <w:szCs w:val="22"/>
              </w:rPr>
              <w:t>1</w:t>
            </w:r>
          </w:p>
        </w:tc>
      </w:tr>
      <w:tr w:rsidR="00EF2211" w:rsidRPr="0005794A" w:rsidTr="00EF22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 w:val="0"/>
                <w:color w:val="auto"/>
                <w:sz w:val="22"/>
                <w:szCs w:val="22"/>
              </w:rPr>
            </w:pPr>
            <w:r w:rsidRPr="00B1474E">
              <w:rPr>
                <w:rFonts w:asciiTheme="minorHAnsi" w:eastAsia="Times New Roman" w:hAnsiTheme="minorHAnsi" w:cs="Arial"/>
                <w:b w:val="0"/>
                <w:color w:val="auto"/>
                <w:sz w:val="22"/>
                <w:szCs w:val="22"/>
              </w:rPr>
              <w:t>Co</w:t>
            </w:r>
            <w:r>
              <w:rPr>
                <w:rFonts w:asciiTheme="minorHAnsi" w:eastAsia="Times New Roman" w:hAnsiTheme="minorHAnsi" w:cs="Arial"/>
                <w:b w:val="0"/>
                <w:color w:val="auto"/>
                <w:sz w:val="22"/>
                <w:szCs w:val="22"/>
              </w:rPr>
              <w:t>rporate</w:t>
            </w:r>
            <w:r w:rsidRPr="00B1474E">
              <w:rPr>
                <w:rFonts w:asciiTheme="minorHAnsi" w:eastAsia="Times New Roman" w:hAnsiTheme="minorHAnsi" w:cs="Arial"/>
                <w:b w:val="0"/>
                <w:color w:val="auto"/>
                <w:sz w:val="22"/>
                <w:szCs w:val="22"/>
              </w:rPr>
              <w:t xml:space="preserve"> Services</w:t>
            </w:r>
          </w:p>
        </w:tc>
        <w:tc>
          <w:tcPr>
            <w:tcW w:w="1417"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5,764</w:t>
            </w:r>
          </w:p>
        </w:tc>
        <w:tc>
          <w:tcPr>
            <w:tcW w:w="1134"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(1,549)</w:t>
            </w:r>
          </w:p>
        </w:tc>
        <w:tc>
          <w:tcPr>
            <w:tcW w:w="1021"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4,215</w:t>
            </w:r>
          </w:p>
        </w:tc>
        <w:tc>
          <w:tcPr>
            <w:tcW w:w="1247" w:type="dxa"/>
            <w:noWrap/>
          </w:tcPr>
          <w:p w:rsidR="00EF2211" w:rsidRPr="00974417"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974417">
              <w:rPr>
                <w:rFonts w:asciiTheme="minorHAnsi" w:eastAsia="Times New Roman" w:hAnsiTheme="minorHAnsi" w:cs="Arial"/>
                <w:b/>
                <w:bCs/>
                <w:color w:val="auto"/>
                <w:sz w:val="22"/>
                <w:szCs w:val="22"/>
              </w:rPr>
              <w:t>360</w:t>
            </w:r>
          </w:p>
        </w:tc>
      </w:tr>
      <w:tr w:rsidR="00EF2211" w:rsidRPr="0005794A" w:rsidTr="00EF2211">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 w:val="0"/>
                <w:color w:val="auto"/>
                <w:sz w:val="22"/>
                <w:szCs w:val="22"/>
              </w:rPr>
            </w:pPr>
            <w:r>
              <w:rPr>
                <w:rFonts w:asciiTheme="minorHAnsi" w:eastAsia="Times New Roman" w:hAnsiTheme="minorHAnsi" w:cs="Arial"/>
                <w:b w:val="0"/>
                <w:color w:val="auto"/>
                <w:sz w:val="22"/>
                <w:szCs w:val="22"/>
              </w:rPr>
              <w:t>Commercial Services</w:t>
            </w:r>
          </w:p>
        </w:tc>
        <w:tc>
          <w:tcPr>
            <w:tcW w:w="1417" w:type="dxa"/>
          </w:tcPr>
          <w:p w:rsidR="00EF2211" w:rsidRPr="00B1474E" w:rsidRDefault="00EF2211" w:rsidP="00FB29C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30,73</w:t>
            </w:r>
            <w:r w:rsidR="00FB29C9">
              <w:rPr>
                <w:rFonts w:asciiTheme="minorHAnsi" w:eastAsia="Times New Roman" w:hAnsiTheme="minorHAnsi" w:cs="Arial"/>
                <w:color w:val="auto"/>
                <w:sz w:val="22"/>
                <w:szCs w:val="22"/>
              </w:rPr>
              <w:t>6</w:t>
            </w:r>
          </w:p>
        </w:tc>
        <w:tc>
          <w:tcPr>
            <w:tcW w:w="1134" w:type="dxa"/>
          </w:tcPr>
          <w:p w:rsidR="00EF2211" w:rsidRPr="00B1474E" w:rsidRDefault="00EF2211" w:rsidP="00FB29C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(19,46</w:t>
            </w:r>
            <w:r w:rsidR="00FB29C9">
              <w:rPr>
                <w:rFonts w:asciiTheme="minorHAnsi" w:eastAsia="Times New Roman" w:hAnsiTheme="minorHAnsi" w:cs="Arial"/>
                <w:color w:val="auto"/>
                <w:sz w:val="22"/>
                <w:szCs w:val="22"/>
              </w:rPr>
              <w:t>9</w:t>
            </w:r>
            <w:r w:rsidRPr="00B1474E">
              <w:rPr>
                <w:rFonts w:asciiTheme="minorHAnsi" w:eastAsia="Times New Roman" w:hAnsiTheme="minorHAnsi" w:cs="Arial"/>
                <w:color w:val="auto"/>
                <w:sz w:val="22"/>
                <w:szCs w:val="22"/>
              </w:rPr>
              <w:t>)</w:t>
            </w:r>
          </w:p>
        </w:tc>
        <w:tc>
          <w:tcPr>
            <w:tcW w:w="1021" w:type="dxa"/>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11,267</w:t>
            </w:r>
          </w:p>
        </w:tc>
        <w:tc>
          <w:tcPr>
            <w:tcW w:w="1247" w:type="dxa"/>
            <w:noWrap/>
          </w:tcPr>
          <w:p w:rsidR="00EF2211" w:rsidRPr="00974417" w:rsidRDefault="00EF2211" w:rsidP="009905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 w:val="22"/>
                <w:szCs w:val="22"/>
              </w:rPr>
            </w:pPr>
            <w:r w:rsidRPr="00974417">
              <w:rPr>
                <w:rFonts w:asciiTheme="minorHAnsi" w:eastAsia="Times New Roman" w:hAnsiTheme="minorHAnsi" w:cs="Arial"/>
                <w:b/>
                <w:bCs/>
                <w:color w:val="auto"/>
                <w:sz w:val="22"/>
                <w:szCs w:val="22"/>
              </w:rPr>
              <w:t>(1,</w:t>
            </w:r>
            <w:r>
              <w:rPr>
                <w:rFonts w:asciiTheme="minorHAnsi" w:eastAsia="Times New Roman" w:hAnsiTheme="minorHAnsi" w:cs="Arial"/>
                <w:b/>
                <w:bCs/>
                <w:color w:val="auto"/>
                <w:sz w:val="22"/>
                <w:szCs w:val="22"/>
              </w:rPr>
              <w:t>542</w:t>
            </w:r>
            <w:r w:rsidRPr="00974417">
              <w:rPr>
                <w:rFonts w:asciiTheme="minorHAnsi" w:eastAsia="Times New Roman" w:hAnsiTheme="minorHAnsi" w:cs="Arial"/>
                <w:b/>
                <w:bCs/>
                <w:color w:val="auto"/>
                <w:sz w:val="22"/>
                <w:szCs w:val="22"/>
              </w:rPr>
              <w:t>)</w:t>
            </w:r>
          </w:p>
        </w:tc>
      </w:tr>
      <w:tr w:rsidR="00EF2211" w:rsidRPr="0005794A" w:rsidTr="00EF22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 w:val="0"/>
                <w:color w:val="auto"/>
                <w:sz w:val="22"/>
                <w:szCs w:val="22"/>
              </w:rPr>
            </w:pPr>
            <w:r w:rsidRPr="00B1474E">
              <w:rPr>
                <w:rFonts w:asciiTheme="minorHAnsi" w:eastAsia="Times New Roman" w:hAnsiTheme="minorHAnsi" w:cs="Arial"/>
                <w:b w:val="0"/>
                <w:color w:val="auto"/>
                <w:sz w:val="22"/>
                <w:szCs w:val="22"/>
              </w:rPr>
              <w:t>Business Services</w:t>
            </w:r>
          </w:p>
        </w:tc>
        <w:tc>
          <w:tcPr>
            <w:tcW w:w="1417"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30,138</w:t>
            </w:r>
          </w:p>
        </w:tc>
        <w:tc>
          <w:tcPr>
            <w:tcW w:w="1134"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(17,696)</w:t>
            </w:r>
          </w:p>
        </w:tc>
        <w:tc>
          <w:tcPr>
            <w:tcW w:w="1021"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12,442</w:t>
            </w:r>
          </w:p>
        </w:tc>
        <w:tc>
          <w:tcPr>
            <w:tcW w:w="1247" w:type="dxa"/>
            <w:noWrap/>
          </w:tcPr>
          <w:p w:rsidR="00EF2211" w:rsidRPr="00974417" w:rsidRDefault="00EF2211" w:rsidP="009905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974417">
              <w:rPr>
                <w:rFonts w:asciiTheme="minorHAnsi" w:eastAsia="Times New Roman" w:hAnsiTheme="minorHAnsi" w:cs="Arial"/>
                <w:b/>
                <w:bCs/>
                <w:color w:val="auto"/>
                <w:sz w:val="22"/>
                <w:szCs w:val="22"/>
              </w:rPr>
              <w:t>2</w:t>
            </w:r>
            <w:r>
              <w:rPr>
                <w:rFonts w:asciiTheme="minorHAnsi" w:eastAsia="Times New Roman" w:hAnsiTheme="minorHAnsi" w:cs="Arial"/>
                <w:b/>
                <w:bCs/>
                <w:color w:val="auto"/>
                <w:sz w:val="22"/>
                <w:szCs w:val="22"/>
              </w:rPr>
              <w:t>95</w:t>
            </w:r>
          </w:p>
        </w:tc>
      </w:tr>
      <w:tr w:rsidR="00EF2211" w:rsidRPr="0005794A" w:rsidTr="00EF2211">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B1474E" w:rsidRDefault="00EF2211" w:rsidP="002C155D">
            <w:pPr>
              <w:spacing w:after="0" w:line="240" w:lineRule="auto"/>
              <w:rPr>
                <w:rFonts w:asciiTheme="minorHAnsi" w:eastAsia="Times New Roman" w:hAnsiTheme="minorHAnsi" w:cs="Arial"/>
                <w:b w:val="0"/>
                <w:color w:val="auto"/>
                <w:sz w:val="22"/>
                <w:szCs w:val="22"/>
              </w:rPr>
            </w:pPr>
            <w:r>
              <w:rPr>
                <w:rFonts w:asciiTheme="minorHAnsi" w:eastAsia="Times New Roman" w:hAnsiTheme="minorHAnsi" w:cs="Arial"/>
                <w:b w:val="0"/>
                <w:color w:val="auto"/>
                <w:sz w:val="22"/>
                <w:szCs w:val="22"/>
              </w:rPr>
              <w:t>Investment Properties</w:t>
            </w:r>
          </w:p>
        </w:tc>
        <w:tc>
          <w:tcPr>
            <w:tcW w:w="1417" w:type="dxa"/>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3,985</w:t>
            </w:r>
          </w:p>
        </w:tc>
        <w:tc>
          <w:tcPr>
            <w:tcW w:w="1134" w:type="dxa"/>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(4,862)</w:t>
            </w:r>
          </w:p>
        </w:tc>
        <w:tc>
          <w:tcPr>
            <w:tcW w:w="1021" w:type="dxa"/>
          </w:tcPr>
          <w:p w:rsidR="00EF2211" w:rsidRPr="00B1474E"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(877)</w:t>
            </w:r>
          </w:p>
        </w:tc>
        <w:tc>
          <w:tcPr>
            <w:tcW w:w="1247" w:type="dxa"/>
            <w:noWrap/>
          </w:tcPr>
          <w:p w:rsidR="00EF2211" w:rsidRPr="00974417"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 w:val="22"/>
                <w:szCs w:val="22"/>
              </w:rPr>
            </w:pPr>
            <w:r w:rsidRPr="00974417">
              <w:rPr>
                <w:rFonts w:asciiTheme="minorHAnsi" w:eastAsia="Times New Roman" w:hAnsiTheme="minorHAnsi" w:cs="Arial"/>
                <w:b/>
                <w:bCs/>
                <w:color w:val="auto"/>
                <w:sz w:val="22"/>
                <w:szCs w:val="22"/>
              </w:rPr>
              <w:t>(112)</w:t>
            </w:r>
          </w:p>
        </w:tc>
      </w:tr>
      <w:tr w:rsidR="00EF2211" w:rsidRPr="0005794A" w:rsidTr="00EF22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Pr>
          <w:p w:rsidR="00EF2211" w:rsidRPr="0008639B" w:rsidRDefault="00EF2211" w:rsidP="002C155D">
            <w:pPr>
              <w:spacing w:after="0" w:line="240" w:lineRule="auto"/>
              <w:rPr>
                <w:rFonts w:asciiTheme="minorHAnsi" w:eastAsia="Times New Roman" w:hAnsiTheme="minorHAnsi" w:cs="Arial"/>
                <w:color w:val="auto"/>
                <w:sz w:val="22"/>
                <w:szCs w:val="22"/>
              </w:rPr>
            </w:pPr>
            <w:r w:rsidRPr="0008639B">
              <w:rPr>
                <w:rFonts w:asciiTheme="minorHAnsi" w:eastAsia="Times New Roman" w:hAnsiTheme="minorHAnsi" w:cs="Arial"/>
                <w:color w:val="auto"/>
                <w:sz w:val="22"/>
                <w:szCs w:val="22"/>
              </w:rPr>
              <w:t>Joint Operations</w:t>
            </w:r>
          </w:p>
        </w:tc>
        <w:tc>
          <w:tcPr>
            <w:tcW w:w="1417" w:type="dxa"/>
          </w:tcPr>
          <w:p w:rsidR="00EF2211" w:rsidRPr="000B71FD" w:rsidRDefault="00EF2211" w:rsidP="00FB29C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sz w:val="22"/>
                <w:szCs w:val="22"/>
              </w:rPr>
            </w:pPr>
            <w:r w:rsidRPr="000B71FD">
              <w:rPr>
                <w:rFonts w:asciiTheme="minorHAnsi" w:eastAsia="Times New Roman" w:hAnsiTheme="minorHAnsi" w:cs="Arial"/>
                <w:b/>
                <w:color w:val="auto"/>
                <w:sz w:val="22"/>
                <w:szCs w:val="22"/>
              </w:rPr>
              <w:t>148,24</w:t>
            </w:r>
            <w:r w:rsidR="00FB29C9">
              <w:rPr>
                <w:rFonts w:asciiTheme="minorHAnsi" w:eastAsia="Times New Roman" w:hAnsiTheme="minorHAnsi" w:cs="Arial"/>
                <w:b/>
                <w:color w:val="auto"/>
                <w:sz w:val="22"/>
                <w:szCs w:val="22"/>
              </w:rPr>
              <w:t>4</w:t>
            </w:r>
          </w:p>
        </w:tc>
        <w:tc>
          <w:tcPr>
            <w:tcW w:w="1134" w:type="dxa"/>
          </w:tcPr>
          <w:p w:rsidR="00EF2211" w:rsidRPr="000B71FD" w:rsidRDefault="00EF2211" w:rsidP="00FB29C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sz w:val="22"/>
                <w:szCs w:val="22"/>
              </w:rPr>
            </w:pPr>
            <w:r w:rsidRPr="000B71FD">
              <w:rPr>
                <w:rFonts w:asciiTheme="minorHAnsi" w:eastAsia="Times New Roman" w:hAnsiTheme="minorHAnsi" w:cs="Arial"/>
                <w:b/>
                <w:color w:val="auto"/>
                <w:sz w:val="22"/>
                <w:szCs w:val="22"/>
              </w:rPr>
              <w:t>(115,2</w:t>
            </w:r>
            <w:r w:rsidR="00FB29C9">
              <w:rPr>
                <w:rFonts w:asciiTheme="minorHAnsi" w:eastAsia="Times New Roman" w:hAnsiTheme="minorHAnsi" w:cs="Arial"/>
                <w:b/>
                <w:color w:val="auto"/>
                <w:sz w:val="22"/>
                <w:szCs w:val="22"/>
              </w:rPr>
              <w:t>40</w:t>
            </w:r>
            <w:r w:rsidRPr="000B71FD">
              <w:rPr>
                <w:rFonts w:asciiTheme="minorHAnsi" w:eastAsia="Times New Roman" w:hAnsiTheme="minorHAnsi" w:cs="Arial"/>
                <w:b/>
                <w:color w:val="auto"/>
                <w:sz w:val="22"/>
                <w:szCs w:val="22"/>
              </w:rPr>
              <w:t>)</w:t>
            </w:r>
          </w:p>
        </w:tc>
        <w:tc>
          <w:tcPr>
            <w:tcW w:w="1021" w:type="dxa"/>
          </w:tcPr>
          <w:p w:rsidR="00EF2211" w:rsidRPr="001C5B97" w:rsidRDefault="00EF2211" w:rsidP="00FB29C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sz w:val="22"/>
                <w:szCs w:val="22"/>
              </w:rPr>
            </w:pPr>
            <w:r w:rsidRPr="001C5B97">
              <w:rPr>
                <w:rFonts w:asciiTheme="minorHAnsi" w:eastAsia="Times New Roman" w:hAnsiTheme="minorHAnsi" w:cs="Arial"/>
                <w:b/>
                <w:color w:val="auto"/>
                <w:sz w:val="22"/>
                <w:szCs w:val="22"/>
              </w:rPr>
              <w:t>33,00</w:t>
            </w:r>
            <w:r w:rsidR="00FB29C9">
              <w:rPr>
                <w:rFonts w:asciiTheme="minorHAnsi" w:eastAsia="Times New Roman" w:hAnsiTheme="minorHAnsi" w:cs="Arial"/>
                <w:b/>
                <w:color w:val="auto"/>
                <w:sz w:val="22"/>
                <w:szCs w:val="22"/>
              </w:rPr>
              <w:t>4</w:t>
            </w:r>
          </w:p>
        </w:tc>
        <w:tc>
          <w:tcPr>
            <w:tcW w:w="1247" w:type="dxa"/>
          </w:tcPr>
          <w:p w:rsidR="00EF2211" w:rsidRPr="00BF76F2" w:rsidRDefault="00EF2211" w:rsidP="009905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F76F2">
              <w:rPr>
                <w:rFonts w:asciiTheme="minorHAnsi" w:eastAsia="Times New Roman" w:hAnsiTheme="minorHAnsi" w:cs="Arial"/>
                <w:b/>
                <w:bCs/>
                <w:color w:val="auto"/>
                <w:sz w:val="22"/>
                <w:szCs w:val="22"/>
              </w:rPr>
              <w:t>(</w:t>
            </w:r>
            <w:r>
              <w:rPr>
                <w:rFonts w:asciiTheme="minorHAnsi" w:eastAsia="Times New Roman" w:hAnsiTheme="minorHAnsi" w:cs="Arial"/>
                <w:b/>
                <w:bCs/>
                <w:color w:val="auto"/>
                <w:sz w:val="22"/>
                <w:szCs w:val="22"/>
              </w:rPr>
              <w:t>981</w:t>
            </w:r>
            <w:r w:rsidRPr="00BF76F2">
              <w:rPr>
                <w:rFonts w:asciiTheme="minorHAnsi" w:eastAsia="Times New Roman" w:hAnsiTheme="minorHAnsi" w:cs="Arial"/>
                <w:b/>
                <w:bCs/>
                <w:color w:val="auto"/>
                <w:sz w:val="22"/>
                <w:szCs w:val="22"/>
              </w:rPr>
              <w:t>)</w:t>
            </w:r>
          </w:p>
        </w:tc>
      </w:tr>
      <w:tr w:rsidR="00EF2211" w:rsidRPr="0005794A" w:rsidTr="00EF2211">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08639B" w:rsidRDefault="00EF2211" w:rsidP="002C155D">
            <w:pPr>
              <w:spacing w:after="0" w:line="240" w:lineRule="auto"/>
              <w:rPr>
                <w:rFonts w:asciiTheme="minorHAnsi" w:eastAsia="Times New Roman" w:hAnsiTheme="minorHAnsi" w:cs="Arial"/>
                <w:color w:val="auto"/>
                <w:sz w:val="22"/>
                <w:szCs w:val="22"/>
              </w:rPr>
            </w:pPr>
            <w:r w:rsidRPr="0008639B">
              <w:rPr>
                <w:rFonts w:asciiTheme="minorHAnsi" w:eastAsia="Times New Roman" w:hAnsiTheme="minorHAnsi" w:cs="Arial"/>
                <w:color w:val="auto"/>
                <w:sz w:val="22"/>
                <w:szCs w:val="22"/>
              </w:rPr>
              <w:t> </w:t>
            </w:r>
          </w:p>
        </w:tc>
        <w:tc>
          <w:tcPr>
            <w:tcW w:w="1417" w:type="dxa"/>
            <w:hideMark/>
          </w:tcPr>
          <w:p w:rsidR="00EF2211" w:rsidRPr="0005794A"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2"/>
                <w:szCs w:val="22"/>
              </w:rPr>
            </w:pPr>
            <w:r w:rsidRPr="0005794A">
              <w:rPr>
                <w:rFonts w:asciiTheme="minorHAnsi" w:eastAsia="Times New Roman" w:hAnsiTheme="minorHAnsi" w:cs="Arial"/>
                <w:color w:val="548DD4" w:themeColor="text2" w:themeTint="99"/>
                <w:sz w:val="22"/>
                <w:szCs w:val="22"/>
              </w:rPr>
              <w:t> </w:t>
            </w:r>
          </w:p>
        </w:tc>
        <w:tc>
          <w:tcPr>
            <w:tcW w:w="1134" w:type="dxa"/>
            <w:hideMark/>
          </w:tcPr>
          <w:p w:rsidR="00EF2211" w:rsidRPr="0005794A"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2"/>
                <w:szCs w:val="22"/>
              </w:rPr>
            </w:pPr>
            <w:r w:rsidRPr="0005794A">
              <w:rPr>
                <w:rFonts w:asciiTheme="minorHAnsi" w:eastAsia="Times New Roman" w:hAnsiTheme="minorHAnsi" w:cs="Arial"/>
                <w:color w:val="548DD4" w:themeColor="text2" w:themeTint="99"/>
                <w:sz w:val="22"/>
                <w:szCs w:val="22"/>
              </w:rPr>
              <w:t> </w:t>
            </w:r>
          </w:p>
        </w:tc>
        <w:tc>
          <w:tcPr>
            <w:tcW w:w="1021" w:type="dxa"/>
            <w:hideMark/>
          </w:tcPr>
          <w:p w:rsidR="00EF2211" w:rsidRPr="0005794A"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548DD4" w:themeColor="text2" w:themeTint="99"/>
                <w:sz w:val="22"/>
                <w:szCs w:val="22"/>
              </w:rPr>
            </w:pPr>
            <w:r w:rsidRPr="0005794A">
              <w:rPr>
                <w:rFonts w:asciiTheme="minorHAnsi" w:eastAsia="Times New Roman" w:hAnsiTheme="minorHAnsi" w:cs="Arial"/>
                <w:color w:val="548DD4" w:themeColor="text2" w:themeTint="99"/>
                <w:sz w:val="22"/>
                <w:szCs w:val="22"/>
              </w:rPr>
              <w:t> </w:t>
            </w:r>
          </w:p>
        </w:tc>
        <w:tc>
          <w:tcPr>
            <w:tcW w:w="1247" w:type="dxa"/>
            <w:hideMark/>
          </w:tcPr>
          <w:p w:rsidR="00EF2211" w:rsidRPr="0005794A" w:rsidRDefault="00EF2211" w:rsidP="002C15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548DD4" w:themeColor="text2" w:themeTint="99"/>
                <w:sz w:val="22"/>
                <w:szCs w:val="22"/>
              </w:rPr>
            </w:pPr>
          </w:p>
        </w:tc>
      </w:tr>
      <w:tr w:rsidR="00EF2211" w:rsidRPr="0005794A" w:rsidTr="00EF22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08639B" w:rsidRDefault="00EF2211" w:rsidP="002C155D">
            <w:pPr>
              <w:spacing w:after="0" w:line="240" w:lineRule="auto"/>
              <w:rPr>
                <w:rFonts w:asciiTheme="minorHAnsi" w:eastAsia="Times New Roman" w:hAnsiTheme="minorHAnsi" w:cs="Arial"/>
                <w:b w:val="0"/>
                <w:bCs w:val="0"/>
                <w:color w:val="auto"/>
                <w:sz w:val="22"/>
                <w:szCs w:val="22"/>
              </w:rPr>
            </w:pPr>
            <w:r w:rsidRPr="0008639B">
              <w:rPr>
                <w:rFonts w:asciiTheme="minorHAnsi" w:eastAsia="Times New Roman" w:hAnsiTheme="minorHAnsi" w:cs="Arial"/>
                <w:b w:val="0"/>
                <w:bCs w:val="0"/>
                <w:color w:val="auto"/>
                <w:sz w:val="22"/>
                <w:szCs w:val="22"/>
              </w:rPr>
              <w:t>Total Expenditure</w:t>
            </w:r>
          </w:p>
        </w:tc>
        <w:tc>
          <w:tcPr>
            <w:tcW w:w="1417" w:type="dxa"/>
          </w:tcPr>
          <w:p w:rsidR="00EF2211" w:rsidRPr="00B1474E"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1474E">
              <w:rPr>
                <w:rFonts w:asciiTheme="minorHAnsi" w:eastAsia="Times New Roman" w:hAnsiTheme="minorHAnsi" w:cs="Arial"/>
                <w:b/>
                <w:bCs/>
                <w:color w:val="auto"/>
                <w:sz w:val="22"/>
                <w:szCs w:val="22"/>
              </w:rPr>
              <w:t>286,419</w:t>
            </w:r>
          </w:p>
        </w:tc>
        <w:tc>
          <w:tcPr>
            <w:tcW w:w="1134" w:type="dxa"/>
          </w:tcPr>
          <w:p w:rsidR="00EF2211" w:rsidRPr="00B1474E" w:rsidRDefault="00EF2211" w:rsidP="00FB29C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1474E">
              <w:rPr>
                <w:rFonts w:asciiTheme="minorHAnsi" w:eastAsia="Times New Roman" w:hAnsiTheme="minorHAnsi" w:cs="Arial"/>
                <w:b/>
                <w:bCs/>
                <w:color w:val="auto"/>
                <w:sz w:val="22"/>
                <w:szCs w:val="22"/>
              </w:rPr>
              <w:t>(176,33</w:t>
            </w:r>
            <w:r w:rsidR="00FB29C9">
              <w:rPr>
                <w:rFonts w:asciiTheme="minorHAnsi" w:eastAsia="Times New Roman" w:hAnsiTheme="minorHAnsi" w:cs="Arial"/>
                <w:b/>
                <w:bCs/>
                <w:color w:val="auto"/>
                <w:sz w:val="22"/>
                <w:szCs w:val="22"/>
              </w:rPr>
              <w:t>2</w:t>
            </w:r>
            <w:r w:rsidRPr="00B1474E">
              <w:rPr>
                <w:rFonts w:asciiTheme="minorHAnsi" w:eastAsia="Times New Roman" w:hAnsiTheme="minorHAnsi" w:cs="Arial"/>
                <w:b/>
                <w:bCs/>
                <w:color w:val="auto"/>
                <w:sz w:val="22"/>
                <w:szCs w:val="22"/>
              </w:rPr>
              <w:t>)</w:t>
            </w:r>
          </w:p>
        </w:tc>
        <w:tc>
          <w:tcPr>
            <w:tcW w:w="1021" w:type="dxa"/>
            <w:hideMark/>
          </w:tcPr>
          <w:p w:rsidR="00EF2211" w:rsidRPr="00BF76F2" w:rsidRDefault="00EF2211" w:rsidP="00FB29C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F76F2">
              <w:rPr>
                <w:rFonts w:asciiTheme="minorHAnsi" w:eastAsia="Times New Roman" w:hAnsiTheme="minorHAnsi" w:cs="Arial"/>
                <w:b/>
                <w:bCs/>
                <w:color w:val="auto"/>
                <w:sz w:val="22"/>
                <w:szCs w:val="22"/>
              </w:rPr>
              <w:t>110,</w:t>
            </w:r>
            <w:r w:rsidR="00FB29C9">
              <w:rPr>
                <w:rFonts w:asciiTheme="minorHAnsi" w:eastAsia="Times New Roman" w:hAnsiTheme="minorHAnsi" w:cs="Arial"/>
                <w:b/>
                <w:bCs/>
                <w:color w:val="auto"/>
                <w:sz w:val="22"/>
                <w:szCs w:val="22"/>
              </w:rPr>
              <w:t>087</w:t>
            </w:r>
          </w:p>
        </w:tc>
        <w:tc>
          <w:tcPr>
            <w:tcW w:w="1247" w:type="dxa"/>
            <w:hideMark/>
          </w:tcPr>
          <w:p w:rsidR="00EF2211" w:rsidRPr="00BF76F2" w:rsidRDefault="00EF2211" w:rsidP="009905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F76F2">
              <w:rPr>
                <w:rFonts w:asciiTheme="minorHAnsi" w:eastAsia="Times New Roman" w:hAnsiTheme="minorHAnsi" w:cs="Arial"/>
                <w:b/>
                <w:bCs/>
                <w:color w:val="auto"/>
                <w:sz w:val="22"/>
                <w:szCs w:val="22"/>
              </w:rPr>
              <w:t>2,</w:t>
            </w:r>
            <w:r>
              <w:rPr>
                <w:rFonts w:asciiTheme="minorHAnsi" w:eastAsia="Times New Roman" w:hAnsiTheme="minorHAnsi" w:cs="Arial"/>
                <w:b/>
                <w:bCs/>
                <w:color w:val="auto"/>
                <w:sz w:val="22"/>
                <w:szCs w:val="22"/>
              </w:rPr>
              <w:t>304</w:t>
            </w:r>
          </w:p>
        </w:tc>
      </w:tr>
      <w:tr w:rsidR="00EF2211" w:rsidRPr="0005794A" w:rsidTr="00EF2211">
        <w:trPr>
          <w:trHeight w:val="300"/>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08639B" w:rsidRDefault="00EF2211" w:rsidP="002C155D">
            <w:pPr>
              <w:spacing w:after="0" w:line="240" w:lineRule="auto"/>
              <w:rPr>
                <w:rFonts w:asciiTheme="minorHAnsi" w:eastAsia="Times New Roman" w:hAnsiTheme="minorHAnsi" w:cs="Arial"/>
                <w:color w:val="auto"/>
                <w:sz w:val="22"/>
                <w:szCs w:val="22"/>
              </w:rPr>
            </w:pPr>
            <w:r w:rsidRPr="0008639B">
              <w:rPr>
                <w:rFonts w:asciiTheme="minorHAnsi" w:eastAsia="Times New Roman" w:hAnsiTheme="minorHAnsi" w:cs="Arial"/>
                <w:color w:val="auto"/>
                <w:sz w:val="22"/>
                <w:szCs w:val="22"/>
              </w:rPr>
              <w:t>Sources of Funding</w:t>
            </w:r>
          </w:p>
        </w:tc>
        <w:tc>
          <w:tcPr>
            <w:tcW w:w="1417" w:type="dxa"/>
          </w:tcPr>
          <w:p w:rsidR="00EF2211" w:rsidRPr="00B1474E" w:rsidRDefault="00EF2211" w:rsidP="002C155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w:t>
            </w:r>
          </w:p>
        </w:tc>
        <w:tc>
          <w:tcPr>
            <w:tcW w:w="1134" w:type="dxa"/>
          </w:tcPr>
          <w:p w:rsidR="00EF2211" w:rsidRPr="00B1474E" w:rsidRDefault="00EF2211" w:rsidP="00D728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1474E">
              <w:rPr>
                <w:rFonts w:asciiTheme="minorHAnsi" w:eastAsia="Times New Roman" w:hAnsiTheme="minorHAnsi" w:cs="Arial"/>
                <w:color w:val="auto"/>
                <w:sz w:val="22"/>
                <w:szCs w:val="22"/>
              </w:rPr>
              <w:t>(110,</w:t>
            </w:r>
            <w:r w:rsidR="00D728C0">
              <w:rPr>
                <w:rFonts w:asciiTheme="minorHAnsi" w:eastAsia="Times New Roman" w:hAnsiTheme="minorHAnsi" w:cs="Arial"/>
                <w:color w:val="auto"/>
                <w:sz w:val="22"/>
                <w:szCs w:val="22"/>
              </w:rPr>
              <w:t>087</w:t>
            </w:r>
            <w:r w:rsidRPr="00B1474E">
              <w:rPr>
                <w:rFonts w:asciiTheme="minorHAnsi" w:eastAsia="Times New Roman" w:hAnsiTheme="minorHAnsi" w:cs="Arial"/>
                <w:color w:val="auto"/>
                <w:sz w:val="22"/>
                <w:szCs w:val="22"/>
              </w:rPr>
              <w:t>)</w:t>
            </w:r>
          </w:p>
        </w:tc>
        <w:tc>
          <w:tcPr>
            <w:tcW w:w="1021" w:type="dxa"/>
            <w:hideMark/>
          </w:tcPr>
          <w:p w:rsidR="00EF2211" w:rsidRPr="00BF76F2" w:rsidRDefault="00EF2211" w:rsidP="00FB29C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2"/>
                <w:szCs w:val="22"/>
              </w:rPr>
            </w:pPr>
            <w:r w:rsidRPr="00BF76F2">
              <w:rPr>
                <w:rFonts w:asciiTheme="minorHAnsi" w:eastAsia="Times New Roman" w:hAnsiTheme="minorHAnsi" w:cs="Arial"/>
                <w:color w:val="auto"/>
                <w:sz w:val="22"/>
                <w:szCs w:val="22"/>
              </w:rPr>
              <w:t>(</w:t>
            </w:r>
            <w:r w:rsidRPr="001C5B97">
              <w:rPr>
                <w:rFonts w:asciiTheme="minorHAnsi" w:eastAsia="Times New Roman" w:hAnsiTheme="minorHAnsi" w:cs="Arial"/>
                <w:color w:val="auto"/>
                <w:sz w:val="20"/>
                <w:szCs w:val="20"/>
              </w:rPr>
              <w:t>110,</w:t>
            </w:r>
            <w:r w:rsidR="00FB29C9">
              <w:rPr>
                <w:rFonts w:asciiTheme="minorHAnsi" w:eastAsia="Times New Roman" w:hAnsiTheme="minorHAnsi" w:cs="Arial"/>
                <w:color w:val="auto"/>
                <w:sz w:val="20"/>
                <w:szCs w:val="20"/>
              </w:rPr>
              <w:t>087</w:t>
            </w:r>
            <w:r w:rsidRPr="001C5B97">
              <w:rPr>
                <w:rFonts w:asciiTheme="minorHAnsi" w:eastAsia="Times New Roman" w:hAnsiTheme="minorHAnsi" w:cs="Arial"/>
                <w:color w:val="auto"/>
                <w:sz w:val="20"/>
                <w:szCs w:val="20"/>
              </w:rPr>
              <w:t>)</w:t>
            </w:r>
          </w:p>
        </w:tc>
        <w:tc>
          <w:tcPr>
            <w:tcW w:w="1247" w:type="dxa"/>
            <w:hideMark/>
          </w:tcPr>
          <w:p w:rsidR="00EF2211" w:rsidRPr="00BF76F2" w:rsidRDefault="00EF2211"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 w:val="22"/>
                <w:szCs w:val="22"/>
              </w:rPr>
            </w:pPr>
            <w:r w:rsidRPr="00BF76F2">
              <w:rPr>
                <w:rFonts w:asciiTheme="minorHAnsi" w:eastAsia="Times New Roman" w:hAnsiTheme="minorHAnsi" w:cs="Arial"/>
                <w:b/>
                <w:bCs/>
                <w:color w:val="auto"/>
                <w:sz w:val="22"/>
                <w:szCs w:val="22"/>
              </w:rPr>
              <w:t>(619)</w:t>
            </w:r>
          </w:p>
        </w:tc>
      </w:tr>
      <w:tr w:rsidR="00EF2211" w:rsidRPr="0005794A" w:rsidTr="00EF221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9" w:type="dxa"/>
            <w:hideMark/>
          </w:tcPr>
          <w:p w:rsidR="00EF2211" w:rsidRPr="0008639B" w:rsidRDefault="00EF2211" w:rsidP="002C155D">
            <w:pPr>
              <w:spacing w:after="0" w:line="240" w:lineRule="auto"/>
              <w:rPr>
                <w:rFonts w:asciiTheme="minorHAnsi" w:eastAsia="Times New Roman" w:hAnsiTheme="minorHAnsi" w:cs="Arial"/>
                <w:b w:val="0"/>
                <w:bCs w:val="0"/>
                <w:color w:val="auto"/>
                <w:sz w:val="22"/>
                <w:szCs w:val="22"/>
              </w:rPr>
            </w:pPr>
            <w:r w:rsidRPr="0008639B">
              <w:rPr>
                <w:rFonts w:asciiTheme="minorHAnsi" w:eastAsia="Times New Roman" w:hAnsiTheme="minorHAnsi" w:cs="Arial"/>
                <w:b w:val="0"/>
                <w:bCs w:val="0"/>
                <w:color w:val="auto"/>
                <w:sz w:val="22"/>
                <w:szCs w:val="22"/>
              </w:rPr>
              <w:t>Net Expenditure</w:t>
            </w:r>
          </w:p>
        </w:tc>
        <w:tc>
          <w:tcPr>
            <w:tcW w:w="1417" w:type="dxa"/>
          </w:tcPr>
          <w:p w:rsidR="00EF2211" w:rsidRPr="00B1474E" w:rsidRDefault="00EF2211" w:rsidP="00403D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1474E">
              <w:rPr>
                <w:rFonts w:asciiTheme="minorHAnsi" w:eastAsia="Times New Roman" w:hAnsiTheme="minorHAnsi" w:cs="Arial"/>
                <w:b/>
                <w:bCs/>
                <w:color w:val="auto"/>
                <w:sz w:val="22"/>
                <w:szCs w:val="22"/>
              </w:rPr>
              <w:t>286,41</w:t>
            </w:r>
            <w:r w:rsidR="00403DF2">
              <w:rPr>
                <w:rFonts w:asciiTheme="minorHAnsi" w:eastAsia="Times New Roman" w:hAnsiTheme="minorHAnsi" w:cs="Arial"/>
                <w:b/>
                <w:bCs/>
                <w:color w:val="auto"/>
                <w:sz w:val="22"/>
                <w:szCs w:val="22"/>
              </w:rPr>
              <w:t>9</w:t>
            </w:r>
          </w:p>
        </w:tc>
        <w:tc>
          <w:tcPr>
            <w:tcW w:w="1134" w:type="dxa"/>
          </w:tcPr>
          <w:p w:rsidR="00EF2211" w:rsidRPr="00B1474E" w:rsidRDefault="00EF2211" w:rsidP="00403D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1474E">
              <w:rPr>
                <w:rFonts w:asciiTheme="minorHAnsi" w:eastAsia="Times New Roman" w:hAnsiTheme="minorHAnsi" w:cs="Arial"/>
                <w:b/>
                <w:bCs/>
                <w:color w:val="auto"/>
                <w:sz w:val="22"/>
                <w:szCs w:val="22"/>
              </w:rPr>
              <w:t>(286,41</w:t>
            </w:r>
            <w:r w:rsidR="00403DF2">
              <w:rPr>
                <w:rFonts w:asciiTheme="minorHAnsi" w:eastAsia="Times New Roman" w:hAnsiTheme="minorHAnsi" w:cs="Arial"/>
                <w:b/>
                <w:bCs/>
                <w:color w:val="auto"/>
                <w:sz w:val="22"/>
                <w:szCs w:val="22"/>
              </w:rPr>
              <w:t>9</w:t>
            </w:r>
            <w:r w:rsidRPr="00B1474E">
              <w:rPr>
                <w:rFonts w:asciiTheme="minorHAnsi" w:eastAsia="Times New Roman" w:hAnsiTheme="minorHAnsi" w:cs="Arial"/>
                <w:b/>
                <w:bCs/>
                <w:color w:val="auto"/>
                <w:sz w:val="22"/>
                <w:szCs w:val="22"/>
              </w:rPr>
              <w:t>)</w:t>
            </w:r>
          </w:p>
        </w:tc>
        <w:tc>
          <w:tcPr>
            <w:tcW w:w="1021" w:type="dxa"/>
            <w:hideMark/>
          </w:tcPr>
          <w:p w:rsidR="00EF2211" w:rsidRPr="00BF76F2" w:rsidRDefault="00EF2211"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F76F2">
              <w:rPr>
                <w:rFonts w:asciiTheme="minorHAnsi" w:eastAsia="Times New Roman" w:hAnsiTheme="minorHAnsi" w:cs="Arial"/>
                <w:b/>
                <w:bCs/>
                <w:color w:val="auto"/>
                <w:sz w:val="22"/>
                <w:szCs w:val="22"/>
              </w:rPr>
              <w:t>0</w:t>
            </w:r>
          </w:p>
        </w:tc>
        <w:tc>
          <w:tcPr>
            <w:tcW w:w="1247" w:type="dxa"/>
            <w:hideMark/>
          </w:tcPr>
          <w:p w:rsidR="00EF2211" w:rsidRPr="00BF76F2" w:rsidRDefault="00EF2211" w:rsidP="009905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 w:val="22"/>
                <w:szCs w:val="22"/>
              </w:rPr>
            </w:pPr>
            <w:r w:rsidRPr="00BF76F2">
              <w:rPr>
                <w:rFonts w:asciiTheme="minorHAnsi" w:eastAsia="Times New Roman" w:hAnsiTheme="minorHAnsi" w:cs="Arial"/>
                <w:b/>
                <w:bCs/>
                <w:color w:val="auto"/>
                <w:sz w:val="22"/>
                <w:szCs w:val="22"/>
              </w:rPr>
              <w:t>1,</w:t>
            </w:r>
            <w:r>
              <w:rPr>
                <w:rFonts w:asciiTheme="minorHAnsi" w:eastAsia="Times New Roman" w:hAnsiTheme="minorHAnsi" w:cs="Arial"/>
                <w:b/>
                <w:bCs/>
                <w:color w:val="auto"/>
                <w:sz w:val="22"/>
                <w:szCs w:val="22"/>
              </w:rPr>
              <w:t>685</w:t>
            </w:r>
          </w:p>
        </w:tc>
      </w:tr>
      <w:tr w:rsidR="001C3049" w:rsidRPr="0005794A" w:rsidTr="00EF2211">
        <w:trPr>
          <w:trHeight w:val="315"/>
        </w:trPr>
        <w:tc>
          <w:tcPr>
            <w:cnfStyle w:val="001000000000" w:firstRow="0" w:lastRow="0" w:firstColumn="1" w:lastColumn="0" w:oddVBand="0" w:evenVBand="0" w:oddHBand="0" w:evenHBand="0" w:firstRowFirstColumn="0" w:firstRowLastColumn="0" w:lastRowFirstColumn="0" w:lastRowLastColumn="0"/>
            <w:tcW w:w="3119" w:type="dxa"/>
          </w:tcPr>
          <w:p w:rsidR="001C3049" w:rsidRPr="0008639B" w:rsidRDefault="001C3049" w:rsidP="002C155D">
            <w:pPr>
              <w:spacing w:after="0" w:line="240" w:lineRule="auto"/>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Use of Earmarked Reserves</w:t>
            </w:r>
          </w:p>
        </w:tc>
        <w:tc>
          <w:tcPr>
            <w:tcW w:w="1417" w:type="dxa"/>
          </w:tcPr>
          <w:p w:rsidR="001C3049" w:rsidRPr="00B1474E" w:rsidRDefault="001C3049"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 w:val="22"/>
                <w:szCs w:val="22"/>
              </w:rPr>
            </w:pPr>
          </w:p>
        </w:tc>
        <w:tc>
          <w:tcPr>
            <w:tcW w:w="1134" w:type="dxa"/>
          </w:tcPr>
          <w:p w:rsidR="001C3049" w:rsidRPr="00B1474E" w:rsidRDefault="001C3049"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 w:val="22"/>
                <w:szCs w:val="22"/>
              </w:rPr>
            </w:pPr>
          </w:p>
        </w:tc>
        <w:tc>
          <w:tcPr>
            <w:tcW w:w="1021" w:type="dxa"/>
          </w:tcPr>
          <w:p w:rsidR="001C3049" w:rsidRPr="00BF76F2" w:rsidRDefault="001C3049"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 w:val="22"/>
                <w:szCs w:val="22"/>
              </w:rPr>
            </w:pPr>
          </w:p>
        </w:tc>
        <w:tc>
          <w:tcPr>
            <w:tcW w:w="1247" w:type="dxa"/>
          </w:tcPr>
          <w:p w:rsidR="001C3049" w:rsidRPr="00BF76F2" w:rsidRDefault="001C3049" w:rsidP="009905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 w:val="22"/>
                <w:szCs w:val="22"/>
              </w:rPr>
            </w:pPr>
            <w:r>
              <w:rPr>
                <w:rFonts w:asciiTheme="minorHAnsi" w:eastAsia="Times New Roman" w:hAnsiTheme="minorHAnsi" w:cs="Arial"/>
                <w:b/>
                <w:bCs/>
                <w:color w:val="auto"/>
                <w:sz w:val="22"/>
                <w:szCs w:val="22"/>
              </w:rPr>
              <w:t>(1,685)</w:t>
            </w:r>
          </w:p>
        </w:tc>
      </w:tr>
      <w:tr w:rsidR="001C3049" w:rsidRPr="0005794A" w:rsidTr="00EF221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9" w:type="dxa"/>
          </w:tcPr>
          <w:p w:rsidR="001C3049" w:rsidRPr="001C3049" w:rsidRDefault="001C3049" w:rsidP="001C3049">
            <w:pPr>
              <w:spacing w:after="0" w:line="240" w:lineRule="auto"/>
              <w:rPr>
                <w:rFonts w:asciiTheme="minorHAnsi" w:eastAsia="Times New Roman" w:hAnsiTheme="minorHAnsi" w:cs="Arial"/>
                <w:b w:val="0"/>
                <w:color w:val="auto"/>
                <w:sz w:val="22"/>
                <w:szCs w:val="22"/>
              </w:rPr>
            </w:pPr>
            <w:r w:rsidRPr="001C3049">
              <w:rPr>
                <w:rFonts w:asciiTheme="minorHAnsi" w:eastAsia="Times New Roman" w:hAnsiTheme="minorHAnsi" w:cs="Arial"/>
                <w:b w:val="0"/>
                <w:color w:val="auto"/>
                <w:sz w:val="22"/>
                <w:szCs w:val="22"/>
              </w:rPr>
              <w:t>Change in General Fund Reserve</w:t>
            </w:r>
          </w:p>
        </w:tc>
        <w:tc>
          <w:tcPr>
            <w:tcW w:w="1417" w:type="dxa"/>
          </w:tcPr>
          <w:p w:rsidR="001C3049" w:rsidRPr="001C3049" w:rsidRDefault="001C3049"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sz w:val="22"/>
                <w:szCs w:val="22"/>
              </w:rPr>
            </w:pPr>
          </w:p>
        </w:tc>
        <w:tc>
          <w:tcPr>
            <w:tcW w:w="1134" w:type="dxa"/>
          </w:tcPr>
          <w:p w:rsidR="001C3049" w:rsidRPr="001C3049" w:rsidRDefault="001C3049"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sz w:val="22"/>
                <w:szCs w:val="22"/>
              </w:rPr>
            </w:pPr>
          </w:p>
        </w:tc>
        <w:tc>
          <w:tcPr>
            <w:tcW w:w="1021" w:type="dxa"/>
          </w:tcPr>
          <w:p w:rsidR="001C3049" w:rsidRPr="001C3049" w:rsidRDefault="001C3049" w:rsidP="002C155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sz w:val="22"/>
                <w:szCs w:val="22"/>
              </w:rPr>
            </w:pPr>
          </w:p>
        </w:tc>
        <w:tc>
          <w:tcPr>
            <w:tcW w:w="1247" w:type="dxa"/>
          </w:tcPr>
          <w:p w:rsidR="001C3049" w:rsidRPr="001C3049" w:rsidRDefault="001C3049" w:rsidP="009905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sz w:val="22"/>
                <w:szCs w:val="22"/>
              </w:rPr>
            </w:pPr>
            <w:r w:rsidRPr="001C3049">
              <w:rPr>
                <w:rFonts w:asciiTheme="minorHAnsi" w:eastAsia="Times New Roman" w:hAnsiTheme="minorHAnsi" w:cs="Arial"/>
                <w:bCs/>
                <w:color w:val="auto"/>
                <w:sz w:val="22"/>
                <w:szCs w:val="22"/>
              </w:rPr>
              <w:t>0</w:t>
            </w:r>
          </w:p>
        </w:tc>
      </w:tr>
      <w:tr w:rsidR="00580BB3" w:rsidRPr="0005794A" w:rsidTr="00EF2211">
        <w:trPr>
          <w:trHeight w:val="315"/>
        </w:trPr>
        <w:tc>
          <w:tcPr>
            <w:cnfStyle w:val="001000000000" w:firstRow="0" w:lastRow="0" w:firstColumn="1" w:lastColumn="0" w:oddVBand="0" w:evenVBand="0" w:oddHBand="0" w:evenHBand="0" w:firstRowFirstColumn="0" w:firstRowLastColumn="0" w:lastRowFirstColumn="0" w:lastRowLastColumn="0"/>
            <w:tcW w:w="3119" w:type="dxa"/>
          </w:tcPr>
          <w:p w:rsidR="00580BB3" w:rsidRDefault="00580BB3" w:rsidP="001C3049">
            <w:pPr>
              <w:spacing w:after="0" w:line="240" w:lineRule="auto"/>
              <w:rPr>
                <w:rFonts w:asciiTheme="minorHAnsi" w:eastAsia="Times New Roman" w:hAnsiTheme="minorHAnsi" w:cs="Arial"/>
                <w:b w:val="0"/>
                <w:color w:val="auto"/>
                <w:sz w:val="22"/>
                <w:szCs w:val="22"/>
              </w:rPr>
            </w:pPr>
          </w:p>
          <w:p w:rsidR="00580BB3" w:rsidRPr="001C3049" w:rsidRDefault="00580BB3" w:rsidP="001C3049">
            <w:pPr>
              <w:spacing w:after="0" w:line="240" w:lineRule="auto"/>
              <w:rPr>
                <w:rFonts w:asciiTheme="minorHAnsi" w:eastAsia="Times New Roman" w:hAnsiTheme="minorHAnsi" w:cs="Arial"/>
                <w:b w:val="0"/>
                <w:color w:val="auto"/>
                <w:sz w:val="22"/>
                <w:szCs w:val="22"/>
              </w:rPr>
            </w:pPr>
          </w:p>
        </w:tc>
        <w:tc>
          <w:tcPr>
            <w:tcW w:w="1417" w:type="dxa"/>
          </w:tcPr>
          <w:p w:rsidR="00580BB3" w:rsidRPr="001C3049" w:rsidRDefault="00580BB3"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sz w:val="22"/>
                <w:szCs w:val="22"/>
              </w:rPr>
            </w:pPr>
          </w:p>
        </w:tc>
        <w:tc>
          <w:tcPr>
            <w:tcW w:w="1134" w:type="dxa"/>
          </w:tcPr>
          <w:p w:rsidR="00580BB3" w:rsidRPr="001C3049" w:rsidRDefault="00580BB3"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sz w:val="22"/>
                <w:szCs w:val="22"/>
              </w:rPr>
            </w:pPr>
          </w:p>
        </w:tc>
        <w:tc>
          <w:tcPr>
            <w:tcW w:w="1021" w:type="dxa"/>
          </w:tcPr>
          <w:p w:rsidR="00580BB3" w:rsidRPr="001C3049" w:rsidRDefault="00580BB3" w:rsidP="002C155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sz w:val="22"/>
                <w:szCs w:val="22"/>
              </w:rPr>
            </w:pPr>
          </w:p>
        </w:tc>
        <w:tc>
          <w:tcPr>
            <w:tcW w:w="1247" w:type="dxa"/>
          </w:tcPr>
          <w:p w:rsidR="00580BB3" w:rsidRPr="001C3049" w:rsidRDefault="00580BB3" w:rsidP="009905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sz w:val="22"/>
                <w:szCs w:val="22"/>
              </w:rPr>
            </w:pPr>
          </w:p>
        </w:tc>
      </w:tr>
    </w:tbl>
    <w:p w:rsidR="00203BAD" w:rsidRPr="0005794A" w:rsidRDefault="00580BB3" w:rsidP="00203BAD">
      <w:pPr>
        <w:pStyle w:val="BodyText"/>
        <w:widowControl w:val="0"/>
        <w:rPr>
          <w:rFonts w:asciiTheme="minorHAnsi" w:hAnsiTheme="minorHAnsi" w:cs="Arial"/>
          <w:color w:val="548DD4" w:themeColor="text2" w:themeTint="99"/>
          <w:sz w:val="22"/>
          <w:szCs w:val="22"/>
        </w:rPr>
        <w:sectPr w:rsidR="00203BAD" w:rsidRPr="0005794A" w:rsidSect="002C155D">
          <w:headerReference w:type="default" r:id="rId26"/>
          <w:pgSz w:w="11906" w:h="16838" w:code="9"/>
          <w:pgMar w:top="1440" w:right="1080" w:bottom="1440" w:left="1080" w:header="544" w:footer="544" w:gutter="0"/>
          <w:cols w:space="708"/>
          <w:titlePg/>
          <w:docGrid w:linePitch="360"/>
        </w:sectPr>
      </w:pPr>
      <w:r w:rsidRPr="0005794A">
        <w:rPr>
          <w:rFonts w:asciiTheme="minorHAnsi" w:hAnsiTheme="minorHAnsi" w:cs="Arial"/>
          <w:noProof/>
          <w:color w:val="548DD4" w:themeColor="text2" w:themeTint="99"/>
          <w:sz w:val="22"/>
          <w:szCs w:val="22"/>
          <w:lang w:eastAsia="en-GB"/>
        </w:rPr>
        <w:drawing>
          <wp:anchor distT="0" distB="0" distL="114300" distR="114300" simplePos="0" relativeHeight="251773952" behindDoc="1" locked="0" layoutInCell="1" allowOverlap="1" wp14:anchorId="4F5FBFC5" wp14:editId="274CD524">
            <wp:simplePos x="0" y="0"/>
            <wp:positionH relativeFrom="column">
              <wp:posOffset>3324225</wp:posOffset>
            </wp:positionH>
            <wp:positionV relativeFrom="paragraph">
              <wp:posOffset>6985</wp:posOffset>
            </wp:positionV>
            <wp:extent cx="3165475" cy="2724150"/>
            <wp:effectExtent l="0" t="0" r="15875" b="0"/>
            <wp:wrapTight wrapText="bothSides">
              <wp:wrapPolygon edited="0">
                <wp:start x="0" y="0"/>
                <wp:lineTo x="0" y="21449"/>
                <wp:lineTo x="21578" y="21449"/>
                <wp:lineTo x="21578" y="0"/>
                <wp:lineTo x="0" y="0"/>
              </wp:wrapPolygon>
            </wp:wrapTight>
            <wp:docPr id="57"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Pr="0005794A">
        <w:rPr>
          <w:rFonts w:asciiTheme="minorHAnsi" w:hAnsiTheme="minorHAnsi" w:cs="Arial"/>
          <w:noProof/>
          <w:color w:val="548DD4" w:themeColor="text2" w:themeTint="99"/>
          <w:sz w:val="22"/>
          <w:szCs w:val="22"/>
          <w:lang w:eastAsia="en-GB"/>
        </w:rPr>
        <w:drawing>
          <wp:inline distT="0" distB="0" distL="0" distR="0" wp14:anchorId="64E84888" wp14:editId="3E3382B7">
            <wp:extent cx="3068955" cy="2733675"/>
            <wp:effectExtent l="0" t="0" r="17145" b="9525"/>
            <wp:docPr id="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3BAD" w:rsidRPr="00253F45" w:rsidRDefault="00203BAD" w:rsidP="00203BAD">
      <w:pPr>
        <w:rPr>
          <w:rFonts w:asciiTheme="minorHAnsi" w:hAnsiTheme="minorHAnsi" w:cs="Arial"/>
          <w:color w:val="auto"/>
          <w:sz w:val="22"/>
          <w:szCs w:val="22"/>
        </w:rPr>
      </w:pPr>
      <w:r w:rsidRPr="00253F45">
        <w:rPr>
          <w:rFonts w:asciiTheme="minorHAnsi" w:hAnsiTheme="minorHAnsi" w:cs="Arial"/>
          <w:color w:val="auto"/>
          <w:sz w:val="22"/>
          <w:szCs w:val="22"/>
        </w:rPr>
        <w:lastRenderedPageBreak/>
        <w:t xml:space="preserve">During the year, there were significant variances within the budgets for children’s social care. </w:t>
      </w:r>
      <w:proofErr w:type="gramStart"/>
      <w:r w:rsidRPr="00253F45">
        <w:rPr>
          <w:rFonts w:asciiTheme="minorHAnsi" w:hAnsiTheme="minorHAnsi" w:cs="Arial"/>
          <w:color w:val="auto"/>
          <w:sz w:val="22"/>
          <w:szCs w:val="22"/>
        </w:rPr>
        <w:t>The overspend</w:t>
      </w:r>
      <w:proofErr w:type="gramEnd"/>
      <w:r w:rsidRPr="00253F45">
        <w:rPr>
          <w:rFonts w:asciiTheme="minorHAnsi" w:hAnsiTheme="minorHAnsi" w:cs="Arial"/>
          <w:color w:val="auto"/>
          <w:sz w:val="22"/>
          <w:szCs w:val="22"/>
        </w:rPr>
        <w:t xml:space="preserve"> on Children’s Services was £3.3m.  These overspends in social care was partly offset by a net underspend and/or additional income across other Council services.</w:t>
      </w:r>
    </w:p>
    <w:p w:rsidR="00203BAD" w:rsidRPr="00253F45" w:rsidRDefault="00203BAD" w:rsidP="00203BAD">
      <w:pPr>
        <w:pStyle w:val="BodyText"/>
        <w:widowControl w:val="0"/>
        <w:rPr>
          <w:rFonts w:asciiTheme="minorHAnsi" w:hAnsiTheme="minorHAnsi" w:cs="Arial"/>
          <w:color w:val="auto"/>
          <w:sz w:val="22"/>
          <w:szCs w:val="22"/>
        </w:rPr>
      </w:pPr>
      <w:r w:rsidRPr="00253F45">
        <w:rPr>
          <w:rFonts w:asciiTheme="minorHAnsi" w:hAnsiTheme="minorHAnsi" w:cs="Arial"/>
          <w:color w:val="auto"/>
          <w:sz w:val="22"/>
          <w:szCs w:val="22"/>
        </w:rPr>
        <w:t xml:space="preserve">Overall, the Council’s financial performance in 2017/18 was </w:t>
      </w:r>
      <w:proofErr w:type="gramStart"/>
      <w:r w:rsidRPr="00253F45">
        <w:rPr>
          <w:rFonts w:asciiTheme="minorHAnsi" w:hAnsiTheme="minorHAnsi" w:cs="Arial"/>
          <w:color w:val="auto"/>
          <w:sz w:val="22"/>
          <w:szCs w:val="22"/>
        </w:rPr>
        <w:t>an overspend</w:t>
      </w:r>
      <w:proofErr w:type="gramEnd"/>
      <w:r w:rsidRPr="00253F45">
        <w:rPr>
          <w:rFonts w:asciiTheme="minorHAnsi" w:hAnsiTheme="minorHAnsi" w:cs="Arial"/>
          <w:color w:val="auto"/>
          <w:sz w:val="22"/>
          <w:szCs w:val="22"/>
        </w:rPr>
        <w:t xml:space="preserve"> of £1.</w:t>
      </w:r>
      <w:r w:rsidR="001F75F5">
        <w:rPr>
          <w:rFonts w:asciiTheme="minorHAnsi" w:hAnsiTheme="minorHAnsi" w:cs="Arial"/>
          <w:color w:val="auto"/>
          <w:sz w:val="22"/>
          <w:szCs w:val="22"/>
        </w:rPr>
        <w:t>7</w:t>
      </w:r>
      <w:r w:rsidRPr="00253F45">
        <w:rPr>
          <w:rFonts w:asciiTheme="minorHAnsi" w:hAnsiTheme="minorHAnsi" w:cs="Arial"/>
          <w:color w:val="auto"/>
          <w:sz w:val="22"/>
          <w:szCs w:val="22"/>
        </w:rPr>
        <w:t xml:space="preserve"> million.  This overspend was funded, as planned, from a</w:t>
      </w:r>
      <w:r w:rsidR="00337CC2">
        <w:rPr>
          <w:rFonts w:asciiTheme="minorHAnsi" w:hAnsiTheme="minorHAnsi" w:cs="Arial"/>
          <w:color w:val="auto"/>
          <w:sz w:val="22"/>
          <w:szCs w:val="22"/>
        </w:rPr>
        <w:t>n</w:t>
      </w:r>
      <w:r w:rsidRPr="00253F45">
        <w:rPr>
          <w:rFonts w:asciiTheme="minorHAnsi" w:hAnsiTheme="minorHAnsi" w:cs="Arial"/>
          <w:color w:val="auto"/>
          <w:sz w:val="22"/>
          <w:szCs w:val="22"/>
        </w:rPr>
        <w:t xml:space="preserve"> earmarked reserve.</w:t>
      </w:r>
    </w:p>
    <w:p w:rsidR="00203BAD" w:rsidRPr="00E6149D" w:rsidRDefault="00203BAD" w:rsidP="00203BAD">
      <w:pPr>
        <w:pStyle w:val="BodyText"/>
        <w:widowControl w:val="0"/>
        <w:rPr>
          <w:rFonts w:asciiTheme="minorHAnsi" w:hAnsiTheme="minorHAnsi" w:cs="Arial"/>
          <w:color w:val="auto"/>
          <w:sz w:val="22"/>
          <w:szCs w:val="22"/>
          <w:u w:val="single"/>
        </w:rPr>
      </w:pPr>
      <w:r w:rsidRPr="00E6149D">
        <w:rPr>
          <w:rFonts w:asciiTheme="minorHAnsi" w:hAnsiTheme="minorHAnsi" w:cs="Arial"/>
          <w:color w:val="auto"/>
          <w:sz w:val="22"/>
          <w:szCs w:val="22"/>
          <w:u w:val="single"/>
        </w:rPr>
        <w:t>Capital Plan</w:t>
      </w:r>
    </w:p>
    <w:p w:rsidR="00203BAD" w:rsidRPr="00F2704B" w:rsidRDefault="00203BAD" w:rsidP="00203BAD">
      <w:pPr>
        <w:pStyle w:val="BodyText"/>
        <w:widowControl w:val="0"/>
        <w:rPr>
          <w:rFonts w:asciiTheme="minorHAnsi" w:hAnsiTheme="minorHAnsi" w:cs="Arial"/>
          <w:color w:val="auto"/>
          <w:sz w:val="22"/>
          <w:szCs w:val="22"/>
        </w:rPr>
      </w:pPr>
      <w:r w:rsidRPr="00E6149D">
        <w:rPr>
          <w:rFonts w:asciiTheme="minorHAnsi" w:hAnsiTheme="minorHAnsi" w:cs="Arial"/>
          <w:color w:val="auto"/>
          <w:sz w:val="22"/>
          <w:szCs w:val="22"/>
        </w:rPr>
        <w:t xml:space="preserve">The Council </w:t>
      </w:r>
      <w:r w:rsidRPr="00F2704B">
        <w:rPr>
          <w:rFonts w:asciiTheme="minorHAnsi" w:hAnsiTheme="minorHAnsi" w:cs="Arial"/>
          <w:color w:val="auto"/>
          <w:sz w:val="22"/>
          <w:szCs w:val="22"/>
        </w:rPr>
        <w:t>spent £121.</w:t>
      </w:r>
      <w:r>
        <w:rPr>
          <w:rFonts w:asciiTheme="minorHAnsi" w:hAnsiTheme="minorHAnsi" w:cs="Arial"/>
          <w:color w:val="auto"/>
          <w:sz w:val="22"/>
          <w:szCs w:val="22"/>
        </w:rPr>
        <w:t>6</w:t>
      </w:r>
      <w:r w:rsidRPr="00F2704B">
        <w:rPr>
          <w:rFonts w:asciiTheme="minorHAnsi" w:hAnsiTheme="minorHAnsi" w:cs="Arial"/>
          <w:color w:val="auto"/>
          <w:sz w:val="22"/>
          <w:szCs w:val="22"/>
        </w:rPr>
        <w:t xml:space="preserve"> million on capital expenditure in 2017/18 </w:t>
      </w:r>
      <w:r w:rsidR="00337CC2">
        <w:rPr>
          <w:rFonts w:asciiTheme="minorHAnsi" w:hAnsiTheme="minorHAnsi" w:cs="Arial"/>
          <w:color w:val="auto"/>
          <w:sz w:val="22"/>
          <w:szCs w:val="22"/>
        </w:rPr>
        <w:t xml:space="preserve">(£37.7m 16/17) </w:t>
      </w:r>
      <w:r w:rsidRPr="00F2704B">
        <w:rPr>
          <w:rFonts w:asciiTheme="minorHAnsi" w:hAnsiTheme="minorHAnsi" w:cs="Arial"/>
          <w:color w:val="auto"/>
          <w:sz w:val="22"/>
          <w:szCs w:val="22"/>
        </w:rPr>
        <w:t xml:space="preserve">of which £98.7m was Investment Properties, funded as shown in the table below.  </w:t>
      </w:r>
    </w:p>
    <w:tbl>
      <w:tblPr>
        <w:tblStyle w:val="ListTable3-Accent51"/>
        <w:tblW w:w="9061" w:type="dxa"/>
        <w:jc w:val="center"/>
        <w:tblLook w:val="01E0" w:firstRow="1" w:lastRow="1" w:firstColumn="1" w:lastColumn="1" w:noHBand="0" w:noVBand="0"/>
      </w:tblPr>
      <w:tblGrid>
        <w:gridCol w:w="5030"/>
        <w:gridCol w:w="1596"/>
        <w:gridCol w:w="1257"/>
        <w:gridCol w:w="1178"/>
      </w:tblGrid>
      <w:tr w:rsidR="00203BAD" w:rsidRPr="0005794A" w:rsidTr="002C155D">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100" w:firstRow="0" w:lastRow="0" w:firstColumn="1" w:lastColumn="0" w:oddVBand="0" w:evenVBand="0" w:oddHBand="0" w:evenHBand="0" w:firstRowFirstColumn="1" w:firstRowLastColumn="0" w:lastRowFirstColumn="0" w:lastRowLastColumn="0"/>
            <w:tcW w:w="5030" w:type="dxa"/>
          </w:tcPr>
          <w:p w:rsidR="00203BAD" w:rsidRPr="0005794A" w:rsidRDefault="00203BAD" w:rsidP="002C155D">
            <w:pPr>
              <w:pStyle w:val="BodyText"/>
              <w:widowControl w:val="0"/>
              <w:jc w:val="center"/>
              <w:rPr>
                <w:rFonts w:asciiTheme="minorHAnsi" w:hAnsiTheme="minorHAnsi" w:cs="Arial"/>
                <w:color w:val="548DD4" w:themeColor="text2" w:themeTint="99"/>
                <w:sz w:val="22"/>
                <w:szCs w:val="22"/>
              </w:rPr>
            </w:pPr>
          </w:p>
        </w:tc>
        <w:tc>
          <w:tcPr>
            <w:cnfStyle w:val="000010000000" w:firstRow="0" w:lastRow="0" w:firstColumn="0" w:lastColumn="0" w:oddVBand="1" w:evenVBand="0" w:oddHBand="0" w:evenHBand="0" w:firstRowFirstColumn="0" w:firstRowLastColumn="0" w:lastRowFirstColumn="0" w:lastRowLastColumn="0"/>
            <w:tcW w:w="1596" w:type="dxa"/>
            <w:tcBorders>
              <w:right w:val="nil"/>
            </w:tcBorders>
            <w:vAlign w:val="center"/>
          </w:tcPr>
          <w:p w:rsidR="00203BAD" w:rsidRPr="00E6149D" w:rsidRDefault="00203BAD" w:rsidP="002C155D">
            <w:pPr>
              <w:pStyle w:val="BodyText"/>
              <w:widowControl w:val="0"/>
              <w:spacing w:after="0" w:line="240" w:lineRule="auto"/>
              <w:jc w:val="center"/>
              <w:rPr>
                <w:rFonts w:asciiTheme="minorHAnsi" w:hAnsiTheme="minorHAnsi" w:cs="Arial"/>
                <w:color w:val="auto"/>
                <w:sz w:val="22"/>
                <w:szCs w:val="22"/>
              </w:rPr>
            </w:pPr>
            <w:r w:rsidRPr="00E6149D">
              <w:rPr>
                <w:rFonts w:asciiTheme="minorHAnsi" w:hAnsiTheme="minorHAnsi" w:cs="Arial"/>
                <w:color w:val="auto"/>
                <w:sz w:val="22"/>
                <w:szCs w:val="22"/>
              </w:rPr>
              <w:t>Revised Budget</w:t>
            </w:r>
          </w:p>
        </w:tc>
        <w:tc>
          <w:tcPr>
            <w:tcW w:w="1257" w:type="dxa"/>
            <w:tcBorders>
              <w:right w:val="nil"/>
            </w:tcBorders>
            <w:vAlign w:val="center"/>
          </w:tcPr>
          <w:p w:rsidR="00203BAD" w:rsidRPr="00E6149D" w:rsidRDefault="00203BAD" w:rsidP="002C155D">
            <w:pPr>
              <w:pStyle w:val="BodyT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sz w:val="22"/>
                <w:szCs w:val="22"/>
              </w:rPr>
            </w:pPr>
            <w:r w:rsidRPr="00E6149D">
              <w:rPr>
                <w:rFonts w:asciiTheme="minorHAnsi" w:hAnsiTheme="minorHAnsi" w:cs="Arial"/>
                <w:color w:val="auto"/>
                <w:sz w:val="22"/>
                <w:szCs w:val="22"/>
              </w:rPr>
              <w:t>Outturn</w:t>
            </w:r>
          </w:p>
        </w:tc>
        <w:tc>
          <w:tcPr>
            <w:cnfStyle w:val="000100001000" w:firstRow="0" w:lastRow="0" w:firstColumn="0" w:lastColumn="1" w:oddVBand="0" w:evenVBand="0" w:oddHBand="0" w:evenHBand="0" w:firstRowFirstColumn="0" w:firstRowLastColumn="1" w:lastRowFirstColumn="0" w:lastRowLastColumn="0"/>
            <w:tcW w:w="1178" w:type="dxa"/>
            <w:tcBorders>
              <w:right w:val="nil"/>
            </w:tcBorders>
            <w:vAlign w:val="center"/>
          </w:tcPr>
          <w:p w:rsidR="00203BAD" w:rsidRPr="00E6149D" w:rsidRDefault="00203BAD" w:rsidP="002C155D">
            <w:pPr>
              <w:pStyle w:val="BodyText"/>
              <w:widowControl w:val="0"/>
              <w:spacing w:after="0" w:line="240" w:lineRule="auto"/>
              <w:jc w:val="center"/>
              <w:rPr>
                <w:rFonts w:asciiTheme="minorHAnsi" w:hAnsiTheme="minorHAnsi" w:cs="Arial"/>
                <w:color w:val="auto"/>
                <w:sz w:val="22"/>
                <w:szCs w:val="22"/>
              </w:rPr>
            </w:pPr>
            <w:r w:rsidRPr="00E6149D">
              <w:rPr>
                <w:rFonts w:asciiTheme="minorHAnsi" w:hAnsiTheme="minorHAnsi" w:cs="Arial"/>
                <w:color w:val="auto"/>
                <w:sz w:val="22"/>
                <w:szCs w:val="22"/>
              </w:rPr>
              <w:t>Variation</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F2704B" w:rsidRDefault="00203BAD" w:rsidP="002C155D">
            <w:pPr>
              <w:pStyle w:val="BodyText"/>
              <w:widowControl w:val="0"/>
              <w:rPr>
                <w:rFonts w:asciiTheme="minorHAnsi" w:hAnsiTheme="minorHAnsi" w:cs="Arial"/>
                <w:b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596" w:type="dxa"/>
          </w:tcPr>
          <w:p w:rsidR="00203BAD" w:rsidRPr="00E6149D" w:rsidRDefault="00203BAD" w:rsidP="002C155D">
            <w:pPr>
              <w:pStyle w:val="BodyText"/>
              <w:widowControl w:val="0"/>
              <w:jc w:val="center"/>
              <w:rPr>
                <w:rFonts w:asciiTheme="minorHAnsi" w:hAnsiTheme="minorHAnsi" w:cs="Arial"/>
                <w:color w:val="auto"/>
                <w:sz w:val="22"/>
                <w:szCs w:val="22"/>
              </w:rPr>
            </w:pPr>
            <w:r w:rsidRPr="00E6149D">
              <w:rPr>
                <w:rFonts w:asciiTheme="minorHAnsi" w:hAnsiTheme="minorHAnsi" w:cs="Arial"/>
                <w:color w:val="auto"/>
                <w:sz w:val="22"/>
                <w:szCs w:val="22"/>
              </w:rPr>
              <w:t>£ m</w:t>
            </w:r>
          </w:p>
        </w:tc>
        <w:tc>
          <w:tcPr>
            <w:tcW w:w="1257" w:type="dxa"/>
          </w:tcPr>
          <w:p w:rsidR="00203BAD" w:rsidRPr="00E6149D" w:rsidRDefault="00203BAD" w:rsidP="002C155D">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E6149D">
              <w:rPr>
                <w:rFonts w:asciiTheme="minorHAnsi" w:hAnsiTheme="minorHAnsi" w:cs="Arial"/>
                <w:color w:val="auto"/>
                <w:sz w:val="22"/>
                <w:szCs w:val="22"/>
              </w:rPr>
              <w:t>£ m</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E6149D" w:rsidRDefault="00203BAD" w:rsidP="002C155D">
            <w:pPr>
              <w:pStyle w:val="BodyText"/>
              <w:widowControl w:val="0"/>
              <w:jc w:val="center"/>
              <w:rPr>
                <w:rFonts w:asciiTheme="minorHAnsi" w:hAnsiTheme="minorHAnsi" w:cs="Arial"/>
                <w:b w:val="0"/>
                <w:color w:val="auto"/>
                <w:sz w:val="22"/>
                <w:szCs w:val="22"/>
              </w:rPr>
            </w:pPr>
            <w:r w:rsidRPr="00E6149D">
              <w:rPr>
                <w:rFonts w:asciiTheme="minorHAnsi" w:hAnsiTheme="minorHAnsi" w:cs="Arial"/>
                <w:b w:val="0"/>
                <w:color w:val="auto"/>
                <w:sz w:val="22"/>
                <w:szCs w:val="22"/>
              </w:rPr>
              <w:t>£ m</w:t>
            </w:r>
          </w:p>
        </w:tc>
      </w:tr>
      <w:tr w:rsidR="00203BAD" w:rsidRPr="0005794A"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F2704B" w:rsidRDefault="00203BAD" w:rsidP="002C155D">
            <w:pPr>
              <w:pStyle w:val="BodyText"/>
              <w:widowControl w:val="0"/>
              <w:rPr>
                <w:rFonts w:asciiTheme="minorHAnsi" w:hAnsiTheme="minorHAnsi" w:cs="Arial"/>
                <w:b w:val="0"/>
                <w:color w:val="auto"/>
                <w:sz w:val="22"/>
                <w:szCs w:val="22"/>
              </w:rPr>
            </w:pPr>
            <w:r w:rsidRPr="00F2704B">
              <w:rPr>
                <w:rFonts w:asciiTheme="minorHAnsi" w:hAnsiTheme="minorHAnsi" w:cs="Arial"/>
                <w:b w:val="0"/>
                <w:color w:val="auto"/>
                <w:sz w:val="22"/>
                <w:szCs w:val="22"/>
              </w:rPr>
              <w:t>Unsupported (Prudential) Borrowing</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4904BC" w:rsidRDefault="00203BAD" w:rsidP="002C155D">
            <w:pPr>
              <w:pStyle w:val="BodyText"/>
              <w:widowControl w:val="0"/>
              <w:jc w:val="center"/>
              <w:rPr>
                <w:rFonts w:asciiTheme="minorHAnsi" w:hAnsiTheme="minorHAnsi" w:cs="Arial"/>
                <w:color w:val="auto"/>
                <w:sz w:val="22"/>
                <w:szCs w:val="22"/>
              </w:rPr>
            </w:pPr>
            <w:r w:rsidRPr="004904BC">
              <w:rPr>
                <w:rFonts w:asciiTheme="minorHAnsi" w:hAnsiTheme="minorHAnsi" w:cs="Arial"/>
                <w:color w:val="auto"/>
                <w:sz w:val="22"/>
                <w:szCs w:val="22"/>
              </w:rPr>
              <w:t>11</w:t>
            </w:r>
            <w:r>
              <w:rPr>
                <w:rFonts w:asciiTheme="minorHAnsi" w:hAnsiTheme="minorHAnsi" w:cs="Arial"/>
                <w:color w:val="auto"/>
                <w:sz w:val="22"/>
                <w:szCs w:val="22"/>
              </w:rPr>
              <w:t>8.0</w:t>
            </w:r>
          </w:p>
        </w:tc>
        <w:tc>
          <w:tcPr>
            <w:tcW w:w="1257" w:type="dxa"/>
          </w:tcPr>
          <w:p w:rsidR="00203BAD" w:rsidRPr="004904BC" w:rsidRDefault="00203BAD" w:rsidP="00403DF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4904BC">
              <w:rPr>
                <w:rFonts w:asciiTheme="minorHAnsi" w:hAnsiTheme="minorHAnsi" w:cs="Arial"/>
                <w:color w:val="auto"/>
                <w:sz w:val="22"/>
                <w:szCs w:val="22"/>
              </w:rPr>
              <w:t>109.</w:t>
            </w:r>
            <w:r w:rsidR="00403DF2">
              <w:rPr>
                <w:rFonts w:asciiTheme="minorHAnsi" w:hAnsiTheme="minorHAnsi" w:cs="Arial"/>
                <w:color w:val="auto"/>
                <w:sz w:val="22"/>
                <w:szCs w:val="22"/>
              </w:rPr>
              <w:t>1</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4904BC" w:rsidRDefault="00203BAD" w:rsidP="00403DF2">
            <w:pPr>
              <w:pStyle w:val="BodyText"/>
              <w:widowControl w:val="0"/>
              <w:jc w:val="center"/>
              <w:rPr>
                <w:rFonts w:asciiTheme="minorHAnsi" w:hAnsiTheme="minorHAnsi" w:cs="Arial"/>
                <w:b w:val="0"/>
                <w:color w:val="auto"/>
                <w:sz w:val="22"/>
                <w:szCs w:val="22"/>
              </w:rPr>
            </w:pPr>
            <w:r w:rsidRPr="004904BC">
              <w:rPr>
                <w:rFonts w:asciiTheme="minorHAnsi" w:hAnsiTheme="minorHAnsi" w:cs="Arial"/>
                <w:b w:val="0"/>
                <w:color w:val="auto"/>
                <w:sz w:val="22"/>
                <w:szCs w:val="22"/>
              </w:rPr>
              <w:t>(8.</w:t>
            </w:r>
            <w:r w:rsidR="00403DF2">
              <w:rPr>
                <w:rFonts w:asciiTheme="minorHAnsi" w:hAnsiTheme="minorHAnsi" w:cs="Arial"/>
                <w:b w:val="0"/>
                <w:color w:val="auto"/>
                <w:sz w:val="22"/>
                <w:szCs w:val="22"/>
              </w:rPr>
              <w:t>9</w:t>
            </w:r>
            <w:r w:rsidRPr="004904BC">
              <w:rPr>
                <w:rFonts w:asciiTheme="minorHAnsi" w:hAnsiTheme="minorHAnsi" w:cs="Arial"/>
                <w:b w:val="0"/>
                <w:color w:val="auto"/>
                <w:sz w:val="22"/>
                <w:szCs w:val="22"/>
              </w:rPr>
              <w:t>)</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F2704B" w:rsidRDefault="00203BAD" w:rsidP="002C155D">
            <w:pPr>
              <w:pStyle w:val="BodyText"/>
              <w:widowControl w:val="0"/>
              <w:rPr>
                <w:rFonts w:asciiTheme="minorHAnsi" w:hAnsiTheme="minorHAnsi" w:cs="Arial"/>
                <w:b w:val="0"/>
                <w:color w:val="auto"/>
                <w:sz w:val="22"/>
                <w:szCs w:val="22"/>
              </w:rPr>
            </w:pPr>
            <w:r w:rsidRPr="00F2704B">
              <w:rPr>
                <w:rFonts w:asciiTheme="minorHAnsi" w:hAnsiTheme="minorHAnsi" w:cs="Arial"/>
                <w:b w:val="0"/>
                <w:color w:val="auto"/>
                <w:sz w:val="22"/>
                <w:szCs w:val="22"/>
              </w:rPr>
              <w:t>Grants</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4904BC" w:rsidRDefault="00203BAD" w:rsidP="002C155D">
            <w:pPr>
              <w:pStyle w:val="BodyText"/>
              <w:widowControl w:val="0"/>
              <w:jc w:val="center"/>
              <w:rPr>
                <w:rFonts w:asciiTheme="minorHAnsi" w:hAnsiTheme="minorHAnsi" w:cs="Arial"/>
                <w:color w:val="auto"/>
                <w:sz w:val="22"/>
                <w:szCs w:val="22"/>
              </w:rPr>
            </w:pPr>
            <w:r w:rsidRPr="004904BC">
              <w:rPr>
                <w:rFonts w:asciiTheme="minorHAnsi" w:hAnsiTheme="minorHAnsi" w:cs="Arial"/>
                <w:color w:val="auto"/>
                <w:sz w:val="22"/>
                <w:szCs w:val="22"/>
              </w:rPr>
              <w:t>13.6</w:t>
            </w:r>
          </w:p>
        </w:tc>
        <w:tc>
          <w:tcPr>
            <w:tcW w:w="1257" w:type="dxa"/>
          </w:tcPr>
          <w:p w:rsidR="00203BAD" w:rsidRPr="004904BC" w:rsidRDefault="00203BAD" w:rsidP="00403DF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4904BC">
              <w:rPr>
                <w:rFonts w:asciiTheme="minorHAnsi" w:hAnsiTheme="minorHAnsi" w:cs="Arial"/>
                <w:color w:val="auto"/>
                <w:sz w:val="22"/>
                <w:szCs w:val="22"/>
              </w:rPr>
              <w:t>10.</w:t>
            </w:r>
            <w:r w:rsidR="00403DF2">
              <w:rPr>
                <w:rFonts w:asciiTheme="minorHAnsi" w:hAnsiTheme="minorHAnsi" w:cs="Arial"/>
                <w:color w:val="auto"/>
                <w:sz w:val="22"/>
                <w:szCs w:val="22"/>
              </w:rPr>
              <w:t>4</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4904BC" w:rsidRDefault="00203BAD" w:rsidP="00403DF2">
            <w:pPr>
              <w:pStyle w:val="BodyText"/>
              <w:widowControl w:val="0"/>
              <w:jc w:val="center"/>
              <w:rPr>
                <w:rFonts w:asciiTheme="minorHAnsi" w:hAnsiTheme="minorHAnsi" w:cs="Arial"/>
                <w:b w:val="0"/>
                <w:color w:val="auto"/>
                <w:sz w:val="22"/>
                <w:szCs w:val="22"/>
              </w:rPr>
            </w:pPr>
            <w:r w:rsidRPr="004904BC">
              <w:rPr>
                <w:rFonts w:asciiTheme="minorHAnsi" w:hAnsiTheme="minorHAnsi" w:cs="Arial"/>
                <w:b w:val="0"/>
                <w:color w:val="auto"/>
                <w:sz w:val="22"/>
                <w:szCs w:val="22"/>
              </w:rPr>
              <w:t>(3.</w:t>
            </w:r>
            <w:r w:rsidR="00403DF2">
              <w:rPr>
                <w:rFonts w:asciiTheme="minorHAnsi" w:hAnsiTheme="minorHAnsi" w:cs="Arial"/>
                <w:b w:val="0"/>
                <w:color w:val="auto"/>
                <w:sz w:val="22"/>
                <w:szCs w:val="22"/>
              </w:rPr>
              <w:t>2</w:t>
            </w:r>
            <w:r w:rsidRPr="004904BC">
              <w:rPr>
                <w:rFonts w:asciiTheme="minorHAnsi" w:hAnsiTheme="minorHAnsi" w:cs="Arial"/>
                <w:b w:val="0"/>
                <w:color w:val="auto"/>
                <w:sz w:val="22"/>
                <w:szCs w:val="22"/>
              </w:rPr>
              <w:t>)</w:t>
            </w:r>
          </w:p>
        </w:tc>
      </w:tr>
      <w:tr w:rsidR="00203BAD" w:rsidRPr="0005794A"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F2704B" w:rsidRDefault="00203BAD" w:rsidP="002C155D">
            <w:pPr>
              <w:pStyle w:val="BodyText"/>
              <w:widowControl w:val="0"/>
              <w:rPr>
                <w:rFonts w:asciiTheme="minorHAnsi" w:hAnsiTheme="minorHAnsi" w:cs="Arial"/>
                <w:b w:val="0"/>
                <w:color w:val="auto"/>
                <w:sz w:val="22"/>
                <w:szCs w:val="22"/>
              </w:rPr>
            </w:pPr>
            <w:r w:rsidRPr="00F2704B">
              <w:rPr>
                <w:rFonts w:asciiTheme="minorHAnsi" w:hAnsiTheme="minorHAnsi" w:cs="Arial"/>
                <w:b w:val="0"/>
                <w:color w:val="auto"/>
                <w:sz w:val="22"/>
                <w:szCs w:val="22"/>
              </w:rPr>
              <w:t>Other Contributions</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4904BC" w:rsidRDefault="00203BAD" w:rsidP="002C155D">
            <w:pPr>
              <w:pStyle w:val="BodyText"/>
              <w:widowControl w:val="0"/>
              <w:jc w:val="center"/>
              <w:rPr>
                <w:rFonts w:asciiTheme="minorHAnsi" w:hAnsiTheme="minorHAnsi" w:cs="Arial"/>
                <w:color w:val="auto"/>
                <w:sz w:val="22"/>
                <w:szCs w:val="22"/>
              </w:rPr>
            </w:pPr>
            <w:r w:rsidRPr="004904BC">
              <w:rPr>
                <w:rFonts w:asciiTheme="minorHAnsi" w:hAnsiTheme="minorHAnsi" w:cs="Arial"/>
                <w:color w:val="auto"/>
                <w:sz w:val="22"/>
                <w:szCs w:val="22"/>
              </w:rPr>
              <w:t>0.6</w:t>
            </w:r>
          </w:p>
        </w:tc>
        <w:tc>
          <w:tcPr>
            <w:tcW w:w="1257" w:type="dxa"/>
          </w:tcPr>
          <w:p w:rsidR="00203BAD" w:rsidRPr="004904BC" w:rsidRDefault="00203BAD" w:rsidP="002C155D">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4904BC">
              <w:rPr>
                <w:rFonts w:asciiTheme="minorHAnsi" w:hAnsiTheme="minorHAnsi" w:cs="Arial"/>
                <w:color w:val="auto"/>
                <w:sz w:val="22"/>
                <w:szCs w:val="22"/>
              </w:rPr>
              <w:t>0.3</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4904BC" w:rsidRDefault="00203BAD" w:rsidP="002C155D">
            <w:pPr>
              <w:pStyle w:val="BodyText"/>
              <w:widowControl w:val="0"/>
              <w:jc w:val="center"/>
              <w:rPr>
                <w:rFonts w:asciiTheme="minorHAnsi" w:hAnsiTheme="minorHAnsi" w:cs="Arial"/>
                <w:b w:val="0"/>
                <w:color w:val="auto"/>
                <w:sz w:val="22"/>
                <w:szCs w:val="22"/>
              </w:rPr>
            </w:pPr>
            <w:r w:rsidRPr="004904BC">
              <w:rPr>
                <w:rFonts w:asciiTheme="minorHAnsi" w:hAnsiTheme="minorHAnsi" w:cs="Arial"/>
                <w:b w:val="0"/>
                <w:color w:val="auto"/>
                <w:sz w:val="22"/>
                <w:szCs w:val="22"/>
              </w:rPr>
              <w:t>(0.3)</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F2704B" w:rsidRDefault="00203BAD" w:rsidP="002C155D">
            <w:pPr>
              <w:pStyle w:val="BodyText"/>
              <w:widowControl w:val="0"/>
              <w:rPr>
                <w:rFonts w:asciiTheme="minorHAnsi" w:hAnsiTheme="minorHAnsi" w:cs="Arial"/>
                <w:b w:val="0"/>
                <w:color w:val="auto"/>
                <w:sz w:val="22"/>
                <w:szCs w:val="22"/>
              </w:rPr>
            </w:pPr>
            <w:r w:rsidRPr="00F2704B">
              <w:rPr>
                <w:rFonts w:asciiTheme="minorHAnsi" w:hAnsiTheme="minorHAnsi" w:cs="Arial"/>
                <w:b w:val="0"/>
                <w:color w:val="auto"/>
                <w:sz w:val="22"/>
                <w:szCs w:val="22"/>
              </w:rPr>
              <w:t>Revenue and Reserves</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4904BC" w:rsidRDefault="00203BAD" w:rsidP="002C155D">
            <w:pPr>
              <w:pStyle w:val="BodyText"/>
              <w:widowControl w:val="0"/>
              <w:jc w:val="center"/>
              <w:rPr>
                <w:rFonts w:asciiTheme="minorHAnsi" w:hAnsiTheme="minorHAnsi" w:cs="Arial"/>
                <w:color w:val="auto"/>
                <w:sz w:val="22"/>
                <w:szCs w:val="22"/>
              </w:rPr>
            </w:pPr>
            <w:r w:rsidRPr="004904BC">
              <w:rPr>
                <w:rFonts w:asciiTheme="minorHAnsi" w:hAnsiTheme="minorHAnsi" w:cs="Arial"/>
                <w:color w:val="auto"/>
                <w:sz w:val="22"/>
                <w:szCs w:val="22"/>
              </w:rPr>
              <w:t>2.0</w:t>
            </w:r>
          </w:p>
        </w:tc>
        <w:tc>
          <w:tcPr>
            <w:tcW w:w="1257" w:type="dxa"/>
          </w:tcPr>
          <w:p w:rsidR="00203BAD" w:rsidRPr="004904BC" w:rsidRDefault="00203BAD" w:rsidP="002C155D">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4904BC">
              <w:rPr>
                <w:rFonts w:asciiTheme="minorHAnsi" w:hAnsiTheme="minorHAnsi" w:cs="Arial"/>
                <w:color w:val="auto"/>
                <w:sz w:val="22"/>
                <w:szCs w:val="22"/>
              </w:rPr>
              <w:t>1.2</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4904BC" w:rsidRDefault="00203BAD" w:rsidP="002C155D">
            <w:pPr>
              <w:pStyle w:val="BodyText"/>
              <w:widowControl w:val="0"/>
              <w:jc w:val="center"/>
              <w:rPr>
                <w:rFonts w:asciiTheme="minorHAnsi" w:hAnsiTheme="minorHAnsi" w:cs="Arial"/>
                <w:b w:val="0"/>
                <w:color w:val="auto"/>
                <w:sz w:val="22"/>
                <w:szCs w:val="22"/>
              </w:rPr>
            </w:pPr>
            <w:r w:rsidRPr="004904BC">
              <w:rPr>
                <w:rFonts w:asciiTheme="minorHAnsi" w:hAnsiTheme="minorHAnsi" w:cs="Arial"/>
                <w:b w:val="0"/>
                <w:color w:val="auto"/>
                <w:sz w:val="22"/>
                <w:szCs w:val="22"/>
              </w:rPr>
              <w:t>(0.8)</w:t>
            </w:r>
          </w:p>
        </w:tc>
      </w:tr>
      <w:tr w:rsidR="00203BAD" w:rsidRPr="0005794A" w:rsidTr="002C155D">
        <w:trPr>
          <w:trHeight w:hRule="exact" w:val="275"/>
          <w:jc w:val="center"/>
        </w:trPr>
        <w:tc>
          <w:tcPr>
            <w:cnfStyle w:val="001000000000" w:firstRow="0" w:lastRow="0" w:firstColumn="1" w:lastColumn="0" w:oddVBand="0" w:evenVBand="0" w:oddHBand="0" w:evenHBand="0" w:firstRowFirstColumn="0" w:firstRowLastColumn="0" w:lastRowFirstColumn="0" w:lastRowLastColumn="0"/>
            <w:tcW w:w="5030" w:type="dxa"/>
          </w:tcPr>
          <w:p w:rsidR="00203BAD" w:rsidRPr="00F2704B" w:rsidRDefault="00203BAD" w:rsidP="002C155D">
            <w:pPr>
              <w:pStyle w:val="BodyText"/>
              <w:widowControl w:val="0"/>
              <w:rPr>
                <w:rFonts w:asciiTheme="minorHAnsi" w:hAnsiTheme="minorHAnsi" w:cs="Arial"/>
                <w:b w:val="0"/>
                <w:color w:val="auto"/>
                <w:sz w:val="22"/>
                <w:szCs w:val="22"/>
              </w:rPr>
            </w:pPr>
            <w:r w:rsidRPr="00F2704B">
              <w:rPr>
                <w:rFonts w:asciiTheme="minorHAnsi" w:hAnsiTheme="minorHAnsi" w:cs="Arial"/>
                <w:b w:val="0"/>
                <w:color w:val="auto"/>
                <w:sz w:val="22"/>
                <w:szCs w:val="22"/>
              </w:rPr>
              <w:t>Capital Receipts</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4904BC" w:rsidRDefault="00203BAD" w:rsidP="002C155D">
            <w:pPr>
              <w:pStyle w:val="BodyText"/>
              <w:widowControl w:val="0"/>
              <w:jc w:val="center"/>
              <w:rPr>
                <w:rFonts w:asciiTheme="minorHAnsi" w:hAnsiTheme="minorHAnsi" w:cs="Arial"/>
                <w:color w:val="auto"/>
                <w:sz w:val="22"/>
                <w:szCs w:val="22"/>
              </w:rPr>
            </w:pPr>
            <w:r w:rsidRPr="004904BC">
              <w:rPr>
                <w:rFonts w:asciiTheme="minorHAnsi" w:hAnsiTheme="minorHAnsi" w:cs="Arial"/>
                <w:color w:val="auto"/>
                <w:sz w:val="22"/>
                <w:szCs w:val="22"/>
              </w:rPr>
              <w:t>1.0</w:t>
            </w:r>
          </w:p>
        </w:tc>
        <w:tc>
          <w:tcPr>
            <w:tcW w:w="1257" w:type="dxa"/>
          </w:tcPr>
          <w:p w:rsidR="00203BAD" w:rsidRPr="004904BC" w:rsidRDefault="00203BAD" w:rsidP="002C155D">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4904BC">
              <w:rPr>
                <w:rFonts w:asciiTheme="minorHAnsi" w:hAnsiTheme="minorHAnsi" w:cs="Arial"/>
                <w:color w:val="auto"/>
                <w:sz w:val="22"/>
                <w:szCs w:val="22"/>
              </w:rPr>
              <w:t>0.3</w:t>
            </w:r>
          </w:p>
        </w:tc>
        <w:tc>
          <w:tcPr>
            <w:cnfStyle w:val="000100000000" w:firstRow="0" w:lastRow="0" w:firstColumn="0" w:lastColumn="1" w:oddVBand="0" w:evenVBand="0" w:oddHBand="0" w:evenHBand="0" w:firstRowFirstColumn="0" w:firstRowLastColumn="0" w:lastRowFirstColumn="0" w:lastRowLastColumn="0"/>
            <w:tcW w:w="1178" w:type="dxa"/>
            <w:tcBorders>
              <w:left w:val="single" w:sz="4" w:space="0" w:color="4BACC6" w:themeColor="accent5"/>
            </w:tcBorders>
          </w:tcPr>
          <w:p w:rsidR="00203BAD" w:rsidRPr="004904BC" w:rsidRDefault="00203BAD" w:rsidP="002C155D">
            <w:pPr>
              <w:pStyle w:val="BodyText"/>
              <w:widowControl w:val="0"/>
              <w:jc w:val="center"/>
              <w:rPr>
                <w:rFonts w:asciiTheme="minorHAnsi" w:hAnsiTheme="minorHAnsi" w:cs="Arial"/>
                <w:b w:val="0"/>
                <w:color w:val="auto"/>
                <w:sz w:val="22"/>
                <w:szCs w:val="22"/>
              </w:rPr>
            </w:pPr>
            <w:r w:rsidRPr="004904BC">
              <w:rPr>
                <w:rFonts w:asciiTheme="minorHAnsi" w:hAnsiTheme="minorHAnsi" w:cs="Arial"/>
                <w:b w:val="0"/>
                <w:color w:val="auto"/>
                <w:sz w:val="22"/>
                <w:szCs w:val="22"/>
              </w:rPr>
              <w:t>(0.7)</w:t>
            </w:r>
          </w:p>
        </w:tc>
      </w:tr>
      <w:tr w:rsidR="00203BAD" w:rsidRPr="0005794A" w:rsidTr="002C155D">
        <w:trPr>
          <w:cnfStyle w:val="010000000000" w:firstRow="0" w:lastRow="1" w:firstColumn="0" w:lastColumn="0" w:oddVBand="0" w:evenVBand="0" w:oddHBand="0" w:evenHBand="0" w:firstRowFirstColumn="0" w:firstRowLastColumn="0" w:lastRowFirstColumn="0" w:lastRowLastColumn="0"/>
          <w:trHeight w:hRule="exact" w:val="275"/>
          <w:jc w:val="center"/>
        </w:trPr>
        <w:tc>
          <w:tcPr>
            <w:cnfStyle w:val="001000000001" w:firstRow="0" w:lastRow="0" w:firstColumn="1" w:lastColumn="0" w:oddVBand="0" w:evenVBand="0" w:oddHBand="0" w:evenHBand="0" w:firstRowFirstColumn="0" w:firstRowLastColumn="0" w:lastRowFirstColumn="1" w:lastRowLastColumn="0"/>
            <w:tcW w:w="5030" w:type="dxa"/>
          </w:tcPr>
          <w:p w:rsidR="00203BAD" w:rsidRPr="00F2704B" w:rsidRDefault="00203BAD" w:rsidP="002C155D">
            <w:pPr>
              <w:pStyle w:val="BodyText"/>
              <w:widowControl w:val="0"/>
              <w:rPr>
                <w:rFonts w:asciiTheme="minorHAnsi" w:hAnsiTheme="minorHAnsi" w:cs="Arial"/>
                <w:color w:val="auto"/>
                <w:sz w:val="22"/>
                <w:szCs w:val="22"/>
              </w:rPr>
            </w:pPr>
            <w:r w:rsidRPr="00F2704B">
              <w:rPr>
                <w:rFonts w:asciiTheme="minorHAnsi" w:hAnsiTheme="minorHAnsi" w:cs="Arial"/>
                <w:color w:val="auto"/>
                <w:sz w:val="22"/>
                <w:szCs w:val="22"/>
              </w:rPr>
              <w:t>Total Funding</w:t>
            </w:r>
          </w:p>
        </w:tc>
        <w:tc>
          <w:tcPr>
            <w:cnfStyle w:val="000010000000" w:firstRow="0" w:lastRow="0" w:firstColumn="0" w:lastColumn="0" w:oddVBand="1" w:evenVBand="0" w:oddHBand="0" w:evenHBand="0" w:firstRowFirstColumn="0" w:firstRowLastColumn="0" w:lastRowFirstColumn="0" w:lastRowLastColumn="0"/>
            <w:tcW w:w="1596" w:type="dxa"/>
          </w:tcPr>
          <w:p w:rsidR="00203BAD" w:rsidRPr="00F2704B" w:rsidRDefault="00203BAD" w:rsidP="002C155D">
            <w:pPr>
              <w:pStyle w:val="BodyText"/>
              <w:widowControl w:val="0"/>
              <w:jc w:val="center"/>
              <w:rPr>
                <w:rFonts w:asciiTheme="minorHAnsi" w:hAnsiTheme="minorHAnsi" w:cs="Arial"/>
                <w:color w:val="auto"/>
                <w:sz w:val="22"/>
                <w:szCs w:val="22"/>
              </w:rPr>
            </w:pPr>
            <w:r w:rsidRPr="00F2704B">
              <w:rPr>
                <w:rFonts w:asciiTheme="minorHAnsi" w:hAnsiTheme="minorHAnsi" w:cs="Arial"/>
                <w:color w:val="auto"/>
                <w:sz w:val="22"/>
                <w:szCs w:val="22"/>
              </w:rPr>
              <w:t>13</w:t>
            </w:r>
            <w:r>
              <w:rPr>
                <w:rFonts w:asciiTheme="minorHAnsi" w:hAnsiTheme="minorHAnsi" w:cs="Arial"/>
                <w:color w:val="auto"/>
                <w:sz w:val="22"/>
                <w:szCs w:val="22"/>
              </w:rPr>
              <w:t>5.2</w:t>
            </w:r>
          </w:p>
        </w:tc>
        <w:tc>
          <w:tcPr>
            <w:tcW w:w="1257" w:type="dxa"/>
          </w:tcPr>
          <w:p w:rsidR="00203BAD" w:rsidRPr="00F2704B" w:rsidRDefault="00203BAD" w:rsidP="00403DF2">
            <w:pPr>
              <w:pStyle w:val="BodyText"/>
              <w:widowControl w:val="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F2704B">
              <w:rPr>
                <w:rFonts w:asciiTheme="minorHAnsi" w:hAnsiTheme="minorHAnsi" w:cs="Arial"/>
                <w:color w:val="auto"/>
                <w:sz w:val="22"/>
                <w:szCs w:val="22"/>
              </w:rPr>
              <w:t>1</w:t>
            </w:r>
            <w:r>
              <w:rPr>
                <w:rFonts w:asciiTheme="minorHAnsi" w:hAnsiTheme="minorHAnsi" w:cs="Arial"/>
                <w:color w:val="auto"/>
                <w:sz w:val="22"/>
                <w:szCs w:val="22"/>
              </w:rPr>
              <w:t>21.</w:t>
            </w:r>
            <w:r w:rsidR="00403DF2">
              <w:rPr>
                <w:rFonts w:asciiTheme="minorHAnsi" w:hAnsiTheme="minorHAnsi" w:cs="Arial"/>
                <w:color w:val="auto"/>
                <w:sz w:val="22"/>
                <w:szCs w:val="22"/>
              </w:rPr>
              <w:t>3</w:t>
            </w:r>
          </w:p>
        </w:tc>
        <w:tc>
          <w:tcPr>
            <w:cnfStyle w:val="000100000010" w:firstRow="0" w:lastRow="0" w:firstColumn="0" w:lastColumn="1" w:oddVBand="0" w:evenVBand="0" w:oddHBand="0" w:evenHBand="0" w:firstRowFirstColumn="0" w:firstRowLastColumn="0" w:lastRowFirstColumn="0" w:lastRowLastColumn="1"/>
            <w:tcW w:w="1178" w:type="dxa"/>
            <w:tcBorders>
              <w:left w:val="single" w:sz="4" w:space="0" w:color="4BACC6" w:themeColor="accent5"/>
            </w:tcBorders>
          </w:tcPr>
          <w:p w:rsidR="00203BAD" w:rsidRPr="00F2704B" w:rsidRDefault="00203BAD" w:rsidP="00403DF2">
            <w:pPr>
              <w:pStyle w:val="BodyText"/>
              <w:widowControl w:val="0"/>
              <w:jc w:val="center"/>
              <w:rPr>
                <w:rFonts w:asciiTheme="minorHAnsi" w:hAnsiTheme="minorHAnsi" w:cs="Arial"/>
                <w:color w:val="auto"/>
                <w:sz w:val="22"/>
                <w:szCs w:val="22"/>
              </w:rPr>
            </w:pPr>
            <w:r w:rsidRPr="00F2704B">
              <w:rPr>
                <w:rFonts w:asciiTheme="minorHAnsi" w:hAnsiTheme="minorHAnsi" w:cs="Arial"/>
                <w:color w:val="auto"/>
                <w:sz w:val="22"/>
                <w:szCs w:val="22"/>
              </w:rPr>
              <w:t>(13.</w:t>
            </w:r>
            <w:r w:rsidR="00403DF2">
              <w:rPr>
                <w:rFonts w:asciiTheme="minorHAnsi" w:hAnsiTheme="minorHAnsi" w:cs="Arial"/>
                <w:color w:val="auto"/>
                <w:sz w:val="22"/>
                <w:szCs w:val="22"/>
              </w:rPr>
              <w:t>9</w:t>
            </w:r>
            <w:r w:rsidRPr="00F2704B">
              <w:rPr>
                <w:rFonts w:asciiTheme="minorHAnsi" w:hAnsiTheme="minorHAnsi" w:cs="Arial"/>
                <w:color w:val="auto"/>
                <w:sz w:val="22"/>
                <w:szCs w:val="22"/>
              </w:rPr>
              <w:t>)</w:t>
            </w:r>
          </w:p>
        </w:tc>
      </w:tr>
    </w:tbl>
    <w:p w:rsidR="00203BAD" w:rsidRPr="0005794A" w:rsidRDefault="00203BAD" w:rsidP="00203BAD">
      <w:pPr>
        <w:pStyle w:val="BodyText"/>
        <w:widowControl w:val="0"/>
        <w:spacing w:after="0" w:line="240" w:lineRule="auto"/>
        <w:rPr>
          <w:rFonts w:asciiTheme="minorHAnsi" w:hAnsiTheme="minorHAnsi" w:cs="Arial"/>
          <w:color w:val="548DD4" w:themeColor="text2" w:themeTint="99"/>
          <w:sz w:val="22"/>
          <w:szCs w:val="22"/>
        </w:rPr>
      </w:pPr>
    </w:p>
    <w:p w:rsidR="00203BAD" w:rsidRPr="00F01415" w:rsidRDefault="00203BAD" w:rsidP="00203BAD">
      <w:pPr>
        <w:pStyle w:val="BodyText"/>
        <w:widowControl w:val="0"/>
        <w:spacing w:after="0" w:line="240" w:lineRule="auto"/>
        <w:rPr>
          <w:rFonts w:asciiTheme="minorHAnsi" w:hAnsiTheme="minorHAnsi" w:cs="Arial"/>
          <w:color w:val="auto"/>
          <w:sz w:val="22"/>
          <w:szCs w:val="22"/>
        </w:rPr>
      </w:pPr>
      <w:r w:rsidRPr="00F2704B">
        <w:rPr>
          <w:rFonts w:asciiTheme="minorHAnsi" w:hAnsiTheme="minorHAnsi" w:cs="Arial"/>
          <w:color w:val="auto"/>
          <w:sz w:val="22"/>
          <w:szCs w:val="22"/>
        </w:rPr>
        <w:t>Of th</w:t>
      </w:r>
      <w:r w:rsidR="00337CC2">
        <w:rPr>
          <w:rFonts w:asciiTheme="minorHAnsi" w:hAnsiTheme="minorHAnsi" w:cs="Arial"/>
          <w:color w:val="auto"/>
          <w:sz w:val="22"/>
          <w:szCs w:val="22"/>
        </w:rPr>
        <w:t>e</w:t>
      </w:r>
      <w:r w:rsidRPr="00F2704B">
        <w:rPr>
          <w:rFonts w:asciiTheme="minorHAnsi" w:hAnsiTheme="minorHAnsi" w:cs="Arial"/>
          <w:color w:val="auto"/>
          <w:sz w:val="22"/>
          <w:szCs w:val="22"/>
        </w:rPr>
        <w:t xml:space="preserve"> £12</w:t>
      </w:r>
      <w:r w:rsidR="00D04516">
        <w:rPr>
          <w:rFonts w:asciiTheme="minorHAnsi" w:hAnsiTheme="minorHAnsi" w:cs="Arial"/>
          <w:color w:val="auto"/>
          <w:sz w:val="22"/>
          <w:szCs w:val="22"/>
        </w:rPr>
        <w:t>1</w:t>
      </w:r>
      <w:r w:rsidRPr="00F2704B">
        <w:rPr>
          <w:rFonts w:asciiTheme="minorHAnsi" w:hAnsiTheme="minorHAnsi" w:cs="Arial"/>
          <w:color w:val="auto"/>
          <w:sz w:val="22"/>
          <w:szCs w:val="22"/>
        </w:rPr>
        <w:t xml:space="preserve"> million</w:t>
      </w:r>
      <w:r w:rsidRPr="00464122">
        <w:rPr>
          <w:rFonts w:asciiTheme="minorHAnsi" w:hAnsiTheme="minorHAnsi" w:cs="Arial"/>
          <w:color w:val="auto"/>
          <w:sz w:val="22"/>
          <w:szCs w:val="22"/>
        </w:rPr>
        <w:t>, £11</w:t>
      </w:r>
      <w:r w:rsidR="00B721C9">
        <w:rPr>
          <w:rFonts w:asciiTheme="minorHAnsi" w:hAnsiTheme="minorHAnsi" w:cs="Arial"/>
          <w:color w:val="auto"/>
          <w:sz w:val="22"/>
          <w:szCs w:val="22"/>
        </w:rPr>
        <w:t>4</w:t>
      </w:r>
      <w:r w:rsidRPr="00464122">
        <w:rPr>
          <w:rFonts w:asciiTheme="minorHAnsi" w:hAnsiTheme="minorHAnsi" w:cs="Arial"/>
          <w:color w:val="auto"/>
          <w:sz w:val="22"/>
          <w:szCs w:val="22"/>
        </w:rPr>
        <w:t xml:space="preserve"> million was added to the value of the Council’s </w:t>
      </w:r>
      <w:proofErr w:type="spellStart"/>
      <w:r w:rsidRPr="00464122">
        <w:rPr>
          <w:rFonts w:asciiTheme="minorHAnsi" w:hAnsiTheme="minorHAnsi" w:cs="Arial"/>
          <w:color w:val="auto"/>
          <w:sz w:val="22"/>
          <w:szCs w:val="22"/>
        </w:rPr>
        <w:t>non current</w:t>
      </w:r>
      <w:proofErr w:type="spellEnd"/>
      <w:r w:rsidRPr="00464122">
        <w:rPr>
          <w:rFonts w:asciiTheme="minorHAnsi" w:hAnsiTheme="minorHAnsi" w:cs="Arial"/>
          <w:color w:val="auto"/>
          <w:sz w:val="22"/>
          <w:szCs w:val="22"/>
        </w:rPr>
        <w:t xml:space="preserve"> assets (before any in-year revaluation) – these are primarily land</w:t>
      </w:r>
      <w:r>
        <w:rPr>
          <w:rFonts w:asciiTheme="minorHAnsi" w:hAnsiTheme="minorHAnsi" w:cs="Arial"/>
          <w:color w:val="auto"/>
          <w:sz w:val="22"/>
          <w:szCs w:val="22"/>
        </w:rPr>
        <w:t>,</w:t>
      </w:r>
      <w:r w:rsidRPr="00464122">
        <w:rPr>
          <w:rFonts w:asciiTheme="minorHAnsi" w:hAnsiTheme="minorHAnsi" w:cs="Arial"/>
          <w:color w:val="auto"/>
          <w:sz w:val="22"/>
          <w:szCs w:val="22"/>
        </w:rPr>
        <w:t xml:space="preserve"> buildings </w:t>
      </w:r>
      <w:r>
        <w:rPr>
          <w:rFonts w:asciiTheme="minorHAnsi" w:hAnsiTheme="minorHAnsi" w:cs="Arial"/>
          <w:color w:val="auto"/>
          <w:sz w:val="22"/>
          <w:szCs w:val="22"/>
        </w:rPr>
        <w:t>and investment properties</w:t>
      </w:r>
      <w:r w:rsidRPr="00464122">
        <w:rPr>
          <w:rFonts w:asciiTheme="minorHAnsi" w:hAnsiTheme="minorHAnsi" w:cs="Arial"/>
          <w:color w:val="auto"/>
          <w:sz w:val="22"/>
          <w:szCs w:val="22"/>
        </w:rPr>
        <w:t>.  The balance of £8 million was capital expenditure on assets the Council does not recognise as its own (such as academy schools), capital grants and loans for a capital purpose.</w:t>
      </w:r>
      <w:r w:rsidRPr="0005794A">
        <w:rPr>
          <w:rFonts w:asciiTheme="minorHAnsi" w:hAnsiTheme="minorHAnsi" w:cs="Arial"/>
          <w:color w:val="548DD4" w:themeColor="text2" w:themeTint="99"/>
          <w:sz w:val="22"/>
          <w:szCs w:val="22"/>
        </w:rPr>
        <w:t xml:space="preserve">  </w:t>
      </w:r>
      <w:r w:rsidRPr="00F01415">
        <w:rPr>
          <w:rFonts w:asciiTheme="minorHAnsi" w:hAnsiTheme="minorHAnsi" w:cs="Arial"/>
          <w:color w:val="auto"/>
          <w:sz w:val="22"/>
          <w:szCs w:val="22"/>
        </w:rPr>
        <w:t>A summary of capital expenditure in 2017/18 is shown below.</w:t>
      </w:r>
    </w:p>
    <w:p w:rsidR="00203BAD" w:rsidRPr="0005794A" w:rsidRDefault="00203BAD" w:rsidP="00203BAD">
      <w:pPr>
        <w:pStyle w:val="BodyText"/>
        <w:widowControl w:val="0"/>
        <w:rPr>
          <w:rFonts w:asciiTheme="minorHAnsi" w:hAnsiTheme="minorHAnsi" w:cs="Arial"/>
          <w:color w:val="548DD4" w:themeColor="text2" w:themeTint="99"/>
          <w:sz w:val="22"/>
          <w:szCs w:val="22"/>
          <w:u w:val="single"/>
        </w:rPr>
      </w:pPr>
    </w:p>
    <w:tbl>
      <w:tblPr>
        <w:tblStyle w:val="GridTable4-Accent51"/>
        <w:tblpPr w:leftFromText="180" w:rightFromText="180" w:vertAnchor="text" w:horzAnchor="margin" w:tblpXSpec="center" w:tblpY="-71"/>
        <w:tblW w:w="0" w:type="auto"/>
        <w:tblLayout w:type="fixed"/>
        <w:tblLook w:val="01E0" w:firstRow="1" w:lastRow="1" w:firstColumn="1" w:lastColumn="1" w:noHBand="0" w:noVBand="0"/>
      </w:tblPr>
      <w:tblGrid>
        <w:gridCol w:w="3369"/>
        <w:gridCol w:w="5278"/>
        <w:gridCol w:w="993"/>
      </w:tblGrid>
      <w:tr w:rsidR="00203BAD" w:rsidRPr="0005794A" w:rsidTr="002C1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left w:val="single" w:sz="2" w:space="0" w:color="4BACC6" w:themeColor="accent5"/>
              <w:right w:val="single" w:sz="4" w:space="0" w:color="4BACC6"/>
            </w:tcBorders>
            <w:vAlign w:val="center"/>
          </w:tcPr>
          <w:p w:rsidR="00203BAD" w:rsidRPr="00F01415" w:rsidRDefault="00203BAD" w:rsidP="002C155D">
            <w:pPr>
              <w:pStyle w:val="BodyText"/>
              <w:widowControl w:val="0"/>
              <w:spacing w:after="0" w:line="240" w:lineRule="auto"/>
              <w:jc w:val="center"/>
              <w:rPr>
                <w:rFonts w:asciiTheme="minorHAnsi" w:hAnsiTheme="minorHAnsi" w:cs="Arial"/>
                <w:b w:val="0"/>
                <w:color w:val="auto"/>
                <w:sz w:val="22"/>
                <w:szCs w:val="22"/>
              </w:rPr>
            </w:pPr>
            <w:r w:rsidRPr="00F01415">
              <w:rPr>
                <w:rFonts w:asciiTheme="minorHAnsi" w:hAnsiTheme="minorHAnsi" w:cs="Arial"/>
                <w:color w:val="auto"/>
                <w:sz w:val="22"/>
                <w:szCs w:val="22"/>
              </w:rPr>
              <w:t>Corporate Plan Theme</w:t>
            </w:r>
          </w:p>
        </w:tc>
        <w:tc>
          <w:tcPr>
            <w:cnfStyle w:val="000010000000" w:firstRow="0" w:lastRow="0" w:firstColumn="0" w:lastColumn="0" w:oddVBand="1" w:evenVBand="0" w:oddHBand="0" w:evenHBand="0" w:firstRowFirstColumn="0" w:firstRowLastColumn="0" w:lastRowFirstColumn="0" w:lastRowLastColumn="0"/>
            <w:tcW w:w="5278" w:type="dxa"/>
            <w:tcBorders>
              <w:left w:val="single" w:sz="2" w:space="0" w:color="4BACC6" w:themeColor="accent5"/>
              <w:right w:val="single" w:sz="4" w:space="0" w:color="4BACC6"/>
            </w:tcBorders>
            <w:vAlign w:val="center"/>
          </w:tcPr>
          <w:p w:rsidR="00203BAD" w:rsidRPr="00F01415" w:rsidRDefault="00203BAD" w:rsidP="002C155D">
            <w:pPr>
              <w:pStyle w:val="BodyText"/>
              <w:widowControl w:val="0"/>
              <w:spacing w:after="0" w:line="240" w:lineRule="auto"/>
              <w:jc w:val="center"/>
              <w:rPr>
                <w:rFonts w:asciiTheme="minorHAnsi" w:hAnsiTheme="minorHAnsi" w:cs="Arial"/>
                <w:color w:val="auto"/>
                <w:sz w:val="22"/>
                <w:szCs w:val="22"/>
              </w:rPr>
            </w:pPr>
            <w:r w:rsidRPr="00F01415">
              <w:rPr>
                <w:rFonts w:asciiTheme="minorHAnsi" w:hAnsiTheme="minorHAnsi" w:cs="Arial"/>
                <w:color w:val="auto"/>
                <w:sz w:val="22"/>
                <w:szCs w:val="22"/>
              </w:rPr>
              <w:t>Examples of 2017/18 Schemes</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tcPr>
          <w:p w:rsidR="00203BAD" w:rsidRPr="00403DF2" w:rsidRDefault="00203BAD" w:rsidP="002C155D">
            <w:pPr>
              <w:pStyle w:val="BodyText"/>
              <w:widowControl w:val="0"/>
              <w:spacing w:after="0" w:line="240" w:lineRule="auto"/>
              <w:jc w:val="center"/>
              <w:rPr>
                <w:rFonts w:asciiTheme="minorHAnsi" w:hAnsiTheme="minorHAnsi" w:cs="Arial"/>
                <w:color w:val="auto"/>
                <w:sz w:val="22"/>
                <w:szCs w:val="22"/>
              </w:rPr>
            </w:pPr>
            <w:r w:rsidRPr="00403DF2">
              <w:rPr>
                <w:rFonts w:asciiTheme="minorHAnsi" w:hAnsiTheme="minorHAnsi" w:cs="Arial"/>
                <w:color w:val="auto"/>
                <w:sz w:val="22"/>
                <w:szCs w:val="22"/>
              </w:rPr>
              <w:t>Spend £m</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4BACC6"/>
            </w:tcBorders>
            <w:shd w:val="clear" w:color="auto" w:fill="auto"/>
            <w:vAlign w:val="center"/>
          </w:tcPr>
          <w:p w:rsidR="00203BAD" w:rsidRPr="00213ED3" w:rsidRDefault="00203BAD" w:rsidP="002C155D">
            <w:pPr>
              <w:pStyle w:val="BodyTextIndent2"/>
              <w:spacing w:after="0" w:line="240" w:lineRule="auto"/>
              <w:ind w:left="0"/>
              <w:jc w:val="center"/>
              <w:rPr>
                <w:rFonts w:asciiTheme="minorHAnsi" w:hAnsiTheme="minorHAnsi" w:cs="Arial"/>
                <w:b w:val="0"/>
                <w:color w:val="auto"/>
                <w:sz w:val="22"/>
                <w:szCs w:val="22"/>
              </w:rPr>
            </w:pPr>
            <w:r w:rsidRPr="00213ED3">
              <w:rPr>
                <w:rFonts w:asciiTheme="minorHAnsi" w:hAnsiTheme="minorHAnsi" w:cs="Arial"/>
                <w:b w:val="0"/>
                <w:color w:val="auto"/>
                <w:sz w:val="22"/>
                <w:szCs w:val="22"/>
              </w:rPr>
              <w:t>Protecting all children and given them the best start in life</w:t>
            </w:r>
          </w:p>
        </w:tc>
        <w:tc>
          <w:tcPr>
            <w:cnfStyle w:val="000010000000" w:firstRow="0" w:lastRow="0" w:firstColumn="0" w:lastColumn="0" w:oddVBand="1" w:evenVBand="0" w:oddHBand="0" w:evenHBand="0" w:firstRowFirstColumn="0" w:firstRowLastColumn="0" w:lastRowFirstColumn="0" w:lastRowLastColumn="0"/>
            <w:tcW w:w="5278" w:type="dxa"/>
            <w:tcBorders>
              <w:right w:val="single" w:sz="4" w:space="0" w:color="4BACC6"/>
            </w:tcBorders>
            <w:shd w:val="clear" w:color="auto" w:fill="auto"/>
            <w:vAlign w:val="center"/>
          </w:tcPr>
          <w:p w:rsidR="00203BAD" w:rsidRPr="00213ED3" w:rsidRDefault="00203BAD" w:rsidP="002C155D">
            <w:pPr>
              <w:pStyle w:val="BodyText"/>
              <w:widowControl w:val="0"/>
              <w:spacing w:after="0" w:line="240" w:lineRule="auto"/>
              <w:jc w:val="center"/>
              <w:rPr>
                <w:rFonts w:asciiTheme="minorHAnsi" w:hAnsiTheme="minorHAnsi" w:cs="Arial"/>
                <w:color w:val="auto"/>
                <w:sz w:val="22"/>
                <w:szCs w:val="22"/>
              </w:rPr>
            </w:pPr>
            <w:r w:rsidRPr="00213ED3">
              <w:rPr>
                <w:rFonts w:asciiTheme="minorHAnsi" w:hAnsiTheme="minorHAnsi" w:cs="Arial"/>
                <w:color w:val="auto"/>
                <w:sz w:val="22"/>
                <w:szCs w:val="22"/>
              </w:rPr>
              <w:t xml:space="preserve">Includes early year expansion at both </w:t>
            </w:r>
            <w:proofErr w:type="spellStart"/>
            <w:r w:rsidRPr="00213ED3">
              <w:rPr>
                <w:rFonts w:asciiTheme="minorHAnsi" w:hAnsiTheme="minorHAnsi" w:cs="Arial"/>
                <w:color w:val="auto"/>
                <w:sz w:val="22"/>
                <w:szCs w:val="22"/>
              </w:rPr>
              <w:t>Ellacombe</w:t>
            </w:r>
            <w:proofErr w:type="spellEnd"/>
            <w:r w:rsidRPr="00213ED3">
              <w:rPr>
                <w:rFonts w:asciiTheme="minorHAnsi" w:hAnsiTheme="minorHAnsi" w:cs="Arial"/>
                <w:color w:val="auto"/>
                <w:sz w:val="22"/>
                <w:szCs w:val="22"/>
              </w:rPr>
              <w:t xml:space="preserve"> and White Rock</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shd w:val="clear" w:color="auto" w:fill="auto"/>
            <w:vAlign w:val="center"/>
          </w:tcPr>
          <w:p w:rsidR="00203BAD" w:rsidRPr="00403DF2" w:rsidRDefault="00203BAD" w:rsidP="002C155D">
            <w:pPr>
              <w:pStyle w:val="BodyText"/>
              <w:widowControl w:val="0"/>
              <w:spacing w:after="0" w:line="240" w:lineRule="auto"/>
              <w:jc w:val="center"/>
              <w:rPr>
                <w:rFonts w:asciiTheme="minorHAnsi" w:hAnsiTheme="minorHAnsi" w:cs="Arial"/>
                <w:color w:val="auto"/>
                <w:sz w:val="22"/>
                <w:szCs w:val="22"/>
              </w:rPr>
            </w:pPr>
            <w:r w:rsidRPr="00403DF2">
              <w:rPr>
                <w:rFonts w:asciiTheme="minorHAnsi" w:hAnsiTheme="minorHAnsi" w:cs="Arial"/>
                <w:color w:val="auto"/>
                <w:sz w:val="22"/>
                <w:szCs w:val="22"/>
              </w:rPr>
              <w:t>1.8</w:t>
            </w:r>
          </w:p>
        </w:tc>
      </w:tr>
      <w:tr w:rsidR="00203BAD" w:rsidRPr="0005794A" w:rsidTr="002C155D">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4BACC6"/>
            </w:tcBorders>
            <w:shd w:val="clear" w:color="auto" w:fill="auto"/>
            <w:vAlign w:val="center"/>
          </w:tcPr>
          <w:p w:rsidR="00203BAD" w:rsidRPr="00213ED3" w:rsidRDefault="00203BAD" w:rsidP="002C155D">
            <w:pPr>
              <w:pStyle w:val="BodyTextIndent2"/>
              <w:spacing w:after="0" w:line="240" w:lineRule="auto"/>
              <w:ind w:left="0"/>
              <w:jc w:val="center"/>
              <w:rPr>
                <w:rFonts w:asciiTheme="minorHAnsi" w:hAnsiTheme="minorHAnsi" w:cs="Arial"/>
                <w:b w:val="0"/>
                <w:color w:val="auto"/>
                <w:sz w:val="22"/>
                <w:szCs w:val="22"/>
              </w:rPr>
            </w:pPr>
            <w:r w:rsidRPr="00213ED3">
              <w:rPr>
                <w:rFonts w:asciiTheme="minorHAnsi" w:hAnsiTheme="minorHAnsi" w:cs="Arial"/>
                <w:b w:val="0"/>
                <w:color w:val="auto"/>
                <w:sz w:val="22"/>
                <w:szCs w:val="22"/>
              </w:rPr>
              <w:t>Working towards a more prosperous Torbay</w:t>
            </w:r>
          </w:p>
        </w:tc>
        <w:tc>
          <w:tcPr>
            <w:cnfStyle w:val="000010000000" w:firstRow="0" w:lastRow="0" w:firstColumn="0" w:lastColumn="0" w:oddVBand="1" w:evenVBand="0" w:oddHBand="0" w:evenHBand="0" w:firstRowFirstColumn="0" w:firstRowLastColumn="0" w:lastRowFirstColumn="0" w:lastRowLastColumn="0"/>
            <w:tcW w:w="5278" w:type="dxa"/>
            <w:tcBorders>
              <w:right w:val="single" w:sz="4" w:space="0" w:color="4BACC6"/>
            </w:tcBorders>
            <w:shd w:val="clear" w:color="auto" w:fill="auto"/>
            <w:vAlign w:val="center"/>
          </w:tcPr>
          <w:p w:rsidR="00203BAD" w:rsidRPr="00213ED3" w:rsidRDefault="00203BAD" w:rsidP="002C155D">
            <w:pPr>
              <w:pStyle w:val="BodyText"/>
              <w:widowControl w:val="0"/>
              <w:spacing w:after="0" w:line="240" w:lineRule="auto"/>
              <w:jc w:val="center"/>
              <w:rPr>
                <w:rFonts w:asciiTheme="minorHAnsi" w:hAnsiTheme="minorHAnsi" w:cs="Arial"/>
                <w:color w:val="auto"/>
                <w:sz w:val="22"/>
                <w:szCs w:val="22"/>
              </w:rPr>
            </w:pPr>
            <w:r w:rsidRPr="00213ED3">
              <w:rPr>
                <w:rFonts w:asciiTheme="minorHAnsi" w:hAnsiTheme="minorHAnsi" w:cs="Arial"/>
                <w:color w:val="auto"/>
                <w:sz w:val="22"/>
                <w:szCs w:val="22"/>
              </w:rPr>
              <w:t>Includes transport scheme at Western Corridor</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shd w:val="clear" w:color="auto" w:fill="auto"/>
            <w:vAlign w:val="center"/>
          </w:tcPr>
          <w:p w:rsidR="00203BAD" w:rsidRPr="00403DF2" w:rsidRDefault="00203BAD" w:rsidP="00403DF2">
            <w:pPr>
              <w:pStyle w:val="BodyText"/>
              <w:widowControl w:val="0"/>
              <w:spacing w:after="0" w:line="240" w:lineRule="auto"/>
              <w:jc w:val="center"/>
              <w:rPr>
                <w:rFonts w:asciiTheme="minorHAnsi" w:hAnsiTheme="minorHAnsi" w:cs="Arial"/>
                <w:color w:val="auto"/>
                <w:sz w:val="22"/>
                <w:szCs w:val="22"/>
              </w:rPr>
            </w:pPr>
            <w:r w:rsidRPr="00403DF2">
              <w:rPr>
                <w:rFonts w:asciiTheme="minorHAnsi" w:hAnsiTheme="minorHAnsi" w:cs="Arial"/>
                <w:color w:val="auto"/>
                <w:sz w:val="22"/>
                <w:szCs w:val="22"/>
              </w:rPr>
              <w:t>16.</w:t>
            </w:r>
            <w:r w:rsidR="00403DF2" w:rsidRPr="00403DF2">
              <w:rPr>
                <w:rFonts w:asciiTheme="minorHAnsi" w:hAnsiTheme="minorHAnsi" w:cs="Arial"/>
                <w:color w:val="auto"/>
                <w:sz w:val="22"/>
                <w:szCs w:val="22"/>
              </w:rPr>
              <w:t>5</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4BACC6"/>
            </w:tcBorders>
            <w:shd w:val="clear" w:color="auto" w:fill="auto"/>
            <w:vAlign w:val="center"/>
          </w:tcPr>
          <w:p w:rsidR="00203BAD" w:rsidRPr="00213ED3" w:rsidRDefault="00203BAD" w:rsidP="002C155D">
            <w:pPr>
              <w:pStyle w:val="BodyTextIndent2"/>
              <w:spacing w:after="0" w:line="240" w:lineRule="auto"/>
              <w:ind w:left="0"/>
              <w:jc w:val="center"/>
              <w:rPr>
                <w:rFonts w:asciiTheme="minorHAnsi" w:hAnsiTheme="minorHAnsi" w:cs="Arial"/>
                <w:b w:val="0"/>
                <w:color w:val="auto"/>
                <w:sz w:val="22"/>
                <w:szCs w:val="22"/>
              </w:rPr>
            </w:pPr>
            <w:r w:rsidRPr="00213ED3">
              <w:rPr>
                <w:rFonts w:asciiTheme="minorHAnsi" w:hAnsiTheme="minorHAnsi" w:cs="Arial"/>
                <w:b w:val="0"/>
                <w:color w:val="auto"/>
                <w:sz w:val="22"/>
                <w:szCs w:val="22"/>
              </w:rPr>
              <w:t>Investment Properties</w:t>
            </w:r>
          </w:p>
        </w:tc>
        <w:tc>
          <w:tcPr>
            <w:cnfStyle w:val="000010000000" w:firstRow="0" w:lastRow="0" w:firstColumn="0" w:lastColumn="0" w:oddVBand="1" w:evenVBand="0" w:oddHBand="0" w:evenHBand="0" w:firstRowFirstColumn="0" w:firstRowLastColumn="0" w:lastRowFirstColumn="0" w:lastRowLastColumn="0"/>
            <w:tcW w:w="5278" w:type="dxa"/>
            <w:tcBorders>
              <w:right w:val="single" w:sz="4" w:space="0" w:color="4BACC6"/>
            </w:tcBorders>
            <w:shd w:val="clear" w:color="auto" w:fill="auto"/>
            <w:vAlign w:val="center"/>
          </w:tcPr>
          <w:p w:rsidR="00203BAD" w:rsidRPr="0005794A" w:rsidRDefault="00203BAD" w:rsidP="002C155D">
            <w:pPr>
              <w:pStyle w:val="BodyText"/>
              <w:widowControl w:val="0"/>
              <w:spacing w:after="0" w:line="240" w:lineRule="auto"/>
              <w:jc w:val="center"/>
              <w:rPr>
                <w:rFonts w:asciiTheme="minorHAnsi" w:hAnsiTheme="minorHAnsi" w:cs="Arial"/>
                <w:i/>
                <w:color w:val="548DD4" w:themeColor="text2" w:themeTint="99"/>
                <w:sz w:val="22"/>
                <w:szCs w:val="22"/>
              </w:rPr>
            </w:pPr>
            <w:r w:rsidRPr="00213ED3">
              <w:rPr>
                <w:rFonts w:asciiTheme="minorHAnsi" w:hAnsiTheme="minorHAnsi" w:cs="Arial"/>
                <w:color w:val="auto"/>
                <w:sz w:val="22"/>
                <w:szCs w:val="22"/>
              </w:rPr>
              <w:t>Purchase of four Investment Properties</w:t>
            </w:r>
            <w:r>
              <w:rPr>
                <w:rFonts w:asciiTheme="minorHAnsi" w:hAnsiTheme="minorHAnsi" w:cs="Arial"/>
                <w:color w:val="auto"/>
                <w:sz w:val="22"/>
                <w:szCs w:val="22"/>
              </w:rPr>
              <w:t xml:space="preserve"> in Exeter, Oxford, Dorset and Medway</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shd w:val="clear" w:color="auto" w:fill="auto"/>
            <w:vAlign w:val="center"/>
          </w:tcPr>
          <w:p w:rsidR="00203BAD" w:rsidRPr="00403DF2" w:rsidRDefault="00203BAD" w:rsidP="002C155D">
            <w:pPr>
              <w:pStyle w:val="BodyText"/>
              <w:widowControl w:val="0"/>
              <w:spacing w:after="0" w:line="240" w:lineRule="auto"/>
              <w:jc w:val="center"/>
              <w:rPr>
                <w:rFonts w:asciiTheme="minorHAnsi" w:hAnsiTheme="minorHAnsi" w:cs="Arial"/>
                <w:color w:val="auto"/>
                <w:sz w:val="22"/>
                <w:szCs w:val="22"/>
              </w:rPr>
            </w:pPr>
            <w:r w:rsidRPr="00403DF2">
              <w:rPr>
                <w:rFonts w:asciiTheme="minorHAnsi" w:hAnsiTheme="minorHAnsi" w:cs="Arial"/>
                <w:color w:val="auto"/>
                <w:sz w:val="22"/>
                <w:szCs w:val="22"/>
              </w:rPr>
              <w:t>98.7</w:t>
            </w:r>
          </w:p>
        </w:tc>
      </w:tr>
      <w:tr w:rsidR="00203BAD" w:rsidRPr="0005794A" w:rsidTr="002C155D">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4BACC6"/>
            </w:tcBorders>
            <w:shd w:val="clear" w:color="auto" w:fill="auto"/>
            <w:vAlign w:val="center"/>
          </w:tcPr>
          <w:p w:rsidR="00203BAD" w:rsidRPr="00213ED3" w:rsidRDefault="00203BAD" w:rsidP="002C155D">
            <w:pPr>
              <w:pStyle w:val="BodyTextIndent2"/>
              <w:spacing w:after="0" w:line="240" w:lineRule="auto"/>
              <w:ind w:left="0"/>
              <w:jc w:val="center"/>
              <w:rPr>
                <w:rFonts w:asciiTheme="minorHAnsi" w:hAnsiTheme="minorHAnsi" w:cs="Arial"/>
                <w:b w:val="0"/>
                <w:color w:val="auto"/>
                <w:sz w:val="22"/>
                <w:szCs w:val="22"/>
              </w:rPr>
            </w:pPr>
            <w:r w:rsidRPr="00213ED3">
              <w:rPr>
                <w:rFonts w:asciiTheme="minorHAnsi" w:hAnsiTheme="minorHAnsi" w:cs="Arial"/>
                <w:b w:val="0"/>
                <w:color w:val="auto"/>
                <w:sz w:val="22"/>
                <w:szCs w:val="22"/>
              </w:rPr>
              <w:t>Ensuring Torbay remains an attractive and safe place to live and visit</w:t>
            </w:r>
          </w:p>
        </w:tc>
        <w:tc>
          <w:tcPr>
            <w:cnfStyle w:val="000010000000" w:firstRow="0" w:lastRow="0" w:firstColumn="0" w:lastColumn="0" w:oddVBand="1" w:evenVBand="0" w:oddHBand="0" w:evenHBand="0" w:firstRowFirstColumn="0" w:firstRowLastColumn="0" w:lastRowFirstColumn="0" w:lastRowLastColumn="0"/>
            <w:tcW w:w="5278" w:type="dxa"/>
            <w:tcBorders>
              <w:right w:val="single" w:sz="4" w:space="0" w:color="4BACC6"/>
            </w:tcBorders>
            <w:shd w:val="clear" w:color="auto" w:fill="auto"/>
            <w:vAlign w:val="center"/>
          </w:tcPr>
          <w:p w:rsidR="00203BAD" w:rsidRPr="00213ED3" w:rsidRDefault="00203BAD" w:rsidP="002C155D">
            <w:pPr>
              <w:pStyle w:val="BodyText"/>
              <w:widowControl w:val="0"/>
              <w:spacing w:after="0" w:line="240" w:lineRule="auto"/>
              <w:jc w:val="center"/>
              <w:rPr>
                <w:rFonts w:asciiTheme="minorHAnsi" w:hAnsiTheme="minorHAnsi" w:cs="Arial"/>
                <w:color w:val="auto"/>
                <w:sz w:val="22"/>
                <w:szCs w:val="22"/>
              </w:rPr>
            </w:pPr>
            <w:r>
              <w:rPr>
                <w:rFonts w:asciiTheme="minorHAnsi" w:hAnsiTheme="minorHAnsi" w:cs="Arial"/>
                <w:color w:val="auto"/>
                <w:sz w:val="22"/>
                <w:szCs w:val="22"/>
              </w:rPr>
              <w:t>Includes spend on capital loan in relation to Clen</w:t>
            </w:r>
            <w:r w:rsidRPr="00213ED3">
              <w:rPr>
                <w:rFonts w:asciiTheme="minorHAnsi" w:hAnsiTheme="minorHAnsi" w:cs="Arial"/>
                <w:color w:val="auto"/>
                <w:sz w:val="22"/>
                <w:szCs w:val="22"/>
              </w:rPr>
              <w:t>non Valley leisure centre and improvements at Princess Gardens Fountain and Harbour pontoons</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shd w:val="clear" w:color="auto" w:fill="auto"/>
            <w:vAlign w:val="center"/>
          </w:tcPr>
          <w:p w:rsidR="00203BAD" w:rsidRPr="00403DF2" w:rsidRDefault="00203BAD" w:rsidP="00403DF2">
            <w:pPr>
              <w:pStyle w:val="BodyText"/>
              <w:widowControl w:val="0"/>
              <w:spacing w:after="0" w:line="240" w:lineRule="auto"/>
              <w:jc w:val="center"/>
              <w:rPr>
                <w:rFonts w:asciiTheme="minorHAnsi" w:hAnsiTheme="minorHAnsi" w:cs="Arial"/>
                <w:color w:val="auto"/>
                <w:sz w:val="22"/>
                <w:szCs w:val="22"/>
              </w:rPr>
            </w:pPr>
            <w:r w:rsidRPr="00403DF2">
              <w:rPr>
                <w:rFonts w:asciiTheme="minorHAnsi" w:hAnsiTheme="minorHAnsi" w:cs="Arial"/>
                <w:color w:val="auto"/>
                <w:sz w:val="22"/>
                <w:szCs w:val="22"/>
              </w:rPr>
              <w:t>1.</w:t>
            </w:r>
            <w:r w:rsidR="00403DF2" w:rsidRPr="00403DF2">
              <w:rPr>
                <w:rFonts w:asciiTheme="minorHAnsi" w:hAnsiTheme="minorHAnsi" w:cs="Arial"/>
                <w:color w:val="auto"/>
                <w:sz w:val="22"/>
                <w:szCs w:val="22"/>
              </w:rPr>
              <w:t>7</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single" w:sz="4" w:space="0" w:color="4BACC6"/>
            </w:tcBorders>
            <w:shd w:val="clear" w:color="auto" w:fill="auto"/>
            <w:vAlign w:val="center"/>
          </w:tcPr>
          <w:p w:rsidR="00203BAD" w:rsidRPr="00213ED3" w:rsidRDefault="00203BAD" w:rsidP="002C155D">
            <w:pPr>
              <w:pStyle w:val="BodyTextIndent2"/>
              <w:spacing w:after="0" w:line="240" w:lineRule="auto"/>
              <w:ind w:left="0"/>
              <w:jc w:val="center"/>
              <w:rPr>
                <w:rFonts w:asciiTheme="minorHAnsi" w:hAnsiTheme="minorHAnsi" w:cs="Arial"/>
                <w:b w:val="0"/>
                <w:color w:val="auto"/>
                <w:sz w:val="22"/>
                <w:szCs w:val="22"/>
              </w:rPr>
            </w:pPr>
            <w:r w:rsidRPr="00213ED3">
              <w:rPr>
                <w:rFonts w:asciiTheme="minorHAnsi" w:hAnsiTheme="minorHAnsi" w:cs="Arial"/>
                <w:b w:val="0"/>
                <w:color w:val="auto"/>
                <w:sz w:val="22"/>
                <w:szCs w:val="22"/>
              </w:rPr>
              <w:t>Protecting and supporting vulnerable adults</w:t>
            </w:r>
          </w:p>
        </w:tc>
        <w:tc>
          <w:tcPr>
            <w:cnfStyle w:val="000010000000" w:firstRow="0" w:lastRow="0" w:firstColumn="0" w:lastColumn="0" w:oddVBand="1" w:evenVBand="0" w:oddHBand="0" w:evenHBand="0" w:firstRowFirstColumn="0" w:firstRowLastColumn="0" w:lastRowFirstColumn="0" w:lastRowLastColumn="0"/>
            <w:tcW w:w="5278" w:type="dxa"/>
            <w:tcBorders>
              <w:right w:val="single" w:sz="4" w:space="0" w:color="4BACC6"/>
            </w:tcBorders>
            <w:shd w:val="clear" w:color="auto" w:fill="auto"/>
            <w:vAlign w:val="center"/>
          </w:tcPr>
          <w:p w:rsidR="00203BAD" w:rsidRPr="00213ED3" w:rsidRDefault="00203BAD" w:rsidP="002C155D">
            <w:pPr>
              <w:pStyle w:val="BodyText"/>
              <w:widowControl w:val="0"/>
              <w:spacing w:after="0" w:line="240" w:lineRule="auto"/>
              <w:jc w:val="center"/>
              <w:rPr>
                <w:rFonts w:asciiTheme="minorHAnsi" w:hAnsiTheme="minorHAnsi" w:cs="Arial"/>
                <w:color w:val="auto"/>
                <w:sz w:val="22"/>
                <w:szCs w:val="22"/>
              </w:rPr>
            </w:pPr>
            <w:r w:rsidRPr="00213ED3">
              <w:rPr>
                <w:rFonts w:asciiTheme="minorHAnsi" w:hAnsiTheme="minorHAnsi" w:cs="Arial"/>
                <w:color w:val="auto"/>
                <w:sz w:val="22"/>
                <w:szCs w:val="22"/>
              </w:rPr>
              <w:t>Includes spend on adult social care with the ICO and Disabled facilities Grants</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tcBorders>
            <w:shd w:val="clear" w:color="auto" w:fill="auto"/>
            <w:vAlign w:val="center"/>
          </w:tcPr>
          <w:p w:rsidR="00203BAD" w:rsidRPr="00403DF2" w:rsidRDefault="00203BAD" w:rsidP="002C155D">
            <w:pPr>
              <w:pStyle w:val="BodyText"/>
              <w:widowControl w:val="0"/>
              <w:spacing w:after="0" w:line="240" w:lineRule="auto"/>
              <w:jc w:val="center"/>
              <w:rPr>
                <w:rFonts w:asciiTheme="minorHAnsi" w:hAnsiTheme="minorHAnsi" w:cs="Arial"/>
                <w:color w:val="auto"/>
                <w:sz w:val="22"/>
                <w:szCs w:val="22"/>
              </w:rPr>
            </w:pPr>
            <w:r w:rsidRPr="00403DF2">
              <w:rPr>
                <w:rFonts w:asciiTheme="minorHAnsi" w:hAnsiTheme="minorHAnsi" w:cs="Arial"/>
                <w:color w:val="auto"/>
                <w:sz w:val="22"/>
                <w:szCs w:val="22"/>
              </w:rPr>
              <w:t>1.5</w:t>
            </w:r>
          </w:p>
        </w:tc>
      </w:tr>
      <w:tr w:rsidR="00203BAD" w:rsidRPr="0005794A" w:rsidTr="002C155D">
        <w:tc>
          <w:tcPr>
            <w:cnfStyle w:val="001000000000" w:firstRow="0" w:lastRow="0" w:firstColumn="1" w:lastColumn="0" w:oddVBand="0" w:evenVBand="0" w:oddHBand="0" w:evenHBand="0" w:firstRowFirstColumn="0" w:firstRowLastColumn="0" w:lastRowFirstColumn="0" w:lastRowLastColumn="0"/>
            <w:tcW w:w="3369" w:type="dxa"/>
            <w:tcBorders>
              <w:bottom w:val="single" w:sz="4" w:space="0" w:color="92CDDC" w:themeColor="accent5" w:themeTint="99"/>
              <w:right w:val="single" w:sz="4" w:space="0" w:color="4BACC6"/>
            </w:tcBorders>
            <w:shd w:val="clear" w:color="auto" w:fill="auto"/>
            <w:vAlign w:val="center"/>
          </w:tcPr>
          <w:p w:rsidR="00203BAD" w:rsidRDefault="00203BAD" w:rsidP="002C155D">
            <w:pPr>
              <w:pStyle w:val="BodyTextIndent2"/>
              <w:spacing w:after="0" w:line="240" w:lineRule="auto"/>
              <w:ind w:left="0"/>
              <w:jc w:val="center"/>
              <w:rPr>
                <w:rFonts w:asciiTheme="minorHAnsi" w:hAnsiTheme="minorHAnsi" w:cs="Arial"/>
                <w:b w:val="0"/>
                <w:color w:val="auto"/>
                <w:sz w:val="22"/>
                <w:szCs w:val="22"/>
              </w:rPr>
            </w:pPr>
            <w:r w:rsidRPr="00213ED3">
              <w:rPr>
                <w:rFonts w:asciiTheme="minorHAnsi" w:hAnsiTheme="minorHAnsi" w:cs="Arial"/>
                <w:b w:val="0"/>
                <w:color w:val="auto"/>
                <w:sz w:val="22"/>
                <w:szCs w:val="22"/>
              </w:rPr>
              <w:t>Corporate Support</w:t>
            </w:r>
          </w:p>
          <w:p w:rsidR="00203BAD" w:rsidRPr="00213ED3" w:rsidRDefault="00203BAD" w:rsidP="002C155D">
            <w:pPr>
              <w:pStyle w:val="BodyTextIndent2"/>
              <w:spacing w:after="0" w:line="240" w:lineRule="auto"/>
              <w:ind w:left="0"/>
              <w:jc w:val="center"/>
              <w:rPr>
                <w:rFonts w:asciiTheme="minorHAnsi" w:hAnsiTheme="minorHAnsi" w:cs="Arial"/>
                <w:b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5278" w:type="dxa"/>
            <w:tcBorders>
              <w:bottom w:val="single" w:sz="4" w:space="0" w:color="92CDDC" w:themeColor="accent5" w:themeTint="99"/>
              <w:right w:val="single" w:sz="4" w:space="0" w:color="4BACC6"/>
            </w:tcBorders>
            <w:shd w:val="clear" w:color="auto" w:fill="auto"/>
            <w:vAlign w:val="center"/>
          </w:tcPr>
          <w:p w:rsidR="00203BAD" w:rsidRPr="00213ED3" w:rsidRDefault="00203BAD" w:rsidP="002C155D">
            <w:pPr>
              <w:pStyle w:val="BodyText"/>
              <w:widowControl w:val="0"/>
              <w:spacing w:after="0" w:line="240" w:lineRule="auto"/>
              <w:jc w:val="center"/>
              <w:rPr>
                <w:rFonts w:asciiTheme="minorHAnsi" w:hAnsiTheme="minorHAnsi" w:cs="Arial"/>
                <w:color w:val="auto"/>
                <w:sz w:val="22"/>
                <w:szCs w:val="22"/>
              </w:rPr>
            </w:pPr>
            <w:r w:rsidRPr="00213ED3">
              <w:rPr>
                <w:rFonts w:asciiTheme="minorHAnsi" w:hAnsiTheme="minorHAnsi" w:cs="Arial"/>
                <w:color w:val="auto"/>
                <w:sz w:val="22"/>
                <w:szCs w:val="22"/>
              </w:rPr>
              <w:t>IT purchases and enhancement of office space</w:t>
            </w:r>
          </w:p>
        </w:tc>
        <w:tc>
          <w:tcPr>
            <w:cnfStyle w:val="000100000000" w:firstRow="0" w:lastRow="0" w:firstColumn="0" w:lastColumn="1" w:oddVBand="0" w:evenVBand="0" w:oddHBand="0" w:evenHBand="0" w:firstRowFirstColumn="0" w:firstRowLastColumn="0" w:lastRowFirstColumn="0" w:lastRowLastColumn="0"/>
            <w:tcW w:w="993" w:type="dxa"/>
            <w:tcBorders>
              <w:left w:val="single" w:sz="4" w:space="0" w:color="4BACC6"/>
              <w:bottom w:val="single" w:sz="4" w:space="0" w:color="92CDDC" w:themeColor="accent5" w:themeTint="99"/>
            </w:tcBorders>
            <w:shd w:val="clear" w:color="auto" w:fill="auto"/>
            <w:vAlign w:val="center"/>
          </w:tcPr>
          <w:p w:rsidR="00203BAD" w:rsidRPr="00403DF2" w:rsidRDefault="00203BAD" w:rsidP="00403DF2">
            <w:pPr>
              <w:pStyle w:val="BodyText"/>
              <w:widowControl w:val="0"/>
              <w:spacing w:after="0" w:line="240" w:lineRule="auto"/>
              <w:jc w:val="center"/>
              <w:rPr>
                <w:rFonts w:asciiTheme="minorHAnsi" w:hAnsiTheme="minorHAnsi" w:cs="Arial"/>
                <w:color w:val="auto"/>
                <w:sz w:val="22"/>
                <w:szCs w:val="22"/>
              </w:rPr>
            </w:pPr>
            <w:r w:rsidRPr="00403DF2">
              <w:rPr>
                <w:rFonts w:asciiTheme="minorHAnsi" w:hAnsiTheme="minorHAnsi" w:cs="Arial"/>
                <w:color w:val="auto"/>
                <w:sz w:val="22"/>
                <w:szCs w:val="22"/>
              </w:rPr>
              <w:t>1.</w:t>
            </w:r>
            <w:r w:rsidR="00403DF2" w:rsidRPr="00403DF2">
              <w:rPr>
                <w:rFonts w:asciiTheme="minorHAnsi" w:hAnsiTheme="minorHAnsi" w:cs="Arial"/>
                <w:color w:val="auto"/>
                <w:sz w:val="22"/>
                <w:szCs w:val="22"/>
              </w:rPr>
              <w:t>1</w:t>
            </w:r>
          </w:p>
        </w:tc>
      </w:tr>
      <w:tr w:rsidR="00203BAD" w:rsidRPr="0005794A" w:rsidTr="002C155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92CDDC" w:themeColor="accent5" w:themeTint="99"/>
              <w:bottom w:val="single" w:sz="4" w:space="0" w:color="92CDDC" w:themeColor="accent5" w:themeTint="99"/>
              <w:right w:val="single" w:sz="4" w:space="0" w:color="4BACC6"/>
            </w:tcBorders>
            <w:vAlign w:val="center"/>
          </w:tcPr>
          <w:p w:rsidR="00203BAD" w:rsidRPr="00F2704B" w:rsidRDefault="00203BAD" w:rsidP="002C155D">
            <w:pPr>
              <w:pStyle w:val="BodyText"/>
              <w:widowControl w:val="0"/>
              <w:spacing w:after="0" w:line="240" w:lineRule="auto"/>
              <w:rPr>
                <w:rFonts w:asciiTheme="minorHAnsi" w:hAnsiTheme="minorHAnsi" w:cs="Arial"/>
                <w:color w:val="auto"/>
                <w:sz w:val="22"/>
                <w:szCs w:val="22"/>
              </w:rPr>
            </w:pPr>
            <w:r w:rsidRPr="00F2704B">
              <w:rPr>
                <w:rFonts w:asciiTheme="minorHAnsi" w:hAnsiTheme="minorHAnsi" w:cs="Arial"/>
                <w:color w:val="auto"/>
                <w:sz w:val="22"/>
                <w:szCs w:val="22"/>
              </w:rPr>
              <w:t>Total</w:t>
            </w:r>
          </w:p>
        </w:tc>
        <w:tc>
          <w:tcPr>
            <w:cnfStyle w:val="000010000000" w:firstRow="0" w:lastRow="0" w:firstColumn="0" w:lastColumn="0" w:oddVBand="1" w:evenVBand="0" w:oddHBand="0" w:evenHBand="0" w:firstRowFirstColumn="0" w:firstRowLastColumn="0" w:lastRowFirstColumn="0" w:lastRowLastColumn="0"/>
            <w:tcW w:w="5278" w:type="dxa"/>
            <w:tcBorders>
              <w:top w:val="single" w:sz="4" w:space="0" w:color="92CDDC" w:themeColor="accent5" w:themeTint="99"/>
              <w:bottom w:val="single" w:sz="4" w:space="0" w:color="92CDDC" w:themeColor="accent5" w:themeTint="99"/>
              <w:right w:val="single" w:sz="4" w:space="0" w:color="4BACC6"/>
            </w:tcBorders>
            <w:shd w:val="clear" w:color="auto" w:fill="auto"/>
          </w:tcPr>
          <w:p w:rsidR="00203BAD" w:rsidRPr="00F2704B" w:rsidRDefault="00203BAD" w:rsidP="002C155D">
            <w:pPr>
              <w:pStyle w:val="BodyText"/>
              <w:widowControl w:val="0"/>
              <w:jc w:val="center"/>
              <w:rPr>
                <w:rFonts w:asciiTheme="minorHAnsi" w:hAnsiTheme="minorHAnsi" w:cs="Arial"/>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92CDDC" w:themeColor="accent5" w:themeTint="99"/>
              <w:left w:val="single" w:sz="4" w:space="0" w:color="4BACC6"/>
              <w:bottom w:val="single" w:sz="4" w:space="0" w:color="92CDDC" w:themeColor="accent5" w:themeTint="99"/>
            </w:tcBorders>
            <w:shd w:val="clear" w:color="auto" w:fill="auto"/>
            <w:vAlign w:val="center"/>
          </w:tcPr>
          <w:p w:rsidR="00203BAD" w:rsidRPr="00F2704B" w:rsidRDefault="00203BAD" w:rsidP="00403DF2">
            <w:pPr>
              <w:pStyle w:val="BodyText"/>
              <w:widowControl w:val="0"/>
              <w:spacing w:after="0" w:line="240" w:lineRule="auto"/>
              <w:jc w:val="center"/>
              <w:rPr>
                <w:rFonts w:asciiTheme="minorHAnsi" w:hAnsiTheme="minorHAnsi" w:cs="Arial"/>
                <w:color w:val="auto"/>
                <w:sz w:val="22"/>
                <w:szCs w:val="22"/>
              </w:rPr>
            </w:pPr>
            <w:r>
              <w:rPr>
                <w:rFonts w:asciiTheme="minorHAnsi" w:hAnsiTheme="minorHAnsi" w:cs="Arial"/>
                <w:color w:val="auto"/>
                <w:sz w:val="22"/>
                <w:szCs w:val="22"/>
              </w:rPr>
              <w:t>121.</w:t>
            </w:r>
            <w:r w:rsidR="00403DF2">
              <w:rPr>
                <w:rFonts w:asciiTheme="minorHAnsi" w:hAnsiTheme="minorHAnsi" w:cs="Arial"/>
                <w:color w:val="auto"/>
                <w:sz w:val="22"/>
                <w:szCs w:val="22"/>
              </w:rPr>
              <w:t>3</w:t>
            </w:r>
          </w:p>
        </w:tc>
      </w:tr>
    </w:tbl>
    <w:p w:rsidR="00203BAD" w:rsidRPr="0005794A" w:rsidRDefault="00203BAD" w:rsidP="00203BAD">
      <w:pPr>
        <w:spacing w:after="0" w:line="240" w:lineRule="auto"/>
        <w:rPr>
          <w:rFonts w:asciiTheme="minorHAnsi" w:hAnsiTheme="minorHAnsi" w:cs="Arial"/>
          <w:color w:val="548DD4" w:themeColor="text2" w:themeTint="99"/>
          <w:sz w:val="22"/>
          <w:szCs w:val="22"/>
          <w:u w:val="single"/>
        </w:rPr>
      </w:pPr>
    </w:p>
    <w:p w:rsidR="00203BAD" w:rsidRPr="00F01415" w:rsidRDefault="00203BAD" w:rsidP="00203BAD">
      <w:pPr>
        <w:spacing w:after="0" w:line="240" w:lineRule="auto"/>
        <w:rPr>
          <w:rFonts w:asciiTheme="minorHAnsi" w:hAnsiTheme="minorHAnsi" w:cs="Arial"/>
          <w:color w:val="auto"/>
          <w:sz w:val="22"/>
          <w:szCs w:val="22"/>
          <w:u w:val="single"/>
        </w:rPr>
      </w:pPr>
      <w:r w:rsidRPr="00F01415">
        <w:rPr>
          <w:rFonts w:asciiTheme="minorHAnsi" w:hAnsiTheme="minorHAnsi" w:cs="Arial"/>
          <w:color w:val="auto"/>
          <w:sz w:val="22"/>
          <w:szCs w:val="22"/>
          <w:u w:val="single"/>
        </w:rPr>
        <w:t>Torbay “Group” Companies – Overview of Financial Performance</w:t>
      </w:r>
    </w:p>
    <w:p w:rsidR="00203BAD" w:rsidRPr="00F01415" w:rsidRDefault="00203BAD" w:rsidP="00203BAD">
      <w:pPr>
        <w:pStyle w:val="BodyText"/>
        <w:widowControl w:val="0"/>
        <w:rPr>
          <w:rFonts w:asciiTheme="minorHAnsi" w:hAnsiTheme="minorHAnsi" w:cs="Arial"/>
          <w:color w:val="auto"/>
          <w:sz w:val="22"/>
          <w:szCs w:val="22"/>
        </w:rPr>
      </w:pPr>
      <w:r w:rsidRPr="00F01415">
        <w:rPr>
          <w:rFonts w:asciiTheme="minorHAnsi" w:hAnsiTheme="minorHAnsi" w:cs="Arial"/>
          <w:color w:val="auto"/>
          <w:sz w:val="22"/>
          <w:szCs w:val="22"/>
        </w:rPr>
        <w:t>The Council has interests in a number of companies as shown in the table below which also includes an overview of these companies’ financial performance in the year, based on draft 2017/18 accounts.</w:t>
      </w:r>
    </w:p>
    <w:tbl>
      <w:tblPr>
        <w:tblStyle w:val="ListTable3-Accent51"/>
        <w:tblW w:w="9242" w:type="dxa"/>
        <w:jc w:val="center"/>
        <w:tblBorders>
          <w:insideH w:val="single" w:sz="6" w:space="0" w:color="4BACC6" w:themeColor="accent5"/>
          <w:insideV w:val="single" w:sz="6" w:space="0" w:color="4BACC6" w:themeColor="accent5"/>
        </w:tblBorders>
        <w:tblLayout w:type="fixed"/>
        <w:tblLook w:val="01E0" w:firstRow="1" w:lastRow="1" w:firstColumn="1" w:lastColumn="1" w:noHBand="0" w:noVBand="0"/>
      </w:tblPr>
      <w:tblGrid>
        <w:gridCol w:w="2660"/>
        <w:gridCol w:w="1588"/>
        <w:gridCol w:w="1454"/>
        <w:gridCol w:w="1180"/>
        <w:gridCol w:w="1180"/>
        <w:gridCol w:w="1180"/>
      </w:tblGrid>
      <w:tr w:rsidR="00203BAD" w:rsidRPr="0005794A" w:rsidTr="004423F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60" w:type="dxa"/>
            <w:tcBorders>
              <w:bottom w:val="none" w:sz="0" w:space="0" w:color="auto"/>
              <w:right w:val="none" w:sz="0" w:space="0" w:color="auto"/>
            </w:tcBorders>
            <w:vAlign w:val="center"/>
          </w:tcPr>
          <w:p w:rsidR="00203BAD" w:rsidRPr="00F01415" w:rsidRDefault="00203BAD" w:rsidP="002C155D">
            <w:pPr>
              <w:pStyle w:val="BodyText"/>
              <w:widowControl w:val="0"/>
              <w:spacing w:after="0" w:line="240" w:lineRule="auto"/>
              <w:jc w:val="center"/>
              <w:rPr>
                <w:rFonts w:asciiTheme="minorHAnsi" w:hAnsiTheme="minorHAnsi" w:cs="Arial"/>
                <w:color w:val="auto"/>
                <w:sz w:val="22"/>
                <w:szCs w:val="22"/>
              </w:rPr>
            </w:pPr>
            <w:r w:rsidRPr="00F01415">
              <w:rPr>
                <w:rFonts w:asciiTheme="minorHAnsi" w:hAnsiTheme="minorHAnsi" w:cs="Arial"/>
                <w:color w:val="auto"/>
                <w:sz w:val="22"/>
                <w:szCs w:val="22"/>
              </w:rPr>
              <w:lastRenderedPageBreak/>
              <w:t>Entity</w:t>
            </w:r>
          </w:p>
        </w:tc>
        <w:tc>
          <w:tcPr>
            <w:cnfStyle w:val="000010000000" w:firstRow="0" w:lastRow="0" w:firstColumn="0" w:lastColumn="0" w:oddVBand="1" w:evenVBand="0" w:oddHBand="0" w:evenHBand="0" w:firstRowFirstColumn="0" w:firstRowLastColumn="0" w:lastRowFirstColumn="0" w:lastRowLastColumn="0"/>
            <w:tcW w:w="1588" w:type="dxa"/>
            <w:tcBorders>
              <w:left w:val="none" w:sz="0" w:space="0" w:color="auto"/>
              <w:right w:val="none" w:sz="0" w:space="0" w:color="auto"/>
            </w:tcBorders>
            <w:vAlign w:val="center"/>
          </w:tcPr>
          <w:p w:rsidR="00203BAD" w:rsidRPr="00F01415" w:rsidRDefault="00203BAD" w:rsidP="002C155D">
            <w:pPr>
              <w:pStyle w:val="BodyText"/>
              <w:widowControl w:val="0"/>
              <w:spacing w:after="0" w:line="240" w:lineRule="auto"/>
              <w:jc w:val="center"/>
              <w:rPr>
                <w:rFonts w:asciiTheme="minorHAnsi" w:hAnsiTheme="minorHAnsi" w:cs="Arial"/>
                <w:color w:val="auto"/>
                <w:sz w:val="22"/>
                <w:szCs w:val="22"/>
              </w:rPr>
            </w:pPr>
            <w:r w:rsidRPr="00F01415">
              <w:rPr>
                <w:rFonts w:asciiTheme="minorHAnsi" w:hAnsiTheme="minorHAnsi" w:cs="Arial"/>
                <w:color w:val="auto"/>
                <w:sz w:val="22"/>
                <w:szCs w:val="22"/>
              </w:rPr>
              <w:t>Assessed Relationship</w:t>
            </w:r>
          </w:p>
        </w:tc>
        <w:tc>
          <w:tcPr>
            <w:tcW w:w="1454" w:type="dxa"/>
            <w:vAlign w:val="center"/>
          </w:tcPr>
          <w:p w:rsidR="00203BAD" w:rsidRPr="00F01415" w:rsidRDefault="00203BAD" w:rsidP="002C155D">
            <w:pPr>
              <w:pStyle w:val="BodyT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F01415">
              <w:rPr>
                <w:rFonts w:asciiTheme="minorHAnsi" w:hAnsiTheme="minorHAnsi" w:cs="Arial"/>
                <w:color w:val="auto"/>
                <w:sz w:val="22"/>
                <w:szCs w:val="22"/>
              </w:rPr>
              <w:t>Council Shareholding/Control</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right w:val="none" w:sz="0" w:space="0" w:color="auto"/>
            </w:tcBorders>
            <w:vAlign w:val="center"/>
          </w:tcPr>
          <w:p w:rsidR="00203BAD" w:rsidRPr="00F01415" w:rsidRDefault="00203BAD" w:rsidP="002C155D">
            <w:pPr>
              <w:pStyle w:val="BodyText"/>
              <w:widowControl w:val="0"/>
              <w:spacing w:after="0" w:line="240" w:lineRule="auto"/>
              <w:jc w:val="center"/>
              <w:rPr>
                <w:rFonts w:asciiTheme="minorHAnsi" w:hAnsiTheme="minorHAnsi" w:cs="Arial"/>
                <w:color w:val="auto"/>
                <w:sz w:val="22"/>
                <w:szCs w:val="22"/>
              </w:rPr>
            </w:pPr>
            <w:r w:rsidRPr="00F01415">
              <w:rPr>
                <w:rFonts w:asciiTheme="minorHAnsi" w:hAnsiTheme="minorHAnsi" w:cs="Arial"/>
                <w:color w:val="auto"/>
                <w:sz w:val="22"/>
                <w:szCs w:val="22"/>
              </w:rPr>
              <w:t>Turnover £m</w:t>
            </w:r>
          </w:p>
        </w:tc>
        <w:tc>
          <w:tcPr>
            <w:tcW w:w="1180" w:type="dxa"/>
            <w:vAlign w:val="center"/>
          </w:tcPr>
          <w:p w:rsidR="00203BAD" w:rsidRPr="00F01415" w:rsidRDefault="00203BAD" w:rsidP="002C155D">
            <w:pPr>
              <w:pStyle w:val="BodyT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F01415">
              <w:rPr>
                <w:rFonts w:asciiTheme="minorHAnsi" w:hAnsiTheme="minorHAnsi" w:cs="Arial"/>
                <w:color w:val="auto"/>
                <w:sz w:val="22"/>
                <w:szCs w:val="22"/>
              </w:rPr>
              <w:t>Surplus/</w:t>
            </w:r>
          </w:p>
          <w:p w:rsidR="00203BAD" w:rsidRPr="00F01415" w:rsidRDefault="00203BAD" w:rsidP="002C155D">
            <w:pPr>
              <w:pStyle w:val="BodyT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F01415">
              <w:rPr>
                <w:rFonts w:asciiTheme="minorHAnsi" w:hAnsiTheme="minorHAnsi" w:cs="Arial"/>
                <w:color w:val="auto"/>
                <w:sz w:val="22"/>
                <w:szCs w:val="22"/>
              </w:rPr>
              <w:t>(Deficit) for year £m</w:t>
            </w:r>
          </w:p>
        </w:tc>
        <w:tc>
          <w:tcPr>
            <w:cnfStyle w:val="000100001000" w:firstRow="0" w:lastRow="0" w:firstColumn="0" w:lastColumn="1" w:oddVBand="0" w:evenVBand="0" w:oddHBand="0" w:evenHBand="0" w:firstRowFirstColumn="0" w:firstRowLastColumn="1" w:lastRowFirstColumn="0" w:lastRowLastColumn="0"/>
            <w:tcW w:w="1180" w:type="dxa"/>
            <w:tcBorders>
              <w:left w:val="none" w:sz="0" w:space="0" w:color="auto"/>
              <w:bottom w:val="none" w:sz="0" w:space="0" w:color="auto"/>
            </w:tcBorders>
            <w:vAlign w:val="center"/>
          </w:tcPr>
          <w:p w:rsidR="00203BAD" w:rsidRPr="00F01415" w:rsidRDefault="00203BAD" w:rsidP="002C155D">
            <w:pPr>
              <w:pStyle w:val="BodyText"/>
              <w:widowControl w:val="0"/>
              <w:spacing w:after="0" w:line="240" w:lineRule="auto"/>
              <w:jc w:val="center"/>
              <w:rPr>
                <w:rFonts w:asciiTheme="minorHAnsi" w:hAnsiTheme="minorHAnsi" w:cs="Arial"/>
                <w:color w:val="auto"/>
                <w:sz w:val="22"/>
                <w:szCs w:val="22"/>
              </w:rPr>
            </w:pPr>
            <w:r w:rsidRPr="00F01415">
              <w:rPr>
                <w:rFonts w:asciiTheme="minorHAnsi" w:hAnsiTheme="minorHAnsi" w:cs="Arial"/>
                <w:color w:val="auto"/>
                <w:sz w:val="22"/>
                <w:szCs w:val="22"/>
              </w:rPr>
              <w:t>Net Equity £m</w:t>
            </w:r>
          </w:p>
        </w:tc>
      </w:tr>
      <w:tr w:rsidR="00203BAD" w:rsidRPr="0005794A" w:rsidTr="004423FD">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bottom w:val="none" w:sz="0" w:space="0" w:color="auto"/>
              <w:right w:val="none" w:sz="0" w:space="0" w:color="auto"/>
            </w:tcBorders>
          </w:tcPr>
          <w:p w:rsidR="00203BAD" w:rsidRPr="00392996" w:rsidRDefault="00203BAD" w:rsidP="002C155D">
            <w:pPr>
              <w:pStyle w:val="BodyText"/>
              <w:widowControl w:val="0"/>
              <w:spacing w:after="0" w:line="240" w:lineRule="auto"/>
              <w:rPr>
                <w:rFonts w:asciiTheme="minorHAnsi" w:hAnsiTheme="minorHAnsi" w:cs="Arial"/>
                <w:b w:val="0"/>
                <w:color w:val="auto"/>
                <w:sz w:val="22"/>
                <w:szCs w:val="22"/>
              </w:rPr>
            </w:pPr>
            <w:r w:rsidRPr="00392996">
              <w:rPr>
                <w:rFonts w:asciiTheme="minorHAnsi" w:hAnsiTheme="minorHAnsi" w:cs="Arial"/>
                <w:b w:val="0"/>
                <w:color w:val="auto"/>
                <w:sz w:val="22"/>
                <w:szCs w:val="22"/>
              </w:rPr>
              <w:t>Torbay Economic Development Company Ltd</w:t>
            </w:r>
          </w:p>
        </w:tc>
        <w:tc>
          <w:tcPr>
            <w:cnfStyle w:val="000010000000" w:firstRow="0" w:lastRow="0" w:firstColumn="0" w:lastColumn="0" w:oddVBand="1" w:evenVBand="0" w:oddHBand="0" w:evenHBand="0" w:firstRowFirstColumn="0" w:firstRowLastColumn="0" w:lastRowFirstColumn="0" w:lastRowLastColumn="0"/>
            <w:tcW w:w="1588" w:type="dxa"/>
            <w:tcBorders>
              <w:top w:val="none" w:sz="0" w:space="0" w:color="auto"/>
              <w:left w:val="none" w:sz="0" w:space="0" w:color="auto"/>
              <w:bottom w:val="none" w:sz="0" w:space="0" w:color="auto"/>
              <w:right w:val="none" w:sz="0" w:space="0" w:color="auto"/>
            </w:tcBorders>
            <w:vAlign w:val="center"/>
          </w:tcPr>
          <w:p w:rsidR="00203BAD" w:rsidRDefault="00203BAD" w:rsidP="002C155D">
            <w:pPr>
              <w:pStyle w:val="BodyText"/>
              <w:widowControl w:val="0"/>
              <w:spacing w:after="0" w:line="240" w:lineRule="auto"/>
              <w:jc w:val="center"/>
              <w:rPr>
                <w:rFonts w:asciiTheme="minorHAnsi" w:hAnsiTheme="minorHAnsi" w:cs="Arial"/>
                <w:color w:val="auto"/>
                <w:sz w:val="22"/>
                <w:szCs w:val="22"/>
              </w:rPr>
            </w:pPr>
            <w:r w:rsidRPr="00392996">
              <w:rPr>
                <w:rFonts w:asciiTheme="minorHAnsi" w:hAnsiTheme="minorHAnsi" w:cs="Arial"/>
                <w:color w:val="auto"/>
                <w:sz w:val="22"/>
                <w:szCs w:val="22"/>
              </w:rPr>
              <w:t>Subsidiary</w:t>
            </w:r>
          </w:p>
          <w:p w:rsidR="004423FD" w:rsidRPr="00392996" w:rsidRDefault="004423FD" w:rsidP="004423FD">
            <w:pPr>
              <w:pStyle w:val="BodyText"/>
              <w:widowControl w:val="0"/>
              <w:spacing w:after="0" w:line="240" w:lineRule="auto"/>
              <w:jc w:val="center"/>
              <w:rPr>
                <w:rFonts w:asciiTheme="minorHAnsi" w:hAnsiTheme="minorHAnsi" w:cs="Arial"/>
                <w:color w:val="auto"/>
                <w:sz w:val="22"/>
                <w:szCs w:val="22"/>
              </w:rPr>
            </w:pPr>
            <w:r>
              <w:rPr>
                <w:rFonts w:asciiTheme="minorHAnsi" w:hAnsiTheme="minorHAnsi" w:cs="Arial"/>
                <w:color w:val="auto"/>
                <w:sz w:val="22"/>
                <w:szCs w:val="22"/>
              </w:rPr>
              <w:t>(Consolidated</w:t>
            </w:r>
            <w:r w:rsidR="00FC1EDD">
              <w:rPr>
                <w:rFonts w:asciiTheme="minorHAnsi" w:hAnsiTheme="minorHAnsi" w:cs="Arial"/>
                <w:color w:val="auto"/>
                <w:sz w:val="22"/>
                <w:szCs w:val="22"/>
              </w:rPr>
              <w:t xml:space="preserve"> </w:t>
            </w:r>
            <w:r w:rsidR="00FC1EDD" w:rsidRPr="009B3396">
              <w:rPr>
                <w:rFonts w:asciiTheme="minorHAnsi" w:hAnsiTheme="minorHAnsi" w:cs="Arial"/>
                <w:color w:val="auto"/>
                <w:sz w:val="22"/>
                <w:szCs w:val="22"/>
              </w:rPr>
              <w:t>for the TEDC Group</w:t>
            </w:r>
            <w:r w:rsidRPr="009B3396">
              <w:rPr>
                <w:rFonts w:asciiTheme="minorHAnsi" w:hAnsiTheme="minorHAnsi" w:cs="Arial"/>
                <w:color w:val="auto"/>
                <w:sz w:val="22"/>
                <w:szCs w:val="22"/>
              </w:rPr>
              <w:t>)</w:t>
            </w:r>
          </w:p>
        </w:tc>
        <w:tc>
          <w:tcPr>
            <w:tcW w:w="1454" w:type="dxa"/>
            <w:tcBorders>
              <w:top w:val="none" w:sz="0" w:space="0" w:color="auto"/>
              <w:bottom w:val="none" w:sz="0" w:space="0" w:color="auto"/>
            </w:tcBorders>
            <w:vAlign w:val="center"/>
          </w:tcPr>
          <w:p w:rsidR="00203BAD" w:rsidRPr="00392996" w:rsidRDefault="00203BAD" w:rsidP="002C155D">
            <w:pPr>
              <w:pStyle w:val="BodyT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392996">
              <w:rPr>
                <w:rFonts w:asciiTheme="minorHAnsi" w:hAnsiTheme="minorHAnsi" w:cs="Arial"/>
                <w:color w:val="auto"/>
                <w:sz w:val="22"/>
                <w:szCs w:val="22"/>
              </w:rPr>
              <w:t>100%</w:t>
            </w:r>
          </w:p>
        </w:tc>
        <w:tc>
          <w:tcPr>
            <w:cnfStyle w:val="000010000000" w:firstRow="0" w:lastRow="0" w:firstColumn="0" w:lastColumn="0" w:oddVBand="1" w:evenVBand="0" w:oddHBand="0" w:evenHBand="0" w:firstRowFirstColumn="0" w:firstRowLastColumn="0" w:lastRowFirstColumn="0" w:lastRowLastColumn="0"/>
            <w:tcW w:w="1180" w:type="dxa"/>
            <w:tcBorders>
              <w:top w:val="none" w:sz="0" w:space="0" w:color="auto"/>
              <w:left w:val="none" w:sz="0" w:space="0" w:color="auto"/>
              <w:bottom w:val="none" w:sz="0" w:space="0" w:color="auto"/>
              <w:right w:val="none" w:sz="0" w:space="0" w:color="auto"/>
            </w:tcBorders>
            <w:vAlign w:val="center"/>
          </w:tcPr>
          <w:p w:rsidR="00203BAD" w:rsidRPr="00FF7E51" w:rsidRDefault="004423FD" w:rsidP="005B543F">
            <w:pPr>
              <w:pStyle w:val="BodyText"/>
              <w:widowControl w:val="0"/>
              <w:spacing w:after="0" w:line="240" w:lineRule="auto"/>
              <w:jc w:val="center"/>
              <w:rPr>
                <w:rFonts w:asciiTheme="minorHAnsi" w:hAnsiTheme="minorHAnsi" w:cs="Arial"/>
                <w:color w:val="auto"/>
                <w:sz w:val="22"/>
                <w:szCs w:val="22"/>
              </w:rPr>
            </w:pPr>
            <w:r>
              <w:rPr>
                <w:rFonts w:asciiTheme="minorHAnsi" w:hAnsiTheme="minorHAnsi" w:cs="Arial"/>
                <w:color w:val="auto"/>
                <w:sz w:val="22"/>
                <w:szCs w:val="22"/>
              </w:rPr>
              <w:t>7.</w:t>
            </w:r>
            <w:r w:rsidR="005B543F">
              <w:rPr>
                <w:rFonts w:asciiTheme="minorHAnsi" w:hAnsiTheme="minorHAnsi" w:cs="Arial"/>
                <w:color w:val="auto"/>
                <w:sz w:val="22"/>
                <w:szCs w:val="22"/>
              </w:rPr>
              <w:t>0</w:t>
            </w:r>
          </w:p>
        </w:tc>
        <w:tc>
          <w:tcPr>
            <w:tcW w:w="1180" w:type="dxa"/>
            <w:tcBorders>
              <w:top w:val="none" w:sz="0" w:space="0" w:color="auto"/>
              <w:bottom w:val="none" w:sz="0" w:space="0" w:color="auto"/>
            </w:tcBorders>
            <w:vAlign w:val="center"/>
          </w:tcPr>
          <w:p w:rsidR="00203BAD" w:rsidRPr="00FF7E51" w:rsidRDefault="004423FD" w:rsidP="002C155D">
            <w:pPr>
              <w:pStyle w:val="BodyT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0</w:t>
            </w:r>
            <w:r w:rsidR="005B543F">
              <w:rPr>
                <w:rFonts w:asciiTheme="minorHAnsi" w:hAnsiTheme="minorHAnsi" w:cs="Arial"/>
                <w:color w:val="auto"/>
                <w:sz w:val="22"/>
                <w:szCs w:val="22"/>
              </w:rPr>
              <w:t>.5</w:t>
            </w:r>
          </w:p>
        </w:tc>
        <w:tc>
          <w:tcPr>
            <w:cnfStyle w:val="000100000000" w:firstRow="0" w:lastRow="0" w:firstColumn="0" w:lastColumn="1" w:oddVBand="0" w:evenVBand="0" w:oddHBand="0" w:evenHBand="0" w:firstRowFirstColumn="0" w:firstRowLastColumn="0" w:lastRowFirstColumn="0" w:lastRowLastColumn="0"/>
            <w:tcW w:w="1180" w:type="dxa"/>
            <w:tcBorders>
              <w:top w:val="none" w:sz="0" w:space="0" w:color="auto"/>
              <w:left w:val="none" w:sz="0" w:space="0" w:color="auto"/>
              <w:bottom w:val="none" w:sz="0" w:space="0" w:color="auto"/>
            </w:tcBorders>
            <w:vAlign w:val="center"/>
          </w:tcPr>
          <w:p w:rsidR="00203BAD" w:rsidRPr="00FF7E51" w:rsidRDefault="005B543F" w:rsidP="005B543F">
            <w:pPr>
              <w:pStyle w:val="BodyText"/>
              <w:widowControl w:val="0"/>
              <w:spacing w:after="0" w:line="240" w:lineRule="auto"/>
              <w:jc w:val="center"/>
              <w:rPr>
                <w:rFonts w:asciiTheme="minorHAnsi" w:hAnsiTheme="minorHAnsi" w:cs="Arial"/>
                <w:b w:val="0"/>
                <w:color w:val="auto"/>
                <w:sz w:val="22"/>
                <w:szCs w:val="22"/>
              </w:rPr>
            </w:pPr>
            <w:r>
              <w:rPr>
                <w:rFonts w:asciiTheme="minorHAnsi" w:hAnsiTheme="minorHAnsi" w:cs="Arial"/>
                <w:b w:val="0"/>
                <w:color w:val="auto"/>
                <w:sz w:val="22"/>
                <w:szCs w:val="22"/>
              </w:rPr>
              <w:t>0.4</w:t>
            </w:r>
          </w:p>
        </w:tc>
      </w:tr>
      <w:tr w:rsidR="00203BAD" w:rsidRPr="0005794A" w:rsidTr="004423FD">
        <w:trPr>
          <w:trHeight w:val="532"/>
          <w:jc w:val="center"/>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rsidR="00203BAD" w:rsidRPr="00392996" w:rsidRDefault="00203BAD" w:rsidP="002C155D">
            <w:pPr>
              <w:pStyle w:val="BodyText"/>
              <w:widowControl w:val="0"/>
              <w:spacing w:after="0" w:line="240" w:lineRule="auto"/>
              <w:rPr>
                <w:rFonts w:asciiTheme="minorHAnsi" w:hAnsiTheme="minorHAnsi" w:cs="Arial"/>
                <w:b w:val="0"/>
                <w:color w:val="auto"/>
                <w:sz w:val="22"/>
                <w:szCs w:val="22"/>
              </w:rPr>
            </w:pPr>
            <w:proofErr w:type="spellStart"/>
            <w:r w:rsidRPr="00392996">
              <w:rPr>
                <w:rFonts w:asciiTheme="minorHAnsi" w:hAnsiTheme="minorHAnsi" w:cs="Arial"/>
                <w:b w:val="0"/>
                <w:color w:val="auto"/>
                <w:sz w:val="22"/>
                <w:szCs w:val="22"/>
              </w:rPr>
              <w:t>Oldway</w:t>
            </w:r>
            <w:proofErr w:type="spellEnd"/>
            <w:r w:rsidRPr="00392996">
              <w:rPr>
                <w:rFonts w:asciiTheme="minorHAnsi" w:hAnsiTheme="minorHAnsi" w:cs="Arial"/>
                <w:b w:val="0"/>
                <w:color w:val="auto"/>
                <w:sz w:val="22"/>
                <w:szCs w:val="22"/>
              </w:rPr>
              <w:t xml:space="preserve"> Mansion  Management Co Ltd</w:t>
            </w:r>
          </w:p>
        </w:tc>
        <w:tc>
          <w:tcPr>
            <w:cnfStyle w:val="000010000000" w:firstRow="0" w:lastRow="0" w:firstColumn="0" w:lastColumn="0" w:oddVBand="1" w:evenVBand="0" w:oddHBand="0" w:evenHBand="0" w:firstRowFirstColumn="0" w:firstRowLastColumn="0" w:lastRowFirstColumn="0" w:lastRowLastColumn="0"/>
            <w:tcW w:w="1588" w:type="dxa"/>
            <w:tcBorders>
              <w:left w:val="none" w:sz="0" w:space="0" w:color="auto"/>
              <w:right w:val="none" w:sz="0" w:space="0" w:color="auto"/>
            </w:tcBorders>
            <w:vAlign w:val="center"/>
          </w:tcPr>
          <w:p w:rsidR="00203BAD" w:rsidRPr="00392996" w:rsidRDefault="00203BAD" w:rsidP="002C155D">
            <w:pPr>
              <w:pStyle w:val="BodyText"/>
              <w:widowControl w:val="0"/>
              <w:spacing w:after="0" w:line="240" w:lineRule="auto"/>
              <w:jc w:val="center"/>
              <w:rPr>
                <w:rFonts w:asciiTheme="minorHAnsi" w:hAnsiTheme="minorHAnsi" w:cs="Arial"/>
                <w:color w:val="auto"/>
                <w:sz w:val="22"/>
                <w:szCs w:val="22"/>
              </w:rPr>
            </w:pPr>
            <w:r w:rsidRPr="00392996">
              <w:rPr>
                <w:rFonts w:asciiTheme="minorHAnsi" w:hAnsiTheme="minorHAnsi" w:cs="Arial"/>
                <w:color w:val="auto"/>
                <w:sz w:val="22"/>
                <w:szCs w:val="22"/>
              </w:rPr>
              <w:t>Subsidiary</w:t>
            </w:r>
          </w:p>
        </w:tc>
        <w:tc>
          <w:tcPr>
            <w:tcW w:w="1454" w:type="dxa"/>
            <w:vAlign w:val="center"/>
          </w:tcPr>
          <w:p w:rsidR="00203BAD" w:rsidRPr="00392996" w:rsidRDefault="00203BAD" w:rsidP="002C155D">
            <w:pPr>
              <w:pStyle w:val="BodyT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392996">
              <w:rPr>
                <w:rFonts w:asciiTheme="minorHAnsi" w:hAnsiTheme="minorHAnsi" w:cs="Arial"/>
                <w:color w:val="auto"/>
                <w:sz w:val="22"/>
                <w:szCs w:val="22"/>
              </w:rPr>
              <w:t>100%</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right w:val="none" w:sz="0" w:space="0" w:color="auto"/>
            </w:tcBorders>
            <w:vAlign w:val="center"/>
          </w:tcPr>
          <w:p w:rsidR="00203BAD" w:rsidRPr="00392996" w:rsidRDefault="00203BAD" w:rsidP="002C155D">
            <w:pPr>
              <w:pStyle w:val="BodyText"/>
              <w:widowControl w:val="0"/>
              <w:spacing w:after="0" w:line="240" w:lineRule="auto"/>
              <w:jc w:val="center"/>
              <w:rPr>
                <w:rFonts w:asciiTheme="minorHAnsi" w:hAnsiTheme="minorHAnsi" w:cs="Arial"/>
                <w:color w:val="auto"/>
                <w:sz w:val="22"/>
                <w:szCs w:val="22"/>
              </w:rPr>
            </w:pPr>
            <w:r w:rsidRPr="00392996">
              <w:rPr>
                <w:rFonts w:asciiTheme="minorHAnsi" w:hAnsiTheme="minorHAnsi" w:cs="Arial"/>
                <w:color w:val="auto"/>
                <w:sz w:val="22"/>
                <w:szCs w:val="22"/>
              </w:rPr>
              <w:t>0.1</w:t>
            </w:r>
          </w:p>
        </w:tc>
        <w:tc>
          <w:tcPr>
            <w:tcW w:w="1180" w:type="dxa"/>
            <w:vAlign w:val="center"/>
          </w:tcPr>
          <w:p w:rsidR="00203BAD" w:rsidRPr="00392996" w:rsidRDefault="00203BAD" w:rsidP="002C155D">
            <w:pPr>
              <w:pStyle w:val="BodyT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392996">
              <w:rPr>
                <w:rFonts w:asciiTheme="minorHAnsi" w:hAnsiTheme="minorHAnsi" w:cs="Arial"/>
                <w:color w:val="auto"/>
                <w:sz w:val="22"/>
                <w:szCs w:val="22"/>
              </w:rPr>
              <w:t>0</w:t>
            </w:r>
          </w:p>
        </w:tc>
        <w:tc>
          <w:tcPr>
            <w:cnfStyle w:val="000100000000" w:firstRow="0" w:lastRow="0" w:firstColumn="0" w:lastColumn="1" w:oddVBand="0" w:evenVBand="0" w:oddHBand="0" w:evenHBand="0" w:firstRowFirstColumn="0" w:firstRowLastColumn="0" w:lastRowFirstColumn="0" w:lastRowLastColumn="0"/>
            <w:tcW w:w="1180" w:type="dxa"/>
            <w:tcBorders>
              <w:left w:val="none" w:sz="0" w:space="0" w:color="auto"/>
            </w:tcBorders>
            <w:vAlign w:val="center"/>
          </w:tcPr>
          <w:p w:rsidR="00203BAD" w:rsidRPr="001F5FFE" w:rsidRDefault="00203BAD" w:rsidP="002C155D">
            <w:pPr>
              <w:pStyle w:val="BodyText"/>
              <w:widowControl w:val="0"/>
              <w:spacing w:after="0" w:line="240" w:lineRule="auto"/>
              <w:jc w:val="center"/>
              <w:rPr>
                <w:rFonts w:asciiTheme="minorHAnsi" w:hAnsiTheme="minorHAnsi" w:cs="Arial"/>
                <w:b w:val="0"/>
                <w:color w:val="auto"/>
                <w:sz w:val="22"/>
                <w:szCs w:val="22"/>
              </w:rPr>
            </w:pPr>
            <w:r w:rsidRPr="001F5FFE">
              <w:rPr>
                <w:rFonts w:asciiTheme="minorHAnsi" w:hAnsiTheme="minorHAnsi" w:cs="Arial"/>
                <w:b w:val="0"/>
                <w:color w:val="auto"/>
                <w:sz w:val="22"/>
                <w:szCs w:val="22"/>
              </w:rPr>
              <w:t>0</w:t>
            </w:r>
          </w:p>
        </w:tc>
      </w:tr>
      <w:tr w:rsidR="00203BAD" w:rsidRPr="0005794A" w:rsidTr="00580B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Borders>
              <w:bottom w:val="single" w:sz="6" w:space="0" w:color="4BACC6" w:themeColor="accent5"/>
              <w:right w:val="none" w:sz="0" w:space="0" w:color="auto"/>
            </w:tcBorders>
          </w:tcPr>
          <w:p w:rsidR="00203BAD" w:rsidRDefault="00203BAD" w:rsidP="002C155D">
            <w:pPr>
              <w:pStyle w:val="BodyText"/>
              <w:widowControl w:val="0"/>
              <w:spacing w:after="0" w:line="240" w:lineRule="auto"/>
              <w:rPr>
                <w:rFonts w:asciiTheme="minorHAnsi" w:hAnsiTheme="minorHAnsi" w:cs="Arial"/>
                <w:b w:val="0"/>
                <w:color w:val="auto"/>
                <w:sz w:val="22"/>
                <w:szCs w:val="22"/>
              </w:rPr>
            </w:pPr>
            <w:r w:rsidRPr="00392996">
              <w:rPr>
                <w:rFonts w:asciiTheme="minorHAnsi" w:hAnsiTheme="minorHAnsi" w:cs="Arial"/>
                <w:b w:val="0"/>
                <w:color w:val="auto"/>
                <w:sz w:val="22"/>
                <w:szCs w:val="22"/>
              </w:rPr>
              <w:t>TOR2 Ltd (to 30/06/1</w:t>
            </w:r>
            <w:r>
              <w:rPr>
                <w:rFonts w:asciiTheme="minorHAnsi" w:hAnsiTheme="minorHAnsi" w:cs="Arial"/>
                <w:b w:val="0"/>
                <w:color w:val="auto"/>
                <w:sz w:val="22"/>
                <w:szCs w:val="22"/>
              </w:rPr>
              <w:t>7</w:t>
            </w:r>
            <w:r w:rsidRPr="00392996">
              <w:rPr>
                <w:rFonts w:asciiTheme="minorHAnsi" w:hAnsiTheme="minorHAnsi" w:cs="Arial"/>
                <w:b w:val="0"/>
                <w:color w:val="auto"/>
                <w:sz w:val="22"/>
                <w:szCs w:val="22"/>
              </w:rPr>
              <w:t>)</w:t>
            </w:r>
          </w:p>
          <w:p w:rsidR="00203BAD" w:rsidRPr="00392996" w:rsidRDefault="00203BAD" w:rsidP="002C155D">
            <w:pPr>
              <w:pStyle w:val="BodyText"/>
              <w:widowControl w:val="0"/>
              <w:spacing w:after="0" w:line="240" w:lineRule="auto"/>
              <w:rPr>
                <w:rFonts w:asciiTheme="minorHAnsi" w:hAnsiTheme="minorHAnsi" w:cs="Arial"/>
                <w:b w:val="0"/>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588" w:type="dxa"/>
            <w:tcBorders>
              <w:left w:val="none" w:sz="0" w:space="0" w:color="auto"/>
              <w:bottom w:val="single" w:sz="6" w:space="0" w:color="4BACC6" w:themeColor="accent5"/>
              <w:right w:val="none" w:sz="0" w:space="0" w:color="auto"/>
            </w:tcBorders>
            <w:vAlign w:val="center"/>
          </w:tcPr>
          <w:p w:rsidR="00203BAD" w:rsidRPr="00392996" w:rsidRDefault="00203BAD" w:rsidP="002C155D">
            <w:pPr>
              <w:pStyle w:val="BodyText"/>
              <w:widowControl w:val="0"/>
              <w:spacing w:after="0" w:line="240" w:lineRule="auto"/>
              <w:jc w:val="center"/>
              <w:rPr>
                <w:rFonts w:asciiTheme="minorHAnsi" w:hAnsiTheme="minorHAnsi" w:cs="Arial"/>
                <w:bCs/>
                <w:color w:val="auto"/>
                <w:sz w:val="22"/>
                <w:szCs w:val="22"/>
              </w:rPr>
            </w:pPr>
            <w:r w:rsidRPr="00392996">
              <w:rPr>
                <w:rFonts w:asciiTheme="minorHAnsi" w:hAnsiTheme="minorHAnsi" w:cs="Arial"/>
                <w:bCs/>
                <w:color w:val="auto"/>
                <w:sz w:val="22"/>
                <w:szCs w:val="22"/>
              </w:rPr>
              <w:t>Associate</w:t>
            </w:r>
          </w:p>
        </w:tc>
        <w:tc>
          <w:tcPr>
            <w:tcW w:w="1454" w:type="dxa"/>
            <w:tcBorders>
              <w:bottom w:val="single" w:sz="6" w:space="0" w:color="4BACC6" w:themeColor="accent5"/>
            </w:tcBorders>
            <w:vAlign w:val="center"/>
          </w:tcPr>
          <w:p w:rsidR="00203BAD" w:rsidRPr="00392996" w:rsidRDefault="00203BAD" w:rsidP="002C155D">
            <w:pPr>
              <w:pStyle w:val="BodyT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22"/>
                <w:szCs w:val="22"/>
              </w:rPr>
            </w:pPr>
            <w:r w:rsidRPr="00392996">
              <w:rPr>
                <w:rFonts w:asciiTheme="minorHAnsi" w:hAnsiTheme="minorHAnsi" w:cs="Arial"/>
                <w:bCs/>
                <w:color w:val="auto"/>
                <w:sz w:val="22"/>
                <w:szCs w:val="22"/>
              </w:rPr>
              <w:t>19.99%</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single" w:sz="6" w:space="0" w:color="4BACC6" w:themeColor="accent5"/>
              <w:right w:val="none" w:sz="0" w:space="0" w:color="auto"/>
            </w:tcBorders>
            <w:vAlign w:val="center"/>
          </w:tcPr>
          <w:p w:rsidR="00203BAD" w:rsidRPr="001F5FFE" w:rsidRDefault="00203BAD" w:rsidP="002C155D">
            <w:pPr>
              <w:pStyle w:val="BodyText"/>
              <w:widowControl w:val="0"/>
              <w:spacing w:after="0" w:line="240" w:lineRule="auto"/>
              <w:jc w:val="center"/>
              <w:rPr>
                <w:rFonts w:asciiTheme="minorHAnsi" w:hAnsiTheme="minorHAnsi" w:cs="Arial"/>
                <w:bCs/>
                <w:color w:val="auto"/>
                <w:sz w:val="22"/>
                <w:szCs w:val="22"/>
              </w:rPr>
            </w:pPr>
            <w:r>
              <w:rPr>
                <w:rFonts w:asciiTheme="minorHAnsi" w:hAnsiTheme="minorHAnsi" w:cs="Arial"/>
                <w:bCs/>
                <w:color w:val="auto"/>
                <w:sz w:val="22"/>
                <w:szCs w:val="22"/>
              </w:rPr>
              <w:t>14.8</w:t>
            </w:r>
          </w:p>
        </w:tc>
        <w:tc>
          <w:tcPr>
            <w:tcW w:w="1180" w:type="dxa"/>
            <w:tcBorders>
              <w:bottom w:val="single" w:sz="6" w:space="0" w:color="4BACC6" w:themeColor="accent5"/>
            </w:tcBorders>
            <w:vAlign w:val="center"/>
          </w:tcPr>
          <w:p w:rsidR="00203BAD" w:rsidRPr="001F5FFE" w:rsidRDefault="00203BAD" w:rsidP="002C155D">
            <w:pPr>
              <w:pStyle w:val="BodyT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sz w:val="22"/>
                <w:szCs w:val="22"/>
              </w:rPr>
            </w:pPr>
            <w:r w:rsidRPr="001F5FFE">
              <w:rPr>
                <w:rFonts w:asciiTheme="minorHAnsi" w:hAnsiTheme="minorHAnsi" w:cs="Arial"/>
                <w:bCs/>
                <w:color w:val="auto"/>
                <w:sz w:val="22"/>
                <w:szCs w:val="22"/>
              </w:rPr>
              <w:t>0.1</w:t>
            </w:r>
          </w:p>
        </w:tc>
        <w:tc>
          <w:tcPr>
            <w:cnfStyle w:val="000100000000" w:firstRow="0" w:lastRow="0" w:firstColumn="0" w:lastColumn="1" w:oddVBand="0" w:evenVBand="0" w:oddHBand="0" w:evenHBand="0" w:firstRowFirstColumn="0" w:firstRowLastColumn="0" w:lastRowFirstColumn="0" w:lastRowLastColumn="0"/>
            <w:tcW w:w="1180" w:type="dxa"/>
            <w:tcBorders>
              <w:left w:val="none" w:sz="0" w:space="0" w:color="auto"/>
              <w:bottom w:val="single" w:sz="6" w:space="0" w:color="4BACC6" w:themeColor="accent5"/>
            </w:tcBorders>
            <w:vAlign w:val="center"/>
          </w:tcPr>
          <w:p w:rsidR="00203BAD" w:rsidRPr="001F5FFE" w:rsidRDefault="00203BAD" w:rsidP="002C155D">
            <w:pPr>
              <w:pStyle w:val="BodyText"/>
              <w:widowControl w:val="0"/>
              <w:spacing w:after="0" w:line="240" w:lineRule="auto"/>
              <w:jc w:val="center"/>
              <w:rPr>
                <w:rFonts w:asciiTheme="minorHAnsi" w:hAnsiTheme="minorHAnsi" w:cs="Arial"/>
                <w:b w:val="0"/>
                <w:color w:val="auto"/>
                <w:sz w:val="22"/>
                <w:szCs w:val="22"/>
              </w:rPr>
            </w:pPr>
            <w:r w:rsidRPr="001F5FFE">
              <w:rPr>
                <w:rFonts w:asciiTheme="minorHAnsi" w:hAnsiTheme="minorHAnsi" w:cs="Arial"/>
                <w:b w:val="0"/>
                <w:color w:val="auto"/>
                <w:sz w:val="22"/>
                <w:szCs w:val="22"/>
              </w:rPr>
              <w:t>(0.4)</w:t>
            </w:r>
          </w:p>
        </w:tc>
      </w:tr>
      <w:tr w:rsidR="00203BAD" w:rsidRPr="0005794A" w:rsidTr="00580BB3">
        <w:trPr>
          <w:jc w:val="center"/>
        </w:trPr>
        <w:tc>
          <w:tcPr>
            <w:cnfStyle w:val="001000000000" w:firstRow="0" w:lastRow="0" w:firstColumn="1" w:lastColumn="0" w:oddVBand="0" w:evenVBand="0" w:oddHBand="0" w:evenHBand="0" w:firstRowFirstColumn="0" w:firstRowLastColumn="0" w:lastRowFirstColumn="0" w:lastRowLastColumn="0"/>
            <w:tcW w:w="2660" w:type="dxa"/>
            <w:tcBorders>
              <w:top w:val="single" w:sz="6" w:space="0" w:color="4BACC6" w:themeColor="accent5"/>
              <w:bottom w:val="single" w:sz="4" w:space="0" w:color="8064A2" w:themeColor="accent4"/>
              <w:right w:val="none" w:sz="0" w:space="0" w:color="auto"/>
            </w:tcBorders>
          </w:tcPr>
          <w:p w:rsidR="00203BAD" w:rsidRPr="00392996" w:rsidRDefault="00203BAD" w:rsidP="002C155D">
            <w:pPr>
              <w:pStyle w:val="BodyText"/>
              <w:widowControl w:val="0"/>
              <w:spacing w:after="0" w:line="240" w:lineRule="auto"/>
              <w:rPr>
                <w:rFonts w:asciiTheme="minorHAnsi" w:hAnsiTheme="minorHAnsi" w:cs="Arial"/>
                <w:b w:val="0"/>
                <w:color w:val="auto"/>
                <w:sz w:val="22"/>
                <w:szCs w:val="22"/>
              </w:rPr>
            </w:pPr>
            <w:r w:rsidRPr="00392996">
              <w:rPr>
                <w:rFonts w:asciiTheme="minorHAnsi" w:hAnsiTheme="minorHAnsi" w:cs="Arial"/>
                <w:b w:val="0"/>
                <w:color w:val="auto"/>
                <w:sz w:val="22"/>
                <w:szCs w:val="22"/>
              </w:rPr>
              <w:t>CSW Group Ltd (formally Careers SW Ltd) excludes IAS19 pension entries</w:t>
            </w:r>
          </w:p>
        </w:tc>
        <w:tc>
          <w:tcPr>
            <w:cnfStyle w:val="000010000000" w:firstRow="0" w:lastRow="0" w:firstColumn="0" w:lastColumn="0" w:oddVBand="1" w:evenVBand="0" w:oddHBand="0" w:evenHBand="0" w:firstRowFirstColumn="0" w:firstRowLastColumn="0" w:lastRowFirstColumn="0" w:lastRowLastColumn="0"/>
            <w:tcW w:w="1588" w:type="dxa"/>
            <w:tcBorders>
              <w:top w:val="single" w:sz="6" w:space="0" w:color="4BACC6" w:themeColor="accent5"/>
              <w:left w:val="none" w:sz="0" w:space="0" w:color="auto"/>
              <w:bottom w:val="single" w:sz="4" w:space="0" w:color="8064A2" w:themeColor="accent4"/>
              <w:right w:val="none" w:sz="0" w:space="0" w:color="auto"/>
            </w:tcBorders>
            <w:vAlign w:val="center"/>
          </w:tcPr>
          <w:p w:rsidR="00203BAD" w:rsidRPr="00392996" w:rsidRDefault="00203BAD" w:rsidP="002C155D">
            <w:pPr>
              <w:pStyle w:val="BodyText"/>
              <w:widowControl w:val="0"/>
              <w:spacing w:after="0" w:line="240" w:lineRule="auto"/>
              <w:jc w:val="center"/>
              <w:rPr>
                <w:rFonts w:asciiTheme="minorHAnsi" w:hAnsiTheme="minorHAnsi" w:cs="Arial"/>
                <w:color w:val="auto"/>
                <w:sz w:val="22"/>
                <w:szCs w:val="22"/>
              </w:rPr>
            </w:pPr>
            <w:r w:rsidRPr="00392996">
              <w:rPr>
                <w:rFonts w:asciiTheme="minorHAnsi" w:hAnsiTheme="minorHAnsi" w:cs="Arial"/>
                <w:color w:val="auto"/>
                <w:sz w:val="22"/>
                <w:szCs w:val="22"/>
              </w:rPr>
              <w:t>Associate</w:t>
            </w:r>
          </w:p>
        </w:tc>
        <w:tc>
          <w:tcPr>
            <w:tcW w:w="1454" w:type="dxa"/>
            <w:tcBorders>
              <w:top w:val="single" w:sz="6" w:space="0" w:color="4BACC6" w:themeColor="accent5"/>
              <w:bottom w:val="single" w:sz="4" w:space="0" w:color="8064A2" w:themeColor="accent4"/>
            </w:tcBorders>
            <w:vAlign w:val="center"/>
          </w:tcPr>
          <w:p w:rsidR="00203BAD" w:rsidRPr="00392996" w:rsidRDefault="00203BAD" w:rsidP="002C155D">
            <w:pPr>
              <w:pStyle w:val="BodyT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392996">
              <w:rPr>
                <w:rFonts w:asciiTheme="minorHAnsi" w:hAnsiTheme="minorHAnsi" w:cs="Arial"/>
                <w:color w:val="auto"/>
                <w:sz w:val="22"/>
                <w:szCs w:val="22"/>
              </w:rPr>
              <w:t>25%</w:t>
            </w:r>
          </w:p>
        </w:tc>
        <w:tc>
          <w:tcPr>
            <w:cnfStyle w:val="000010000000" w:firstRow="0" w:lastRow="0" w:firstColumn="0" w:lastColumn="0" w:oddVBand="1" w:evenVBand="0" w:oddHBand="0" w:evenHBand="0" w:firstRowFirstColumn="0" w:firstRowLastColumn="0" w:lastRowFirstColumn="0" w:lastRowLastColumn="0"/>
            <w:tcW w:w="1180" w:type="dxa"/>
            <w:tcBorders>
              <w:top w:val="single" w:sz="6" w:space="0" w:color="4BACC6" w:themeColor="accent5"/>
              <w:left w:val="none" w:sz="0" w:space="0" w:color="auto"/>
              <w:bottom w:val="single" w:sz="4" w:space="0" w:color="8064A2" w:themeColor="accent4"/>
              <w:right w:val="none" w:sz="0" w:space="0" w:color="auto"/>
            </w:tcBorders>
            <w:vAlign w:val="center"/>
          </w:tcPr>
          <w:p w:rsidR="00203BAD" w:rsidRPr="00A41E81" w:rsidRDefault="00203BAD" w:rsidP="002C155D">
            <w:pPr>
              <w:pStyle w:val="BodyText"/>
              <w:widowControl w:val="0"/>
              <w:spacing w:after="0" w:line="240" w:lineRule="auto"/>
              <w:jc w:val="center"/>
              <w:rPr>
                <w:rFonts w:asciiTheme="minorHAnsi" w:hAnsiTheme="minorHAnsi" w:cs="Arial"/>
                <w:color w:val="31849B" w:themeColor="accent5" w:themeShade="BF"/>
                <w:sz w:val="22"/>
                <w:szCs w:val="22"/>
              </w:rPr>
            </w:pPr>
            <w:r w:rsidRPr="00A41E81">
              <w:rPr>
                <w:rFonts w:asciiTheme="minorHAnsi" w:hAnsiTheme="minorHAnsi" w:cs="Arial"/>
                <w:color w:val="31849B" w:themeColor="accent5" w:themeShade="BF"/>
                <w:sz w:val="22"/>
                <w:szCs w:val="22"/>
              </w:rPr>
              <w:t>7.4</w:t>
            </w:r>
          </w:p>
        </w:tc>
        <w:tc>
          <w:tcPr>
            <w:tcW w:w="1180" w:type="dxa"/>
            <w:tcBorders>
              <w:top w:val="single" w:sz="6" w:space="0" w:color="4BACC6" w:themeColor="accent5"/>
              <w:bottom w:val="single" w:sz="4" w:space="0" w:color="8064A2" w:themeColor="accent4"/>
            </w:tcBorders>
            <w:vAlign w:val="center"/>
          </w:tcPr>
          <w:p w:rsidR="00203BAD" w:rsidRPr="00A41E81" w:rsidRDefault="00203BAD" w:rsidP="002C155D">
            <w:pPr>
              <w:pStyle w:val="BodyT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1849B" w:themeColor="accent5" w:themeShade="BF"/>
                <w:sz w:val="22"/>
                <w:szCs w:val="22"/>
              </w:rPr>
            </w:pPr>
            <w:r w:rsidRPr="00A41E81">
              <w:rPr>
                <w:rFonts w:asciiTheme="minorHAnsi" w:hAnsiTheme="minorHAnsi" w:cs="Arial"/>
                <w:color w:val="31849B" w:themeColor="accent5" w:themeShade="BF"/>
                <w:sz w:val="22"/>
                <w:szCs w:val="22"/>
              </w:rPr>
              <w:t>0.2</w:t>
            </w:r>
          </w:p>
        </w:tc>
        <w:tc>
          <w:tcPr>
            <w:cnfStyle w:val="000100000000" w:firstRow="0" w:lastRow="0" w:firstColumn="0" w:lastColumn="1" w:oddVBand="0" w:evenVBand="0" w:oddHBand="0" w:evenHBand="0" w:firstRowFirstColumn="0" w:firstRowLastColumn="0" w:lastRowFirstColumn="0" w:lastRowLastColumn="0"/>
            <w:tcW w:w="1180" w:type="dxa"/>
            <w:tcBorders>
              <w:top w:val="single" w:sz="6" w:space="0" w:color="4BACC6" w:themeColor="accent5"/>
              <w:left w:val="none" w:sz="0" w:space="0" w:color="auto"/>
              <w:bottom w:val="single" w:sz="4" w:space="0" w:color="8064A2" w:themeColor="accent4"/>
            </w:tcBorders>
            <w:vAlign w:val="center"/>
          </w:tcPr>
          <w:p w:rsidR="00203BAD" w:rsidRPr="00A41E81" w:rsidRDefault="00203BAD" w:rsidP="002C155D">
            <w:pPr>
              <w:pStyle w:val="BodyText"/>
              <w:widowControl w:val="0"/>
              <w:spacing w:after="0" w:line="240" w:lineRule="auto"/>
              <w:jc w:val="center"/>
              <w:rPr>
                <w:rFonts w:asciiTheme="minorHAnsi" w:hAnsiTheme="minorHAnsi" w:cs="Arial"/>
                <w:b w:val="0"/>
                <w:color w:val="31849B" w:themeColor="accent5" w:themeShade="BF"/>
                <w:sz w:val="22"/>
                <w:szCs w:val="22"/>
              </w:rPr>
            </w:pPr>
            <w:r w:rsidRPr="00A41E81">
              <w:rPr>
                <w:rFonts w:asciiTheme="minorHAnsi" w:hAnsiTheme="minorHAnsi" w:cs="Arial"/>
                <w:b w:val="0"/>
                <w:color w:val="31849B" w:themeColor="accent5" w:themeShade="BF"/>
                <w:sz w:val="22"/>
                <w:szCs w:val="22"/>
              </w:rPr>
              <w:t>1.7</w:t>
            </w:r>
          </w:p>
        </w:tc>
      </w:tr>
      <w:tr w:rsidR="00203BAD" w:rsidRPr="0005794A" w:rsidTr="00580BB3">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2660" w:type="dxa"/>
            <w:tcBorders>
              <w:top w:val="single" w:sz="4" w:space="0" w:color="8064A2" w:themeColor="accent4"/>
            </w:tcBorders>
          </w:tcPr>
          <w:p w:rsidR="00203BAD" w:rsidRPr="00392996" w:rsidRDefault="00203BAD" w:rsidP="002C155D">
            <w:pPr>
              <w:pStyle w:val="BodyText"/>
              <w:widowControl w:val="0"/>
              <w:spacing w:after="0" w:line="240" w:lineRule="auto"/>
              <w:rPr>
                <w:rFonts w:asciiTheme="minorHAnsi" w:hAnsiTheme="minorHAnsi" w:cs="Arial"/>
                <w:b w:val="0"/>
                <w:color w:val="auto"/>
                <w:sz w:val="22"/>
                <w:szCs w:val="22"/>
              </w:rPr>
            </w:pPr>
            <w:r>
              <w:rPr>
                <w:rFonts w:asciiTheme="minorHAnsi" w:hAnsiTheme="minorHAnsi" w:cs="Arial"/>
                <w:b w:val="0"/>
                <w:color w:val="auto"/>
                <w:sz w:val="22"/>
                <w:szCs w:val="22"/>
              </w:rPr>
              <w:t>Torbay Housing Companies (not trading in 2017/18)</w:t>
            </w:r>
          </w:p>
        </w:tc>
        <w:tc>
          <w:tcPr>
            <w:cnfStyle w:val="000010000000" w:firstRow="0" w:lastRow="0" w:firstColumn="0" w:lastColumn="0" w:oddVBand="1" w:evenVBand="0" w:oddHBand="0" w:evenHBand="0" w:firstRowFirstColumn="0" w:firstRowLastColumn="0" w:lastRowFirstColumn="0" w:lastRowLastColumn="0"/>
            <w:tcW w:w="1588" w:type="dxa"/>
            <w:tcBorders>
              <w:top w:val="single" w:sz="4" w:space="0" w:color="8064A2" w:themeColor="accent4"/>
            </w:tcBorders>
            <w:vAlign w:val="center"/>
          </w:tcPr>
          <w:p w:rsidR="00203BAD" w:rsidRPr="00392996" w:rsidRDefault="00203BAD" w:rsidP="002C155D">
            <w:pPr>
              <w:pStyle w:val="BodyText"/>
              <w:widowControl w:val="0"/>
              <w:spacing w:after="0" w:line="240" w:lineRule="auto"/>
              <w:jc w:val="center"/>
              <w:rPr>
                <w:rFonts w:asciiTheme="minorHAnsi" w:hAnsiTheme="minorHAnsi" w:cs="Arial"/>
                <w:b w:val="0"/>
                <w:color w:val="auto"/>
                <w:sz w:val="22"/>
                <w:szCs w:val="22"/>
              </w:rPr>
            </w:pPr>
            <w:r>
              <w:rPr>
                <w:rFonts w:asciiTheme="minorHAnsi" w:hAnsiTheme="minorHAnsi" w:cs="Arial"/>
                <w:b w:val="0"/>
                <w:color w:val="auto"/>
                <w:sz w:val="22"/>
                <w:szCs w:val="22"/>
              </w:rPr>
              <w:t>Subsidiary</w:t>
            </w:r>
          </w:p>
        </w:tc>
        <w:tc>
          <w:tcPr>
            <w:tcW w:w="1454" w:type="dxa"/>
            <w:tcBorders>
              <w:top w:val="single" w:sz="4" w:space="0" w:color="8064A2" w:themeColor="accent4"/>
            </w:tcBorders>
            <w:vAlign w:val="center"/>
          </w:tcPr>
          <w:p w:rsidR="00203BAD" w:rsidRPr="00392996" w:rsidRDefault="00203BAD" w:rsidP="002C155D">
            <w:pPr>
              <w:pStyle w:val="BodyText"/>
              <w:widowControl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b w:val="0"/>
                <w:color w:val="auto"/>
                <w:sz w:val="22"/>
                <w:szCs w:val="22"/>
              </w:rPr>
            </w:pPr>
            <w:r>
              <w:rPr>
                <w:rFonts w:asciiTheme="minorHAnsi" w:hAnsiTheme="minorHAnsi" w:cs="Arial"/>
                <w:b w:val="0"/>
                <w:color w:val="auto"/>
                <w:sz w:val="22"/>
                <w:szCs w:val="22"/>
              </w:rPr>
              <w:t>100%</w:t>
            </w:r>
          </w:p>
        </w:tc>
        <w:tc>
          <w:tcPr>
            <w:cnfStyle w:val="000010000000" w:firstRow="0" w:lastRow="0" w:firstColumn="0" w:lastColumn="0" w:oddVBand="1" w:evenVBand="0" w:oddHBand="0" w:evenHBand="0" w:firstRowFirstColumn="0" w:firstRowLastColumn="0" w:lastRowFirstColumn="0" w:lastRowLastColumn="0"/>
            <w:tcW w:w="1180" w:type="dxa"/>
            <w:tcBorders>
              <w:top w:val="single" w:sz="4" w:space="0" w:color="8064A2" w:themeColor="accent4"/>
            </w:tcBorders>
            <w:vAlign w:val="center"/>
          </w:tcPr>
          <w:p w:rsidR="00203BAD" w:rsidRPr="00FF7E51" w:rsidRDefault="00203BAD" w:rsidP="002C155D">
            <w:pPr>
              <w:pStyle w:val="BodyText"/>
              <w:widowControl w:val="0"/>
              <w:spacing w:after="0" w:line="240" w:lineRule="auto"/>
              <w:jc w:val="center"/>
              <w:rPr>
                <w:rFonts w:asciiTheme="minorHAnsi" w:hAnsiTheme="minorHAnsi" w:cs="Arial"/>
                <w:b w:val="0"/>
                <w:color w:val="auto"/>
                <w:sz w:val="22"/>
                <w:szCs w:val="22"/>
              </w:rPr>
            </w:pPr>
            <w:r w:rsidRPr="00FF7E51">
              <w:rPr>
                <w:rFonts w:asciiTheme="minorHAnsi" w:hAnsiTheme="minorHAnsi" w:cs="Arial"/>
                <w:b w:val="0"/>
                <w:color w:val="auto"/>
                <w:sz w:val="22"/>
                <w:szCs w:val="22"/>
              </w:rPr>
              <w:t>-</w:t>
            </w:r>
          </w:p>
        </w:tc>
        <w:tc>
          <w:tcPr>
            <w:tcW w:w="1180" w:type="dxa"/>
            <w:tcBorders>
              <w:top w:val="single" w:sz="4" w:space="0" w:color="8064A2" w:themeColor="accent4"/>
            </w:tcBorders>
            <w:vAlign w:val="center"/>
          </w:tcPr>
          <w:p w:rsidR="00203BAD" w:rsidRPr="00FF7E51" w:rsidRDefault="00203BAD" w:rsidP="002C155D">
            <w:pPr>
              <w:pStyle w:val="BodyText"/>
              <w:widowControl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b w:val="0"/>
                <w:color w:val="auto"/>
                <w:sz w:val="22"/>
                <w:szCs w:val="22"/>
              </w:rPr>
            </w:pPr>
            <w:r w:rsidRPr="00FF7E51">
              <w:rPr>
                <w:rFonts w:asciiTheme="minorHAnsi" w:hAnsiTheme="minorHAnsi" w:cs="Arial"/>
                <w:b w:val="0"/>
                <w:color w:val="auto"/>
                <w:sz w:val="22"/>
                <w:szCs w:val="22"/>
              </w:rPr>
              <w:t>-</w:t>
            </w:r>
          </w:p>
        </w:tc>
        <w:tc>
          <w:tcPr>
            <w:cnfStyle w:val="000100000010" w:firstRow="0" w:lastRow="0" w:firstColumn="0" w:lastColumn="1" w:oddVBand="0" w:evenVBand="0" w:oddHBand="0" w:evenHBand="0" w:firstRowFirstColumn="0" w:firstRowLastColumn="0" w:lastRowFirstColumn="0" w:lastRowLastColumn="1"/>
            <w:tcW w:w="1180" w:type="dxa"/>
            <w:tcBorders>
              <w:top w:val="single" w:sz="4" w:space="0" w:color="8064A2" w:themeColor="accent4"/>
            </w:tcBorders>
            <w:vAlign w:val="center"/>
          </w:tcPr>
          <w:p w:rsidR="00203BAD" w:rsidRPr="00FF7E51" w:rsidRDefault="00203BAD" w:rsidP="002C155D">
            <w:pPr>
              <w:pStyle w:val="BodyText"/>
              <w:widowControl w:val="0"/>
              <w:spacing w:after="0" w:line="240" w:lineRule="auto"/>
              <w:jc w:val="center"/>
              <w:rPr>
                <w:rFonts w:asciiTheme="minorHAnsi" w:hAnsiTheme="minorHAnsi" w:cs="Arial"/>
                <w:b w:val="0"/>
                <w:color w:val="auto"/>
                <w:sz w:val="22"/>
                <w:szCs w:val="22"/>
              </w:rPr>
            </w:pPr>
            <w:r w:rsidRPr="00FF7E51">
              <w:rPr>
                <w:rFonts w:asciiTheme="minorHAnsi" w:hAnsiTheme="minorHAnsi" w:cs="Arial"/>
                <w:b w:val="0"/>
                <w:color w:val="auto"/>
                <w:sz w:val="22"/>
                <w:szCs w:val="22"/>
              </w:rPr>
              <w:t>-</w:t>
            </w:r>
          </w:p>
        </w:tc>
      </w:tr>
    </w:tbl>
    <w:p w:rsidR="00203BAD" w:rsidRPr="0005794A" w:rsidRDefault="00203BAD" w:rsidP="00203BAD">
      <w:pPr>
        <w:pStyle w:val="BodyText"/>
        <w:widowControl w:val="0"/>
        <w:rPr>
          <w:rFonts w:asciiTheme="minorHAnsi" w:hAnsiTheme="minorHAnsi" w:cs="Arial"/>
          <w:color w:val="548DD4" w:themeColor="text2" w:themeTint="99"/>
          <w:sz w:val="22"/>
          <w:szCs w:val="22"/>
          <w:u w:val="single"/>
        </w:rPr>
      </w:pPr>
    </w:p>
    <w:p w:rsidR="00203BAD" w:rsidRPr="00767F4D" w:rsidRDefault="00203BAD" w:rsidP="00203BAD">
      <w:pPr>
        <w:pStyle w:val="BodyText"/>
        <w:widowControl w:val="0"/>
        <w:rPr>
          <w:rFonts w:asciiTheme="minorHAnsi" w:hAnsiTheme="minorHAnsi" w:cs="Arial"/>
          <w:color w:val="auto"/>
          <w:sz w:val="22"/>
          <w:szCs w:val="22"/>
          <w:u w:val="single"/>
        </w:rPr>
      </w:pPr>
      <w:r w:rsidRPr="00767F4D">
        <w:rPr>
          <w:rFonts w:asciiTheme="minorHAnsi" w:hAnsiTheme="minorHAnsi" w:cs="Arial"/>
          <w:color w:val="auto"/>
          <w:sz w:val="22"/>
          <w:szCs w:val="22"/>
          <w:u w:val="single"/>
        </w:rPr>
        <w:t>Schools</w:t>
      </w:r>
    </w:p>
    <w:p w:rsidR="00203BAD" w:rsidRPr="00F01415" w:rsidRDefault="00203BAD" w:rsidP="00203BAD">
      <w:pPr>
        <w:pStyle w:val="BodyText"/>
        <w:widowControl w:val="0"/>
        <w:rPr>
          <w:rFonts w:asciiTheme="minorHAnsi" w:hAnsiTheme="minorHAnsi" w:cs="Arial"/>
          <w:color w:val="auto"/>
          <w:sz w:val="22"/>
          <w:szCs w:val="22"/>
          <w:u w:val="single"/>
        </w:rPr>
      </w:pPr>
      <w:r w:rsidRPr="00767F4D">
        <w:rPr>
          <w:rFonts w:asciiTheme="minorHAnsi" w:hAnsiTheme="minorHAnsi" w:cs="Arial"/>
          <w:color w:val="auto"/>
          <w:sz w:val="22"/>
          <w:szCs w:val="22"/>
        </w:rPr>
        <w:t xml:space="preserve">The Council, as at 31 March 2018, has </w:t>
      </w:r>
      <w:r>
        <w:rPr>
          <w:rFonts w:asciiTheme="minorHAnsi" w:hAnsiTheme="minorHAnsi" w:cs="Arial"/>
          <w:color w:val="auto"/>
          <w:sz w:val="22"/>
          <w:szCs w:val="22"/>
        </w:rPr>
        <w:t>nine</w:t>
      </w:r>
      <w:r w:rsidRPr="00767F4D">
        <w:rPr>
          <w:rFonts w:asciiTheme="minorHAnsi" w:hAnsiTheme="minorHAnsi" w:cs="Arial"/>
          <w:color w:val="auto"/>
          <w:sz w:val="22"/>
          <w:szCs w:val="22"/>
        </w:rPr>
        <w:t xml:space="preserve"> schools (</w:t>
      </w:r>
      <w:r>
        <w:rPr>
          <w:rFonts w:asciiTheme="minorHAnsi" w:hAnsiTheme="minorHAnsi" w:cs="Arial"/>
          <w:color w:val="auto"/>
          <w:sz w:val="22"/>
          <w:szCs w:val="22"/>
        </w:rPr>
        <w:t>three</w:t>
      </w:r>
      <w:r w:rsidRPr="00767F4D">
        <w:rPr>
          <w:rFonts w:asciiTheme="minorHAnsi" w:hAnsiTheme="minorHAnsi" w:cs="Arial"/>
          <w:color w:val="auto"/>
          <w:sz w:val="22"/>
          <w:szCs w:val="22"/>
        </w:rPr>
        <w:t xml:space="preserve"> fewer than in 2017/18) that are reflected in the Council’s accounts, both within its Income and Expenditure Statement and its Balance Sheet.  These are six primary schools, two secondary schools and one special school.  The </w:t>
      </w:r>
      <w:r>
        <w:rPr>
          <w:rFonts w:asciiTheme="minorHAnsi" w:hAnsiTheme="minorHAnsi" w:cs="Arial"/>
          <w:color w:val="auto"/>
          <w:sz w:val="22"/>
          <w:szCs w:val="22"/>
        </w:rPr>
        <w:t>nine</w:t>
      </w:r>
      <w:r w:rsidRPr="00767F4D">
        <w:rPr>
          <w:rFonts w:asciiTheme="minorHAnsi" w:hAnsiTheme="minorHAnsi" w:cs="Arial"/>
          <w:color w:val="auto"/>
          <w:sz w:val="22"/>
          <w:szCs w:val="22"/>
        </w:rPr>
        <w:t xml:space="preserve"> schools by “ownership” are five community schools, one voluntary controlled, one voluntary aided and two foundation</w:t>
      </w:r>
      <w:r w:rsidRPr="00145C4E">
        <w:rPr>
          <w:rFonts w:asciiTheme="minorHAnsi" w:hAnsiTheme="minorHAnsi" w:cs="Arial"/>
          <w:color w:val="auto"/>
          <w:sz w:val="22"/>
          <w:szCs w:val="22"/>
        </w:rPr>
        <w:t xml:space="preserve">.  </w:t>
      </w:r>
      <w:r w:rsidR="00145C4E" w:rsidRPr="00145C4E">
        <w:rPr>
          <w:rFonts w:asciiTheme="minorHAnsi" w:hAnsiTheme="minorHAnsi" w:cs="Arial"/>
          <w:color w:val="auto"/>
          <w:sz w:val="22"/>
          <w:szCs w:val="22"/>
        </w:rPr>
        <w:t>These s</w:t>
      </w:r>
      <w:r w:rsidRPr="00145C4E">
        <w:rPr>
          <w:rFonts w:asciiTheme="minorHAnsi" w:hAnsiTheme="minorHAnsi" w:cs="Arial"/>
          <w:color w:val="auto"/>
          <w:sz w:val="22"/>
          <w:szCs w:val="22"/>
        </w:rPr>
        <w:t xml:space="preserve">chools </w:t>
      </w:r>
      <w:r w:rsidRPr="00F01415">
        <w:rPr>
          <w:rFonts w:asciiTheme="minorHAnsi" w:hAnsiTheme="minorHAnsi" w:cs="Arial"/>
          <w:color w:val="auto"/>
          <w:sz w:val="22"/>
          <w:szCs w:val="22"/>
        </w:rPr>
        <w:t>are funded by the Dedicated Schools Grant which for 2017/18 is</w:t>
      </w:r>
      <w:r w:rsidRPr="0005794A">
        <w:rPr>
          <w:rFonts w:asciiTheme="minorHAnsi" w:hAnsiTheme="minorHAnsi" w:cs="Arial"/>
          <w:color w:val="548DD4" w:themeColor="text2" w:themeTint="99"/>
          <w:sz w:val="22"/>
          <w:szCs w:val="22"/>
        </w:rPr>
        <w:t xml:space="preserve"> </w:t>
      </w:r>
      <w:r w:rsidRPr="004D0C2D">
        <w:rPr>
          <w:rFonts w:asciiTheme="minorHAnsi" w:hAnsiTheme="minorHAnsi" w:cs="Arial"/>
          <w:color w:val="auto"/>
          <w:sz w:val="22"/>
          <w:szCs w:val="22"/>
        </w:rPr>
        <w:t>£3</w:t>
      </w:r>
      <w:r w:rsidR="004D0C2D" w:rsidRPr="004D0C2D">
        <w:rPr>
          <w:rFonts w:asciiTheme="minorHAnsi" w:hAnsiTheme="minorHAnsi" w:cs="Arial"/>
          <w:color w:val="auto"/>
          <w:sz w:val="22"/>
          <w:szCs w:val="22"/>
        </w:rPr>
        <w:t>6</w:t>
      </w:r>
      <w:r w:rsidRPr="004D0C2D">
        <w:rPr>
          <w:rFonts w:asciiTheme="minorHAnsi" w:hAnsiTheme="minorHAnsi" w:cs="Arial"/>
          <w:color w:val="auto"/>
          <w:sz w:val="22"/>
          <w:szCs w:val="22"/>
        </w:rPr>
        <w:t xml:space="preserve"> </w:t>
      </w:r>
      <w:r w:rsidRPr="00F01415">
        <w:rPr>
          <w:rFonts w:asciiTheme="minorHAnsi" w:hAnsiTheme="minorHAnsi" w:cs="Arial"/>
          <w:color w:val="auto"/>
          <w:sz w:val="22"/>
          <w:szCs w:val="22"/>
        </w:rPr>
        <w:t>million</w:t>
      </w:r>
      <w:r>
        <w:rPr>
          <w:rFonts w:asciiTheme="minorHAnsi" w:hAnsiTheme="minorHAnsi" w:cs="Arial"/>
          <w:color w:val="548DD4" w:themeColor="text2" w:themeTint="99"/>
          <w:sz w:val="22"/>
          <w:szCs w:val="22"/>
        </w:rPr>
        <w:t xml:space="preserve"> </w:t>
      </w:r>
      <w:r w:rsidRPr="00F01415">
        <w:rPr>
          <w:rFonts w:asciiTheme="minorHAnsi" w:hAnsiTheme="minorHAnsi" w:cs="Arial"/>
          <w:color w:val="auto"/>
          <w:sz w:val="22"/>
          <w:szCs w:val="22"/>
        </w:rPr>
        <w:t>compared with £37 million in 2016/17.</w:t>
      </w:r>
      <w:r w:rsidRPr="0005794A">
        <w:rPr>
          <w:rFonts w:asciiTheme="minorHAnsi" w:hAnsiTheme="minorHAnsi" w:cs="Arial"/>
          <w:color w:val="548DD4" w:themeColor="text2" w:themeTint="99"/>
          <w:sz w:val="22"/>
          <w:szCs w:val="22"/>
        </w:rPr>
        <w:t xml:space="preserve">  </w:t>
      </w:r>
      <w:r w:rsidRPr="00F01415">
        <w:rPr>
          <w:rFonts w:asciiTheme="minorHAnsi" w:hAnsiTheme="minorHAnsi" w:cs="Arial"/>
          <w:color w:val="auto"/>
          <w:sz w:val="22"/>
          <w:szCs w:val="22"/>
        </w:rPr>
        <w:t>The level of earmarked school reserves as at 31 March 2018</w:t>
      </w:r>
      <w:r w:rsidRPr="0005794A">
        <w:rPr>
          <w:rFonts w:asciiTheme="minorHAnsi" w:hAnsiTheme="minorHAnsi" w:cs="Arial"/>
          <w:color w:val="548DD4" w:themeColor="text2" w:themeTint="99"/>
          <w:sz w:val="22"/>
          <w:szCs w:val="22"/>
        </w:rPr>
        <w:t xml:space="preserve"> </w:t>
      </w:r>
      <w:r w:rsidRPr="00AB6AC0">
        <w:rPr>
          <w:rFonts w:asciiTheme="minorHAnsi" w:hAnsiTheme="minorHAnsi" w:cs="Arial"/>
          <w:color w:val="auto"/>
          <w:sz w:val="22"/>
          <w:szCs w:val="22"/>
        </w:rPr>
        <w:t>is £</w:t>
      </w:r>
      <w:r w:rsidR="004D0C2D">
        <w:rPr>
          <w:rFonts w:asciiTheme="minorHAnsi" w:hAnsiTheme="minorHAnsi" w:cs="Arial"/>
          <w:color w:val="auto"/>
          <w:sz w:val="22"/>
          <w:szCs w:val="22"/>
        </w:rPr>
        <w:t>0.8</w:t>
      </w:r>
      <w:r>
        <w:rPr>
          <w:rFonts w:asciiTheme="minorHAnsi" w:hAnsiTheme="minorHAnsi" w:cs="Arial"/>
          <w:color w:val="548DD4" w:themeColor="text2" w:themeTint="99"/>
          <w:sz w:val="22"/>
          <w:szCs w:val="22"/>
        </w:rPr>
        <w:t xml:space="preserve"> </w:t>
      </w:r>
      <w:r w:rsidRPr="00F01415">
        <w:rPr>
          <w:rFonts w:asciiTheme="minorHAnsi" w:hAnsiTheme="minorHAnsi" w:cs="Arial"/>
          <w:color w:val="auto"/>
          <w:sz w:val="22"/>
          <w:szCs w:val="22"/>
        </w:rPr>
        <w:t>million compare</w:t>
      </w:r>
      <w:r w:rsidR="00337CC2">
        <w:rPr>
          <w:rFonts w:asciiTheme="minorHAnsi" w:hAnsiTheme="minorHAnsi" w:cs="Arial"/>
          <w:color w:val="auto"/>
          <w:sz w:val="22"/>
          <w:szCs w:val="22"/>
        </w:rPr>
        <w:t>d</w:t>
      </w:r>
      <w:r w:rsidRPr="00F01415">
        <w:rPr>
          <w:rFonts w:asciiTheme="minorHAnsi" w:hAnsiTheme="minorHAnsi" w:cs="Arial"/>
          <w:color w:val="auto"/>
          <w:sz w:val="22"/>
          <w:szCs w:val="22"/>
        </w:rPr>
        <w:t xml:space="preserve"> with £1.9 million in 2017/18.  Further detail on school asset recognition and the use of Dedicated School Grant in 2017/18 are included in the notes to the accounts.</w:t>
      </w:r>
    </w:p>
    <w:p w:rsidR="00203BAD" w:rsidRPr="00F01415" w:rsidRDefault="00203BAD" w:rsidP="00203BAD">
      <w:pPr>
        <w:pStyle w:val="BodyText"/>
        <w:widowControl w:val="0"/>
        <w:rPr>
          <w:rFonts w:asciiTheme="minorHAnsi" w:hAnsiTheme="minorHAnsi" w:cs="Arial"/>
          <w:color w:val="auto"/>
          <w:sz w:val="22"/>
          <w:szCs w:val="22"/>
          <w:u w:val="single"/>
        </w:rPr>
      </w:pPr>
      <w:r w:rsidRPr="00F01415">
        <w:rPr>
          <w:rFonts w:asciiTheme="minorHAnsi" w:hAnsiTheme="minorHAnsi" w:cs="Arial"/>
          <w:color w:val="auto"/>
          <w:sz w:val="22"/>
          <w:szCs w:val="22"/>
          <w:u w:val="single"/>
        </w:rPr>
        <w:t xml:space="preserve">Economy, efficiency and effectiveness in its use of resources </w:t>
      </w:r>
    </w:p>
    <w:p w:rsidR="00203BAD" w:rsidRPr="006C6958" w:rsidRDefault="00203BAD" w:rsidP="00203BAD">
      <w:pPr>
        <w:rPr>
          <w:rFonts w:asciiTheme="minorHAnsi" w:hAnsiTheme="minorHAnsi" w:cs="Arial"/>
          <w:color w:val="auto"/>
          <w:sz w:val="22"/>
          <w:szCs w:val="22"/>
        </w:rPr>
      </w:pPr>
      <w:r w:rsidRPr="006C6958">
        <w:rPr>
          <w:rFonts w:asciiTheme="minorHAnsi" w:hAnsiTheme="minorHAnsi" w:cs="Arial"/>
          <w:color w:val="auto"/>
          <w:sz w:val="22"/>
          <w:szCs w:val="22"/>
        </w:rPr>
        <w:t xml:space="preserve">The Council reports on its financial performance and economy, efficiency and effectiveness in its use of resources over the financial year in a number of reports. In particular reports presented to the Council’s Audit Committee. </w:t>
      </w:r>
      <w:r w:rsidR="009A0DF6">
        <w:rPr>
          <w:rFonts w:asciiTheme="minorHAnsi" w:hAnsiTheme="minorHAnsi" w:cs="Arial"/>
          <w:color w:val="auto"/>
          <w:sz w:val="22"/>
          <w:szCs w:val="22"/>
        </w:rPr>
        <w:t>I</w:t>
      </w:r>
      <w:r w:rsidRPr="006C6958">
        <w:rPr>
          <w:rFonts w:asciiTheme="minorHAnsi" w:hAnsiTheme="minorHAnsi" w:cs="Arial"/>
          <w:color w:val="auto"/>
          <w:sz w:val="22"/>
          <w:szCs w:val="22"/>
        </w:rPr>
        <w:t>nclud</w:t>
      </w:r>
      <w:r w:rsidR="009A0DF6">
        <w:rPr>
          <w:rFonts w:asciiTheme="minorHAnsi" w:hAnsiTheme="minorHAnsi" w:cs="Arial"/>
          <w:color w:val="auto"/>
          <w:sz w:val="22"/>
          <w:szCs w:val="22"/>
        </w:rPr>
        <w:t>ing</w:t>
      </w:r>
      <w:r w:rsidRPr="006C6958">
        <w:rPr>
          <w:rFonts w:asciiTheme="minorHAnsi" w:hAnsiTheme="minorHAnsi" w:cs="Arial"/>
          <w:color w:val="auto"/>
          <w:sz w:val="22"/>
          <w:szCs w:val="22"/>
        </w:rPr>
        <w:t>:</w:t>
      </w:r>
    </w:p>
    <w:p w:rsidR="00203BAD" w:rsidRPr="006C6958" w:rsidRDefault="00203BAD" w:rsidP="00203BAD">
      <w:pPr>
        <w:pStyle w:val="ListParagraph"/>
        <w:numPr>
          <w:ilvl w:val="0"/>
          <w:numId w:val="30"/>
        </w:numPr>
        <w:rPr>
          <w:rFonts w:asciiTheme="minorHAnsi" w:hAnsiTheme="minorHAnsi" w:cs="Arial"/>
          <w:color w:val="auto"/>
          <w:sz w:val="22"/>
          <w:szCs w:val="22"/>
        </w:rPr>
      </w:pPr>
      <w:r w:rsidRPr="006C6958">
        <w:rPr>
          <w:rFonts w:asciiTheme="minorHAnsi" w:hAnsiTheme="minorHAnsi" w:cs="Arial"/>
          <w:color w:val="auto"/>
          <w:sz w:val="22"/>
          <w:szCs w:val="22"/>
        </w:rPr>
        <w:t>Internal Audit’s Annual Report and mid-year review</w:t>
      </w:r>
    </w:p>
    <w:p w:rsidR="00203BAD" w:rsidRPr="006C6958" w:rsidRDefault="00203BAD" w:rsidP="00203BAD">
      <w:pPr>
        <w:pStyle w:val="ListParagraph"/>
        <w:numPr>
          <w:ilvl w:val="0"/>
          <w:numId w:val="30"/>
        </w:numPr>
        <w:rPr>
          <w:rFonts w:asciiTheme="minorHAnsi" w:hAnsiTheme="minorHAnsi" w:cs="Arial"/>
          <w:color w:val="auto"/>
          <w:sz w:val="22"/>
          <w:szCs w:val="22"/>
        </w:rPr>
      </w:pPr>
      <w:r w:rsidRPr="006C6958">
        <w:rPr>
          <w:rFonts w:asciiTheme="minorHAnsi" w:hAnsiTheme="minorHAnsi" w:cs="Arial"/>
          <w:color w:val="auto"/>
          <w:sz w:val="22"/>
          <w:szCs w:val="22"/>
        </w:rPr>
        <w:t>Annual Governance Statement</w:t>
      </w:r>
    </w:p>
    <w:p w:rsidR="00203BAD" w:rsidRPr="006C6958" w:rsidRDefault="00203BAD" w:rsidP="00203BAD">
      <w:pPr>
        <w:pStyle w:val="ListParagraph"/>
        <w:numPr>
          <w:ilvl w:val="0"/>
          <w:numId w:val="30"/>
        </w:numPr>
        <w:rPr>
          <w:rFonts w:asciiTheme="minorHAnsi" w:hAnsiTheme="minorHAnsi" w:cs="Arial"/>
          <w:color w:val="auto"/>
          <w:sz w:val="22"/>
          <w:szCs w:val="22"/>
        </w:rPr>
      </w:pPr>
      <w:r w:rsidRPr="006C6958">
        <w:rPr>
          <w:rFonts w:asciiTheme="minorHAnsi" w:hAnsiTheme="minorHAnsi" w:cs="Arial"/>
          <w:color w:val="auto"/>
          <w:sz w:val="22"/>
          <w:szCs w:val="22"/>
        </w:rPr>
        <w:t>External Audit’s Audit Findings Report including a value for money conclusion</w:t>
      </w:r>
    </w:p>
    <w:p w:rsidR="00203BAD" w:rsidRPr="006C6958" w:rsidRDefault="00203BAD" w:rsidP="00203BAD">
      <w:pPr>
        <w:pStyle w:val="ListParagraph"/>
        <w:numPr>
          <w:ilvl w:val="0"/>
          <w:numId w:val="30"/>
        </w:numPr>
        <w:rPr>
          <w:rFonts w:asciiTheme="minorHAnsi" w:hAnsiTheme="minorHAnsi" w:cs="Arial"/>
          <w:color w:val="auto"/>
          <w:sz w:val="22"/>
          <w:szCs w:val="22"/>
        </w:rPr>
      </w:pPr>
      <w:r w:rsidRPr="006C6958">
        <w:rPr>
          <w:rFonts w:asciiTheme="minorHAnsi" w:hAnsiTheme="minorHAnsi" w:cs="Arial"/>
          <w:color w:val="auto"/>
          <w:sz w:val="22"/>
          <w:szCs w:val="22"/>
        </w:rPr>
        <w:t>Review of risk management</w:t>
      </w:r>
    </w:p>
    <w:p w:rsidR="00203BAD" w:rsidRPr="006C6958" w:rsidRDefault="00203BAD" w:rsidP="00203BAD">
      <w:pPr>
        <w:pStyle w:val="ListParagraph"/>
        <w:numPr>
          <w:ilvl w:val="0"/>
          <w:numId w:val="30"/>
        </w:numPr>
        <w:rPr>
          <w:rFonts w:asciiTheme="minorHAnsi" w:hAnsiTheme="minorHAnsi" w:cs="Arial"/>
          <w:color w:val="auto"/>
          <w:sz w:val="22"/>
          <w:szCs w:val="22"/>
        </w:rPr>
      </w:pPr>
      <w:r w:rsidRPr="006C6958">
        <w:rPr>
          <w:rFonts w:asciiTheme="minorHAnsi" w:hAnsiTheme="minorHAnsi" w:cs="Arial"/>
          <w:color w:val="auto"/>
          <w:sz w:val="22"/>
          <w:szCs w:val="22"/>
        </w:rPr>
        <w:t>Review of Council performance based on a basket of indicators.</w:t>
      </w:r>
    </w:p>
    <w:p w:rsidR="00203BAD" w:rsidRPr="006C6958" w:rsidRDefault="00203BAD" w:rsidP="00203BAD">
      <w:pPr>
        <w:rPr>
          <w:rFonts w:asciiTheme="minorHAnsi" w:hAnsiTheme="minorHAnsi" w:cs="Arial"/>
          <w:color w:val="auto"/>
          <w:sz w:val="22"/>
          <w:szCs w:val="22"/>
        </w:rPr>
      </w:pPr>
      <w:r w:rsidRPr="006C6958">
        <w:rPr>
          <w:rFonts w:asciiTheme="minorHAnsi" w:hAnsiTheme="minorHAnsi" w:cs="Arial"/>
          <w:color w:val="auto"/>
          <w:sz w:val="22"/>
          <w:szCs w:val="22"/>
        </w:rPr>
        <w:t>Audit Commit</w:t>
      </w:r>
      <w:r w:rsidR="0010723C">
        <w:rPr>
          <w:rFonts w:asciiTheme="minorHAnsi" w:hAnsiTheme="minorHAnsi" w:cs="Arial"/>
          <w:color w:val="auto"/>
          <w:sz w:val="22"/>
          <w:szCs w:val="22"/>
        </w:rPr>
        <w:t>tee agenda and minutes are available on the Council’s website</w:t>
      </w:r>
    </w:p>
    <w:p w:rsidR="00203BAD" w:rsidRPr="006C6958" w:rsidRDefault="00203BAD" w:rsidP="00203BAD">
      <w:pPr>
        <w:rPr>
          <w:rFonts w:asciiTheme="minorHAnsi" w:hAnsiTheme="minorHAnsi"/>
          <w:color w:val="auto"/>
          <w:sz w:val="22"/>
          <w:szCs w:val="22"/>
        </w:rPr>
      </w:pPr>
      <w:r w:rsidRPr="006C6958">
        <w:rPr>
          <w:rFonts w:asciiTheme="minorHAnsi" w:hAnsiTheme="minorHAnsi"/>
          <w:color w:val="auto"/>
          <w:sz w:val="22"/>
          <w:szCs w:val="22"/>
        </w:rPr>
        <w:t>The Council publishes extensive information on its expenditure including details of payments in excess of £500 and details of the Council’s pay policy can be found on the council’s web site.</w:t>
      </w:r>
    </w:p>
    <w:p w:rsidR="00203BAD" w:rsidRPr="00F01415" w:rsidRDefault="00203BAD" w:rsidP="00203BAD">
      <w:pPr>
        <w:pStyle w:val="BodyText"/>
        <w:widowControl w:val="0"/>
        <w:rPr>
          <w:rFonts w:asciiTheme="minorHAnsi" w:hAnsiTheme="minorHAnsi" w:cs="Arial"/>
          <w:color w:val="auto"/>
          <w:sz w:val="22"/>
          <w:szCs w:val="22"/>
          <w:u w:val="single"/>
        </w:rPr>
      </w:pPr>
      <w:r w:rsidRPr="00F01415">
        <w:rPr>
          <w:rFonts w:asciiTheme="minorHAnsi" w:hAnsiTheme="minorHAnsi" w:cs="Arial"/>
          <w:color w:val="auto"/>
          <w:sz w:val="22"/>
          <w:szCs w:val="22"/>
          <w:u w:val="single"/>
        </w:rPr>
        <w:t>Overview of Financial Performance in 2017/2018</w:t>
      </w:r>
    </w:p>
    <w:p w:rsidR="00203BAD" w:rsidRPr="0005794A" w:rsidRDefault="00203BAD" w:rsidP="00203BAD">
      <w:pPr>
        <w:pStyle w:val="BodyText"/>
        <w:widowControl w:val="0"/>
        <w:rPr>
          <w:rFonts w:asciiTheme="minorHAnsi" w:hAnsiTheme="minorHAnsi" w:cs="Arial"/>
          <w:color w:val="548DD4" w:themeColor="text2" w:themeTint="99"/>
          <w:sz w:val="22"/>
          <w:szCs w:val="22"/>
        </w:rPr>
      </w:pPr>
      <w:r w:rsidRPr="00F326CB">
        <w:rPr>
          <w:rFonts w:asciiTheme="minorHAnsi" w:hAnsiTheme="minorHAnsi" w:cs="Arial"/>
          <w:color w:val="auto"/>
          <w:sz w:val="22"/>
          <w:szCs w:val="22"/>
        </w:rPr>
        <w:t xml:space="preserve">This was again a very challenging financial year for the Council with the requirement to make </w:t>
      </w:r>
      <w:r w:rsidRPr="00F326CB">
        <w:rPr>
          <w:rFonts w:asciiTheme="minorHAnsi" w:hAnsiTheme="minorHAnsi" w:cs="Arial"/>
          <w:color w:val="auto"/>
          <w:sz w:val="22"/>
          <w:szCs w:val="22"/>
        </w:rPr>
        <w:lastRenderedPageBreak/>
        <w:t xml:space="preserve">reductions of £7 million as well as facing increasing demand for children’s social care services.  </w:t>
      </w:r>
      <w:r w:rsidRPr="00AB6AC0">
        <w:rPr>
          <w:rFonts w:asciiTheme="minorHAnsi" w:hAnsiTheme="minorHAnsi" w:cs="Arial"/>
          <w:color w:val="auto"/>
          <w:sz w:val="22"/>
          <w:szCs w:val="22"/>
        </w:rPr>
        <w:t>Children’s safeguarding and wellbeing, due primarily to rising numbers and costs, was significantly over its budget allocation by £3.3 million</w:t>
      </w:r>
      <w:r>
        <w:rPr>
          <w:rFonts w:asciiTheme="minorHAnsi" w:hAnsiTheme="minorHAnsi" w:cs="Arial"/>
          <w:color w:val="548DD4" w:themeColor="text2" w:themeTint="99"/>
          <w:sz w:val="22"/>
          <w:szCs w:val="22"/>
        </w:rPr>
        <w:t>.</w:t>
      </w:r>
    </w:p>
    <w:p w:rsidR="00203BAD" w:rsidRDefault="00203BAD" w:rsidP="00203BAD">
      <w:pPr>
        <w:pStyle w:val="BodyText"/>
        <w:widowControl w:val="0"/>
        <w:rPr>
          <w:rFonts w:asciiTheme="minorHAnsi" w:hAnsiTheme="minorHAnsi" w:cs="Arial"/>
          <w:color w:val="auto"/>
          <w:sz w:val="22"/>
          <w:szCs w:val="22"/>
        </w:rPr>
      </w:pPr>
      <w:r w:rsidRPr="00F326CB">
        <w:rPr>
          <w:rFonts w:asciiTheme="minorHAnsi" w:hAnsiTheme="minorHAnsi" w:cs="Arial"/>
          <w:color w:val="auto"/>
          <w:sz w:val="22"/>
          <w:szCs w:val="22"/>
        </w:rPr>
        <w:t xml:space="preserve">The Council is a partner in a three way Risk Share Agreement based on the total financial performance of the Torbay and South Devon NHS Foundation Trust (which operates as an Integrated Care Organisation providing adult social care services for Torbay Council as well as community and adult health services).  The risk </w:t>
      </w:r>
      <w:r w:rsidR="0010723C">
        <w:rPr>
          <w:rFonts w:asciiTheme="minorHAnsi" w:hAnsiTheme="minorHAnsi" w:cs="Arial"/>
          <w:color w:val="auto"/>
          <w:sz w:val="22"/>
          <w:szCs w:val="22"/>
        </w:rPr>
        <w:t>is</w:t>
      </w:r>
      <w:r w:rsidRPr="00F326CB">
        <w:rPr>
          <w:rFonts w:asciiTheme="minorHAnsi" w:hAnsiTheme="minorHAnsi" w:cs="Arial"/>
          <w:color w:val="auto"/>
          <w:sz w:val="22"/>
          <w:szCs w:val="22"/>
        </w:rPr>
        <w:t xml:space="preserve"> shared by the ICO (50% share), South Devon and Torbay Clinical Commissioning Group (41% share) and the Council (9% share).   During 2017/18 a revised Risk Share Agreement was agreed where Torbay was excluded from </w:t>
      </w:r>
      <w:r>
        <w:rPr>
          <w:rFonts w:asciiTheme="minorHAnsi" w:hAnsiTheme="minorHAnsi" w:cs="Arial"/>
          <w:color w:val="auto"/>
          <w:sz w:val="22"/>
          <w:szCs w:val="22"/>
        </w:rPr>
        <w:t xml:space="preserve">its </w:t>
      </w:r>
      <w:r w:rsidRPr="00F326CB">
        <w:rPr>
          <w:rFonts w:asciiTheme="minorHAnsi" w:hAnsiTheme="minorHAnsi" w:cs="Arial"/>
          <w:color w:val="auto"/>
          <w:sz w:val="22"/>
          <w:szCs w:val="22"/>
        </w:rPr>
        <w:t xml:space="preserve">share </w:t>
      </w:r>
      <w:r>
        <w:rPr>
          <w:rFonts w:asciiTheme="minorHAnsi" w:hAnsiTheme="minorHAnsi" w:cs="Arial"/>
          <w:color w:val="auto"/>
          <w:sz w:val="22"/>
          <w:szCs w:val="22"/>
        </w:rPr>
        <w:t xml:space="preserve">of financial risk, </w:t>
      </w:r>
      <w:r w:rsidRPr="00F326CB">
        <w:rPr>
          <w:rFonts w:asciiTheme="minorHAnsi" w:hAnsiTheme="minorHAnsi" w:cs="Arial"/>
          <w:color w:val="auto"/>
          <w:sz w:val="22"/>
          <w:szCs w:val="22"/>
        </w:rPr>
        <w:t>but contributed a higher fixed contribution to the ICO. The ICO were able to meet their NHS set financial “control total” in the year.</w:t>
      </w:r>
    </w:p>
    <w:p w:rsidR="00203BAD" w:rsidRPr="00F326CB" w:rsidRDefault="00203BAD" w:rsidP="00203BAD">
      <w:pPr>
        <w:pStyle w:val="BodyText"/>
        <w:widowControl w:val="0"/>
        <w:rPr>
          <w:rFonts w:asciiTheme="minorHAnsi" w:hAnsiTheme="minorHAnsi" w:cs="Arial"/>
          <w:color w:val="auto"/>
          <w:sz w:val="22"/>
          <w:szCs w:val="22"/>
        </w:rPr>
      </w:pPr>
      <w:r>
        <w:rPr>
          <w:rFonts w:asciiTheme="minorHAnsi" w:hAnsiTheme="minorHAnsi" w:cs="Arial"/>
          <w:color w:val="auto"/>
          <w:sz w:val="22"/>
          <w:szCs w:val="22"/>
        </w:rPr>
        <w:t>The additional council tax raised by the 3% increase for social care was earmarked in full for adult social care.</w:t>
      </w:r>
    </w:p>
    <w:p w:rsidR="00203BAD" w:rsidRPr="0072418D" w:rsidRDefault="00203BAD" w:rsidP="00203BAD">
      <w:pPr>
        <w:pStyle w:val="BodyText"/>
        <w:widowControl w:val="0"/>
        <w:rPr>
          <w:rFonts w:asciiTheme="minorHAnsi" w:hAnsiTheme="minorHAnsi" w:cs="Arial"/>
          <w:color w:val="auto"/>
          <w:sz w:val="22"/>
          <w:szCs w:val="22"/>
        </w:rPr>
      </w:pPr>
      <w:r w:rsidRPr="0072418D">
        <w:rPr>
          <w:rFonts w:asciiTheme="minorHAnsi" w:hAnsiTheme="minorHAnsi" w:cs="Arial"/>
          <w:color w:val="auto"/>
          <w:sz w:val="22"/>
          <w:szCs w:val="22"/>
        </w:rPr>
        <w:t xml:space="preserve">The Council incurred £0.3 million of costs </w:t>
      </w:r>
      <w:r>
        <w:rPr>
          <w:rFonts w:asciiTheme="minorHAnsi" w:hAnsiTheme="minorHAnsi" w:cs="Arial"/>
          <w:color w:val="auto"/>
          <w:sz w:val="22"/>
          <w:szCs w:val="22"/>
        </w:rPr>
        <w:t xml:space="preserve">primarily </w:t>
      </w:r>
      <w:r w:rsidRPr="0072418D">
        <w:rPr>
          <w:rFonts w:asciiTheme="minorHAnsi" w:hAnsiTheme="minorHAnsi" w:cs="Arial"/>
          <w:color w:val="auto"/>
          <w:sz w:val="22"/>
          <w:szCs w:val="22"/>
        </w:rPr>
        <w:t xml:space="preserve">associated with staff exit packages resulting from reductions in funding.  These costs were offset by reductions in other services including </w:t>
      </w:r>
    </w:p>
    <w:p w:rsidR="00203BAD" w:rsidRPr="00677239" w:rsidRDefault="00203BAD" w:rsidP="00203BAD">
      <w:pPr>
        <w:pStyle w:val="BodyText"/>
        <w:widowControl w:val="0"/>
        <w:rPr>
          <w:rFonts w:asciiTheme="minorHAnsi" w:hAnsiTheme="minorHAnsi" w:cs="Arial"/>
          <w:color w:val="auto"/>
          <w:sz w:val="22"/>
          <w:szCs w:val="22"/>
        </w:rPr>
      </w:pPr>
      <w:r w:rsidRPr="00677239">
        <w:rPr>
          <w:rFonts w:asciiTheme="minorHAnsi" w:hAnsiTheme="minorHAnsi" w:cs="Arial"/>
          <w:color w:val="auto"/>
          <w:sz w:val="22"/>
          <w:szCs w:val="22"/>
        </w:rPr>
        <w:t>The Council has continued to implement its Transformation Programme.  In 2016/17 the Council established a £50 million Investment Fund and from that fund purchased, for over £20 million, the Wren Retail Park in Torquay. During 2017/18 the Fund was increased to £200 million and over £98m was spent on four investment prop</w:t>
      </w:r>
      <w:r>
        <w:rPr>
          <w:rFonts w:asciiTheme="minorHAnsi" w:hAnsiTheme="minorHAnsi" w:cs="Arial"/>
          <w:color w:val="auto"/>
          <w:sz w:val="22"/>
          <w:szCs w:val="22"/>
        </w:rPr>
        <w:t>erties</w:t>
      </w:r>
      <w:r w:rsidRPr="00677239">
        <w:rPr>
          <w:rFonts w:asciiTheme="minorHAnsi" w:hAnsiTheme="minorHAnsi" w:cs="Arial"/>
          <w:color w:val="auto"/>
          <w:sz w:val="22"/>
          <w:szCs w:val="22"/>
        </w:rPr>
        <w:t xml:space="preserve"> and one loan. During the year the Council also exchanged on another property </w:t>
      </w:r>
      <w:r>
        <w:rPr>
          <w:rFonts w:asciiTheme="minorHAnsi" w:hAnsiTheme="minorHAnsi" w:cs="Arial"/>
          <w:color w:val="auto"/>
          <w:sz w:val="22"/>
          <w:szCs w:val="22"/>
        </w:rPr>
        <w:t>(</w:t>
      </w:r>
      <w:r w:rsidRPr="00677239">
        <w:rPr>
          <w:rFonts w:asciiTheme="minorHAnsi" w:hAnsiTheme="minorHAnsi" w:cs="Arial"/>
          <w:color w:val="auto"/>
          <w:sz w:val="22"/>
          <w:szCs w:val="22"/>
        </w:rPr>
        <w:t>that completed in April 2018 for £12m</w:t>
      </w:r>
      <w:r>
        <w:rPr>
          <w:rFonts w:asciiTheme="minorHAnsi" w:hAnsiTheme="minorHAnsi" w:cs="Arial"/>
          <w:color w:val="auto"/>
          <w:sz w:val="22"/>
          <w:szCs w:val="22"/>
        </w:rPr>
        <w:t>)</w:t>
      </w:r>
      <w:r w:rsidRPr="00677239">
        <w:rPr>
          <w:rFonts w:asciiTheme="minorHAnsi" w:hAnsiTheme="minorHAnsi" w:cs="Arial"/>
          <w:color w:val="auto"/>
          <w:sz w:val="22"/>
          <w:szCs w:val="22"/>
        </w:rPr>
        <w:t xml:space="preserve"> and has made further offers on two locations with a total potential future spend of £16m.</w:t>
      </w:r>
      <w:r>
        <w:rPr>
          <w:rFonts w:asciiTheme="minorHAnsi" w:hAnsiTheme="minorHAnsi" w:cs="Arial"/>
          <w:color w:val="auto"/>
          <w:sz w:val="22"/>
          <w:szCs w:val="22"/>
        </w:rPr>
        <w:t xml:space="preserve"> The net surplus on these properties will be used to support the Council’s services. The budgeted net surplus in 2018/19 is £2.8m.</w:t>
      </w:r>
    </w:p>
    <w:p w:rsidR="00203BAD" w:rsidRPr="008F4E68" w:rsidRDefault="00203BAD" w:rsidP="00203BAD">
      <w:pPr>
        <w:pStyle w:val="BodyText"/>
        <w:widowControl w:val="0"/>
        <w:rPr>
          <w:rFonts w:asciiTheme="minorHAnsi" w:hAnsiTheme="minorHAnsi" w:cs="Arial"/>
          <w:color w:val="auto"/>
          <w:sz w:val="22"/>
          <w:szCs w:val="22"/>
        </w:rPr>
      </w:pPr>
      <w:r w:rsidRPr="008F4E68">
        <w:rPr>
          <w:rFonts w:asciiTheme="minorHAnsi" w:hAnsiTheme="minorHAnsi" w:cs="Arial"/>
          <w:color w:val="auto"/>
          <w:sz w:val="22"/>
          <w:szCs w:val="22"/>
        </w:rPr>
        <w:t>The Council has also advanced a proposal for the creation of two housing companies, one to build/sell houses and one to buy/rent houses with all Council-owned companies to be owned by a (Council owned) Holding Company. As at end of March 2018 these were established but not trading.</w:t>
      </w:r>
      <w:r>
        <w:rPr>
          <w:rFonts w:asciiTheme="minorHAnsi" w:hAnsiTheme="minorHAnsi" w:cs="Arial"/>
          <w:color w:val="auto"/>
          <w:sz w:val="22"/>
          <w:szCs w:val="22"/>
        </w:rPr>
        <w:t xml:space="preserve"> The Council has agreed to borrow £25m to support these companies subject to a viable business case being approved.</w:t>
      </w:r>
    </w:p>
    <w:p w:rsidR="00203BAD" w:rsidRPr="00880080" w:rsidRDefault="00203BAD" w:rsidP="00203BAD">
      <w:pPr>
        <w:pStyle w:val="BodyText"/>
        <w:widowControl w:val="0"/>
        <w:rPr>
          <w:rFonts w:asciiTheme="minorHAnsi" w:hAnsiTheme="minorHAnsi" w:cs="Arial"/>
          <w:color w:val="auto"/>
          <w:sz w:val="22"/>
          <w:szCs w:val="22"/>
        </w:rPr>
      </w:pPr>
      <w:r w:rsidRPr="00880080">
        <w:rPr>
          <w:rFonts w:asciiTheme="minorHAnsi" w:hAnsiTheme="minorHAnsi" w:cs="Arial"/>
          <w:color w:val="auto"/>
          <w:sz w:val="22"/>
          <w:szCs w:val="22"/>
        </w:rPr>
        <w:t xml:space="preserve">Council schools continued to convert to Academy status and are now fully independent of the Council.  In Torbay, by 31st March 2018, a total of 31 schools had converted with </w:t>
      </w:r>
      <w:r>
        <w:rPr>
          <w:rFonts w:asciiTheme="minorHAnsi" w:hAnsiTheme="minorHAnsi" w:cs="Arial"/>
          <w:color w:val="auto"/>
          <w:sz w:val="22"/>
          <w:szCs w:val="22"/>
        </w:rPr>
        <w:t>three</w:t>
      </w:r>
      <w:r w:rsidRPr="00880080">
        <w:rPr>
          <w:rFonts w:asciiTheme="minorHAnsi" w:hAnsiTheme="minorHAnsi" w:cs="Arial"/>
          <w:color w:val="auto"/>
          <w:sz w:val="22"/>
          <w:szCs w:val="22"/>
        </w:rPr>
        <w:t xml:space="preserve"> schools converting in 2017/18 and further schools possibly due to convert in 201</w:t>
      </w:r>
      <w:r>
        <w:rPr>
          <w:rFonts w:asciiTheme="minorHAnsi" w:hAnsiTheme="minorHAnsi" w:cs="Arial"/>
          <w:color w:val="auto"/>
          <w:sz w:val="22"/>
          <w:szCs w:val="22"/>
        </w:rPr>
        <w:t>8/19</w:t>
      </w:r>
      <w:r w:rsidRPr="00880080">
        <w:rPr>
          <w:rFonts w:asciiTheme="minorHAnsi" w:hAnsiTheme="minorHAnsi" w:cs="Arial"/>
          <w:color w:val="auto"/>
          <w:sz w:val="22"/>
          <w:szCs w:val="22"/>
        </w:rPr>
        <w:t>.</w:t>
      </w:r>
    </w:p>
    <w:p w:rsidR="00203BAD" w:rsidRPr="00BA2261" w:rsidRDefault="00203BAD" w:rsidP="00203BAD">
      <w:pPr>
        <w:pStyle w:val="BodyText"/>
        <w:widowControl w:val="0"/>
        <w:rPr>
          <w:rFonts w:asciiTheme="minorHAnsi" w:hAnsiTheme="minorHAnsi" w:cs="Arial"/>
          <w:color w:val="auto"/>
          <w:sz w:val="22"/>
          <w:szCs w:val="22"/>
        </w:rPr>
      </w:pPr>
      <w:r w:rsidRPr="004D0C2D">
        <w:rPr>
          <w:rFonts w:asciiTheme="minorHAnsi" w:hAnsiTheme="minorHAnsi" w:cs="Arial"/>
          <w:color w:val="auto"/>
          <w:sz w:val="22"/>
          <w:szCs w:val="22"/>
        </w:rPr>
        <w:t xml:space="preserve">The Council’s gross expenditure in the year was </w:t>
      </w:r>
      <w:r w:rsidR="004D0C2D" w:rsidRPr="004D0C2D">
        <w:rPr>
          <w:rFonts w:asciiTheme="minorHAnsi" w:hAnsiTheme="minorHAnsi" w:cs="Arial"/>
          <w:color w:val="auto"/>
          <w:sz w:val="22"/>
          <w:szCs w:val="22"/>
        </w:rPr>
        <w:t>over</w:t>
      </w:r>
      <w:r w:rsidRPr="004D0C2D">
        <w:rPr>
          <w:rFonts w:asciiTheme="minorHAnsi" w:hAnsiTheme="minorHAnsi" w:cs="Arial"/>
          <w:color w:val="auto"/>
          <w:sz w:val="22"/>
          <w:szCs w:val="22"/>
        </w:rPr>
        <w:t xml:space="preserve"> £300m for revenue (day to day) spend </w:t>
      </w:r>
      <w:r w:rsidRPr="00BA2261">
        <w:rPr>
          <w:rFonts w:asciiTheme="minorHAnsi" w:hAnsiTheme="minorHAnsi" w:cs="Arial"/>
          <w:color w:val="auto"/>
          <w:sz w:val="22"/>
          <w:szCs w:val="22"/>
        </w:rPr>
        <w:t>and over £121m for capital (spend on long term assets such as roads and schools) of which over £98m was the purchase of Investment Properties.</w:t>
      </w:r>
    </w:p>
    <w:p w:rsidR="00203BAD" w:rsidRPr="00A667BA" w:rsidRDefault="00203BAD" w:rsidP="00203BAD">
      <w:pPr>
        <w:pStyle w:val="BodyText"/>
        <w:widowControl w:val="0"/>
        <w:rPr>
          <w:rFonts w:asciiTheme="minorHAnsi" w:hAnsiTheme="minorHAnsi" w:cs="Arial"/>
          <w:color w:val="auto"/>
          <w:sz w:val="22"/>
          <w:szCs w:val="22"/>
        </w:rPr>
      </w:pPr>
      <w:r w:rsidRPr="00A667BA">
        <w:rPr>
          <w:rFonts w:asciiTheme="minorHAnsi" w:hAnsiTheme="minorHAnsi" w:cs="Arial"/>
          <w:color w:val="auto"/>
          <w:sz w:val="22"/>
          <w:szCs w:val="22"/>
        </w:rPr>
        <w:t>No significant liabilities were acquired by the Council in 2017/18. The Council’s appeal in relation to a judicial r</w:t>
      </w:r>
      <w:r>
        <w:rPr>
          <w:rFonts w:asciiTheme="minorHAnsi" w:hAnsiTheme="minorHAnsi" w:cs="Arial"/>
          <w:color w:val="auto"/>
          <w:sz w:val="22"/>
          <w:szCs w:val="22"/>
        </w:rPr>
        <w:t xml:space="preserve">eview in relation to Care Home </w:t>
      </w:r>
      <w:r w:rsidRPr="00A667BA">
        <w:rPr>
          <w:rFonts w:asciiTheme="minorHAnsi" w:hAnsiTheme="minorHAnsi" w:cs="Arial"/>
          <w:color w:val="auto"/>
          <w:sz w:val="22"/>
          <w:szCs w:val="22"/>
        </w:rPr>
        <w:t xml:space="preserve">Fees was </w:t>
      </w:r>
      <w:r w:rsidR="0010723C">
        <w:rPr>
          <w:rFonts w:asciiTheme="minorHAnsi" w:hAnsiTheme="minorHAnsi" w:cs="Arial"/>
          <w:color w:val="auto"/>
          <w:sz w:val="22"/>
          <w:szCs w:val="22"/>
        </w:rPr>
        <w:t xml:space="preserve">determined </w:t>
      </w:r>
      <w:r w:rsidRPr="00A667BA">
        <w:rPr>
          <w:rFonts w:asciiTheme="minorHAnsi" w:hAnsiTheme="minorHAnsi" w:cs="Arial"/>
          <w:color w:val="auto"/>
          <w:sz w:val="22"/>
          <w:szCs w:val="22"/>
        </w:rPr>
        <w:t>in the Cou</w:t>
      </w:r>
      <w:r>
        <w:rPr>
          <w:rFonts w:asciiTheme="minorHAnsi" w:hAnsiTheme="minorHAnsi" w:cs="Arial"/>
          <w:color w:val="auto"/>
          <w:sz w:val="22"/>
          <w:szCs w:val="22"/>
        </w:rPr>
        <w:t>ncil’s</w:t>
      </w:r>
      <w:r w:rsidRPr="00A667BA">
        <w:rPr>
          <w:rFonts w:asciiTheme="minorHAnsi" w:hAnsiTheme="minorHAnsi" w:cs="Arial"/>
          <w:color w:val="auto"/>
          <w:sz w:val="22"/>
          <w:szCs w:val="22"/>
        </w:rPr>
        <w:t xml:space="preserve"> favour. </w:t>
      </w:r>
    </w:p>
    <w:p w:rsidR="00203BAD" w:rsidRPr="0005794A" w:rsidRDefault="00203BAD" w:rsidP="00203BAD">
      <w:pPr>
        <w:pStyle w:val="BodyText"/>
        <w:widowControl w:val="0"/>
        <w:rPr>
          <w:rFonts w:asciiTheme="minorHAnsi" w:hAnsiTheme="minorHAnsi"/>
          <w:color w:val="548DD4" w:themeColor="text2" w:themeTint="99"/>
          <w:sz w:val="22"/>
          <w:szCs w:val="22"/>
        </w:rPr>
      </w:pPr>
      <w:r w:rsidRPr="00D14879">
        <w:rPr>
          <w:rFonts w:asciiTheme="minorHAnsi" w:hAnsiTheme="minorHAnsi"/>
          <w:color w:val="auto"/>
          <w:sz w:val="22"/>
          <w:szCs w:val="22"/>
        </w:rPr>
        <w:t xml:space="preserve">The Council’s employees can be members of the Devon County Council Local Government Pension Scheme. As a defined benefit scheme the Council is liable for any surplus or deficit on the fund. The Council’s liability is calculated on an annual basis by the fund’s actuary. This value estimates the liability of the Council if all liabilities were to be realised at a point in time. In reality the impact on the Council is spread over a long period of time (i.e. over current and future pensioners lives) with the Council reducing the deficit by its employers’ contributions to the fund over the long term (over 25 years).  The triennial review of the fund took place as at 31st March 2016 which resulted in an </w:t>
      </w:r>
      <w:r w:rsidRPr="00D14879">
        <w:rPr>
          <w:rFonts w:asciiTheme="minorHAnsi" w:hAnsiTheme="minorHAnsi"/>
          <w:color w:val="auto"/>
          <w:sz w:val="22"/>
          <w:szCs w:val="22"/>
        </w:rPr>
        <w:lastRenderedPageBreak/>
        <w:t>increase in the Council’s employer contribution rate from April 2017</w:t>
      </w:r>
      <w:r w:rsidRPr="0005794A">
        <w:rPr>
          <w:rFonts w:asciiTheme="minorHAnsi" w:hAnsiTheme="minorHAnsi"/>
          <w:color w:val="548DD4" w:themeColor="text2" w:themeTint="99"/>
          <w:sz w:val="22"/>
          <w:szCs w:val="22"/>
        </w:rPr>
        <w:t>.</w:t>
      </w:r>
    </w:p>
    <w:p w:rsidR="00203BAD" w:rsidRPr="00A14A9A" w:rsidRDefault="00203BAD" w:rsidP="00203BAD">
      <w:pPr>
        <w:pStyle w:val="BodyText"/>
        <w:widowControl w:val="0"/>
        <w:rPr>
          <w:rFonts w:asciiTheme="minorHAnsi" w:hAnsiTheme="minorHAnsi"/>
          <w:color w:val="auto"/>
          <w:sz w:val="22"/>
          <w:szCs w:val="22"/>
        </w:rPr>
      </w:pPr>
      <w:r w:rsidRPr="00A14A9A">
        <w:rPr>
          <w:rFonts w:asciiTheme="minorHAnsi" w:hAnsiTheme="minorHAnsi"/>
          <w:color w:val="auto"/>
          <w:sz w:val="22"/>
          <w:szCs w:val="22"/>
        </w:rPr>
        <w:t>The Council’s liability as at 31st March 201</w:t>
      </w:r>
      <w:r>
        <w:rPr>
          <w:rFonts w:asciiTheme="minorHAnsi" w:hAnsiTheme="minorHAnsi"/>
          <w:color w:val="auto"/>
          <w:sz w:val="22"/>
          <w:szCs w:val="22"/>
        </w:rPr>
        <w:t>8</w:t>
      </w:r>
      <w:r w:rsidRPr="00A14A9A">
        <w:rPr>
          <w:rFonts w:asciiTheme="minorHAnsi" w:hAnsiTheme="minorHAnsi"/>
          <w:color w:val="auto"/>
          <w:sz w:val="22"/>
          <w:szCs w:val="22"/>
        </w:rPr>
        <w:t xml:space="preserve"> is assessed at £</w:t>
      </w:r>
      <w:r>
        <w:rPr>
          <w:rFonts w:asciiTheme="minorHAnsi" w:hAnsiTheme="minorHAnsi"/>
          <w:color w:val="auto"/>
          <w:sz w:val="22"/>
          <w:szCs w:val="22"/>
        </w:rPr>
        <w:t>186</w:t>
      </w:r>
      <w:r w:rsidRPr="00A14A9A">
        <w:rPr>
          <w:rFonts w:asciiTheme="minorHAnsi" w:hAnsiTheme="minorHAnsi"/>
          <w:color w:val="auto"/>
          <w:sz w:val="22"/>
          <w:szCs w:val="22"/>
        </w:rPr>
        <w:t xml:space="preserve"> million which is a £16m decrease over the previous year (</w:t>
      </w:r>
      <w:r>
        <w:rPr>
          <w:rFonts w:asciiTheme="minorHAnsi" w:hAnsiTheme="minorHAnsi"/>
          <w:color w:val="auto"/>
          <w:sz w:val="22"/>
          <w:szCs w:val="22"/>
        </w:rPr>
        <w:t xml:space="preserve">compared to a </w:t>
      </w:r>
      <w:r w:rsidRPr="00A14A9A">
        <w:rPr>
          <w:rFonts w:asciiTheme="minorHAnsi" w:hAnsiTheme="minorHAnsi"/>
          <w:color w:val="auto"/>
          <w:sz w:val="22"/>
          <w:szCs w:val="22"/>
        </w:rPr>
        <w:t xml:space="preserve">£51 million increase </w:t>
      </w:r>
      <w:r>
        <w:rPr>
          <w:rFonts w:asciiTheme="minorHAnsi" w:hAnsiTheme="minorHAnsi"/>
          <w:color w:val="auto"/>
          <w:sz w:val="22"/>
          <w:szCs w:val="22"/>
        </w:rPr>
        <w:t xml:space="preserve">in </w:t>
      </w:r>
      <w:r w:rsidRPr="00A14A9A">
        <w:rPr>
          <w:rFonts w:asciiTheme="minorHAnsi" w:hAnsiTheme="minorHAnsi"/>
          <w:color w:val="auto"/>
          <w:sz w:val="22"/>
          <w:szCs w:val="22"/>
        </w:rPr>
        <w:t>16/17).  This is primarily due to actuarial “</w:t>
      </w:r>
      <w:proofErr w:type="spellStart"/>
      <w:r w:rsidRPr="00A14A9A">
        <w:rPr>
          <w:rFonts w:asciiTheme="minorHAnsi" w:hAnsiTheme="minorHAnsi"/>
          <w:color w:val="auto"/>
          <w:sz w:val="22"/>
          <w:szCs w:val="22"/>
        </w:rPr>
        <w:t>remeasurements</w:t>
      </w:r>
      <w:proofErr w:type="spellEnd"/>
      <w:r w:rsidRPr="00A14A9A">
        <w:rPr>
          <w:rFonts w:asciiTheme="minorHAnsi" w:hAnsiTheme="minorHAnsi"/>
          <w:color w:val="auto"/>
          <w:sz w:val="22"/>
          <w:szCs w:val="22"/>
        </w:rPr>
        <w:t xml:space="preserve">” of the pension scheme liabilities and assets, offset, in part, by a </w:t>
      </w:r>
      <w:r>
        <w:rPr>
          <w:rFonts w:asciiTheme="minorHAnsi" w:hAnsiTheme="minorHAnsi"/>
          <w:color w:val="auto"/>
          <w:sz w:val="22"/>
          <w:szCs w:val="22"/>
        </w:rPr>
        <w:t>decreased</w:t>
      </w:r>
      <w:r w:rsidRPr="00A14A9A">
        <w:rPr>
          <w:rFonts w:asciiTheme="minorHAnsi" w:hAnsiTheme="minorHAnsi"/>
          <w:color w:val="auto"/>
          <w:sz w:val="22"/>
          <w:szCs w:val="22"/>
        </w:rPr>
        <w:t xml:space="preserve"> return on those assets</w:t>
      </w:r>
      <w:r>
        <w:rPr>
          <w:rFonts w:asciiTheme="minorHAnsi" w:hAnsiTheme="minorHAnsi"/>
          <w:color w:val="auto"/>
          <w:sz w:val="22"/>
          <w:szCs w:val="22"/>
        </w:rPr>
        <w:t xml:space="preserve"> compared to previous actuarial assessments</w:t>
      </w:r>
      <w:r w:rsidRPr="00A14A9A">
        <w:rPr>
          <w:rFonts w:asciiTheme="minorHAnsi" w:hAnsiTheme="minorHAnsi"/>
          <w:color w:val="auto"/>
          <w:sz w:val="22"/>
          <w:szCs w:val="22"/>
        </w:rPr>
        <w:t>.</w:t>
      </w:r>
    </w:p>
    <w:p w:rsidR="00203BAD" w:rsidRPr="0005794A" w:rsidRDefault="00203BAD" w:rsidP="00203BAD">
      <w:pPr>
        <w:pStyle w:val="BodyText"/>
        <w:widowControl w:val="0"/>
        <w:rPr>
          <w:rFonts w:asciiTheme="minorHAnsi" w:hAnsiTheme="minorHAnsi" w:cs="Arial"/>
          <w:color w:val="548DD4" w:themeColor="text2" w:themeTint="99"/>
          <w:sz w:val="22"/>
          <w:szCs w:val="22"/>
        </w:rPr>
      </w:pPr>
      <w:r w:rsidRPr="002D33D6">
        <w:rPr>
          <w:rFonts w:asciiTheme="minorHAnsi" w:hAnsiTheme="minorHAnsi" w:cs="Arial"/>
          <w:color w:val="auto"/>
          <w:sz w:val="22"/>
          <w:szCs w:val="22"/>
        </w:rPr>
        <w:t>In addition to the change in the pension liability described above</w:t>
      </w:r>
      <w:r w:rsidRPr="0005794A">
        <w:rPr>
          <w:rFonts w:asciiTheme="minorHAnsi" w:hAnsiTheme="minorHAnsi" w:cs="Arial"/>
          <w:color w:val="548DD4" w:themeColor="text2" w:themeTint="99"/>
          <w:sz w:val="22"/>
          <w:szCs w:val="22"/>
        </w:rPr>
        <w:t xml:space="preserve">, </w:t>
      </w:r>
      <w:r w:rsidRPr="00BA2261">
        <w:rPr>
          <w:rFonts w:asciiTheme="minorHAnsi" w:hAnsiTheme="minorHAnsi" w:cs="Arial"/>
          <w:color w:val="auto"/>
          <w:sz w:val="22"/>
          <w:szCs w:val="22"/>
        </w:rPr>
        <w:t>there were a number of other “unusual” costs within the income and expenditure account in 201</w:t>
      </w:r>
      <w:r>
        <w:rPr>
          <w:rFonts w:asciiTheme="minorHAnsi" w:hAnsiTheme="minorHAnsi" w:cs="Arial"/>
          <w:color w:val="auto"/>
          <w:sz w:val="22"/>
          <w:szCs w:val="22"/>
        </w:rPr>
        <w:t>7</w:t>
      </w:r>
      <w:r w:rsidRPr="00BA2261">
        <w:rPr>
          <w:rFonts w:asciiTheme="minorHAnsi" w:hAnsiTheme="minorHAnsi" w:cs="Arial"/>
          <w:color w:val="auto"/>
          <w:sz w:val="22"/>
          <w:szCs w:val="22"/>
        </w:rPr>
        <w:t>/1</w:t>
      </w:r>
      <w:r>
        <w:rPr>
          <w:rFonts w:asciiTheme="minorHAnsi" w:hAnsiTheme="minorHAnsi" w:cs="Arial"/>
          <w:color w:val="auto"/>
          <w:sz w:val="22"/>
          <w:szCs w:val="22"/>
        </w:rPr>
        <w:t>8</w:t>
      </w:r>
      <w:r w:rsidRPr="00BA2261">
        <w:rPr>
          <w:rFonts w:asciiTheme="minorHAnsi" w:hAnsiTheme="minorHAnsi" w:cs="Arial"/>
          <w:color w:val="auto"/>
          <w:sz w:val="22"/>
          <w:szCs w:val="22"/>
        </w:rPr>
        <w:t>. These include £0.3 million of costs in relation to a reduction of 33 staff (primarily as a result of the budget reductions); and, during the year, three schools converted to Academy status where the transfer for nil consideration</w:t>
      </w:r>
      <w:r w:rsidRPr="0005794A">
        <w:rPr>
          <w:rFonts w:asciiTheme="minorHAnsi" w:hAnsiTheme="minorHAnsi" w:cs="Arial"/>
          <w:color w:val="548DD4" w:themeColor="text2" w:themeTint="99"/>
          <w:sz w:val="22"/>
          <w:szCs w:val="22"/>
        </w:rPr>
        <w:t xml:space="preserve"> </w:t>
      </w:r>
      <w:r w:rsidRPr="004D0C2D">
        <w:rPr>
          <w:rFonts w:asciiTheme="minorHAnsi" w:hAnsiTheme="minorHAnsi" w:cs="Arial"/>
          <w:color w:val="auto"/>
          <w:sz w:val="22"/>
          <w:szCs w:val="22"/>
        </w:rPr>
        <w:t xml:space="preserve">resulted in a loss on disposal on those assets of approx. </w:t>
      </w:r>
      <w:r w:rsidR="00152B71">
        <w:rPr>
          <w:rFonts w:asciiTheme="minorHAnsi" w:hAnsiTheme="minorHAnsi" w:cs="Arial"/>
          <w:color w:val="auto"/>
          <w:sz w:val="22"/>
          <w:szCs w:val="22"/>
        </w:rPr>
        <w:t>£</w:t>
      </w:r>
      <w:r w:rsidR="004D0C2D" w:rsidRPr="004D0C2D">
        <w:rPr>
          <w:rFonts w:asciiTheme="minorHAnsi" w:hAnsiTheme="minorHAnsi" w:cs="Arial"/>
          <w:color w:val="auto"/>
          <w:sz w:val="22"/>
          <w:szCs w:val="22"/>
        </w:rPr>
        <w:t xml:space="preserve">7 </w:t>
      </w:r>
      <w:r w:rsidRPr="004D0C2D">
        <w:rPr>
          <w:rFonts w:asciiTheme="minorHAnsi" w:hAnsiTheme="minorHAnsi" w:cs="Arial"/>
          <w:color w:val="auto"/>
          <w:sz w:val="22"/>
          <w:szCs w:val="22"/>
        </w:rPr>
        <w:t>m.</w:t>
      </w:r>
    </w:p>
    <w:p w:rsidR="00203BAD" w:rsidRPr="00CD2A35" w:rsidRDefault="00203BAD" w:rsidP="00203BAD">
      <w:pPr>
        <w:pStyle w:val="BodyText"/>
        <w:widowControl w:val="0"/>
        <w:rPr>
          <w:rFonts w:asciiTheme="minorHAnsi" w:hAnsiTheme="minorHAnsi" w:cs="Arial"/>
          <w:color w:val="auto"/>
          <w:sz w:val="22"/>
          <w:szCs w:val="22"/>
          <w:u w:val="single"/>
        </w:rPr>
      </w:pPr>
      <w:r w:rsidRPr="00CD2A35">
        <w:rPr>
          <w:rFonts w:asciiTheme="minorHAnsi" w:hAnsiTheme="minorHAnsi" w:cs="Arial"/>
          <w:color w:val="auto"/>
          <w:sz w:val="22"/>
          <w:szCs w:val="22"/>
        </w:rPr>
        <w:t>There were no significant changes in Torbay’s economy compared to recent years.  Income levels on certain services such as planning remained low.  Collection rates on NNDR and Council Tax remained at similar levels to prior year levels. As conditions have remained constant there have been no material changes on the value of the Council’s property assets during the year.</w:t>
      </w:r>
    </w:p>
    <w:p w:rsidR="00203BAD" w:rsidRPr="006C6958" w:rsidRDefault="00203BAD" w:rsidP="00203BAD">
      <w:pPr>
        <w:pStyle w:val="BodyText"/>
        <w:widowControl w:val="0"/>
        <w:rPr>
          <w:rFonts w:asciiTheme="minorHAnsi" w:hAnsiTheme="minorHAnsi" w:cs="Arial"/>
          <w:color w:val="auto"/>
          <w:sz w:val="22"/>
          <w:szCs w:val="22"/>
        </w:rPr>
      </w:pPr>
      <w:r w:rsidRPr="006C6958">
        <w:rPr>
          <w:rFonts w:asciiTheme="minorHAnsi" w:hAnsiTheme="minorHAnsi" w:cs="Arial"/>
          <w:color w:val="auto"/>
          <w:sz w:val="22"/>
          <w:szCs w:val="22"/>
        </w:rPr>
        <w:t>For 2017/18 the only changes in accounting policies relevant to Torbay’s accounts is the fair value of the council’s companies are taken to be the historic cost of the shares.</w:t>
      </w:r>
    </w:p>
    <w:p w:rsidR="00203BAD" w:rsidRPr="0005794A" w:rsidRDefault="00203BAD" w:rsidP="00203BAD">
      <w:pPr>
        <w:pStyle w:val="BodyText"/>
        <w:widowControl w:val="0"/>
        <w:rPr>
          <w:rFonts w:asciiTheme="minorHAnsi" w:hAnsiTheme="minorHAnsi" w:cs="Arial"/>
          <w:color w:val="548DD4" w:themeColor="text2" w:themeTint="99"/>
          <w:sz w:val="22"/>
          <w:szCs w:val="22"/>
        </w:rPr>
      </w:pPr>
      <w:r w:rsidRPr="008724B5">
        <w:rPr>
          <w:rFonts w:asciiTheme="minorHAnsi" w:hAnsiTheme="minorHAnsi" w:cs="Arial"/>
          <w:color w:val="auto"/>
          <w:sz w:val="22"/>
          <w:szCs w:val="22"/>
        </w:rPr>
        <w:t xml:space="preserve">The Council’s </w:t>
      </w:r>
      <w:r w:rsidRPr="008724B5">
        <w:rPr>
          <w:rFonts w:asciiTheme="minorHAnsi" w:hAnsiTheme="minorHAnsi" w:cs="Arial"/>
          <w:color w:val="auto"/>
          <w:sz w:val="22"/>
          <w:szCs w:val="22"/>
          <w:u w:val="single"/>
        </w:rPr>
        <w:t>Comprehensive Income and Expenditure Statement</w:t>
      </w:r>
      <w:r w:rsidRPr="008724B5">
        <w:rPr>
          <w:rFonts w:asciiTheme="minorHAnsi" w:hAnsiTheme="minorHAnsi" w:cs="Arial"/>
          <w:color w:val="auto"/>
          <w:sz w:val="22"/>
          <w:szCs w:val="22"/>
        </w:rPr>
        <w:t xml:space="preserve"> (CIES) is the Councils income and expenditure presented on an IFRS basis. This includes earlier recognition of grants, based on conditions attached to the grant rather than matching the grant to expenditure and a number of “</w:t>
      </w:r>
      <w:proofErr w:type="spellStart"/>
      <w:r w:rsidRPr="008724B5">
        <w:rPr>
          <w:rFonts w:asciiTheme="minorHAnsi" w:hAnsiTheme="minorHAnsi" w:cs="Arial"/>
          <w:color w:val="auto"/>
          <w:sz w:val="22"/>
          <w:szCs w:val="22"/>
        </w:rPr>
        <w:t>non cash</w:t>
      </w:r>
      <w:proofErr w:type="spellEnd"/>
      <w:r w:rsidRPr="008724B5">
        <w:rPr>
          <w:rFonts w:asciiTheme="minorHAnsi" w:hAnsiTheme="minorHAnsi" w:cs="Arial"/>
          <w:color w:val="auto"/>
          <w:sz w:val="22"/>
          <w:szCs w:val="22"/>
        </w:rPr>
        <w:t xml:space="preserve">” items such as depreciation and pension assumptions, which should then allow the Council’s accounts to be comparable to other sector </w:t>
      </w:r>
      <w:r w:rsidRPr="00725643">
        <w:rPr>
          <w:rFonts w:asciiTheme="minorHAnsi" w:hAnsiTheme="minorHAnsi" w:cs="Arial"/>
          <w:color w:val="auto"/>
          <w:sz w:val="22"/>
          <w:szCs w:val="22"/>
        </w:rPr>
        <w:t>accounts. The total for the Provision of Services for 201</w:t>
      </w:r>
      <w:r w:rsidR="00725643" w:rsidRPr="00725643">
        <w:rPr>
          <w:rFonts w:asciiTheme="minorHAnsi" w:hAnsiTheme="minorHAnsi" w:cs="Arial"/>
          <w:color w:val="auto"/>
          <w:sz w:val="22"/>
          <w:szCs w:val="22"/>
        </w:rPr>
        <w:t>7</w:t>
      </w:r>
      <w:r w:rsidRPr="00725643">
        <w:rPr>
          <w:rFonts w:asciiTheme="minorHAnsi" w:hAnsiTheme="minorHAnsi" w:cs="Arial"/>
          <w:color w:val="auto"/>
          <w:sz w:val="22"/>
          <w:szCs w:val="22"/>
        </w:rPr>
        <w:t>/1</w:t>
      </w:r>
      <w:r w:rsidR="00725643" w:rsidRPr="00725643">
        <w:rPr>
          <w:rFonts w:asciiTheme="minorHAnsi" w:hAnsiTheme="minorHAnsi" w:cs="Arial"/>
          <w:color w:val="auto"/>
          <w:sz w:val="22"/>
          <w:szCs w:val="22"/>
        </w:rPr>
        <w:t>8</w:t>
      </w:r>
      <w:r w:rsidRPr="00725643">
        <w:rPr>
          <w:rFonts w:asciiTheme="minorHAnsi" w:hAnsiTheme="minorHAnsi" w:cs="Arial"/>
          <w:color w:val="auto"/>
          <w:sz w:val="22"/>
          <w:szCs w:val="22"/>
        </w:rPr>
        <w:t xml:space="preserve"> is a deficit of £</w:t>
      </w:r>
      <w:r w:rsidR="00152B71">
        <w:rPr>
          <w:rFonts w:asciiTheme="minorHAnsi" w:hAnsiTheme="minorHAnsi" w:cs="Arial"/>
          <w:color w:val="auto"/>
          <w:sz w:val="22"/>
          <w:szCs w:val="22"/>
        </w:rPr>
        <w:t>26</w:t>
      </w:r>
      <w:r w:rsidRPr="00725643">
        <w:rPr>
          <w:rFonts w:asciiTheme="minorHAnsi" w:hAnsiTheme="minorHAnsi" w:cs="Arial"/>
          <w:color w:val="auto"/>
          <w:sz w:val="22"/>
          <w:szCs w:val="22"/>
        </w:rPr>
        <w:t>m</w:t>
      </w:r>
      <w:r w:rsidR="00725643" w:rsidRPr="00725643">
        <w:rPr>
          <w:rFonts w:asciiTheme="minorHAnsi" w:hAnsiTheme="minorHAnsi" w:cs="Arial"/>
          <w:color w:val="auto"/>
          <w:sz w:val="22"/>
          <w:szCs w:val="22"/>
        </w:rPr>
        <w:t xml:space="preserve"> (£11m 16/17)</w:t>
      </w:r>
      <w:r w:rsidRPr="00725643">
        <w:rPr>
          <w:rFonts w:asciiTheme="minorHAnsi" w:hAnsiTheme="minorHAnsi" w:cs="Arial"/>
          <w:color w:val="auto"/>
          <w:sz w:val="22"/>
          <w:szCs w:val="22"/>
        </w:rPr>
        <w:t>. The key reaso</w:t>
      </w:r>
      <w:r w:rsidRPr="0093699D">
        <w:rPr>
          <w:rFonts w:asciiTheme="minorHAnsi" w:hAnsiTheme="minorHAnsi" w:cs="Arial"/>
          <w:color w:val="auto"/>
          <w:sz w:val="22"/>
          <w:szCs w:val="22"/>
        </w:rPr>
        <w:t>ns for this deficit is a loss on asset disposals of £7m arising from the transfer of schools from the Council to become Academy schools combined</w:t>
      </w:r>
      <w:r w:rsidRPr="0005794A">
        <w:rPr>
          <w:rFonts w:asciiTheme="minorHAnsi" w:hAnsiTheme="minorHAnsi" w:cs="Arial"/>
          <w:color w:val="548DD4" w:themeColor="text2" w:themeTint="99"/>
          <w:sz w:val="22"/>
          <w:szCs w:val="22"/>
        </w:rPr>
        <w:t xml:space="preserve"> </w:t>
      </w:r>
      <w:r w:rsidRPr="001852D1">
        <w:rPr>
          <w:rFonts w:asciiTheme="minorHAnsi" w:hAnsiTheme="minorHAnsi" w:cs="Arial"/>
          <w:color w:val="auto"/>
          <w:sz w:val="22"/>
          <w:szCs w:val="22"/>
        </w:rPr>
        <w:t>with depreciation and impairment charges of £</w:t>
      </w:r>
      <w:r w:rsidR="00152B71">
        <w:rPr>
          <w:rFonts w:asciiTheme="minorHAnsi" w:hAnsiTheme="minorHAnsi" w:cs="Arial"/>
          <w:color w:val="auto"/>
          <w:sz w:val="22"/>
          <w:szCs w:val="22"/>
        </w:rPr>
        <w:t>21</w:t>
      </w:r>
      <w:r w:rsidRPr="001852D1">
        <w:rPr>
          <w:rFonts w:asciiTheme="minorHAnsi" w:hAnsiTheme="minorHAnsi" w:cs="Arial"/>
          <w:color w:val="auto"/>
          <w:sz w:val="22"/>
          <w:szCs w:val="22"/>
        </w:rPr>
        <w:t>m.</w:t>
      </w:r>
    </w:p>
    <w:p w:rsidR="00203BAD" w:rsidRPr="0005794A" w:rsidRDefault="00203BAD" w:rsidP="00203BAD">
      <w:pPr>
        <w:pStyle w:val="BodyText"/>
        <w:widowControl w:val="0"/>
        <w:rPr>
          <w:rFonts w:asciiTheme="minorHAnsi" w:hAnsiTheme="minorHAnsi" w:cs="Arial"/>
          <w:color w:val="548DD4" w:themeColor="text2" w:themeTint="99"/>
          <w:sz w:val="22"/>
          <w:szCs w:val="22"/>
        </w:rPr>
      </w:pPr>
      <w:r w:rsidRPr="00224377">
        <w:rPr>
          <w:rFonts w:asciiTheme="minorHAnsi" w:hAnsiTheme="minorHAnsi" w:cs="Arial"/>
          <w:color w:val="auto"/>
          <w:sz w:val="22"/>
          <w:szCs w:val="22"/>
        </w:rPr>
        <w:t xml:space="preserve">The total from the Comprehensive Income and Expenditure statement is reflected in the </w:t>
      </w:r>
      <w:r w:rsidRPr="00224377">
        <w:rPr>
          <w:rFonts w:asciiTheme="minorHAnsi" w:hAnsiTheme="minorHAnsi" w:cs="Arial"/>
          <w:color w:val="auto"/>
          <w:sz w:val="22"/>
          <w:szCs w:val="22"/>
          <w:u w:val="single"/>
        </w:rPr>
        <w:t xml:space="preserve">Movement of Reserves statement </w:t>
      </w:r>
      <w:r w:rsidRPr="00224377">
        <w:rPr>
          <w:rFonts w:asciiTheme="minorHAnsi" w:hAnsiTheme="minorHAnsi" w:cs="Arial"/>
          <w:color w:val="auto"/>
          <w:sz w:val="22"/>
          <w:szCs w:val="22"/>
        </w:rPr>
        <w:t>which then adds the impact of any reserve movements to usable reserves and unusable reserves to get to the “bottom</w:t>
      </w:r>
      <w:r>
        <w:rPr>
          <w:rFonts w:asciiTheme="minorHAnsi" w:hAnsiTheme="minorHAnsi" w:cs="Arial"/>
          <w:color w:val="auto"/>
          <w:sz w:val="22"/>
          <w:szCs w:val="22"/>
        </w:rPr>
        <w:t xml:space="preserve"> line” Council position for 2017/18</w:t>
      </w:r>
      <w:r w:rsidRPr="00224377">
        <w:rPr>
          <w:rFonts w:asciiTheme="minorHAnsi" w:hAnsiTheme="minorHAnsi" w:cs="Arial"/>
          <w:color w:val="auto"/>
          <w:sz w:val="22"/>
          <w:szCs w:val="22"/>
        </w:rPr>
        <w:t>.</w:t>
      </w:r>
      <w:r w:rsidRPr="0005794A">
        <w:rPr>
          <w:rFonts w:asciiTheme="minorHAnsi" w:hAnsiTheme="minorHAnsi" w:cs="Arial"/>
          <w:color w:val="548DD4" w:themeColor="text2" w:themeTint="99"/>
          <w:sz w:val="22"/>
          <w:szCs w:val="22"/>
        </w:rPr>
        <w:t xml:space="preserve"> </w:t>
      </w:r>
      <w:r w:rsidRPr="008724B5">
        <w:rPr>
          <w:rFonts w:asciiTheme="minorHAnsi" w:hAnsiTheme="minorHAnsi" w:cs="Arial"/>
          <w:color w:val="auto"/>
          <w:sz w:val="22"/>
          <w:szCs w:val="22"/>
        </w:rPr>
        <w:t>Within this is the reversal of a number of accounting entries made under IFRS that appear in the Council’s Comprehensive Income and Expenditure statement such as depreciation and pension assumptions, which are allowed, under statute, to be reversed to ensure that these entries do not have a “cash” impact on the Council Tax payer. After these adjustments the Council’s net outturn for the year was a break even position, which matches the Council’s management financial reporting</w:t>
      </w:r>
      <w:r w:rsidRPr="00C458DE">
        <w:rPr>
          <w:rFonts w:asciiTheme="minorHAnsi" w:hAnsiTheme="minorHAnsi" w:cs="Arial"/>
          <w:color w:val="auto"/>
          <w:sz w:val="22"/>
          <w:szCs w:val="22"/>
        </w:rPr>
        <w:t xml:space="preserve"> position. This statement shows that the Council’s usable reserves had a net increase of £4.</w:t>
      </w:r>
      <w:r w:rsidR="009A0DF6">
        <w:rPr>
          <w:rFonts w:asciiTheme="minorHAnsi" w:hAnsiTheme="minorHAnsi" w:cs="Arial"/>
          <w:color w:val="auto"/>
          <w:sz w:val="22"/>
          <w:szCs w:val="22"/>
        </w:rPr>
        <w:t>7</w:t>
      </w:r>
      <w:r w:rsidRPr="00C458DE">
        <w:rPr>
          <w:rFonts w:asciiTheme="minorHAnsi" w:hAnsiTheme="minorHAnsi" w:cs="Arial"/>
          <w:color w:val="auto"/>
          <w:sz w:val="22"/>
          <w:szCs w:val="22"/>
        </w:rPr>
        <w:t>m. This was primarily an increase of £2.</w:t>
      </w:r>
      <w:r w:rsidR="009A0DF6">
        <w:rPr>
          <w:rFonts w:asciiTheme="minorHAnsi" w:hAnsiTheme="minorHAnsi" w:cs="Arial"/>
          <w:color w:val="auto"/>
          <w:sz w:val="22"/>
          <w:szCs w:val="22"/>
        </w:rPr>
        <w:t>6</w:t>
      </w:r>
      <w:r w:rsidRPr="00C458DE">
        <w:rPr>
          <w:rFonts w:asciiTheme="minorHAnsi" w:hAnsiTheme="minorHAnsi" w:cs="Arial"/>
          <w:color w:val="auto"/>
          <w:sz w:val="22"/>
          <w:szCs w:val="22"/>
        </w:rPr>
        <w:t>m from capital grants and capital receipts to fund capital expenditure in future years and a net increase in earmarked revenue reserves of £</w:t>
      </w:r>
      <w:r w:rsidR="001852D1">
        <w:rPr>
          <w:rFonts w:asciiTheme="minorHAnsi" w:hAnsiTheme="minorHAnsi" w:cs="Arial"/>
          <w:color w:val="auto"/>
          <w:sz w:val="22"/>
          <w:szCs w:val="22"/>
        </w:rPr>
        <w:t>2.1</w:t>
      </w:r>
      <w:r w:rsidRPr="00C458DE">
        <w:rPr>
          <w:rFonts w:asciiTheme="minorHAnsi" w:hAnsiTheme="minorHAnsi" w:cs="Arial"/>
          <w:color w:val="auto"/>
          <w:sz w:val="22"/>
          <w:szCs w:val="22"/>
        </w:rPr>
        <w:t>m linked in part to new reserves associated with the Council’s Investment properties.</w:t>
      </w:r>
    </w:p>
    <w:p w:rsidR="00203BAD" w:rsidRPr="0005794A" w:rsidRDefault="00203BAD" w:rsidP="00203BAD">
      <w:pPr>
        <w:pStyle w:val="BodyText"/>
        <w:widowControl w:val="0"/>
        <w:rPr>
          <w:rFonts w:asciiTheme="minorHAnsi" w:hAnsiTheme="minorHAnsi" w:cs="Arial"/>
          <w:color w:val="548DD4" w:themeColor="text2" w:themeTint="99"/>
          <w:sz w:val="22"/>
          <w:szCs w:val="22"/>
        </w:rPr>
      </w:pPr>
      <w:r w:rsidRPr="008D1A4A">
        <w:rPr>
          <w:rFonts w:asciiTheme="minorHAnsi" w:hAnsiTheme="minorHAnsi" w:cs="Arial"/>
          <w:color w:val="auto"/>
          <w:sz w:val="22"/>
          <w:szCs w:val="22"/>
        </w:rPr>
        <w:t xml:space="preserve">On the </w:t>
      </w:r>
      <w:r w:rsidRPr="008D1A4A">
        <w:rPr>
          <w:rFonts w:asciiTheme="minorHAnsi" w:hAnsiTheme="minorHAnsi" w:cs="Arial"/>
          <w:color w:val="auto"/>
          <w:sz w:val="22"/>
          <w:szCs w:val="22"/>
          <w:u w:val="single"/>
        </w:rPr>
        <w:t>balance sheet</w:t>
      </w:r>
      <w:r w:rsidRPr="008D1A4A">
        <w:rPr>
          <w:rFonts w:asciiTheme="minorHAnsi" w:hAnsiTheme="minorHAnsi" w:cs="Arial"/>
          <w:color w:val="auto"/>
          <w:sz w:val="22"/>
          <w:szCs w:val="22"/>
        </w:rPr>
        <w:t xml:space="preserve"> there were some significant changes in year. There was a net increase of £</w:t>
      </w:r>
      <w:r w:rsidR="00D56DAF">
        <w:rPr>
          <w:rFonts w:asciiTheme="minorHAnsi" w:hAnsiTheme="minorHAnsi" w:cs="Arial"/>
          <w:color w:val="auto"/>
          <w:sz w:val="22"/>
          <w:szCs w:val="22"/>
        </w:rPr>
        <w:t>9</w:t>
      </w:r>
      <w:r w:rsidR="00D71AA9">
        <w:rPr>
          <w:rFonts w:asciiTheme="minorHAnsi" w:hAnsiTheme="minorHAnsi" w:cs="Arial"/>
          <w:color w:val="auto"/>
          <w:sz w:val="22"/>
          <w:szCs w:val="22"/>
        </w:rPr>
        <w:t>1</w:t>
      </w:r>
      <w:r w:rsidRPr="008D1A4A">
        <w:rPr>
          <w:rFonts w:asciiTheme="minorHAnsi" w:hAnsiTheme="minorHAnsi" w:cs="Arial"/>
          <w:color w:val="auto"/>
          <w:sz w:val="22"/>
          <w:szCs w:val="22"/>
        </w:rPr>
        <w:t xml:space="preserve"> million in the carrying value of the Council's property, plant and equipment, heritage assets </w:t>
      </w:r>
      <w:r w:rsidR="00D71AA9">
        <w:rPr>
          <w:rFonts w:asciiTheme="minorHAnsi" w:hAnsiTheme="minorHAnsi" w:cs="Arial"/>
          <w:color w:val="auto"/>
          <w:sz w:val="22"/>
          <w:szCs w:val="22"/>
        </w:rPr>
        <w:t xml:space="preserve">and </w:t>
      </w:r>
      <w:r w:rsidRPr="008D1A4A">
        <w:rPr>
          <w:rFonts w:asciiTheme="minorHAnsi" w:hAnsiTheme="minorHAnsi" w:cs="Arial"/>
          <w:color w:val="auto"/>
          <w:sz w:val="22"/>
          <w:szCs w:val="22"/>
        </w:rPr>
        <w:t>investment properties</w:t>
      </w:r>
      <w:r w:rsidRPr="0093699D">
        <w:rPr>
          <w:rFonts w:asciiTheme="minorHAnsi" w:hAnsiTheme="minorHAnsi" w:cs="Arial"/>
          <w:color w:val="auto"/>
          <w:sz w:val="22"/>
          <w:szCs w:val="22"/>
        </w:rPr>
        <w:t xml:space="preserve">. </w:t>
      </w:r>
      <w:r w:rsidR="00D71AA9">
        <w:rPr>
          <w:rFonts w:asciiTheme="minorHAnsi" w:hAnsiTheme="minorHAnsi" w:cs="Arial"/>
          <w:color w:val="auto"/>
          <w:sz w:val="22"/>
          <w:szCs w:val="22"/>
        </w:rPr>
        <w:t>In particular there was a £90 million net increase from investment property purchases.</w:t>
      </w:r>
      <w:r w:rsidRPr="0093699D">
        <w:rPr>
          <w:rFonts w:asciiTheme="minorHAnsi" w:hAnsiTheme="minorHAnsi" w:cs="Arial"/>
          <w:color w:val="auto"/>
          <w:sz w:val="22"/>
          <w:szCs w:val="22"/>
        </w:rPr>
        <w:t xml:space="preserve"> </w:t>
      </w:r>
      <w:r w:rsidR="00D71AA9">
        <w:rPr>
          <w:rFonts w:asciiTheme="minorHAnsi" w:hAnsiTheme="minorHAnsi" w:cs="Arial"/>
          <w:color w:val="auto"/>
          <w:sz w:val="22"/>
          <w:szCs w:val="22"/>
        </w:rPr>
        <w:t xml:space="preserve">There was also </w:t>
      </w:r>
      <w:r w:rsidRPr="0093699D">
        <w:rPr>
          <w:rFonts w:asciiTheme="minorHAnsi" w:hAnsiTheme="minorHAnsi" w:cs="Arial"/>
          <w:color w:val="auto"/>
          <w:sz w:val="22"/>
          <w:szCs w:val="22"/>
        </w:rPr>
        <w:t>a reduction in the value of the Council’s property assets related to the transfer of three schools to academy status of £7 million.  Any</w:t>
      </w:r>
      <w:r w:rsidRPr="008D1A4A">
        <w:rPr>
          <w:rFonts w:asciiTheme="minorHAnsi" w:hAnsiTheme="minorHAnsi" w:cs="Arial"/>
          <w:color w:val="auto"/>
          <w:sz w:val="22"/>
          <w:szCs w:val="22"/>
        </w:rPr>
        <w:t xml:space="preserve"> borrowing or other liability associated with capital expenditure on these assets in previous years remains with the Council.  There was a £16 million decrease in the Council’s </w:t>
      </w:r>
      <w:r w:rsidRPr="002D33D6">
        <w:rPr>
          <w:rFonts w:asciiTheme="minorHAnsi" w:hAnsiTheme="minorHAnsi" w:cs="Arial"/>
          <w:color w:val="auto"/>
          <w:sz w:val="22"/>
          <w:szCs w:val="22"/>
        </w:rPr>
        <w:t xml:space="preserve">pension liability primarily arising from changes in actuarial assumptions used to calculate the liability.  The Council’s General Fund reserve remained at £4.6 </w:t>
      </w:r>
      <w:r w:rsidRPr="002D33D6">
        <w:rPr>
          <w:rFonts w:asciiTheme="minorHAnsi" w:hAnsiTheme="minorHAnsi" w:cs="Arial"/>
          <w:color w:val="auto"/>
          <w:sz w:val="22"/>
          <w:szCs w:val="22"/>
        </w:rPr>
        <w:lastRenderedPageBreak/>
        <w:t>million, which is equivalent to 4.2% of the Council’s 2018/19 net revenue budget which is considered to be close to a prudent level.</w:t>
      </w:r>
    </w:p>
    <w:p w:rsidR="00203BAD" w:rsidRPr="00065367" w:rsidRDefault="00203BAD" w:rsidP="00203BAD">
      <w:pPr>
        <w:pStyle w:val="BodyText"/>
        <w:widowControl w:val="0"/>
        <w:rPr>
          <w:rFonts w:asciiTheme="minorHAnsi" w:hAnsiTheme="minorHAnsi" w:cs="Arial"/>
          <w:color w:val="auto"/>
          <w:sz w:val="22"/>
          <w:szCs w:val="22"/>
        </w:rPr>
      </w:pPr>
      <w:r w:rsidRPr="00065367">
        <w:rPr>
          <w:rFonts w:asciiTheme="minorHAnsi" w:hAnsiTheme="minorHAnsi" w:cs="Arial"/>
          <w:color w:val="auto"/>
          <w:sz w:val="22"/>
          <w:szCs w:val="22"/>
        </w:rPr>
        <w:t>Overall the Council’s net assets were higher than the previous year by £</w:t>
      </w:r>
      <w:r w:rsidR="00926139">
        <w:rPr>
          <w:rFonts w:asciiTheme="minorHAnsi" w:hAnsiTheme="minorHAnsi" w:cs="Arial"/>
          <w:color w:val="auto"/>
          <w:sz w:val="22"/>
          <w:szCs w:val="22"/>
        </w:rPr>
        <w:t>13.1</w:t>
      </w:r>
      <w:r w:rsidRPr="00065367">
        <w:rPr>
          <w:rFonts w:asciiTheme="minorHAnsi" w:hAnsiTheme="minorHAnsi" w:cs="Arial"/>
          <w:color w:val="auto"/>
          <w:sz w:val="22"/>
          <w:szCs w:val="22"/>
        </w:rPr>
        <w:t>m resulting in a net worth of £</w:t>
      </w:r>
      <w:r w:rsidR="00926139">
        <w:rPr>
          <w:rFonts w:asciiTheme="minorHAnsi" w:hAnsiTheme="minorHAnsi" w:cs="Arial"/>
          <w:color w:val="auto"/>
          <w:sz w:val="22"/>
          <w:szCs w:val="22"/>
        </w:rPr>
        <w:t>3.5</w:t>
      </w:r>
      <w:r w:rsidRPr="00065367">
        <w:rPr>
          <w:rFonts w:asciiTheme="minorHAnsi" w:hAnsiTheme="minorHAnsi" w:cs="Arial"/>
          <w:color w:val="auto"/>
          <w:sz w:val="22"/>
          <w:szCs w:val="22"/>
        </w:rPr>
        <w:t xml:space="preserve"> million</w:t>
      </w:r>
      <w:r>
        <w:rPr>
          <w:rFonts w:asciiTheme="minorHAnsi" w:hAnsiTheme="minorHAnsi" w:cs="Arial"/>
          <w:color w:val="auto"/>
          <w:sz w:val="22"/>
          <w:szCs w:val="22"/>
        </w:rPr>
        <w:t xml:space="preserve"> compared to a negative £</w:t>
      </w:r>
      <w:r w:rsidR="00926139">
        <w:rPr>
          <w:rFonts w:asciiTheme="minorHAnsi" w:hAnsiTheme="minorHAnsi" w:cs="Arial"/>
          <w:color w:val="auto"/>
          <w:sz w:val="22"/>
          <w:szCs w:val="22"/>
        </w:rPr>
        <w:t>9.6</w:t>
      </w:r>
      <w:r>
        <w:rPr>
          <w:rFonts w:asciiTheme="minorHAnsi" w:hAnsiTheme="minorHAnsi" w:cs="Arial"/>
          <w:color w:val="auto"/>
          <w:sz w:val="22"/>
          <w:szCs w:val="22"/>
        </w:rPr>
        <w:t>m in 2016/17</w:t>
      </w:r>
      <w:r w:rsidRPr="00065367">
        <w:rPr>
          <w:rFonts w:asciiTheme="minorHAnsi" w:hAnsiTheme="minorHAnsi" w:cs="Arial"/>
          <w:color w:val="auto"/>
          <w:sz w:val="22"/>
          <w:szCs w:val="22"/>
        </w:rPr>
        <w:t>.</w:t>
      </w:r>
      <w:r>
        <w:rPr>
          <w:rFonts w:asciiTheme="minorHAnsi" w:hAnsiTheme="minorHAnsi" w:cs="Arial"/>
          <w:color w:val="auto"/>
          <w:sz w:val="22"/>
          <w:szCs w:val="22"/>
        </w:rPr>
        <w:t xml:space="preserve"> Of the increase £16m related to </w:t>
      </w:r>
      <w:r w:rsidR="00823805">
        <w:rPr>
          <w:rFonts w:asciiTheme="minorHAnsi" w:hAnsiTheme="minorHAnsi" w:cs="Arial"/>
          <w:color w:val="auto"/>
          <w:sz w:val="22"/>
          <w:szCs w:val="22"/>
        </w:rPr>
        <w:t>the</w:t>
      </w:r>
      <w:r>
        <w:rPr>
          <w:rFonts w:asciiTheme="minorHAnsi" w:hAnsiTheme="minorHAnsi" w:cs="Arial"/>
          <w:color w:val="auto"/>
          <w:sz w:val="22"/>
          <w:szCs w:val="22"/>
        </w:rPr>
        <w:t xml:space="preserve"> net reduction in the Council’s pension liability.</w:t>
      </w:r>
    </w:p>
    <w:p w:rsidR="00203BAD" w:rsidRPr="008724B5" w:rsidRDefault="00203BAD" w:rsidP="00203BAD">
      <w:pPr>
        <w:autoSpaceDE w:val="0"/>
        <w:autoSpaceDN w:val="0"/>
        <w:adjustRightInd w:val="0"/>
        <w:spacing w:after="0" w:line="240" w:lineRule="auto"/>
        <w:rPr>
          <w:rFonts w:asciiTheme="minorHAnsi" w:hAnsiTheme="minorHAnsi" w:cs="Arial"/>
          <w:color w:val="auto"/>
          <w:sz w:val="22"/>
          <w:szCs w:val="22"/>
        </w:rPr>
      </w:pPr>
      <w:r w:rsidRPr="0033604B">
        <w:rPr>
          <w:rFonts w:asciiTheme="minorHAnsi" w:hAnsiTheme="minorHAnsi" w:cs="Arial"/>
          <w:color w:val="auto"/>
          <w:sz w:val="22"/>
          <w:szCs w:val="22"/>
        </w:rPr>
        <w:t>Torbay, like a number of other councils, ha</w:t>
      </w:r>
      <w:r w:rsidR="00926139">
        <w:rPr>
          <w:rFonts w:asciiTheme="minorHAnsi" w:hAnsiTheme="minorHAnsi" w:cs="Arial"/>
          <w:color w:val="auto"/>
          <w:sz w:val="22"/>
          <w:szCs w:val="22"/>
        </w:rPr>
        <w:t xml:space="preserve">s a </w:t>
      </w:r>
      <w:r w:rsidR="00823805">
        <w:rPr>
          <w:rFonts w:asciiTheme="minorHAnsi" w:hAnsiTheme="minorHAnsi" w:cs="Arial"/>
          <w:color w:val="auto"/>
          <w:sz w:val="22"/>
          <w:szCs w:val="22"/>
        </w:rPr>
        <w:t>low, (or as in the previous year</w:t>
      </w:r>
      <w:r w:rsidR="00926139">
        <w:rPr>
          <w:rFonts w:asciiTheme="minorHAnsi" w:hAnsiTheme="minorHAnsi" w:cs="Arial"/>
          <w:color w:val="auto"/>
          <w:sz w:val="22"/>
          <w:szCs w:val="22"/>
        </w:rPr>
        <w:t xml:space="preserve"> a </w:t>
      </w:r>
      <w:r w:rsidRPr="0033604B">
        <w:rPr>
          <w:rFonts w:asciiTheme="minorHAnsi" w:hAnsiTheme="minorHAnsi" w:cs="Arial"/>
          <w:color w:val="auto"/>
          <w:sz w:val="22"/>
          <w:szCs w:val="22"/>
        </w:rPr>
        <w:t>negative</w:t>
      </w:r>
      <w:r w:rsidR="00823805">
        <w:rPr>
          <w:rFonts w:asciiTheme="minorHAnsi" w:hAnsiTheme="minorHAnsi" w:cs="Arial"/>
          <w:color w:val="auto"/>
          <w:sz w:val="22"/>
          <w:szCs w:val="22"/>
        </w:rPr>
        <w:t>),</w:t>
      </w:r>
      <w:r w:rsidRPr="0033604B">
        <w:rPr>
          <w:rFonts w:asciiTheme="minorHAnsi" w:hAnsiTheme="minorHAnsi" w:cs="Arial"/>
          <w:color w:val="auto"/>
          <w:sz w:val="22"/>
          <w:szCs w:val="22"/>
        </w:rPr>
        <w:t xml:space="preserve"> net worth position primarily as a result of the pension liability.</w:t>
      </w:r>
      <w:r w:rsidRPr="0005794A">
        <w:rPr>
          <w:rFonts w:asciiTheme="minorHAnsi" w:hAnsiTheme="minorHAnsi" w:cs="Arial"/>
          <w:color w:val="548DD4" w:themeColor="text2" w:themeTint="99"/>
          <w:sz w:val="22"/>
          <w:szCs w:val="22"/>
        </w:rPr>
        <w:t xml:space="preserve"> </w:t>
      </w:r>
      <w:r w:rsidRPr="008724B5">
        <w:rPr>
          <w:rFonts w:asciiTheme="minorHAnsi" w:hAnsiTheme="minorHAnsi" w:cs="Arial"/>
          <w:color w:val="auto"/>
          <w:sz w:val="22"/>
          <w:szCs w:val="22"/>
        </w:rPr>
        <w:t>This doesn't mean Torbay is not a going concern. Councils are required to operate within the framework set out in the Local Government Acts and Torbay will continue to budget for a positive General Fund balance, but is not required to maintain a positive net worth.  (When a Council has a negative net worth, this indicates that future taxpayers (whether through Council Tax or indirectly through government grants) will be funding some of the cost of providing services in the past.)</w:t>
      </w:r>
    </w:p>
    <w:p w:rsidR="00203BAD" w:rsidRPr="0005794A" w:rsidRDefault="00203BAD" w:rsidP="00203BAD">
      <w:pPr>
        <w:pStyle w:val="Default"/>
        <w:rPr>
          <w:rFonts w:asciiTheme="minorHAnsi" w:eastAsia="Arial" w:hAnsiTheme="minorHAnsi" w:cs="Arial"/>
          <w:color w:val="548DD4" w:themeColor="text2" w:themeTint="99"/>
          <w:sz w:val="22"/>
          <w:szCs w:val="22"/>
          <w:lang w:eastAsia="en-US"/>
        </w:rPr>
      </w:pPr>
    </w:p>
    <w:p w:rsidR="00203BAD" w:rsidRPr="008724B5" w:rsidRDefault="00203BAD" w:rsidP="00203BAD">
      <w:pPr>
        <w:pStyle w:val="Default"/>
        <w:rPr>
          <w:rFonts w:asciiTheme="minorHAnsi" w:eastAsia="Arial" w:hAnsiTheme="minorHAnsi" w:cs="Arial"/>
          <w:color w:val="auto"/>
          <w:sz w:val="22"/>
          <w:szCs w:val="22"/>
          <w:lang w:eastAsia="en-US"/>
        </w:rPr>
      </w:pPr>
      <w:r w:rsidRPr="0033604B">
        <w:rPr>
          <w:rFonts w:asciiTheme="minorHAnsi" w:eastAsia="Arial" w:hAnsiTheme="minorHAnsi" w:cs="Arial"/>
          <w:color w:val="auto"/>
          <w:sz w:val="22"/>
          <w:szCs w:val="22"/>
          <w:lang w:eastAsia="en-US"/>
        </w:rPr>
        <w:t xml:space="preserve">Although it may appear that a low net worth is a concern, it is </w:t>
      </w:r>
      <w:r w:rsidRPr="00CC578B">
        <w:rPr>
          <w:rFonts w:asciiTheme="minorHAnsi" w:eastAsia="Arial" w:hAnsiTheme="minorHAnsi" w:cs="Arial"/>
          <w:color w:val="auto"/>
          <w:sz w:val="22"/>
          <w:szCs w:val="22"/>
          <w:lang w:eastAsia="en-US"/>
        </w:rPr>
        <w:t xml:space="preserve">not as </w:t>
      </w:r>
      <w:r w:rsidRPr="008724B5">
        <w:rPr>
          <w:rFonts w:asciiTheme="minorHAnsi" w:eastAsia="Arial" w:hAnsiTheme="minorHAnsi" w:cs="Arial"/>
          <w:color w:val="auto"/>
          <w:sz w:val="22"/>
          <w:szCs w:val="22"/>
          <w:lang w:eastAsia="en-US"/>
        </w:rPr>
        <w:t xml:space="preserve">the Pension Liability of £186m does not represent an immediate call on the Authority's reserves and is a snap-shot valuation in time based on assumptions. The true value of the deficit is assessed on a triennial basis with contribution rates set to recover the balance over the longer-term. This 'snapshot' approach to valuing the pension deficit is very volatile as the changes in the value of liability over the past few years in the Council’s accounts has illustrated. </w:t>
      </w:r>
    </w:p>
    <w:p w:rsidR="00203BAD" w:rsidRPr="0005794A" w:rsidRDefault="00203BAD" w:rsidP="00203BAD">
      <w:pPr>
        <w:autoSpaceDE w:val="0"/>
        <w:autoSpaceDN w:val="0"/>
        <w:adjustRightInd w:val="0"/>
        <w:spacing w:after="0" w:line="240" w:lineRule="auto"/>
        <w:rPr>
          <w:rFonts w:asciiTheme="minorHAnsi" w:hAnsiTheme="minorHAnsi" w:cs="Arial"/>
          <w:color w:val="548DD4" w:themeColor="text2" w:themeTint="99"/>
          <w:sz w:val="22"/>
          <w:szCs w:val="22"/>
        </w:rPr>
      </w:pPr>
    </w:p>
    <w:p w:rsidR="00203BAD" w:rsidRPr="008724B5" w:rsidRDefault="00203BAD" w:rsidP="00203BAD">
      <w:pPr>
        <w:autoSpaceDE w:val="0"/>
        <w:autoSpaceDN w:val="0"/>
        <w:adjustRightInd w:val="0"/>
        <w:spacing w:after="0" w:line="240" w:lineRule="auto"/>
        <w:rPr>
          <w:rFonts w:asciiTheme="minorHAnsi" w:hAnsiTheme="minorHAnsi" w:cs="Arial"/>
          <w:color w:val="auto"/>
          <w:sz w:val="22"/>
          <w:szCs w:val="22"/>
        </w:rPr>
      </w:pPr>
      <w:r w:rsidRPr="008724B5">
        <w:rPr>
          <w:rFonts w:asciiTheme="minorHAnsi" w:hAnsiTheme="minorHAnsi" w:cs="Arial"/>
          <w:color w:val="auto"/>
          <w:sz w:val="22"/>
          <w:szCs w:val="22"/>
        </w:rPr>
        <w:t>In terms of the Council as a going concern, it is expected that future cash flows, aligned with</w:t>
      </w:r>
      <w:r w:rsidRPr="0005794A">
        <w:rPr>
          <w:rFonts w:asciiTheme="minorHAnsi" w:hAnsiTheme="minorHAnsi" w:cs="Arial"/>
          <w:color w:val="548DD4" w:themeColor="text2" w:themeTint="99"/>
          <w:sz w:val="22"/>
          <w:szCs w:val="22"/>
        </w:rPr>
        <w:t xml:space="preserve"> </w:t>
      </w:r>
      <w:r w:rsidRPr="008724B5">
        <w:rPr>
          <w:rFonts w:asciiTheme="minorHAnsi" w:hAnsiTheme="minorHAnsi" w:cs="Arial"/>
          <w:color w:val="auto"/>
          <w:sz w:val="22"/>
          <w:szCs w:val="22"/>
        </w:rPr>
        <w:t>authority’s budget processes, will provide sufficient resources to finance future liabilities</w:t>
      </w:r>
      <w:r w:rsidR="00073929">
        <w:rPr>
          <w:rFonts w:asciiTheme="minorHAnsi" w:hAnsiTheme="minorHAnsi" w:cs="Arial"/>
          <w:color w:val="auto"/>
          <w:sz w:val="22"/>
          <w:szCs w:val="22"/>
        </w:rPr>
        <w:t xml:space="preserve"> as they fall due</w:t>
      </w:r>
      <w:r w:rsidRPr="008724B5">
        <w:rPr>
          <w:rFonts w:asciiTheme="minorHAnsi" w:hAnsiTheme="minorHAnsi" w:cs="Arial"/>
          <w:color w:val="auto"/>
          <w:sz w:val="22"/>
          <w:szCs w:val="22"/>
        </w:rPr>
        <w:t>.</w:t>
      </w:r>
    </w:p>
    <w:p w:rsidR="00203BAD" w:rsidRPr="0005794A" w:rsidRDefault="00203BAD" w:rsidP="00203BAD">
      <w:pPr>
        <w:autoSpaceDE w:val="0"/>
        <w:autoSpaceDN w:val="0"/>
        <w:adjustRightInd w:val="0"/>
        <w:spacing w:after="0" w:line="240" w:lineRule="auto"/>
        <w:rPr>
          <w:rFonts w:asciiTheme="minorHAnsi" w:hAnsiTheme="minorHAnsi" w:cs="Arial"/>
          <w:color w:val="548DD4" w:themeColor="text2" w:themeTint="99"/>
          <w:sz w:val="22"/>
          <w:szCs w:val="22"/>
        </w:rPr>
      </w:pPr>
    </w:p>
    <w:p w:rsidR="00203BAD" w:rsidRPr="00B80C2B" w:rsidRDefault="00203BAD" w:rsidP="00203BAD">
      <w:pPr>
        <w:pStyle w:val="BodyText"/>
        <w:widowControl w:val="0"/>
        <w:rPr>
          <w:rFonts w:asciiTheme="minorHAnsi" w:hAnsiTheme="minorHAnsi" w:cs="Arial"/>
          <w:color w:val="auto"/>
          <w:sz w:val="22"/>
          <w:szCs w:val="22"/>
          <w:u w:val="single"/>
        </w:rPr>
      </w:pPr>
      <w:r w:rsidRPr="00B80C2B">
        <w:rPr>
          <w:rFonts w:asciiTheme="minorHAnsi" w:hAnsiTheme="minorHAnsi" w:cs="Arial"/>
          <w:color w:val="auto"/>
          <w:sz w:val="22"/>
          <w:szCs w:val="22"/>
          <w:u w:val="single"/>
        </w:rPr>
        <w:t>Forward Financial look</w:t>
      </w:r>
    </w:p>
    <w:p w:rsidR="00203BAD" w:rsidRPr="00501431" w:rsidRDefault="00203BAD" w:rsidP="00203BAD">
      <w:pPr>
        <w:pStyle w:val="BodyText"/>
        <w:widowControl w:val="0"/>
        <w:rPr>
          <w:rFonts w:asciiTheme="minorHAnsi" w:hAnsiTheme="minorHAnsi" w:cs="Arial"/>
          <w:color w:val="auto"/>
          <w:sz w:val="22"/>
          <w:szCs w:val="22"/>
        </w:rPr>
      </w:pPr>
      <w:r w:rsidRPr="00B80C2B">
        <w:rPr>
          <w:rFonts w:asciiTheme="minorHAnsi" w:hAnsiTheme="minorHAnsi" w:cs="Arial"/>
          <w:color w:val="auto"/>
          <w:sz w:val="22"/>
          <w:szCs w:val="22"/>
        </w:rPr>
        <w:t xml:space="preserve">The Council has a rolling three year Medium Term Resource Plan which supports service planning for future years.  </w:t>
      </w:r>
      <w:r>
        <w:rPr>
          <w:rFonts w:asciiTheme="minorHAnsi" w:hAnsiTheme="minorHAnsi" w:cs="Arial"/>
          <w:color w:val="auto"/>
          <w:sz w:val="22"/>
          <w:szCs w:val="22"/>
        </w:rPr>
        <w:t>T</w:t>
      </w:r>
      <w:r w:rsidRPr="00B80C2B">
        <w:rPr>
          <w:rFonts w:asciiTheme="minorHAnsi" w:hAnsiTheme="minorHAnsi" w:cs="Arial"/>
          <w:color w:val="auto"/>
          <w:sz w:val="22"/>
          <w:szCs w:val="22"/>
        </w:rPr>
        <w:t xml:space="preserve">he Government has provided details of its Revenue Support Grant to the Council until 2019/2020 which </w:t>
      </w:r>
      <w:r w:rsidRPr="00B80C2B">
        <w:rPr>
          <w:rFonts w:asciiTheme="minorHAnsi" w:hAnsiTheme="minorHAnsi"/>
          <w:color w:val="auto"/>
          <w:sz w:val="22"/>
          <w:szCs w:val="22"/>
        </w:rPr>
        <w:t>allow</w:t>
      </w:r>
      <w:r>
        <w:rPr>
          <w:rFonts w:asciiTheme="minorHAnsi" w:hAnsiTheme="minorHAnsi"/>
          <w:color w:val="auto"/>
          <w:sz w:val="22"/>
          <w:szCs w:val="22"/>
        </w:rPr>
        <w:t>s</w:t>
      </w:r>
      <w:r w:rsidRPr="00B80C2B">
        <w:rPr>
          <w:rFonts w:asciiTheme="minorHAnsi" w:hAnsiTheme="minorHAnsi"/>
          <w:color w:val="auto"/>
          <w:sz w:val="22"/>
          <w:szCs w:val="22"/>
        </w:rPr>
        <w:t xml:space="preserve"> the Council to be able to plan</w:t>
      </w:r>
      <w:r>
        <w:rPr>
          <w:rFonts w:asciiTheme="minorHAnsi" w:hAnsiTheme="minorHAnsi"/>
          <w:color w:val="auto"/>
          <w:sz w:val="22"/>
          <w:szCs w:val="22"/>
        </w:rPr>
        <w:t xml:space="preserve"> until then </w:t>
      </w:r>
      <w:r w:rsidRPr="00B80C2B">
        <w:rPr>
          <w:rFonts w:asciiTheme="minorHAnsi" w:hAnsiTheme="minorHAnsi"/>
          <w:color w:val="auto"/>
          <w:sz w:val="22"/>
          <w:szCs w:val="22"/>
        </w:rPr>
        <w:t xml:space="preserve">with some certainty </w:t>
      </w:r>
      <w:r>
        <w:rPr>
          <w:rFonts w:asciiTheme="minorHAnsi" w:hAnsiTheme="minorHAnsi"/>
          <w:color w:val="auto"/>
          <w:sz w:val="22"/>
          <w:szCs w:val="22"/>
        </w:rPr>
        <w:t xml:space="preserve">as </w:t>
      </w:r>
      <w:r w:rsidRPr="00B80C2B">
        <w:rPr>
          <w:rFonts w:asciiTheme="minorHAnsi" w:hAnsiTheme="minorHAnsi"/>
          <w:color w:val="auto"/>
          <w:sz w:val="22"/>
          <w:szCs w:val="22"/>
        </w:rPr>
        <w:t xml:space="preserve">its </w:t>
      </w:r>
      <w:r>
        <w:rPr>
          <w:rFonts w:asciiTheme="minorHAnsi" w:hAnsiTheme="minorHAnsi"/>
          <w:color w:val="auto"/>
          <w:sz w:val="22"/>
          <w:szCs w:val="22"/>
        </w:rPr>
        <w:t>g</w:t>
      </w:r>
      <w:r w:rsidRPr="00B80C2B">
        <w:rPr>
          <w:rFonts w:asciiTheme="minorHAnsi" w:hAnsiTheme="minorHAnsi"/>
          <w:color w:val="auto"/>
          <w:sz w:val="22"/>
          <w:szCs w:val="22"/>
        </w:rPr>
        <w:t xml:space="preserve">rant reduces. </w:t>
      </w:r>
      <w:r>
        <w:rPr>
          <w:rFonts w:asciiTheme="minorHAnsi" w:hAnsiTheme="minorHAnsi"/>
          <w:color w:val="auto"/>
          <w:sz w:val="22"/>
          <w:szCs w:val="22"/>
        </w:rPr>
        <w:t>However i</w:t>
      </w:r>
      <w:r w:rsidRPr="00501431">
        <w:rPr>
          <w:rFonts w:asciiTheme="minorHAnsi" w:hAnsiTheme="minorHAnsi" w:cs="Arial"/>
          <w:color w:val="auto"/>
          <w:sz w:val="22"/>
          <w:szCs w:val="22"/>
        </w:rPr>
        <w:t>t is uncertain what the Council</w:t>
      </w:r>
      <w:r>
        <w:rPr>
          <w:rFonts w:asciiTheme="minorHAnsi" w:hAnsiTheme="minorHAnsi" w:cs="Arial"/>
          <w:color w:val="auto"/>
          <w:sz w:val="22"/>
          <w:szCs w:val="22"/>
        </w:rPr>
        <w:t>’</w:t>
      </w:r>
      <w:r w:rsidRPr="00501431">
        <w:rPr>
          <w:rFonts w:asciiTheme="minorHAnsi" w:hAnsiTheme="minorHAnsi" w:cs="Arial"/>
          <w:color w:val="auto"/>
          <w:sz w:val="22"/>
          <w:szCs w:val="22"/>
        </w:rPr>
        <w:t>s funding will be from 2020/21 onwards. 2019 is the date of the next national Spending Review which will allocate the total central government funding</w:t>
      </w:r>
      <w:r>
        <w:rPr>
          <w:rFonts w:asciiTheme="minorHAnsi" w:hAnsiTheme="minorHAnsi" w:cs="Arial"/>
          <w:color w:val="auto"/>
          <w:sz w:val="22"/>
          <w:szCs w:val="22"/>
        </w:rPr>
        <w:t xml:space="preserve"> allocation</w:t>
      </w:r>
      <w:r w:rsidRPr="00501431">
        <w:rPr>
          <w:rFonts w:asciiTheme="minorHAnsi" w:hAnsiTheme="minorHAnsi" w:cs="Arial"/>
          <w:color w:val="auto"/>
          <w:sz w:val="22"/>
          <w:szCs w:val="22"/>
        </w:rPr>
        <w:t xml:space="preserve"> for local government. In 2020/21 MHCLG intend to introduce a new funding formula to allocate the total funding between councils. In addition MHCLG intend to introduce a 75% NNDR rete</w:t>
      </w:r>
      <w:r>
        <w:rPr>
          <w:rFonts w:asciiTheme="minorHAnsi" w:hAnsiTheme="minorHAnsi" w:cs="Arial"/>
          <w:color w:val="auto"/>
          <w:sz w:val="22"/>
          <w:szCs w:val="22"/>
        </w:rPr>
        <w:t>ntion system in which local Councils</w:t>
      </w:r>
      <w:r w:rsidRPr="00501431">
        <w:rPr>
          <w:rFonts w:asciiTheme="minorHAnsi" w:hAnsiTheme="minorHAnsi" w:cs="Arial"/>
          <w:color w:val="auto"/>
          <w:sz w:val="22"/>
          <w:szCs w:val="22"/>
        </w:rPr>
        <w:t xml:space="preserve"> bear 75% of the risks/reward of changes in local NNDR income.</w:t>
      </w:r>
    </w:p>
    <w:p w:rsidR="00203BAD" w:rsidRPr="00B80C2B" w:rsidRDefault="00203BAD" w:rsidP="00203BAD">
      <w:pPr>
        <w:pStyle w:val="BodyText"/>
        <w:widowControl w:val="0"/>
        <w:rPr>
          <w:rFonts w:asciiTheme="minorHAnsi" w:hAnsiTheme="minorHAnsi" w:cs="Arial"/>
          <w:color w:val="auto"/>
          <w:sz w:val="22"/>
          <w:szCs w:val="22"/>
        </w:rPr>
      </w:pPr>
      <w:r>
        <w:rPr>
          <w:rFonts w:asciiTheme="minorHAnsi" w:hAnsiTheme="minorHAnsi" w:cs="Arial"/>
          <w:color w:val="auto"/>
          <w:sz w:val="22"/>
          <w:szCs w:val="22"/>
        </w:rPr>
        <w:t>T</w:t>
      </w:r>
      <w:r w:rsidRPr="00B80C2B">
        <w:rPr>
          <w:rFonts w:asciiTheme="minorHAnsi" w:hAnsiTheme="minorHAnsi" w:cs="Arial"/>
          <w:color w:val="auto"/>
          <w:sz w:val="22"/>
          <w:szCs w:val="22"/>
        </w:rPr>
        <w:t>he Medium Term Resource Plan provides details of the number of significant issues that are impacting on the Council, its finances and its service delivery:</w:t>
      </w:r>
    </w:p>
    <w:p w:rsidR="00203BAD" w:rsidRPr="009A4ED5"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9A4ED5">
        <w:rPr>
          <w:rFonts w:asciiTheme="minorHAnsi" w:hAnsiTheme="minorHAnsi" w:cs="Arial"/>
          <w:color w:val="auto"/>
          <w:sz w:val="22"/>
          <w:szCs w:val="22"/>
        </w:rPr>
        <w:t>Significant reductions in the Council’s Revenue Support Grant</w:t>
      </w:r>
      <w:r>
        <w:rPr>
          <w:rFonts w:asciiTheme="minorHAnsi" w:hAnsiTheme="minorHAnsi" w:cs="Arial"/>
          <w:color w:val="auto"/>
          <w:sz w:val="22"/>
          <w:szCs w:val="22"/>
        </w:rPr>
        <w:t xml:space="preserve"> to 2019/20 and in future years depending on the impact of the national Spending Review 2019</w:t>
      </w:r>
      <w:r w:rsidRPr="009A4ED5">
        <w:rPr>
          <w:rFonts w:asciiTheme="minorHAnsi" w:hAnsiTheme="minorHAnsi" w:cs="Arial"/>
          <w:color w:val="auto"/>
          <w:sz w:val="22"/>
          <w:szCs w:val="22"/>
        </w:rPr>
        <w:t xml:space="preserve">. </w:t>
      </w:r>
    </w:p>
    <w:p w:rsidR="00203BAD" w:rsidRPr="009A4ED5"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Pr>
          <w:rFonts w:asciiTheme="minorHAnsi" w:hAnsiTheme="minorHAnsi" w:cs="Arial"/>
          <w:color w:val="auto"/>
          <w:sz w:val="22"/>
          <w:szCs w:val="22"/>
        </w:rPr>
        <w:t>Ongoing impact of the Living Wage on Council staff and service providers</w:t>
      </w:r>
    </w:p>
    <w:p w:rsidR="00203BAD" w:rsidRPr="009A4ED5"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9A4ED5">
        <w:rPr>
          <w:rFonts w:asciiTheme="minorHAnsi" w:hAnsiTheme="minorHAnsi"/>
          <w:color w:val="auto"/>
          <w:sz w:val="22"/>
          <w:szCs w:val="22"/>
        </w:rPr>
        <w:t>6</w:t>
      </w:r>
      <w:r>
        <w:rPr>
          <w:rFonts w:asciiTheme="minorHAnsi" w:hAnsiTheme="minorHAnsi"/>
          <w:color w:val="auto"/>
          <w:sz w:val="22"/>
          <w:szCs w:val="22"/>
        </w:rPr>
        <w:t>5</w:t>
      </w:r>
      <w:r w:rsidRPr="009A4ED5">
        <w:rPr>
          <w:rFonts w:asciiTheme="minorHAnsi" w:hAnsiTheme="minorHAnsi"/>
          <w:color w:val="auto"/>
          <w:sz w:val="22"/>
          <w:szCs w:val="22"/>
        </w:rPr>
        <w:t>% of Council net budget is allocated to social care leading to an immense challenge to set robust budgets which enable the Council to provide its statutory services</w:t>
      </w:r>
    </w:p>
    <w:p w:rsidR="00203BAD" w:rsidRPr="009A4ED5"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9A4ED5">
        <w:rPr>
          <w:rFonts w:asciiTheme="minorHAnsi" w:hAnsiTheme="minorHAnsi"/>
          <w:color w:val="auto"/>
          <w:sz w:val="22"/>
          <w:szCs w:val="22"/>
        </w:rPr>
        <w:t>Children’s Services from April 2018 are in a contractual partnership with Plymouth City Council.</w:t>
      </w:r>
    </w:p>
    <w:p w:rsidR="00203BAD" w:rsidRPr="009A4ED5"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9A4ED5">
        <w:rPr>
          <w:rFonts w:asciiTheme="minorHAnsi" w:hAnsiTheme="minorHAnsi"/>
          <w:color w:val="auto"/>
          <w:sz w:val="22"/>
          <w:szCs w:val="22"/>
        </w:rPr>
        <w:lastRenderedPageBreak/>
        <w:t xml:space="preserve">Government reviews, such as a review of national funding distribution between councils and review of school funding, will lead to a very challenging and uncertain period for local government. </w:t>
      </w:r>
    </w:p>
    <w:p w:rsidR="00203BAD" w:rsidRPr="009A4ED5"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9A4ED5">
        <w:rPr>
          <w:rFonts w:asciiTheme="minorHAnsi" w:hAnsiTheme="minorHAnsi"/>
          <w:color w:val="auto"/>
          <w:sz w:val="22"/>
          <w:szCs w:val="22"/>
        </w:rPr>
        <w:t>The government intention to allow councils to keep 75% of National Non Domestic Rates (NNDR) income (likely to be from April 2020) and consequent reductions in other grant funding such as the Public Health Grant.</w:t>
      </w:r>
    </w:p>
    <w:p w:rsidR="00203BAD" w:rsidRPr="009A4ED5"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9A4ED5">
        <w:rPr>
          <w:rFonts w:asciiTheme="minorHAnsi" w:hAnsiTheme="minorHAnsi"/>
          <w:color w:val="auto"/>
          <w:sz w:val="22"/>
          <w:szCs w:val="22"/>
        </w:rPr>
        <w:t xml:space="preserve">By 2020, it is likely that Torbay Council will be primarily reliant on Council Tax and NNDR income for its funding meaning that there is a risk of potential variations in income but also a very strong incentive to plan for and achieve tax base growth in both these areas. </w:t>
      </w:r>
    </w:p>
    <w:p w:rsidR="00203BAD" w:rsidRPr="009A4ED5"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9A4ED5">
        <w:rPr>
          <w:rFonts w:asciiTheme="minorHAnsi" w:hAnsiTheme="minorHAnsi" w:cs="Arial"/>
          <w:color w:val="auto"/>
          <w:sz w:val="22"/>
          <w:szCs w:val="22"/>
        </w:rPr>
        <w:t>The current Risk Share Agreement to support the integrated d</w:t>
      </w:r>
      <w:r>
        <w:rPr>
          <w:rFonts w:asciiTheme="minorHAnsi" w:hAnsiTheme="minorHAnsi" w:cs="Arial"/>
          <w:color w:val="auto"/>
          <w:sz w:val="22"/>
          <w:szCs w:val="22"/>
        </w:rPr>
        <w:t>elivery</w:t>
      </w:r>
      <w:r w:rsidRPr="009A4ED5">
        <w:rPr>
          <w:rFonts w:asciiTheme="minorHAnsi" w:hAnsiTheme="minorHAnsi" w:cs="Arial"/>
          <w:color w:val="auto"/>
          <w:sz w:val="22"/>
          <w:szCs w:val="22"/>
        </w:rPr>
        <w:t xml:space="preserve"> of he</w:t>
      </w:r>
      <w:r>
        <w:rPr>
          <w:rFonts w:asciiTheme="minorHAnsi" w:hAnsiTheme="minorHAnsi" w:cs="Arial"/>
          <w:color w:val="auto"/>
          <w:sz w:val="22"/>
          <w:szCs w:val="22"/>
        </w:rPr>
        <w:t>alth</w:t>
      </w:r>
      <w:r w:rsidRPr="009A4ED5">
        <w:rPr>
          <w:rFonts w:asciiTheme="minorHAnsi" w:hAnsiTheme="minorHAnsi" w:cs="Arial"/>
          <w:color w:val="auto"/>
          <w:sz w:val="22"/>
          <w:szCs w:val="22"/>
        </w:rPr>
        <w:t xml:space="preserve"> and so</w:t>
      </w:r>
      <w:r>
        <w:rPr>
          <w:rFonts w:asciiTheme="minorHAnsi" w:hAnsiTheme="minorHAnsi" w:cs="Arial"/>
          <w:color w:val="auto"/>
          <w:sz w:val="22"/>
          <w:szCs w:val="22"/>
        </w:rPr>
        <w:t>cial</w:t>
      </w:r>
      <w:r w:rsidRPr="009A4ED5">
        <w:rPr>
          <w:rFonts w:asciiTheme="minorHAnsi" w:hAnsiTheme="minorHAnsi" w:cs="Arial"/>
          <w:color w:val="auto"/>
          <w:sz w:val="22"/>
          <w:szCs w:val="22"/>
        </w:rPr>
        <w:t xml:space="preserve"> care expires in October 2020. </w:t>
      </w:r>
    </w:p>
    <w:p w:rsidR="00203BAD" w:rsidRPr="00DB5663"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DB5663">
        <w:rPr>
          <w:rFonts w:asciiTheme="minorHAnsi" w:hAnsiTheme="minorHAnsi" w:cs="Arial"/>
          <w:color w:val="auto"/>
          <w:sz w:val="22"/>
          <w:szCs w:val="22"/>
        </w:rPr>
        <w:t xml:space="preserve">Central Government have now recognised, in part, the pressures for adult social care and, in addition to the Council Tax flexibilities, have announced more funding for adult social care via the Improved Better care Fund. This funding has only been announced until 2019/20. </w:t>
      </w:r>
    </w:p>
    <w:p w:rsidR="00203BAD" w:rsidRPr="002A7A2C"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AA368F">
        <w:rPr>
          <w:rFonts w:asciiTheme="minorHAnsi" w:hAnsiTheme="minorHAnsi"/>
          <w:color w:val="auto"/>
          <w:sz w:val="22"/>
          <w:szCs w:val="22"/>
        </w:rPr>
        <w:t>Whilst t</w:t>
      </w:r>
      <w:r w:rsidRPr="00AA368F">
        <w:rPr>
          <w:rFonts w:asciiTheme="minorHAnsi" w:hAnsiTheme="minorHAnsi" w:cs="Arial"/>
          <w:color w:val="auto"/>
          <w:sz w:val="22"/>
          <w:szCs w:val="22"/>
        </w:rPr>
        <w:t>here is evidence of some economic recovery within Torbay, it is likely that the UK economy will continue to experience a reduction in economic growth, linked in part to the world economy. As a result, demand for some council services will increase along with increased volatility of some income streams such as NNDR income – this will become an increasing risk as Council reliance on these income streams increases.</w:t>
      </w:r>
    </w:p>
    <w:p w:rsidR="00203BAD" w:rsidRPr="00AA368F"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Pr>
          <w:rFonts w:asciiTheme="minorHAnsi" w:hAnsiTheme="minorHAnsi" w:cs="Arial"/>
          <w:color w:val="auto"/>
          <w:sz w:val="22"/>
          <w:szCs w:val="22"/>
        </w:rPr>
        <w:t>Impact on the Council and its residents from the “roll out” of Universal credit in Torbay during 2018/19.</w:t>
      </w:r>
    </w:p>
    <w:p w:rsidR="00203BAD" w:rsidRPr="009A4ED5"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9A4ED5">
        <w:rPr>
          <w:rFonts w:asciiTheme="minorHAnsi" w:hAnsiTheme="minorHAnsi" w:cs="Arial"/>
          <w:color w:val="auto"/>
          <w:sz w:val="22"/>
          <w:szCs w:val="22"/>
        </w:rPr>
        <w:t xml:space="preserve">Ongoing impact of the demographic trends within Torbay, such as an increasing demand for adult social care and, in particular, for children’s social care plus changes in pupil numbers throughout the area increasing demand for school places. </w:t>
      </w:r>
    </w:p>
    <w:p w:rsidR="00203BAD" w:rsidRPr="009A4ED5" w:rsidRDefault="00203BAD" w:rsidP="00203BAD">
      <w:pPr>
        <w:pStyle w:val="BodyText"/>
        <w:widowControl w:val="0"/>
        <w:numPr>
          <w:ilvl w:val="0"/>
          <w:numId w:val="36"/>
        </w:numPr>
        <w:autoSpaceDE w:val="0"/>
        <w:autoSpaceDN w:val="0"/>
        <w:adjustRightInd w:val="0"/>
        <w:rPr>
          <w:rFonts w:asciiTheme="minorHAnsi" w:hAnsiTheme="minorHAnsi"/>
          <w:color w:val="auto"/>
          <w:sz w:val="22"/>
          <w:szCs w:val="22"/>
        </w:rPr>
      </w:pPr>
      <w:r w:rsidRPr="009A4ED5">
        <w:rPr>
          <w:rFonts w:asciiTheme="minorHAnsi" w:hAnsiTheme="minorHAnsi" w:cs="Arial"/>
          <w:color w:val="auto"/>
          <w:sz w:val="22"/>
          <w:szCs w:val="22"/>
        </w:rPr>
        <w:t xml:space="preserve">The impact on the UK and the Council of the decision to “leave” the European Union is unclear at present although there is likely to be period of economic and political uncertainly which could impact on future Council funding and income.  </w:t>
      </w:r>
    </w:p>
    <w:p w:rsidR="00203BAD" w:rsidRPr="0005794A" w:rsidRDefault="00203BAD" w:rsidP="00203BAD">
      <w:pPr>
        <w:pStyle w:val="BodyText"/>
        <w:widowControl w:val="0"/>
        <w:rPr>
          <w:rFonts w:asciiTheme="minorHAnsi" w:hAnsiTheme="minorHAnsi" w:cs="Arial"/>
          <w:color w:val="548DD4" w:themeColor="text2" w:themeTint="99"/>
          <w:sz w:val="22"/>
          <w:szCs w:val="22"/>
        </w:rPr>
      </w:pPr>
      <w:r w:rsidRPr="00B80C2B">
        <w:rPr>
          <w:rFonts w:asciiTheme="minorHAnsi" w:hAnsiTheme="minorHAnsi" w:cs="Arial"/>
          <w:color w:val="auto"/>
          <w:sz w:val="22"/>
          <w:szCs w:val="22"/>
        </w:rPr>
        <w:t xml:space="preserve">The combination of significantly reducing funding and rising demand is a major challenge for the Council as, to achieve the savings required, there will be a major impact on the quantity and quality of services the Council will be able to provide in the future.  The forecast level of savings required to achieve a balanced budget for 2019/20 to 2021/22 is £15 </w:t>
      </w:r>
      <w:r w:rsidRPr="00A412B7">
        <w:rPr>
          <w:rFonts w:asciiTheme="minorHAnsi" w:hAnsiTheme="minorHAnsi" w:cs="Arial"/>
          <w:color w:val="auto"/>
          <w:sz w:val="22"/>
          <w:szCs w:val="22"/>
        </w:rPr>
        <w:t xml:space="preserve">million. This is in addition to the £7 million of savings </w:t>
      </w:r>
      <w:r>
        <w:rPr>
          <w:rFonts w:asciiTheme="minorHAnsi" w:hAnsiTheme="minorHAnsi" w:cs="Arial"/>
          <w:color w:val="auto"/>
          <w:sz w:val="22"/>
          <w:szCs w:val="22"/>
        </w:rPr>
        <w:t xml:space="preserve">and income </w:t>
      </w:r>
      <w:r w:rsidRPr="00A412B7">
        <w:rPr>
          <w:rFonts w:asciiTheme="minorHAnsi" w:hAnsiTheme="minorHAnsi" w:cs="Arial"/>
          <w:color w:val="auto"/>
          <w:sz w:val="22"/>
          <w:szCs w:val="22"/>
        </w:rPr>
        <w:t>required to balance the 2018/19 revenue budget.</w:t>
      </w:r>
    </w:p>
    <w:p w:rsidR="00203BAD" w:rsidRDefault="00203BAD" w:rsidP="00203BAD">
      <w:pPr>
        <w:pStyle w:val="BodyText"/>
        <w:widowControl w:val="0"/>
        <w:rPr>
          <w:rFonts w:asciiTheme="minorHAnsi" w:hAnsiTheme="minorHAnsi" w:cs="Arial"/>
          <w:color w:val="auto"/>
          <w:sz w:val="22"/>
          <w:szCs w:val="22"/>
        </w:rPr>
      </w:pPr>
      <w:r w:rsidRPr="00A412B7">
        <w:rPr>
          <w:rFonts w:asciiTheme="minorHAnsi" w:hAnsiTheme="minorHAnsi" w:cs="Arial"/>
          <w:color w:val="auto"/>
          <w:sz w:val="22"/>
          <w:szCs w:val="22"/>
        </w:rPr>
        <w:t xml:space="preserve">The reductions required under the </w:t>
      </w:r>
      <w:r>
        <w:rPr>
          <w:rFonts w:asciiTheme="minorHAnsi" w:hAnsiTheme="minorHAnsi" w:cs="Arial"/>
          <w:color w:val="auto"/>
          <w:sz w:val="22"/>
          <w:szCs w:val="22"/>
        </w:rPr>
        <w:t xml:space="preserve">ongoing </w:t>
      </w:r>
      <w:r w:rsidRPr="00A412B7">
        <w:rPr>
          <w:rFonts w:asciiTheme="minorHAnsi" w:hAnsiTheme="minorHAnsi" w:cs="Arial"/>
          <w:color w:val="auto"/>
          <w:sz w:val="22"/>
          <w:szCs w:val="22"/>
        </w:rPr>
        <w:t>“Austerity” agenda will inevitably impact on the range of services provided and how these services are provided in the future.  The Medium Term Resource Plan provides a summary of projected revenue income and expenditure for the next three financial years.</w:t>
      </w:r>
    </w:p>
    <w:p w:rsidR="00FC1EDD" w:rsidRDefault="00FC1EDD" w:rsidP="00203BAD">
      <w:pPr>
        <w:pStyle w:val="BodyText"/>
        <w:widowControl w:val="0"/>
        <w:rPr>
          <w:rFonts w:asciiTheme="minorHAnsi" w:hAnsiTheme="minorHAnsi" w:cs="Arial"/>
          <w:color w:val="auto"/>
          <w:sz w:val="22"/>
          <w:szCs w:val="22"/>
        </w:rPr>
      </w:pPr>
    </w:p>
    <w:p w:rsidR="00FC1EDD" w:rsidRPr="00A412B7" w:rsidRDefault="00FC1EDD" w:rsidP="00203BAD">
      <w:pPr>
        <w:pStyle w:val="BodyText"/>
        <w:widowControl w:val="0"/>
        <w:rPr>
          <w:rFonts w:asciiTheme="minorHAnsi" w:hAnsiTheme="minorHAnsi" w:cs="Arial"/>
          <w:color w:val="auto"/>
          <w:sz w:val="22"/>
          <w:szCs w:val="22"/>
        </w:rPr>
      </w:pPr>
    </w:p>
    <w:tbl>
      <w:tblPr>
        <w:tblStyle w:val="ListTable4-Accent51"/>
        <w:tblW w:w="9134"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1E0" w:firstRow="1" w:lastRow="1" w:firstColumn="1" w:lastColumn="1" w:noHBand="0" w:noVBand="0"/>
      </w:tblPr>
      <w:tblGrid>
        <w:gridCol w:w="4978"/>
        <w:gridCol w:w="980"/>
        <w:gridCol w:w="1097"/>
        <w:gridCol w:w="982"/>
        <w:gridCol w:w="1097"/>
      </w:tblGrid>
      <w:tr w:rsidR="00203BAD" w:rsidRPr="0005794A" w:rsidTr="002C155D">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978" w:type="dxa"/>
          </w:tcPr>
          <w:p w:rsidR="00203BAD" w:rsidRPr="00DE67FC" w:rsidRDefault="00203BAD" w:rsidP="002C155D">
            <w:pPr>
              <w:spacing w:after="0" w:line="240" w:lineRule="auto"/>
              <w:rPr>
                <w:rFonts w:asciiTheme="minorHAnsi" w:hAnsiTheme="minorHAnsi" w:cs="Arial"/>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980" w:type="dxa"/>
          </w:tcPr>
          <w:p w:rsidR="00203BAD" w:rsidRPr="00DE67FC" w:rsidRDefault="00203BAD" w:rsidP="002C155D">
            <w:pPr>
              <w:spacing w:after="0" w:line="240" w:lineRule="auto"/>
              <w:jc w:val="center"/>
              <w:rPr>
                <w:rFonts w:asciiTheme="minorHAnsi" w:hAnsiTheme="minorHAnsi" w:cs="Arial"/>
                <w:color w:val="auto"/>
                <w:sz w:val="22"/>
                <w:szCs w:val="22"/>
              </w:rPr>
            </w:pPr>
            <w:r w:rsidRPr="00DE67FC">
              <w:rPr>
                <w:rFonts w:asciiTheme="minorHAnsi" w:hAnsiTheme="minorHAnsi" w:cs="Arial"/>
                <w:color w:val="auto"/>
                <w:sz w:val="22"/>
                <w:szCs w:val="22"/>
              </w:rPr>
              <w:t>2018/19</w:t>
            </w:r>
          </w:p>
          <w:p w:rsidR="00203BAD" w:rsidRPr="00DE67FC" w:rsidRDefault="00203BAD" w:rsidP="002C155D">
            <w:pPr>
              <w:spacing w:after="0" w:line="240" w:lineRule="auto"/>
              <w:jc w:val="center"/>
              <w:rPr>
                <w:rFonts w:asciiTheme="minorHAnsi" w:hAnsiTheme="minorHAnsi" w:cs="Arial"/>
                <w:color w:val="auto"/>
                <w:sz w:val="22"/>
                <w:szCs w:val="22"/>
              </w:rPr>
            </w:pPr>
            <w:r w:rsidRPr="00DE67FC">
              <w:rPr>
                <w:rFonts w:asciiTheme="minorHAnsi" w:hAnsiTheme="minorHAnsi" w:cs="Arial"/>
                <w:color w:val="auto"/>
                <w:sz w:val="22"/>
                <w:szCs w:val="22"/>
              </w:rPr>
              <w:t>£m</w:t>
            </w:r>
          </w:p>
        </w:tc>
        <w:tc>
          <w:tcPr>
            <w:tcW w:w="1097" w:type="dxa"/>
          </w:tcPr>
          <w:p w:rsidR="00203BAD" w:rsidRPr="00DE67FC" w:rsidRDefault="00203BAD" w:rsidP="002C15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DE67FC">
              <w:rPr>
                <w:rFonts w:asciiTheme="minorHAnsi" w:hAnsiTheme="minorHAnsi" w:cs="Arial"/>
                <w:color w:val="auto"/>
                <w:sz w:val="22"/>
                <w:szCs w:val="22"/>
              </w:rPr>
              <w:t>2019/20</w:t>
            </w:r>
          </w:p>
          <w:p w:rsidR="00203BAD" w:rsidRPr="00DE67FC" w:rsidRDefault="00203BAD" w:rsidP="002C155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DE67FC">
              <w:rPr>
                <w:rFonts w:asciiTheme="minorHAnsi" w:hAnsiTheme="minorHAnsi" w:cs="Arial"/>
                <w:color w:val="auto"/>
                <w:sz w:val="22"/>
                <w:szCs w:val="22"/>
              </w:rPr>
              <w:t>£m</w:t>
            </w:r>
          </w:p>
        </w:tc>
        <w:tc>
          <w:tcPr>
            <w:cnfStyle w:val="000010000000" w:firstRow="0" w:lastRow="0" w:firstColumn="0" w:lastColumn="0" w:oddVBand="1" w:evenVBand="0" w:oddHBand="0" w:evenHBand="0" w:firstRowFirstColumn="0" w:firstRowLastColumn="0" w:lastRowFirstColumn="0" w:lastRowLastColumn="0"/>
            <w:tcW w:w="982" w:type="dxa"/>
          </w:tcPr>
          <w:p w:rsidR="00203BAD" w:rsidRPr="00DE67FC" w:rsidRDefault="00203BAD" w:rsidP="002C155D">
            <w:pPr>
              <w:spacing w:after="0" w:line="240" w:lineRule="auto"/>
              <w:jc w:val="center"/>
              <w:rPr>
                <w:rFonts w:asciiTheme="minorHAnsi" w:hAnsiTheme="minorHAnsi" w:cs="Arial"/>
                <w:color w:val="auto"/>
                <w:sz w:val="22"/>
                <w:szCs w:val="22"/>
              </w:rPr>
            </w:pPr>
            <w:r w:rsidRPr="00DE67FC">
              <w:rPr>
                <w:rFonts w:asciiTheme="minorHAnsi" w:hAnsiTheme="minorHAnsi" w:cs="Arial"/>
                <w:color w:val="auto"/>
                <w:sz w:val="22"/>
                <w:szCs w:val="22"/>
              </w:rPr>
              <w:t>2020/21</w:t>
            </w:r>
          </w:p>
          <w:p w:rsidR="00203BAD" w:rsidRPr="00DE67FC" w:rsidRDefault="00203BAD" w:rsidP="002C155D">
            <w:pPr>
              <w:spacing w:after="0" w:line="240" w:lineRule="auto"/>
              <w:jc w:val="center"/>
              <w:rPr>
                <w:rFonts w:asciiTheme="minorHAnsi" w:hAnsiTheme="minorHAnsi" w:cs="Arial"/>
                <w:color w:val="auto"/>
                <w:sz w:val="22"/>
                <w:szCs w:val="22"/>
              </w:rPr>
            </w:pPr>
            <w:r w:rsidRPr="00DE67FC">
              <w:rPr>
                <w:rFonts w:asciiTheme="minorHAnsi" w:hAnsiTheme="minorHAnsi" w:cs="Arial"/>
                <w:color w:val="auto"/>
                <w:sz w:val="22"/>
                <w:szCs w:val="22"/>
              </w:rPr>
              <w:t>£m</w:t>
            </w:r>
          </w:p>
        </w:tc>
        <w:tc>
          <w:tcPr>
            <w:cnfStyle w:val="000100000000" w:firstRow="0" w:lastRow="0" w:firstColumn="0" w:lastColumn="1" w:oddVBand="0" w:evenVBand="0" w:oddHBand="0" w:evenHBand="0" w:firstRowFirstColumn="0" w:firstRowLastColumn="0" w:lastRowFirstColumn="0" w:lastRowLastColumn="0"/>
            <w:tcW w:w="1097" w:type="dxa"/>
          </w:tcPr>
          <w:p w:rsidR="00203BAD" w:rsidRPr="00DE67FC" w:rsidRDefault="00203BAD" w:rsidP="002C155D">
            <w:pPr>
              <w:spacing w:after="0" w:line="240" w:lineRule="auto"/>
              <w:jc w:val="center"/>
              <w:rPr>
                <w:rFonts w:asciiTheme="minorHAnsi" w:hAnsiTheme="minorHAnsi" w:cs="Arial"/>
                <w:color w:val="auto"/>
                <w:sz w:val="22"/>
                <w:szCs w:val="22"/>
              </w:rPr>
            </w:pPr>
            <w:r w:rsidRPr="00DE67FC">
              <w:rPr>
                <w:rFonts w:asciiTheme="minorHAnsi" w:hAnsiTheme="minorHAnsi" w:cs="Arial"/>
                <w:color w:val="auto"/>
                <w:sz w:val="22"/>
                <w:szCs w:val="22"/>
              </w:rPr>
              <w:t>2021/22</w:t>
            </w:r>
          </w:p>
          <w:p w:rsidR="00203BAD" w:rsidRPr="00DE67FC" w:rsidRDefault="00203BAD" w:rsidP="002C155D">
            <w:pPr>
              <w:spacing w:after="0" w:line="240" w:lineRule="auto"/>
              <w:jc w:val="center"/>
              <w:rPr>
                <w:rFonts w:asciiTheme="minorHAnsi" w:hAnsiTheme="minorHAnsi" w:cs="Arial"/>
                <w:color w:val="auto"/>
                <w:sz w:val="22"/>
                <w:szCs w:val="22"/>
              </w:rPr>
            </w:pPr>
            <w:r w:rsidRPr="00DE67FC">
              <w:rPr>
                <w:rFonts w:asciiTheme="minorHAnsi" w:hAnsiTheme="minorHAnsi" w:cs="Arial"/>
                <w:color w:val="auto"/>
                <w:sz w:val="22"/>
                <w:szCs w:val="22"/>
              </w:rPr>
              <w:t>£m</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361"/>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rsidR="00203BAD" w:rsidRPr="00DE67FC" w:rsidRDefault="00203BAD" w:rsidP="002C155D">
            <w:pPr>
              <w:rPr>
                <w:rFonts w:asciiTheme="minorHAnsi" w:hAnsiTheme="minorHAnsi" w:cs="Arial"/>
                <w:b w:val="0"/>
                <w:color w:val="auto"/>
                <w:sz w:val="22"/>
                <w:szCs w:val="22"/>
              </w:rPr>
            </w:pPr>
            <w:r w:rsidRPr="00DE67FC">
              <w:rPr>
                <w:rFonts w:asciiTheme="minorHAnsi" w:hAnsiTheme="minorHAnsi" w:cs="Arial"/>
                <w:b w:val="0"/>
                <w:color w:val="auto"/>
                <w:sz w:val="22"/>
                <w:szCs w:val="22"/>
              </w:rPr>
              <w:t xml:space="preserve">Revenue Support Grant, NNDR &amp; Council Tax </w:t>
            </w:r>
          </w:p>
        </w:tc>
        <w:tc>
          <w:tcPr>
            <w:cnfStyle w:val="000010000000" w:firstRow="0" w:lastRow="0" w:firstColumn="0" w:lastColumn="0" w:oddVBand="1" w:evenVBand="0" w:oddHBand="0" w:evenHBand="0" w:firstRowFirstColumn="0" w:firstRowLastColumn="0" w:lastRowFirstColumn="0" w:lastRowLastColumn="0"/>
            <w:tcW w:w="980" w:type="dxa"/>
          </w:tcPr>
          <w:p w:rsidR="00203BAD" w:rsidRPr="00DE67FC" w:rsidRDefault="00203BAD" w:rsidP="002C155D">
            <w:pPr>
              <w:jc w:val="center"/>
              <w:rPr>
                <w:rFonts w:asciiTheme="minorHAnsi" w:hAnsiTheme="minorHAnsi" w:cs="Arial"/>
                <w:color w:val="auto"/>
                <w:sz w:val="22"/>
                <w:szCs w:val="22"/>
              </w:rPr>
            </w:pPr>
            <w:r w:rsidRPr="00DE67FC">
              <w:rPr>
                <w:rFonts w:asciiTheme="minorHAnsi" w:hAnsiTheme="minorHAnsi" w:cs="Arial"/>
                <w:color w:val="auto"/>
                <w:sz w:val="22"/>
                <w:szCs w:val="22"/>
              </w:rPr>
              <w:t>(1</w:t>
            </w:r>
            <w:r>
              <w:rPr>
                <w:rFonts w:asciiTheme="minorHAnsi" w:hAnsiTheme="minorHAnsi" w:cs="Arial"/>
                <w:color w:val="auto"/>
                <w:sz w:val="22"/>
                <w:szCs w:val="22"/>
              </w:rPr>
              <w:t>12</w:t>
            </w:r>
            <w:r w:rsidRPr="00DE67FC">
              <w:rPr>
                <w:rFonts w:asciiTheme="minorHAnsi" w:hAnsiTheme="minorHAnsi" w:cs="Arial"/>
                <w:color w:val="auto"/>
                <w:sz w:val="22"/>
                <w:szCs w:val="22"/>
              </w:rPr>
              <w:t>)</w:t>
            </w:r>
          </w:p>
        </w:tc>
        <w:tc>
          <w:tcPr>
            <w:tcW w:w="1097" w:type="dxa"/>
            <w:shd w:val="clear" w:color="auto" w:fill="auto"/>
          </w:tcPr>
          <w:p w:rsidR="00203BAD" w:rsidRPr="00A412B7" w:rsidRDefault="00203BAD" w:rsidP="002C15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A412B7">
              <w:rPr>
                <w:rFonts w:asciiTheme="minorHAnsi" w:hAnsiTheme="minorHAnsi" w:cs="Arial"/>
                <w:color w:val="auto"/>
                <w:sz w:val="22"/>
                <w:szCs w:val="22"/>
              </w:rPr>
              <w:t>(109)</w:t>
            </w:r>
          </w:p>
        </w:tc>
        <w:tc>
          <w:tcPr>
            <w:cnfStyle w:val="000010000000" w:firstRow="0" w:lastRow="0" w:firstColumn="0" w:lastColumn="0" w:oddVBand="1" w:evenVBand="0" w:oddHBand="0" w:evenHBand="0" w:firstRowFirstColumn="0" w:firstRowLastColumn="0" w:lastRowFirstColumn="0" w:lastRowLastColumn="0"/>
            <w:tcW w:w="982" w:type="dxa"/>
            <w:shd w:val="clear" w:color="auto" w:fill="auto"/>
          </w:tcPr>
          <w:p w:rsidR="00203BAD" w:rsidRPr="00A412B7" w:rsidRDefault="00203BAD" w:rsidP="002C155D">
            <w:pPr>
              <w:jc w:val="center"/>
              <w:rPr>
                <w:rFonts w:asciiTheme="minorHAnsi" w:hAnsiTheme="minorHAnsi" w:cs="Arial"/>
                <w:color w:val="auto"/>
                <w:sz w:val="22"/>
                <w:szCs w:val="22"/>
              </w:rPr>
            </w:pPr>
            <w:r w:rsidRPr="00A412B7">
              <w:rPr>
                <w:rFonts w:asciiTheme="minorHAnsi" w:hAnsiTheme="minorHAnsi" w:cs="Arial"/>
                <w:color w:val="auto"/>
                <w:sz w:val="22"/>
                <w:szCs w:val="22"/>
              </w:rPr>
              <w:t>(109)</w:t>
            </w:r>
          </w:p>
        </w:tc>
        <w:tc>
          <w:tcPr>
            <w:cnfStyle w:val="000100000000" w:firstRow="0" w:lastRow="0" w:firstColumn="0" w:lastColumn="1" w:oddVBand="0" w:evenVBand="0" w:oddHBand="0" w:evenHBand="0" w:firstRowFirstColumn="0" w:firstRowLastColumn="0" w:lastRowFirstColumn="0" w:lastRowLastColumn="0"/>
            <w:tcW w:w="1097" w:type="dxa"/>
            <w:shd w:val="clear" w:color="auto" w:fill="auto"/>
          </w:tcPr>
          <w:p w:rsidR="00203BAD" w:rsidRPr="00A412B7" w:rsidRDefault="00203BAD" w:rsidP="002C155D">
            <w:pPr>
              <w:jc w:val="center"/>
              <w:rPr>
                <w:rFonts w:asciiTheme="minorHAnsi" w:hAnsiTheme="minorHAnsi" w:cs="Arial"/>
                <w:b w:val="0"/>
                <w:color w:val="auto"/>
                <w:sz w:val="22"/>
                <w:szCs w:val="22"/>
              </w:rPr>
            </w:pPr>
            <w:r w:rsidRPr="00A412B7">
              <w:rPr>
                <w:rFonts w:asciiTheme="minorHAnsi" w:hAnsiTheme="minorHAnsi" w:cs="Arial"/>
                <w:b w:val="0"/>
                <w:color w:val="auto"/>
                <w:sz w:val="22"/>
                <w:szCs w:val="22"/>
              </w:rPr>
              <w:t>(108)</w:t>
            </w:r>
          </w:p>
        </w:tc>
      </w:tr>
      <w:tr w:rsidR="00203BAD" w:rsidRPr="0005794A" w:rsidTr="002C155D">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rsidR="00203BAD" w:rsidRPr="00DE67FC" w:rsidRDefault="00203BAD" w:rsidP="002C155D">
            <w:pPr>
              <w:rPr>
                <w:rFonts w:asciiTheme="minorHAnsi" w:hAnsiTheme="minorHAnsi" w:cs="Arial"/>
                <w:b w:val="0"/>
                <w:color w:val="auto"/>
                <w:sz w:val="22"/>
                <w:szCs w:val="22"/>
              </w:rPr>
            </w:pPr>
            <w:r w:rsidRPr="00DE67FC">
              <w:rPr>
                <w:rFonts w:asciiTheme="minorHAnsi" w:hAnsiTheme="minorHAnsi" w:cs="Arial"/>
                <w:b w:val="0"/>
                <w:color w:val="auto"/>
                <w:sz w:val="22"/>
                <w:szCs w:val="22"/>
              </w:rPr>
              <w:t xml:space="preserve">Estimated Expenditure </w:t>
            </w:r>
          </w:p>
        </w:tc>
        <w:tc>
          <w:tcPr>
            <w:cnfStyle w:val="000010000000" w:firstRow="0" w:lastRow="0" w:firstColumn="0" w:lastColumn="0" w:oddVBand="1" w:evenVBand="0" w:oddHBand="0" w:evenHBand="0" w:firstRowFirstColumn="0" w:firstRowLastColumn="0" w:lastRowFirstColumn="0" w:lastRowLastColumn="0"/>
            <w:tcW w:w="980" w:type="dxa"/>
          </w:tcPr>
          <w:p w:rsidR="00203BAD" w:rsidRPr="00DE67FC" w:rsidRDefault="00203BAD" w:rsidP="002C155D">
            <w:pPr>
              <w:jc w:val="center"/>
              <w:rPr>
                <w:rFonts w:asciiTheme="minorHAnsi" w:hAnsiTheme="minorHAnsi" w:cs="Arial"/>
                <w:color w:val="auto"/>
                <w:sz w:val="22"/>
                <w:szCs w:val="22"/>
              </w:rPr>
            </w:pPr>
            <w:r w:rsidRPr="00DE67FC">
              <w:rPr>
                <w:rFonts w:asciiTheme="minorHAnsi" w:hAnsiTheme="minorHAnsi" w:cs="Arial"/>
                <w:color w:val="auto"/>
                <w:sz w:val="22"/>
                <w:szCs w:val="22"/>
              </w:rPr>
              <w:t>11</w:t>
            </w:r>
            <w:r>
              <w:rPr>
                <w:rFonts w:asciiTheme="minorHAnsi" w:hAnsiTheme="minorHAnsi" w:cs="Arial"/>
                <w:color w:val="auto"/>
                <w:sz w:val="22"/>
                <w:szCs w:val="22"/>
              </w:rPr>
              <w:t>2</w:t>
            </w:r>
          </w:p>
        </w:tc>
        <w:tc>
          <w:tcPr>
            <w:tcW w:w="1097" w:type="dxa"/>
            <w:shd w:val="clear" w:color="auto" w:fill="auto"/>
          </w:tcPr>
          <w:p w:rsidR="00203BAD" w:rsidRPr="00A412B7" w:rsidRDefault="00203BAD" w:rsidP="002C15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A412B7">
              <w:rPr>
                <w:rFonts w:asciiTheme="minorHAnsi" w:hAnsiTheme="minorHAnsi" w:cs="Arial"/>
                <w:color w:val="auto"/>
                <w:sz w:val="22"/>
                <w:szCs w:val="22"/>
              </w:rPr>
              <w:t>1</w:t>
            </w:r>
            <w:r>
              <w:rPr>
                <w:rFonts w:asciiTheme="minorHAnsi" w:hAnsiTheme="minorHAnsi" w:cs="Arial"/>
                <w:color w:val="auto"/>
                <w:sz w:val="22"/>
                <w:szCs w:val="22"/>
              </w:rPr>
              <w:t>15</w:t>
            </w:r>
          </w:p>
        </w:tc>
        <w:tc>
          <w:tcPr>
            <w:cnfStyle w:val="000010000000" w:firstRow="0" w:lastRow="0" w:firstColumn="0" w:lastColumn="0" w:oddVBand="1" w:evenVBand="0" w:oddHBand="0" w:evenHBand="0" w:firstRowFirstColumn="0" w:firstRowLastColumn="0" w:lastRowFirstColumn="0" w:lastRowLastColumn="0"/>
            <w:tcW w:w="982" w:type="dxa"/>
            <w:shd w:val="clear" w:color="auto" w:fill="auto"/>
          </w:tcPr>
          <w:p w:rsidR="00203BAD" w:rsidRPr="00A412B7" w:rsidRDefault="00203BAD" w:rsidP="002C155D">
            <w:pPr>
              <w:jc w:val="center"/>
              <w:rPr>
                <w:rFonts w:asciiTheme="minorHAnsi" w:hAnsiTheme="minorHAnsi" w:cs="Arial"/>
                <w:color w:val="auto"/>
                <w:sz w:val="22"/>
                <w:szCs w:val="22"/>
              </w:rPr>
            </w:pPr>
            <w:r w:rsidRPr="00A412B7">
              <w:rPr>
                <w:rFonts w:asciiTheme="minorHAnsi" w:hAnsiTheme="minorHAnsi" w:cs="Arial"/>
                <w:color w:val="auto"/>
                <w:sz w:val="22"/>
                <w:szCs w:val="22"/>
              </w:rPr>
              <w:t>12</w:t>
            </w:r>
            <w:r>
              <w:rPr>
                <w:rFonts w:asciiTheme="minorHAnsi" w:hAnsiTheme="minorHAnsi" w:cs="Arial"/>
                <w:color w:val="auto"/>
                <w:sz w:val="22"/>
                <w:szCs w:val="22"/>
              </w:rPr>
              <w:t>0</w:t>
            </w:r>
          </w:p>
        </w:tc>
        <w:tc>
          <w:tcPr>
            <w:cnfStyle w:val="000100000000" w:firstRow="0" w:lastRow="0" w:firstColumn="0" w:lastColumn="1" w:oddVBand="0" w:evenVBand="0" w:oddHBand="0" w:evenHBand="0" w:firstRowFirstColumn="0" w:firstRowLastColumn="0" w:lastRowFirstColumn="0" w:lastRowLastColumn="0"/>
            <w:tcW w:w="1097" w:type="dxa"/>
            <w:shd w:val="clear" w:color="auto" w:fill="auto"/>
          </w:tcPr>
          <w:p w:rsidR="00203BAD" w:rsidRPr="00A412B7" w:rsidRDefault="00203BAD" w:rsidP="002C155D">
            <w:pPr>
              <w:jc w:val="center"/>
              <w:rPr>
                <w:rFonts w:asciiTheme="minorHAnsi" w:hAnsiTheme="minorHAnsi" w:cs="Arial"/>
                <w:b w:val="0"/>
                <w:color w:val="auto"/>
                <w:sz w:val="22"/>
                <w:szCs w:val="22"/>
              </w:rPr>
            </w:pPr>
            <w:r>
              <w:rPr>
                <w:rFonts w:asciiTheme="minorHAnsi" w:hAnsiTheme="minorHAnsi" w:cs="Arial"/>
                <w:b w:val="0"/>
                <w:color w:val="auto"/>
                <w:sz w:val="22"/>
                <w:szCs w:val="22"/>
              </w:rPr>
              <w:t>124</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rsidR="00203BAD" w:rsidRPr="00DE67FC" w:rsidRDefault="00203BAD" w:rsidP="002C155D">
            <w:pPr>
              <w:rPr>
                <w:rFonts w:asciiTheme="minorHAnsi" w:hAnsiTheme="minorHAnsi" w:cs="Arial"/>
                <w:color w:val="auto"/>
                <w:sz w:val="22"/>
                <w:szCs w:val="22"/>
              </w:rPr>
            </w:pPr>
            <w:r w:rsidRPr="00DE67FC">
              <w:rPr>
                <w:rFonts w:asciiTheme="minorHAnsi" w:hAnsiTheme="minorHAnsi" w:cs="Arial"/>
                <w:color w:val="auto"/>
                <w:sz w:val="22"/>
                <w:szCs w:val="22"/>
              </w:rPr>
              <w:t>Total Estimated Cumulative Funding Gap</w:t>
            </w:r>
          </w:p>
        </w:tc>
        <w:tc>
          <w:tcPr>
            <w:cnfStyle w:val="000010000000" w:firstRow="0" w:lastRow="0" w:firstColumn="0" w:lastColumn="0" w:oddVBand="1" w:evenVBand="0" w:oddHBand="0" w:evenHBand="0" w:firstRowFirstColumn="0" w:firstRowLastColumn="0" w:lastRowFirstColumn="0" w:lastRowLastColumn="0"/>
            <w:tcW w:w="980" w:type="dxa"/>
          </w:tcPr>
          <w:p w:rsidR="00203BAD" w:rsidRPr="00DE67FC" w:rsidRDefault="00203BAD" w:rsidP="002C155D">
            <w:pPr>
              <w:jc w:val="center"/>
              <w:rPr>
                <w:rFonts w:asciiTheme="minorHAnsi" w:hAnsiTheme="minorHAnsi" w:cs="Arial"/>
                <w:b/>
                <w:color w:val="auto"/>
                <w:sz w:val="22"/>
                <w:szCs w:val="22"/>
              </w:rPr>
            </w:pPr>
            <w:r>
              <w:rPr>
                <w:rFonts w:asciiTheme="minorHAnsi" w:hAnsiTheme="minorHAnsi" w:cs="Arial"/>
                <w:b/>
                <w:color w:val="auto"/>
                <w:sz w:val="22"/>
                <w:szCs w:val="22"/>
              </w:rPr>
              <w:t>0</w:t>
            </w:r>
          </w:p>
        </w:tc>
        <w:tc>
          <w:tcPr>
            <w:tcW w:w="1097" w:type="dxa"/>
            <w:shd w:val="clear" w:color="auto" w:fill="auto"/>
          </w:tcPr>
          <w:p w:rsidR="00203BAD" w:rsidRPr="00DE67FC" w:rsidRDefault="00203BAD" w:rsidP="002C15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szCs w:val="22"/>
              </w:rPr>
            </w:pPr>
            <w:r>
              <w:rPr>
                <w:rFonts w:asciiTheme="minorHAnsi" w:hAnsiTheme="minorHAnsi" w:cs="Arial"/>
                <w:b/>
                <w:color w:val="auto"/>
                <w:sz w:val="22"/>
                <w:szCs w:val="22"/>
              </w:rPr>
              <w:t>6</w:t>
            </w:r>
          </w:p>
        </w:tc>
        <w:tc>
          <w:tcPr>
            <w:cnfStyle w:val="000010000000" w:firstRow="0" w:lastRow="0" w:firstColumn="0" w:lastColumn="0" w:oddVBand="1" w:evenVBand="0" w:oddHBand="0" w:evenHBand="0" w:firstRowFirstColumn="0" w:firstRowLastColumn="0" w:lastRowFirstColumn="0" w:lastRowLastColumn="0"/>
            <w:tcW w:w="982" w:type="dxa"/>
            <w:shd w:val="clear" w:color="auto" w:fill="auto"/>
          </w:tcPr>
          <w:p w:rsidR="00203BAD" w:rsidRPr="00A412B7" w:rsidRDefault="00203BAD" w:rsidP="002C155D">
            <w:pPr>
              <w:jc w:val="center"/>
              <w:rPr>
                <w:rFonts w:asciiTheme="minorHAnsi" w:hAnsiTheme="minorHAnsi" w:cs="Arial"/>
                <w:b/>
                <w:color w:val="auto"/>
                <w:sz w:val="22"/>
                <w:szCs w:val="22"/>
              </w:rPr>
            </w:pPr>
            <w:r w:rsidRPr="00A412B7">
              <w:rPr>
                <w:rFonts w:asciiTheme="minorHAnsi" w:hAnsiTheme="minorHAnsi" w:cs="Arial"/>
                <w:b/>
                <w:color w:val="auto"/>
                <w:sz w:val="22"/>
                <w:szCs w:val="22"/>
              </w:rPr>
              <w:t>11</w:t>
            </w:r>
          </w:p>
        </w:tc>
        <w:tc>
          <w:tcPr>
            <w:cnfStyle w:val="000100000000" w:firstRow="0" w:lastRow="0" w:firstColumn="0" w:lastColumn="1" w:oddVBand="0" w:evenVBand="0" w:oddHBand="0" w:evenHBand="0" w:firstRowFirstColumn="0" w:firstRowLastColumn="0" w:lastRowFirstColumn="0" w:lastRowLastColumn="0"/>
            <w:tcW w:w="1097" w:type="dxa"/>
            <w:shd w:val="clear" w:color="auto" w:fill="auto"/>
          </w:tcPr>
          <w:p w:rsidR="00203BAD" w:rsidRPr="00DE67FC" w:rsidRDefault="00203BAD" w:rsidP="002C155D">
            <w:pPr>
              <w:jc w:val="center"/>
              <w:rPr>
                <w:rFonts w:asciiTheme="minorHAnsi" w:hAnsiTheme="minorHAnsi" w:cs="Arial"/>
                <w:color w:val="auto"/>
                <w:sz w:val="22"/>
                <w:szCs w:val="22"/>
              </w:rPr>
            </w:pPr>
            <w:r>
              <w:rPr>
                <w:rFonts w:asciiTheme="minorHAnsi" w:hAnsiTheme="minorHAnsi" w:cs="Arial"/>
                <w:color w:val="auto"/>
                <w:sz w:val="22"/>
                <w:szCs w:val="22"/>
              </w:rPr>
              <w:t>15</w:t>
            </w:r>
          </w:p>
        </w:tc>
      </w:tr>
      <w:tr w:rsidR="00203BAD" w:rsidRPr="0005794A" w:rsidTr="002C155D">
        <w:trPr>
          <w:cnfStyle w:val="010000000000" w:firstRow="0" w:lastRow="1"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978" w:type="dxa"/>
            <w:shd w:val="clear" w:color="auto" w:fill="auto"/>
          </w:tcPr>
          <w:p w:rsidR="00203BAD" w:rsidRPr="00DE67FC" w:rsidRDefault="00203BAD" w:rsidP="002C155D">
            <w:pPr>
              <w:rPr>
                <w:rFonts w:asciiTheme="minorHAnsi" w:hAnsiTheme="minorHAnsi" w:cs="Arial"/>
                <w:b w:val="0"/>
                <w:color w:val="auto"/>
                <w:sz w:val="22"/>
                <w:szCs w:val="22"/>
              </w:rPr>
            </w:pPr>
            <w:r w:rsidRPr="00DE67FC">
              <w:rPr>
                <w:rFonts w:asciiTheme="minorHAnsi" w:hAnsiTheme="minorHAnsi" w:cs="Arial"/>
                <w:b w:val="0"/>
                <w:color w:val="auto"/>
                <w:sz w:val="22"/>
                <w:szCs w:val="22"/>
              </w:rPr>
              <w:t>In- year Funding Gap</w:t>
            </w:r>
          </w:p>
        </w:tc>
        <w:tc>
          <w:tcPr>
            <w:cnfStyle w:val="000010000000" w:firstRow="0" w:lastRow="0" w:firstColumn="0" w:lastColumn="0" w:oddVBand="1" w:evenVBand="0" w:oddHBand="0" w:evenHBand="0" w:firstRowFirstColumn="0" w:firstRowLastColumn="0" w:lastRowFirstColumn="0" w:lastRowLastColumn="0"/>
            <w:tcW w:w="980" w:type="dxa"/>
          </w:tcPr>
          <w:p w:rsidR="00203BAD" w:rsidRPr="00DE67FC" w:rsidRDefault="00203BAD" w:rsidP="002C155D">
            <w:pPr>
              <w:jc w:val="center"/>
              <w:rPr>
                <w:rFonts w:asciiTheme="minorHAnsi" w:hAnsiTheme="minorHAnsi" w:cs="Arial"/>
                <w:b w:val="0"/>
                <w:bCs w:val="0"/>
                <w:color w:val="auto"/>
                <w:sz w:val="22"/>
                <w:szCs w:val="22"/>
              </w:rPr>
            </w:pPr>
            <w:r>
              <w:rPr>
                <w:rFonts w:asciiTheme="minorHAnsi" w:hAnsiTheme="minorHAnsi" w:cs="Arial"/>
                <w:b w:val="0"/>
                <w:bCs w:val="0"/>
                <w:color w:val="auto"/>
                <w:sz w:val="22"/>
                <w:szCs w:val="22"/>
              </w:rPr>
              <w:t>0</w:t>
            </w:r>
          </w:p>
        </w:tc>
        <w:tc>
          <w:tcPr>
            <w:tcW w:w="1097" w:type="dxa"/>
            <w:shd w:val="clear" w:color="auto" w:fill="auto"/>
          </w:tcPr>
          <w:p w:rsidR="00203BAD" w:rsidRPr="00DE67FC" w:rsidRDefault="00203BAD" w:rsidP="002C155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b w:val="0"/>
                <w:color w:val="auto"/>
                <w:sz w:val="22"/>
                <w:szCs w:val="22"/>
              </w:rPr>
            </w:pPr>
            <w:r>
              <w:rPr>
                <w:rFonts w:asciiTheme="minorHAnsi" w:hAnsiTheme="minorHAnsi" w:cs="Arial"/>
                <w:b w:val="0"/>
                <w:color w:val="auto"/>
                <w:sz w:val="22"/>
                <w:szCs w:val="22"/>
              </w:rPr>
              <w:t>6</w:t>
            </w:r>
          </w:p>
        </w:tc>
        <w:tc>
          <w:tcPr>
            <w:cnfStyle w:val="000010000000" w:firstRow="0" w:lastRow="0" w:firstColumn="0" w:lastColumn="0" w:oddVBand="1" w:evenVBand="0" w:oddHBand="0" w:evenHBand="0" w:firstRowFirstColumn="0" w:firstRowLastColumn="0" w:lastRowFirstColumn="0" w:lastRowLastColumn="0"/>
            <w:tcW w:w="982" w:type="dxa"/>
            <w:shd w:val="clear" w:color="auto" w:fill="auto"/>
          </w:tcPr>
          <w:p w:rsidR="00203BAD" w:rsidRPr="00DE67FC" w:rsidRDefault="00203BAD" w:rsidP="002C155D">
            <w:pPr>
              <w:jc w:val="center"/>
              <w:rPr>
                <w:rFonts w:asciiTheme="minorHAnsi" w:hAnsiTheme="minorHAnsi" w:cs="Arial"/>
                <w:b w:val="0"/>
                <w:color w:val="auto"/>
                <w:sz w:val="22"/>
                <w:szCs w:val="22"/>
              </w:rPr>
            </w:pPr>
            <w:r>
              <w:rPr>
                <w:rFonts w:asciiTheme="minorHAnsi" w:hAnsiTheme="minorHAnsi" w:cs="Arial"/>
                <w:b w:val="0"/>
                <w:color w:val="auto"/>
                <w:sz w:val="22"/>
                <w:szCs w:val="22"/>
              </w:rPr>
              <w:t>5</w:t>
            </w:r>
          </w:p>
        </w:tc>
        <w:tc>
          <w:tcPr>
            <w:cnfStyle w:val="000100000000" w:firstRow="0" w:lastRow="0" w:firstColumn="0" w:lastColumn="1" w:oddVBand="0" w:evenVBand="0" w:oddHBand="0" w:evenHBand="0" w:firstRowFirstColumn="0" w:firstRowLastColumn="0" w:lastRowFirstColumn="0" w:lastRowLastColumn="0"/>
            <w:tcW w:w="1097" w:type="dxa"/>
            <w:shd w:val="clear" w:color="auto" w:fill="auto"/>
          </w:tcPr>
          <w:p w:rsidR="00203BAD" w:rsidRPr="00DE67FC" w:rsidRDefault="00203BAD" w:rsidP="002C155D">
            <w:pPr>
              <w:jc w:val="center"/>
              <w:rPr>
                <w:rFonts w:asciiTheme="minorHAnsi" w:hAnsiTheme="minorHAnsi" w:cs="Arial"/>
                <w:b w:val="0"/>
                <w:color w:val="auto"/>
                <w:sz w:val="22"/>
                <w:szCs w:val="22"/>
              </w:rPr>
            </w:pPr>
            <w:r>
              <w:rPr>
                <w:rFonts w:asciiTheme="minorHAnsi" w:hAnsiTheme="minorHAnsi" w:cs="Arial"/>
                <w:b w:val="0"/>
                <w:color w:val="auto"/>
                <w:sz w:val="22"/>
                <w:szCs w:val="22"/>
              </w:rPr>
              <w:t>4</w:t>
            </w:r>
          </w:p>
        </w:tc>
      </w:tr>
    </w:tbl>
    <w:p w:rsidR="00203BAD" w:rsidRPr="0005794A" w:rsidRDefault="00203BAD" w:rsidP="00203BAD">
      <w:pPr>
        <w:pStyle w:val="BodyText"/>
        <w:widowControl w:val="0"/>
        <w:contextualSpacing/>
        <w:rPr>
          <w:rFonts w:asciiTheme="minorHAnsi" w:hAnsiTheme="minorHAnsi" w:cs="Arial"/>
          <w:color w:val="548DD4" w:themeColor="text2" w:themeTint="99"/>
          <w:sz w:val="22"/>
          <w:szCs w:val="22"/>
        </w:rPr>
      </w:pPr>
    </w:p>
    <w:p w:rsidR="00203BAD" w:rsidRPr="000158E3" w:rsidRDefault="00203BAD" w:rsidP="00203BAD">
      <w:pPr>
        <w:pStyle w:val="BodyText"/>
        <w:widowControl w:val="0"/>
        <w:rPr>
          <w:rFonts w:asciiTheme="minorHAnsi" w:hAnsiTheme="minorHAnsi" w:cs="Arial"/>
          <w:color w:val="auto"/>
          <w:sz w:val="22"/>
          <w:szCs w:val="22"/>
        </w:rPr>
      </w:pPr>
      <w:r w:rsidRPr="000158E3">
        <w:rPr>
          <w:rFonts w:asciiTheme="minorHAnsi" w:hAnsiTheme="minorHAnsi" w:cs="Arial"/>
          <w:color w:val="auto"/>
          <w:sz w:val="22"/>
          <w:szCs w:val="22"/>
        </w:rPr>
        <w:t xml:space="preserve">To meet this challenge the Council established a Transformation Board to bring forward and implement a range of transformation projects aimed at meeting the required budget reductions but also, where possible, improve service performance.  The Transformation Board considers a wide range of projects which could result in alternative service delivery, alternative levels of service provided and/or service providers. Future service developments are being undertaken including </w:t>
      </w:r>
      <w:r>
        <w:rPr>
          <w:rFonts w:asciiTheme="minorHAnsi" w:hAnsiTheme="minorHAnsi" w:cs="Arial"/>
          <w:color w:val="auto"/>
          <w:sz w:val="22"/>
          <w:szCs w:val="22"/>
        </w:rPr>
        <w:t xml:space="preserve">the outsourcing of </w:t>
      </w:r>
      <w:r w:rsidRPr="000158E3">
        <w:rPr>
          <w:rFonts w:asciiTheme="minorHAnsi" w:hAnsiTheme="minorHAnsi" w:cs="Arial"/>
          <w:color w:val="auto"/>
          <w:sz w:val="22"/>
          <w:szCs w:val="22"/>
        </w:rPr>
        <w:t>library services</w:t>
      </w:r>
      <w:r>
        <w:rPr>
          <w:rFonts w:asciiTheme="minorHAnsi" w:hAnsiTheme="minorHAnsi" w:cs="Arial"/>
          <w:color w:val="auto"/>
          <w:sz w:val="22"/>
          <w:szCs w:val="22"/>
        </w:rPr>
        <w:t>, transfer of P</w:t>
      </w:r>
      <w:r w:rsidR="00145C4E">
        <w:rPr>
          <w:rFonts w:asciiTheme="minorHAnsi" w:hAnsiTheme="minorHAnsi" w:cs="Arial"/>
          <w:color w:val="auto"/>
          <w:sz w:val="22"/>
          <w:szCs w:val="22"/>
        </w:rPr>
        <w:t>a</w:t>
      </w:r>
      <w:r>
        <w:rPr>
          <w:rFonts w:asciiTheme="minorHAnsi" w:hAnsiTheme="minorHAnsi" w:cs="Arial"/>
          <w:color w:val="auto"/>
          <w:sz w:val="22"/>
          <w:szCs w:val="22"/>
        </w:rPr>
        <w:t>lace Theatre to a community interest company and a new provider for the operation of the Council’s toilets.</w:t>
      </w:r>
      <w:r w:rsidRPr="000158E3">
        <w:rPr>
          <w:rFonts w:asciiTheme="minorHAnsi" w:hAnsiTheme="minorHAnsi" w:cs="Arial"/>
          <w:color w:val="auto"/>
          <w:sz w:val="22"/>
          <w:szCs w:val="22"/>
        </w:rPr>
        <w:t xml:space="preserve"> </w:t>
      </w:r>
    </w:p>
    <w:p w:rsidR="00203BAD" w:rsidRPr="000158E3" w:rsidRDefault="00203BAD" w:rsidP="00203BAD">
      <w:pPr>
        <w:pStyle w:val="BodyText"/>
        <w:widowControl w:val="0"/>
        <w:rPr>
          <w:rFonts w:asciiTheme="minorHAnsi" w:hAnsiTheme="minorHAnsi" w:cs="Arial"/>
          <w:color w:val="auto"/>
          <w:sz w:val="22"/>
          <w:szCs w:val="22"/>
        </w:rPr>
      </w:pPr>
      <w:r w:rsidRPr="000158E3">
        <w:rPr>
          <w:rFonts w:asciiTheme="minorHAnsi" w:hAnsiTheme="minorHAnsi" w:cs="Arial"/>
          <w:color w:val="auto"/>
          <w:sz w:val="22"/>
          <w:szCs w:val="22"/>
        </w:rPr>
        <w:t>The Council has an approved Capital Plan that is updated throughout the year with any new funding or schemes.  A summary of anticipated capital spend over the next three years, is summarised below.</w:t>
      </w:r>
    </w:p>
    <w:tbl>
      <w:tblPr>
        <w:tblStyle w:val="GridTable4-Accent51"/>
        <w:tblW w:w="7375" w:type="dxa"/>
        <w:jc w:val="center"/>
        <w:tblLook w:val="0000" w:firstRow="0" w:lastRow="0" w:firstColumn="0" w:lastColumn="0" w:noHBand="0" w:noVBand="0"/>
      </w:tblPr>
      <w:tblGrid>
        <w:gridCol w:w="3275"/>
        <w:gridCol w:w="1400"/>
        <w:gridCol w:w="1440"/>
        <w:gridCol w:w="1260"/>
      </w:tblGrid>
      <w:tr w:rsidR="00203BAD" w:rsidRPr="0005794A" w:rsidTr="002C155D">
        <w:trPr>
          <w:cnfStyle w:val="000000100000" w:firstRow="0" w:lastRow="0" w:firstColumn="0" w:lastColumn="0" w:oddVBand="0" w:evenVBand="0" w:oddHBand="1" w:evenHBand="0" w:firstRowFirstColumn="0" w:firstRowLastColumn="0" w:lastRowFirstColumn="0" w:lastRowLastColumn="0"/>
          <w:trHeight w:val="377"/>
          <w:jc w:val="center"/>
        </w:trPr>
        <w:tc>
          <w:tcPr>
            <w:cnfStyle w:val="000010000000" w:firstRow="0" w:lastRow="0" w:firstColumn="0" w:lastColumn="0" w:oddVBand="1" w:evenVBand="0" w:oddHBand="0" w:evenHBand="0" w:firstRowFirstColumn="0" w:firstRowLastColumn="0" w:lastRowFirstColumn="0" w:lastRowLastColumn="0"/>
            <w:tcW w:w="3275" w:type="dxa"/>
            <w:tcBorders>
              <w:bottom w:val="single" w:sz="2" w:space="0" w:color="4BACC6" w:themeColor="accent5"/>
              <w:right w:val="single" w:sz="2" w:space="0" w:color="4BACC6" w:themeColor="accent5"/>
            </w:tcBorders>
            <w:shd w:val="clear" w:color="auto" w:fill="4BACC6" w:themeFill="accent5"/>
            <w:noWrap/>
          </w:tcPr>
          <w:p w:rsidR="00203BAD" w:rsidRPr="00DE67FC" w:rsidRDefault="00203BAD" w:rsidP="002C155D">
            <w:pPr>
              <w:spacing w:after="0" w:line="240" w:lineRule="auto"/>
              <w:rPr>
                <w:rFonts w:asciiTheme="minorHAnsi" w:hAnsiTheme="minorHAnsi" w:cs="Arial"/>
                <w:b/>
                <w:bCs/>
                <w:color w:val="auto"/>
                <w:sz w:val="22"/>
                <w:szCs w:val="22"/>
              </w:rPr>
            </w:pPr>
          </w:p>
        </w:tc>
        <w:tc>
          <w:tcPr>
            <w:tcW w:w="1400" w:type="dxa"/>
            <w:tcBorders>
              <w:left w:val="single" w:sz="2" w:space="0" w:color="4BACC6" w:themeColor="accent5"/>
              <w:bottom w:val="single" w:sz="2" w:space="0" w:color="4BACC6" w:themeColor="accent5"/>
              <w:right w:val="single" w:sz="2" w:space="0" w:color="4BACC6" w:themeColor="accent5"/>
            </w:tcBorders>
            <w:shd w:val="clear" w:color="auto" w:fill="4BACC6" w:themeFill="accent5"/>
          </w:tcPr>
          <w:p w:rsidR="00203BAD" w:rsidRPr="00DE67FC" w:rsidRDefault="00203BAD" w:rsidP="002C15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22"/>
                <w:szCs w:val="22"/>
              </w:rPr>
            </w:pPr>
            <w:r w:rsidRPr="00DE67FC">
              <w:rPr>
                <w:rFonts w:asciiTheme="minorHAnsi" w:hAnsiTheme="minorHAnsi" w:cs="Arial"/>
                <w:b/>
                <w:bCs/>
                <w:color w:val="auto"/>
                <w:sz w:val="22"/>
                <w:szCs w:val="22"/>
              </w:rPr>
              <w:t>2018/19</w:t>
            </w:r>
          </w:p>
        </w:tc>
        <w:tc>
          <w:tcPr>
            <w:cnfStyle w:val="000010000000" w:firstRow="0" w:lastRow="0" w:firstColumn="0" w:lastColumn="0" w:oddVBand="1" w:evenVBand="0" w:oddHBand="0" w:evenHBand="0" w:firstRowFirstColumn="0" w:firstRowLastColumn="0" w:lastRowFirstColumn="0" w:lastRowLastColumn="0"/>
            <w:tcW w:w="1440" w:type="dxa"/>
            <w:tcBorders>
              <w:left w:val="single" w:sz="2" w:space="0" w:color="4BACC6" w:themeColor="accent5"/>
              <w:bottom w:val="single" w:sz="2" w:space="0" w:color="4BACC6" w:themeColor="accent5"/>
              <w:right w:val="single" w:sz="2" w:space="0" w:color="4BACC6" w:themeColor="accent5"/>
            </w:tcBorders>
            <w:shd w:val="clear" w:color="auto" w:fill="4BACC6" w:themeFill="accent5"/>
          </w:tcPr>
          <w:p w:rsidR="00203BAD" w:rsidRPr="00DE67FC" w:rsidRDefault="00203BAD" w:rsidP="002C155D">
            <w:pPr>
              <w:spacing w:after="0" w:line="240" w:lineRule="auto"/>
              <w:jc w:val="center"/>
              <w:rPr>
                <w:rFonts w:asciiTheme="minorHAnsi" w:hAnsiTheme="minorHAnsi" w:cs="Arial"/>
                <w:b/>
                <w:bCs/>
                <w:color w:val="auto"/>
                <w:sz w:val="22"/>
                <w:szCs w:val="22"/>
              </w:rPr>
            </w:pPr>
            <w:r w:rsidRPr="00DE67FC">
              <w:rPr>
                <w:rFonts w:asciiTheme="minorHAnsi" w:hAnsiTheme="minorHAnsi" w:cs="Arial"/>
                <w:b/>
                <w:bCs/>
                <w:color w:val="auto"/>
                <w:sz w:val="22"/>
                <w:szCs w:val="22"/>
              </w:rPr>
              <w:t>2019/20</w:t>
            </w:r>
          </w:p>
        </w:tc>
        <w:tc>
          <w:tcPr>
            <w:tcW w:w="1260" w:type="dxa"/>
            <w:tcBorders>
              <w:left w:val="single" w:sz="2" w:space="0" w:color="4BACC6" w:themeColor="accent5"/>
              <w:bottom w:val="single" w:sz="2" w:space="0" w:color="4BACC6" w:themeColor="accent5"/>
              <w:right w:val="single" w:sz="2" w:space="0" w:color="4BACC6" w:themeColor="accent5"/>
            </w:tcBorders>
            <w:shd w:val="clear" w:color="auto" w:fill="4BACC6" w:themeFill="accent5"/>
          </w:tcPr>
          <w:p w:rsidR="00203BAD" w:rsidRPr="00DE67FC" w:rsidRDefault="00203BAD" w:rsidP="002C15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22"/>
                <w:szCs w:val="22"/>
              </w:rPr>
            </w:pPr>
            <w:r w:rsidRPr="00DE67FC">
              <w:rPr>
                <w:rFonts w:asciiTheme="minorHAnsi" w:hAnsiTheme="minorHAnsi" w:cs="Arial"/>
                <w:b/>
                <w:bCs/>
                <w:color w:val="auto"/>
                <w:sz w:val="22"/>
                <w:szCs w:val="22"/>
              </w:rPr>
              <w:t>2020/21</w:t>
            </w:r>
          </w:p>
        </w:tc>
      </w:tr>
      <w:tr w:rsidR="00203BAD" w:rsidRPr="0005794A" w:rsidTr="002C155D">
        <w:trPr>
          <w:trHeight w:hRule="exact" w:val="284"/>
          <w:jc w:val="center"/>
        </w:trPr>
        <w:tc>
          <w:tcPr>
            <w:cnfStyle w:val="000010000000" w:firstRow="0" w:lastRow="0" w:firstColumn="0" w:lastColumn="0" w:oddVBand="1" w:evenVBand="0" w:oddHBand="0" w:evenHBand="0" w:firstRowFirstColumn="0" w:firstRowLastColumn="0" w:lastRowFirstColumn="0" w:lastRowLastColumn="0"/>
            <w:tcW w:w="3275" w:type="dxa"/>
            <w:tcBorders>
              <w:top w:val="single" w:sz="2" w:space="0" w:color="4BACC6" w:themeColor="accent5"/>
              <w:right w:val="single" w:sz="2" w:space="0" w:color="4BACC6" w:themeColor="accent5"/>
            </w:tcBorders>
            <w:shd w:val="clear" w:color="auto" w:fill="4BACC6" w:themeFill="accent5"/>
            <w:noWrap/>
          </w:tcPr>
          <w:p w:rsidR="00203BAD" w:rsidRPr="00DE67FC" w:rsidRDefault="00203BAD" w:rsidP="002C155D">
            <w:pPr>
              <w:rPr>
                <w:rFonts w:asciiTheme="minorHAnsi" w:hAnsiTheme="minorHAnsi" w:cs="Arial"/>
                <w:b/>
                <w:bCs/>
                <w:color w:val="auto"/>
                <w:sz w:val="22"/>
                <w:szCs w:val="22"/>
              </w:rPr>
            </w:pPr>
          </w:p>
        </w:tc>
        <w:tc>
          <w:tcPr>
            <w:tcW w:w="1400" w:type="dxa"/>
            <w:tcBorders>
              <w:top w:val="single" w:sz="2" w:space="0" w:color="4BACC6" w:themeColor="accent5"/>
              <w:left w:val="single" w:sz="2" w:space="0" w:color="4BACC6" w:themeColor="accent5"/>
              <w:right w:val="single" w:sz="2" w:space="0" w:color="4BACC6" w:themeColor="accent5"/>
            </w:tcBorders>
            <w:shd w:val="clear" w:color="auto" w:fill="4BACC6" w:themeFill="accent5"/>
          </w:tcPr>
          <w:p w:rsidR="00203BAD" w:rsidRPr="00DE67FC" w:rsidRDefault="00203BAD" w:rsidP="002C15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22"/>
                <w:szCs w:val="22"/>
              </w:rPr>
            </w:pPr>
            <w:r w:rsidRPr="00DE67FC">
              <w:rPr>
                <w:rFonts w:asciiTheme="minorHAnsi" w:hAnsiTheme="minorHAnsi" w:cs="Arial"/>
                <w:bCs/>
                <w:color w:val="auto"/>
                <w:sz w:val="22"/>
                <w:szCs w:val="22"/>
              </w:rPr>
              <w:t>£m</w:t>
            </w:r>
          </w:p>
        </w:tc>
        <w:tc>
          <w:tcPr>
            <w:cnfStyle w:val="000010000000" w:firstRow="0" w:lastRow="0" w:firstColumn="0" w:lastColumn="0" w:oddVBand="1" w:evenVBand="0" w:oddHBand="0" w:evenHBand="0" w:firstRowFirstColumn="0" w:firstRowLastColumn="0" w:lastRowFirstColumn="0" w:lastRowLastColumn="0"/>
            <w:tcW w:w="1440" w:type="dxa"/>
            <w:tcBorders>
              <w:top w:val="single" w:sz="2" w:space="0" w:color="4BACC6" w:themeColor="accent5"/>
              <w:left w:val="single" w:sz="2" w:space="0" w:color="4BACC6" w:themeColor="accent5"/>
              <w:right w:val="single" w:sz="2" w:space="0" w:color="4BACC6" w:themeColor="accent5"/>
            </w:tcBorders>
            <w:shd w:val="clear" w:color="auto" w:fill="4BACC6" w:themeFill="accent5"/>
          </w:tcPr>
          <w:p w:rsidR="00203BAD" w:rsidRPr="00DE67FC" w:rsidRDefault="00203BAD" w:rsidP="002C155D">
            <w:pPr>
              <w:jc w:val="center"/>
              <w:rPr>
                <w:rFonts w:asciiTheme="minorHAnsi" w:hAnsiTheme="minorHAnsi" w:cs="Arial"/>
                <w:bCs/>
                <w:color w:val="auto"/>
                <w:sz w:val="22"/>
                <w:szCs w:val="22"/>
              </w:rPr>
            </w:pPr>
            <w:r w:rsidRPr="00DE67FC">
              <w:rPr>
                <w:rFonts w:asciiTheme="minorHAnsi" w:hAnsiTheme="minorHAnsi" w:cs="Arial"/>
                <w:bCs/>
                <w:color w:val="auto"/>
                <w:sz w:val="22"/>
                <w:szCs w:val="22"/>
              </w:rPr>
              <w:t>£m</w:t>
            </w:r>
          </w:p>
        </w:tc>
        <w:tc>
          <w:tcPr>
            <w:tcW w:w="1260" w:type="dxa"/>
            <w:tcBorders>
              <w:top w:val="single" w:sz="2" w:space="0" w:color="4BACC6" w:themeColor="accent5"/>
              <w:left w:val="single" w:sz="2" w:space="0" w:color="4BACC6" w:themeColor="accent5"/>
              <w:right w:val="single" w:sz="2" w:space="0" w:color="4BACC6" w:themeColor="accent5"/>
            </w:tcBorders>
            <w:shd w:val="clear" w:color="auto" w:fill="4BACC6" w:themeFill="accent5"/>
          </w:tcPr>
          <w:p w:rsidR="00203BAD" w:rsidRPr="00DE67FC" w:rsidRDefault="00203BAD" w:rsidP="002C15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sz w:val="22"/>
                <w:szCs w:val="22"/>
              </w:rPr>
            </w:pPr>
            <w:r w:rsidRPr="00DE67FC">
              <w:rPr>
                <w:rFonts w:asciiTheme="minorHAnsi" w:hAnsiTheme="minorHAnsi" w:cs="Arial"/>
                <w:bCs/>
                <w:color w:val="auto"/>
                <w:sz w:val="22"/>
                <w:szCs w:val="22"/>
              </w:rPr>
              <w:t>£m</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0010000000" w:firstRow="0" w:lastRow="0" w:firstColumn="0" w:lastColumn="0" w:oddVBand="1" w:evenVBand="0" w:oddHBand="0" w:evenHBand="0" w:firstRowFirstColumn="0" w:firstRowLastColumn="0" w:lastRowFirstColumn="0" w:lastRowLastColumn="0"/>
            <w:tcW w:w="3275" w:type="dxa"/>
            <w:tcBorders>
              <w:right w:val="single" w:sz="2" w:space="0" w:color="4BACC6" w:themeColor="accent5"/>
            </w:tcBorders>
            <w:shd w:val="clear" w:color="auto" w:fill="auto"/>
            <w:noWrap/>
          </w:tcPr>
          <w:p w:rsidR="00203BAD" w:rsidRPr="00DE67FC" w:rsidRDefault="00203BAD" w:rsidP="002C155D">
            <w:pPr>
              <w:rPr>
                <w:rFonts w:asciiTheme="minorHAnsi" w:hAnsiTheme="minorHAnsi" w:cs="Arial"/>
                <w:color w:val="auto"/>
                <w:sz w:val="22"/>
                <w:szCs w:val="22"/>
              </w:rPr>
            </w:pPr>
            <w:r w:rsidRPr="00DE67FC">
              <w:rPr>
                <w:rFonts w:asciiTheme="minorHAnsi" w:hAnsiTheme="minorHAnsi" w:cs="Arial"/>
                <w:color w:val="auto"/>
                <w:sz w:val="22"/>
                <w:szCs w:val="22"/>
              </w:rPr>
              <w:t>Total Capital Expenditure</w:t>
            </w:r>
          </w:p>
        </w:tc>
        <w:tc>
          <w:tcPr>
            <w:tcW w:w="1400" w:type="dxa"/>
            <w:tcBorders>
              <w:left w:val="single" w:sz="2" w:space="0" w:color="4BACC6" w:themeColor="accent5"/>
              <w:right w:val="single" w:sz="2" w:space="0" w:color="4BACC6" w:themeColor="accent5"/>
            </w:tcBorders>
            <w:shd w:val="clear" w:color="auto" w:fill="auto"/>
          </w:tcPr>
          <w:p w:rsidR="00203BAD" w:rsidRPr="00DE67FC" w:rsidRDefault="00203BAD" w:rsidP="002C15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141</w:t>
            </w:r>
          </w:p>
        </w:tc>
        <w:tc>
          <w:tcPr>
            <w:cnfStyle w:val="000010000000" w:firstRow="0" w:lastRow="0" w:firstColumn="0" w:lastColumn="0" w:oddVBand="1" w:evenVBand="0" w:oddHBand="0" w:evenHBand="0" w:firstRowFirstColumn="0" w:firstRowLastColumn="0" w:lastRowFirstColumn="0" w:lastRowLastColumn="0"/>
            <w:tcW w:w="1440" w:type="dxa"/>
            <w:tcBorders>
              <w:left w:val="single" w:sz="2" w:space="0" w:color="4BACC6" w:themeColor="accent5"/>
              <w:right w:val="single" w:sz="2" w:space="0" w:color="4BACC6" w:themeColor="accent5"/>
            </w:tcBorders>
            <w:shd w:val="clear" w:color="auto" w:fill="auto"/>
          </w:tcPr>
          <w:p w:rsidR="00203BAD" w:rsidRPr="00DE67FC" w:rsidRDefault="00203BAD" w:rsidP="002C155D">
            <w:pPr>
              <w:jc w:val="center"/>
              <w:rPr>
                <w:rFonts w:asciiTheme="minorHAnsi" w:hAnsiTheme="minorHAnsi" w:cs="Arial"/>
                <w:color w:val="auto"/>
                <w:sz w:val="22"/>
                <w:szCs w:val="22"/>
              </w:rPr>
            </w:pPr>
            <w:r>
              <w:rPr>
                <w:rFonts w:asciiTheme="minorHAnsi" w:hAnsiTheme="minorHAnsi" w:cs="Arial"/>
                <w:color w:val="auto"/>
                <w:sz w:val="22"/>
                <w:szCs w:val="22"/>
              </w:rPr>
              <w:t>35</w:t>
            </w:r>
          </w:p>
        </w:tc>
        <w:tc>
          <w:tcPr>
            <w:tcW w:w="1260" w:type="dxa"/>
            <w:tcBorders>
              <w:left w:val="single" w:sz="2" w:space="0" w:color="4BACC6" w:themeColor="accent5"/>
            </w:tcBorders>
            <w:shd w:val="clear" w:color="auto" w:fill="auto"/>
          </w:tcPr>
          <w:p w:rsidR="00203BAD" w:rsidRPr="00DE67FC" w:rsidRDefault="00203BAD" w:rsidP="002C15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21</w:t>
            </w:r>
          </w:p>
        </w:tc>
      </w:tr>
    </w:tbl>
    <w:p w:rsidR="00203BAD" w:rsidRPr="0005794A" w:rsidRDefault="00203BAD" w:rsidP="00203BAD">
      <w:pPr>
        <w:pStyle w:val="BodyText"/>
        <w:widowControl w:val="0"/>
        <w:contextualSpacing/>
        <w:rPr>
          <w:rFonts w:asciiTheme="minorHAnsi" w:hAnsiTheme="minorHAnsi" w:cs="Arial"/>
          <w:color w:val="548DD4" w:themeColor="text2" w:themeTint="99"/>
          <w:sz w:val="22"/>
          <w:szCs w:val="22"/>
          <w:u w:val="single"/>
        </w:rPr>
      </w:pPr>
    </w:p>
    <w:p w:rsidR="00203BAD" w:rsidRPr="00DE67FC" w:rsidRDefault="00203BAD" w:rsidP="00203BAD">
      <w:pPr>
        <w:pStyle w:val="BodyText"/>
        <w:widowControl w:val="0"/>
        <w:rPr>
          <w:rFonts w:asciiTheme="minorHAnsi" w:hAnsiTheme="minorHAnsi" w:cs="Arial"/>
          <w:color w:val="auto"/>
          <w:sz w:val="22"/>
          <w:szCs w:val="22"/>
          <w:u w:val="single"/>
        </w:rPr>
      </w:pPr>
      <w:r w:rsidRPr="00DE67FC">
        <w:rPr>
          <w:rFonts w:asciiTheme="minorHAnsi" w:hAnsiTheme="minorHAnsi" w:cs="Arial"/>
          <w:color w:val="auto"/>
          <w:sz w:val="22"/>
          <w:szCs w:val="22"/>
          <w:u w:val="single"/>
        </w:rPr>
        <w:t>Borrowing and Investments</w:t>
      </w:r>
    </w:p>
    <w:p w:rsidR="00203BAD" w:rsidRDefault="00203BAD" w:rsidP="00203BAD">
      <w:pPr>
        <w:pStyle w:val="BodyText"/>
        <w:widowControl w:val="0"/>
        <w:rPr>
          <w:rFonts w:asciiTheme="minorHAnsi" w:hAnsiTheme="minorHAnsi" w:cs="Arial"/>
          <w:color w:val="548DD4" w:themeColor="text2" w:themeTint="99"/>
          <w:sz w:val="22"/>
          <w:szCs w:val="22"/>
        </w:rPr>
      </w:pPr>
      <w:r w:rsidRPr="00113779">
        <w:rPr>
          <w:rFonts w:asciiTheme="minorHAnsi" w:hAnsiTheme="minorHAnsi" w:cs="Arial"/>
          <w:color w:val="auto"/>
          <w:sz w:val="22"/>
          <w:szCs w:val="22"/>
        </w:rPr>
        <w:t>The Council undertakes borrowing to support its capital expenditure.  As at 31 March 2018 the Council had £273 million of borrowing, primarily from the Public Works Loans Board, an increase of £120m in year.</w:t>
      </w:r>
      <w:r w:rsidRPr="0005794A">
        <w:rPr>
          <w:rFonts w:asciiTheme="minorHAnsi" w:hAnsiTheme="minorHAnsi" w:cs="Arial"/>
          <w:color w:val="548DD4" w:themeColor="text2" w:themeTint="99"/>
          <w:sz w:val="22"/>
          <w:szCs w:val="22"/>
        </w:rPr>
        <w:t xml:space="preserve">  </w:t>
      </w:r>
      <w:r w:rsidRPr="00F612EB">
        <w:rPr>
          <w:rFonts w:asciiTheme="minorHAnsi" w:hAnsiTheme="minorHAnsi" w:cs="Arial"/>
          <w:color w:val="auto"/>
          <w:sz w:val="22"/>
          <w:szCs w:val="22"/>
        </w:rPr>
        <w:t>In addition, it had a long term liability of £7 million to the PFI contractor for The Spires (formerly Westlands) and Homelands schools and a liability of £12 million in relation to the Council’s share of the Energy from Waste Facility in Plymouth. The Council had £65 million (£42m in 2016/17) of cash investments at year end with a net debt position of £227 million (compared with £13</w:t>
      </w:r>
      <w:r w:rsidR="00926139">
        <w:rPr>
          <w:rFonts w:asciiTheme="minorHAnsi" w:hAnsiTheme="minorHAnsi" w:cs="Arial"/>
          <w:color w:val="auto"/>
          <w:sz w:val="22"/>
          <w:szCs w:val="22"/>
        </w:rPr>
        <w:t>0</w:t>
      </w:r>
      <w:r w:rsidRPr="00F612EB">
        <w:rPr>
          <w:rFonts w:asciiTheme="minorHAnsi" w:hAnsiTheme="minorHAnsi" w:cs="Arial"/>
          <w:color w:val="auto"/>
          <w:sz w:val="22"/>
          <w:szCs w:val="22"/>
        </w:rPr>
        <w:t xml:space="preserve"> million in 2016/17).</w:t>
      </w:r>
      <w:r w:rsidRPr="0005794A">
        <w:rPr>
          <w:rFonts w:asciiTheme="minorHAnsi" w:hAnsiTheme="minorHAnsi" w:cs="Arial"/>
          <w:color w:val="548DD4" w:themeColor="text2" w:themeTint="99"/>
          <w:sz w:val="22"/>
          <w:szCs w:val="22"/>
        </w:rPr>
        <w:t xml:space="preserve"> </w:t>
      </w:r>
    </w:p>
    <w:p w:rsidR="00203BAD" w:rsidRPr="00F612EB" w:rsidRDefault="00203BAD" w:rsidP="00203BAD">
      <w:pPr>
        <w:pStyle w:val="BodyText"/>
        <w:widowControl w:val="0"/>
        <w:rPr>
          <w:rFonts w:asciiTheme="minorHAnsi" w:hAnsiTheme="minorHAnsi" w:cs="Arial"/>
          <w:color w:val="auto"/>
          <w:sz w:val="22"/>
          <w:szCs w:val="22"/>
        </w:rPr>
      </w:pPr>
      <w:r w:rsidRPr="00F612EB">
        <w:rPr>
          <w:rFonts w:asciiTheme="minorHAnsi" w:hAnsiTheme="minorHAnsi" w:cs="Arial"/>
          <w:color w:val="auto"/>
          <w:sz w:val="22"/>
          <w:szCs w:val="22"/>
        </w:rPr>
        <w:t>The key factor in the significant increase in net debt is a direct result of the Council purchasing Investment Properties, funded by borrowing at hi</w:t>
      </w:r>
      <w:r>
        <w:rPr>
          <w:rFonts w:asciiTheme="minorHAnsi" w:hAnsiTheme="minorHAnsi" w:cs="Arial"/>
          <w:color w:val="auto"/>
          <w:sz w:val="22"/>
          <w:szCs w:val="22"/>
        </w:rPr>
        <w:t xml:space="preserve">storically </w:t>
      </w:r>
      <w:r w:rsidRPr="00F612EB">
        <w:rPr>
          <w:rFonts w:asciiTheme="minorHAnsi" w:hAnsiTheme="minorHAnsi" w:cs="Arial"/>
          <w:color w:val="auto"/>
          <w:sz w:val="22"/>
          <w:szCs w:val="22"/>
        </w:rPr>
        <w:t>low levels, to generate an income stream to support the Council’s budget. In 2017/18 the Council spent over £98m on such properties.</w:t>
      </w:r>
    </w:p>
    <w:p w:rsidR="00130499" w:rsidRDefault="00203BAD" w:rsidP="00203BAD">
      <w:pPr>
        <w:pStyle w:val="BodyText"/>
        <w:widowControl w:val="0"/>
        <w:rPr>
          <w:rFonts w:asciiTheme="minorHAnsi" w:hAnsiTheme="minorHAnsi" w:cs="Arial"/>
          <w:color w:val="auto"/>
          <w:sz w:val="22"/>
          <w:szCs w:val="22"/>
        </w:rPr>
      </w:pPr>
      <w:r w:rsidRPr="00736DB0">
        <w:rPr>
          <w:rFonts w:asciiTheme="minorHAnsi" w:hAnsiTheme="minorHAnsi" w:cs="Arial"/>
          <w:color w:val="auto"/>
          <w:sz w:val="22"/>
          <w:szCs w:val="22"/>
        </w:rPr>
        <w:t>The control over the level of Council borrowing is supported by the Prudential Code where the Council has to set limits in relation to its treasury management including limits for long term borrowing and liabilities to ensure that this is prudent and affordable.  One of these indicators is a calculation called the Capital Financing Requirement which shows the Council’s underlying need to borrow based on previous decisions on capital expenditure and borrowing offset by any repayment of principal made or other capital funding used.  The key figures, in relation to borrowing and capital financing, are as follows:</w:t>
      </w:r>
    </w:p>
    <w:p w:rsidR="00FC1EDD" w:rsidRDefault="00FC1EDD" w:rsidP="00203BAD">
      <w:pPr>
        <w:pStyle w:val="BodyText"/>
        <w:widowControl w:val="0"/>
        <w:rPr>
          <w:rFonts w:asciiTheme="minorHAnsi" w:hAnsiTheme="minorHAnsi" w:cs="Arial"/>
          <w:color w:val="auto"/>
          <w:sz w:val="22"/>
          <w:szCs w:val="22"/>
        </w:rPr>
      </w:pPr>
    </w:p>
    <w:p w:rsidR="00FC1EDD" w:rsidRPr="00736DB0" w:rsidRDefault="00FC1EDD" w:rsidP="00203BAD">
      <w:pPr>
        <w:pStyle w:val="BodyText"/>
        <w:widowControl w:val="0"/>
        <w:rPr>
          <w:rFonts w:asciiTheme="minorHAnsi" w:hAnsiTheme="minorHAnsi" w:cs="Arial"/>
          <w:color w:val="auto"/>
          <w:sz w:val="22"/>
          <w:szCs w:val="22"/>
        </w:rPr>
      </w:pPr>
    </w:p>
    <w:tbl>
      <w:tblPr>
        <w:tblStyle w:val="ListTable4-Accent51"/>
        <w:tblW w:w="9214" w:type="dxa"/>
        <w:jc w:val="center"/>
        <w:tblBorders>
          <w:top w:val="single" w:sz="2" w:space="0" w:color="4BACC6" w:themeColor="accent5"/>
          <w:left w:val="single" w:sz="2" w:space="0" w:color="4BACC6" w:themeColor="accent5"/>
          <w:bottom w:val="single" w:sz="2" w:space="0" w:color="4BACC6" w:themeColor="accent5"/>
          <w:right w:val="single" w:sz="2" w:space="0" w:color="4BACC6" w:themeColor="accent5"/>
          <w:insideH w:val="single" w:sz="2" w:space="0" w:color="4BACC6" w:themeColor="accent5"/>
          <w:insideV w:val="single" w:sz="2" w:space="0" w:color="4BACC6" w:themeColor="accent5"/>
        </w:tblBorders>
        <w:tblLook w:val="01E0" w:firstRow="1" w:lastRow="1" w:firstColumn="1" w:lastColumn="1" w:noHBand="0" w:noVBand="0"/>
      </w:tblPr>
      <w:tblGrid>
        <w:gridCol w:w="5637"/>
        <w:gridCol w:w="1858"/>
        <w:gridCol w:w="1719"/>
      </w:tblGrid>
      <w:tr w:rsidR="00203BAD" w:rsidRPr="0005794A" w:rsidTr="002C155D">
        <w:trPr>
          <w:cnfStyle w:val="100000000000" w:firstRow="1" w:lastRow="0" w:firstColumn="0" w:lastColumn="0" w:oddVBand="0" w:evenVBand="0" w:oddHBand="0" w:evenHBand="0" w:firstRowFirstColumn="0" w:firstRowLastColumn="0" w:lastRowFirstColumn="0" w:lastRowLastColumn="0"/>
          <w:trHeight w:hRule="exact" w:val="652"/>
          <w:jc w:val="center"/>
        </w:trPr>
        <w:tc>
          <w:tcPr>
            <w:cnfStyle w:val="001000000000" w:firstRow="0" w:lastRow="0" w:firstColumn="1" w:lastColumn="0" w:oddVBand="0" w:evenVBand="0" w:oddHBand="0" w:evenHBand="0" w:firstRowFirstColumn="0" w:firstRowLastColumn="0" w:lastRowFirstColumn="0" w:lastRowLastColumn="0"/>
            <w:tcW w:w="5637" w:type="dxa"/>
          </w:tcPr>
          <w:p w:rsidR="00203BAD" w:rsidRPr="00DE67FC" w:rsidRDefault="00203BAD" w:rsidP="002C155D">
            <w:pPr>
              <w:pStyle w:val="BodyText"/>
              <w:widowControl w:val="0"/>
              <w:rPr>
                <w:rFonts w:asciiTheme="minorHAnsi" w:hAnsiTheme="minorHAnsi" w:cs="Arial"/>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58" w:type="dxa"/>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31 March 2017 £m</w:t>
            </w:r>
          </w:p>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2014 £m</w:t>
            </w:r>
          </w:p>
        </w:tc>
        <w:tc>
          <w:tcPr>
            <w:cnfStyle w:val="000100000000" w:firstRow="0" w:lastRow="0" w:firstColumn="0" w:lastColumn="1" w:oddVBand="0" w:evenVBand="0" w:oddHBand="0" w:evenHBand="0" w:firstRowFirstColumn="0" w:firstRowLastColumn="0" w:lastRowFirstColumn="0" w:lastRowLastColumn="0"/>
            <w:tcW w:w="1719" w:type="dxa"/>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31 March 2018 £m</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color w:val="auto"/>
                <w:sz w:val="22"/>
                <w:szCs w:val="22"/>
              </w:rPr>
            </w:pPr>
            <w:r w:rsidRPr="00DE67FC">
              <w:rPr>
                <w:rFonts w:asciiTheme="minorHAnsi" w:hAnsiTheme="minorHAnsi" w:cs="Arial"/>
                <w:color w:val="auto"/>
                <w:sz w:val="22"/>
                <w:szCs w:val="22"/>
              </w:rPr>
              <w:t>Balance Sheet Values: (principal)</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b w:val="0"/>
                <w:color w:val="auto"/>
                <w:sz w:val="22"/>
                <w:szCs w:val="22"/>
              </w:rPr>
            </w:pPr>
          </w:p>
        </w:tc>
      </w:tr>
      <w:tr w:rsidR="00203BAD" w:rsidRPr="0005794A"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b w:val="0"/>
                <w:color w:val="auto"/>
                <w:sz w:val="22"/>
                <w:szCs w:val="22"/>
              </w:rPr>
            </w:pPr>
            <w:r w:rsidRPr="00DE67FC">
              <w:rPr>
                <w:rFonts w:asciiTheme="minorHAnsi" w:hAnsiTheme="minorHAnsi" w:cs="Arial"/>
                <w:b w:val="0"/>
                <w:color w:val="auto"/>
                <w:sz w:val="22"/>
                <w:szCs w:val="22"/>
              </w:rPr>
              <w:t>External Borrowing *</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153</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273</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b w:val="0"/>
                <w:color w:val="auto"/>
                <w:sz w:val="22"/>
                <w:szCs w:val="22"/>
              </w:rPr>
            </w:pPr>
            <w:r w:rsidRPr="00DE67FC">
              <w:rPr>
                <w:rFonts w:asciiTheme="minorHAnsi" w:hAnsiTheme="minorHAnsi" w:cs="Arial"/>
                <w:b w:val="0"/>
                <w:color w:val="auto"/>
                <w:sz w:val="22"/>
                <w:szCs w:val="22"/>
              </w:rPr>
              <w:t>Long Term Liabilities (PFI)</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19</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19</w:t>
            </w:r>
          </w:p>
        </w:tc>
      </w:tr>
      <w:tr w:rsidR="00203BAD" w:rsidRPr="0005794A"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b w:val="0"/>
                <w:color w:val="auto"/>
                <w:sz w:val="22"/>
                <w:szCs w:val="22"/>
              </w:rPr>
            </w:pPr>
            <w:r w:rsidRPr="00DE67FC">
              <w:rPr>
                <w:rFonts w:asciiTheme="minorHAnsi" w:hAnsiTheme="minorHAnsi" w:cs="Arial"/>
                <w:b w:val="0"/>
                <w:color w:val="auto"/>
                <w:sz w:val="22"/>
                <w:szCs w:val="22"/>
              </w:rPr>
              <w:t>External Investments *</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(42)</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33604B">
              <w:rPr>
                <w:rFonts w:asciiTheme="minorHAnsi" w:hAnsiTheme="minorHAnsi" w:cs="Arial"/>
                <w:color w:val="auto"/>
                <w:sz w:val="22"/>
                <w:szCs w:val="22"/>
              </w:rPr>
              <w:t>(65)</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color w:val="auto"/>
                <w:sz w:val="22"/>
                <w:szCs w:val="22"/>
              </w:rPr>
            </w:pPr>
            <w:r w:rsidRPr="00DE67FC">
              <w:rPr>
                <w:rFonts w:asciiTheme="minorHAnsi" w:hAnsiTheme="minorHAnsi" w:cs="Arial"/>
                <w:color w:val="auto"/>
                <w:sz w:val="22"/>
                <w:szCs w:val="22"/>
              </w:rPr>
              <w:t>Net Debt</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130</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227</w:t>
            </w:r>
          </w:p>
        </w:tc>
      </w:tr>
      <w:tr w:rsidR="00203BAD" w:rsidRPr="0005794A"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color w:val="auto"/>
                <w:sz w:val="22"/>
                <w:szCs w:val="22"/>
              </w:rPr>
            </w:pPr>
            <w:r w:rsidRPr="00DE67FC">
              <w:rPr>
                <w:rFonts w:asciiTheme="minorHAnsi" w:hAnsiTheme="minorHAnsi" w:cs="Arial"/>
                <w:color w:val="auto"/>
                <w:sz w:val="22"/>
                <w:szCs w:val="22"/>
              </w:rPr>
              <w:t>Treasury Management Limits:</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b w:val="0"/>
                <w:color w:val="auto"/>
                <w:sz w:val="22"/>
                <w:szCs w:val="22"/>
              </w:rPr>
            </w:pPr>
            <w:r w:rsidRPr="00DE67FC">
              <w:rPr>
                <w:rFonts w:asciiTheme="minorHAnsi" w:hAnsiTheme="minorHAnsi" w:cs="Arial"/>
                <w:b w:val="0"/>
                <w:color w:val="auto"/>
                <w:sz w:val="22"/>
                <w:szCs w:val="22"/>
              </w:rPr>
              <w:t>Capital Financing Requirement</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174</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33604B" w:rsidRDefault="00203BAD" w:rsidP="002C155D">
            <w:pPr>
              <w:pStyle w:val="BodyText"/>
              <w:widowControl w:val="0"/>
              <w:jc w:val="center"/>
              <w:rPr>
                <w:rFonts w:asciiTheme="minorHAnsi" w:hAnsiTheme="minorHAnsi" w:cs="Arial"/>
                <w:color w:val="auto"/>
                <w:sz w:val="22"/>
                <w:szCs w:val="22"/>
              </w:rPr>
            </w:pPr>
            <w:r w:rsidRPr="0033604B">
              <w:rPr>
                <w:rFonts w:asciiTheme="minorHAnsi" w:hAnsiTheme="minorHAnsi" w:cs="Arial"/>
                <w:color w:val="auto"/>
                <w:sz w:val="22"/>
                <w:szCs w:val="22"/>
              </w:rPr>
              <w:t>280</w:t>
            </w:r>
          </w:p>
        </w:tc>
      </w:tr>
      <w:tr w:rsidR="00203BAD" w:rsidRPr="0005794A"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b w:val="0"/>
                <w:color w:val="auto"/>
                <w:sz w:val="22"/>
                <w:szCs w:val="22"/>
              </w:rPr>
            </w:pPr>
            <w:r w:rsidRPr="00DE67FC">
              <w:rPr>
                <w:rFonts w:asciiTheme="minorHAnsi" w:hAnsiTheme="minorHAnsi" w:cs="Arial"/>
                <w:b w:val="0"/>
                <w:color w:val="auto"/>
                <w:sz w:val="22"/>
                <w:szCs w:val="22"/>
              </w:rPr>
              <w:t>Authorised Limit</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234</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330</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b w:val="0"/>
                <w:color w:val="auto"/>
                <w:sz w:val="22"/>
                <w:szCs w:val="22"/>
              </w:rPr>
            </w:pPr>
            <w:r w:rsidRPr="00DE67FC">
              <w:rPr>
                <w:rFonts w:asciiTheme="minorHAnsi" w:hAnsiTheme="minorHAnsi" w:cs="Arial"/>
                <w:b w:val="0"/>
                <w:color w:val="auto"/>
                <w:sz w:val="22"/>
                <w:szCs w:val="22"/>
              </w:rPr>
              <w:t>Operational Limit</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207</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310</w:t>
            </w:r>
          </w:p>
        </w:tc>
      </w:tr>
      <w:tr w:rsidR="00203BAD" w:rsidRPr="0005794A"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color w:val="auto"/>
                <w:sz w:val="22"/>
                <w:szCs w:val="22"/>
              </w:rPr>
            </w:pPr>
            <w:r w:rsidRPr="00DE67FC">
              <w:rPr>
                <w:rFonts w:asciiTheme="minorHAnsi" w:hAnsiTheme="minorHAnsi" w:cs="Arial"/>
                <w:color w:val="auto"/>
                <w:sz w:val="22"/>
                <w:szCs w:val="22"/>
              </w:rPr>
              <w:t>Revenue Income &amp; Expenditure:</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2016/17</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2017/18</w:t>
            </w:r>
          </w:p>
        </w:tc>
      </w:tr>
      <w:tr w:rsidR="00203BAD" w:rsidRPr="0005794A"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b w:val="0"/>
                <w:color w:val="auto"/>
                <w:sz w:val="22"/>
                <w:szCs w:val="22"/>
              </w:rPr>
            </w:pPr>
            <w:r w:rsidRPr="00DE67FC">
              <w:rPr>
                <w:rFonts w:asciiTheme="minorHAnsi" w:hAnsiTheme="minorHAnsi" w:cs="Arial"/>
                <w:b w:val="0"/>
                <w:color w:val="auto"/>
                <w:sz w:val="22"/>
                <w:szCs w:val="22"/>
              </w:rPr>
              <w:t xml:space="preserve">Interest Receivable </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(0.6)</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(0.6)</w:t>
            </w:r>
          </w:p>
        </w:tc>
      </w:tr>
      <w:tr w:rsidR="00203BAD" w:rsidRPr="0005794A" w:rsidTr="002C155D">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b w:val="0"/>
                <w:color w:val="auto"/>
                <w:sz w:val="22"/>
                <w:szCs w:val="22"/>
              </w:rPr>
            </w:pPr>
            <w:r w:rsidRPr="00DE67FC">
              <w:rPr>
                <w:rFonts w:asciiTheme="minorHAnsi" w:hAnsiTheme="minorHAnsi" w:cs="Arial"/>
                <w:b w:val="0"/>
                <w:color w:val="auto"/>
                <w:sz w:val="22"/>
                <w:szCs w:val="22"/>
              </w:rPr>
              <w:t xml:space="preserve">Interest Payable </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6.1</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7.9</w:t>
            </w:r>
          </w:p>
        </w:tc>
      </w:tr>
      <w:tr w:rsidR="00203BAD" w:rsidRPr="0005794A" w:rsidTr="002C155D">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b w:val="0"/>
                <w:color w:val="auto"/>
                <w:sz w:val="22"/>
                <w:szCs w:val="22"/>
              </w:rPr>
            </w:pPr>
            <w:r w:rsidRPr="00DE67FC">
              <w:rPr>
                <w:rFonts w:asciiTheme="minorHAnsi" w:hAnsiTheme="minorHAnsi" w:cs="Arial"/>
                <w:b w:val="0"/>
                <w:color w:val="auto"/>
                <w:sz w:val="22"/>
                <w:szCs w:val="22"/>
              </w:rPr>
              <w:t>MRP Repayment (including PFI)</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3.4</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926139">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3.</w:t>
            </w:r>
            <w:r w:rsidR="00926139">
              <w:rPr>
                <w:rFonts w:asciiTheme="minorHAnsi" w:hAnsiTheme="minorHAnsi" w:cs="Arial"/>
                <w:color w:val="auto"/>
                <w:sz w:val="22"/>
                <w:szCs w:val="22"/>
              </w:rPr>
              <w:t>8</w:t>
            </w:r>
          </w:p>
        </w:tc>
      </w:tr>
      <w:tr w:rsidR="00203BAD" w:rsidRPr="0005794A" w:rsidTr="002C155D">
        <w:trPr>
          <w:cnfStyle w:val="010000000000" w:firstRow="0" w:lastRow="1" w:firstColumn="0" w:lastColumn="0" w:oddVBand="0" w:evenVBand="0" w:oddHBand="0" w:evenHBand="0" w:firstRowFirstColumn="0" w:firstRowLastColumn="0" w:lastRowFirstColumn="0" w:lastRowLastColumn="0"/>
          <w:trHeight w:hRule="exact" w:val="588"/>
          <w:jc w:val="cent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rsidR="00203BAD" w:rsidRPr="00DE67FC" w:rsidRDefault="00203BAD" w:rsidP="002C155D">
            <w:pPr>
              <w:pStyle w:val="BodyText"/>
              <w:widowControl w:val="0"/>
              <w:rPr>
                <w:rFonts w:asciiTheme="minorHAnsi" w:hAnsiTheme="minorHAnsi" w:cs="Arial"/>
                <w:b w:val="0"/>
                <w:color w:val="auto"/>
                <w:sz w:val="22"/>
                <w:szCs w:val="22"/>
              </w:rPr>
            </w:pPr>
            <w:r w:rsidRPr="00DE67FC">
              <w:rPr>
                <w:rFonts w:asciiTheme="minorHAnsi" w:hAnsiTheme="minorHAnsi" w:cs="Arial"/>
                <w:b w:val="0"/>
                <w:color w:val="auto"/>
                <w:sz w:val="22"/>
                <w:szCs w:val="22"/>
              </w:rPr>
              <w:t>Ratio of net financing costs to net revenue (excluding revenue contributions to capital).</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sidRPr="00DE67FC">
              <w:rPr>
                <w:rFonts w:asciiTheme="minorHAnsi" w:hAnsiTheme="minorHAnsi" w:cs="Arial"/>
                <w:color w:val="auto"/>
                <w:sz w:val="22"/>
                <w:szCs w:val="22"/>
              </w:rPr>
              <w:t>9%</w:t>
            </w:r>
          </w:p>
        </w:tc>
        <w:tc>
          <w:tcPr>
            <w:cnfStyle w:val="000100000000" w:firstRow="0" w:lastRow="0" w:firstColumn="0" w:lastColumn="1" w:oddVBand="0" w:evenVBand="0" w:oddHBand="0" w:evenHBand="0" w:firstRowFirstColumn="0" w:firstRowLastColumn="0" w:lastRowFirstColumn="0" w:lastRowLastColumn="0"/>
            <w:tcW w:w="1719" w:type="dxa"/>
            <w:shd w:val="clear" w:color="auto" w:fill="auto"/>
          </w:tcPr>
          <w:p w:rsidR="00203BAD" w:rsidRPr="00DE67FC" w:rsidRDefault="00203BAD" w:rsidP="002C155D">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10%</w:t>
            </w:r>
          </w:p>
        </w:tc>
      </w:tr>
    </w:tbl>
    <w:p w:rsidR="00203BAD" w:rsidRPr="00D42B7B" w:rsidRDefault="00203BAD" w:rsidP="00203BAD">
      <w:pPr>
        <w:pStyle w:val="BodyText"/>
        <w:widowControl w:val="0"/>
        <w:spacing w:after="120"/>
        <w:rPr>
          <w:rFonts w:asciiTheme="minorHAnsi" w:hAnsiTheme="minorHAnsi" w:cs="Arial"/>
          <w:color w:val="auto"/>
          <w:sz w:val="16"/>
          <w:szCs w:val="16"/>
        </w:rPr>
      </w:pPr>
      <w:r w:rsidRPr="00D42B7B">
        <w:rPr>
          <w:rFonts w:asciiTheme="minorHAnsi" w:hAnsiTheme="minorHAnsi" w:cs="Arial"/>
          <w:color w:val="auto"/>
          <w:sz w:val="16"/>
          <w:szCs w:val="16"/>
        </w:rPr>
        <w:t>* note: these costs are per Treasury Management outturn report which excludes the accounting adjustments required for statutory reporting such as fair value adjustments.</w:t>
      </w:r>
    </w:p>
    <w:p w:rsidR="00203BAD" w:rsidRPr="00D42B7B" w:rsidRDefault="00203BAD" w:rsidP="00203BAD">
      <w:pPr>
        <w:pStyle w:val="BodyText"/>
        <w:widowControl w:val="0"/>
        <w:rPr>
          <w:rFonts w:asciiTheme="minorHAnsi" w:hAnsiTheme="minorHAnsi" w:cs="Arial"/>
          <w:color w:val="auto"/>
          <w:sz w:val="22"/>
          <w:szCs w:val="22"/>
        </w:rPr>
      </w:pPr>
      <w:r w:rsidRPr="00D42B7B">
        <w:rPr>
          <w:rFonts w:asciiTheme="minorHAnsi" w:hAnsiTheme="minorHAnsi" w:cs="Arial"/>
          <w:color w:val="auto"/>
          <w:sz w:val="22"/>
          <w:szCs w:val="22"/>
        </w:rPr>
        <w:t xml:space="preserve">The level of Council borrowing reflects the Council’s capital financing requirement plus the borrowing required by the approved four year Capital Plan. The Council’s investments and other cash holdings are sufficient to meet the Council’s short term cash requirements for revenue expenditure and any “cash backed” balance sheet items such as reserves and working capital. Additional borrowing to finance the council’s approved capital plan will be required as schemes, financed from borrowing, progress. These include further investment fund purchases, regeneration schemes and potential finance required for the Council’s housing strategy. </w:t>
      </w:r>
    </w:p>
    <w:p w:rsidR="00203BAD" w:rsidRPr="00F22120" w:rsidRDefault="00203BAD" w:rsidP="00203BAD">
      <w:pPr>
        <w:pStyle w:val="BodyText"/>
        <w:widowControl w:val="0"/>
        <w:rPr>
          <w:rFonts w:asciiTheme="minorHAnsi" w:hAnsiTheme="minorHAnsi" w:cs="Arial"/>
          <w:color w:val="auto"/>
          <w:sz w:val="22"/>
          <w:szCs w:val="22"/>
          <w:u w:val="single"/>
        </w:rPr>
      </w:pPr>
      <w:r w:rsidRPr="00F22120">
        <w:rPr>
          <w:rFonts w:asciiTheme="minorHAnsi" w:hAnsiTheme="minorHAnsi" w:cs="Arial"/>
          <w:color w:val="auto"/>
          <w:sz w:val="22"/>
          <w:szCs w:val="22"/>
          <w:u w:val="single"/>
        </w:rPr>
        <w:t>Significant Provisions</w:t>
      </w:r>
      <w:r>
        <w:rPr>
          <w:rFonts w:asciiTheme="minorHAnsi" w:hAnsiTheme="minorHAnsi" w:cs="Arial"/>
          <w:color w:val="auto"/>
          <w:sz w:val="22"/>
          <w:szCs w:val="22"/>
          <w:u w:val="single"/>
        </w:rPr>
        <w:t>,</w:t>
      </w:r>
      <w:r w:rsidRPr="00F22120">
        <w:rPr>
          <w:rFonts w:asciiTheme="minorHAnsi" w:hAnsiTheme="minorHAnsi" w:cs="Arial"/>
          <w:color w:val="auto"/>
          <w:sz w:val="22"/>
          <w:szCs w:val="22"/>
          <w:u w:val="single"/>
        </w:rPr>
        <w:t xml:space="preserve"> contingencies</w:t>
      </w:r>
      <w:r>
        <w:rPr>
          <w:rFonts w:asciiTheme="minorHAnsi" w:hAnsiTheme="minorHAnsi" w:cs="Arial"/>
          <w:color w:val="auto"/>
          <w:sz w:val="22"/>
          <w:szCs w:val="22"/>
          <w:u w:val="single"/>
        </w:rPr>
        <w:t xml:space="preserve"> or insurance contracts</w:t>
      </w:r>
    </w:p>
    <w:p w:rsidR="00203BAD" w:rsidRPr="00F22120" w:rsidRDefault="00203BAD" w:rsidP="00203BAD">
      <w:pPr>
        <w:pStyle w:val="BodyText"/>
        <w:widowControl w:val="0"/>
        <w:rPr>
          <w:rFonts w:asciiTheme="minorHAnsi" w:hAnsiTheme="minorHAnsi" w:cs="Arial"/>
          <w:color w:val="auto"/>
          <w:sz w:val="22"/>
          <w:szCs w:val="22"/>
        </w:rPr>
      </w:pPr>
      <w:r w:rsidRPr="00F22120">
        <w:rPr>
          <w:rFonts w:asciiTheme="minorHAnsi" w:hAnsiTheme="minorHAnsi" w:cs="Arial"/>
          <w:color w:val="auto"/>
          <w:sz w:val="22"/>
          <w:szCs w:val="22"/>
        </w:rPr>
        <w:t>The Council has provisions at year end of £</w:t>
      </w:r>
      <w:r w:rsidR="00926139">
        <w:rPr>
          <w:rFonts w:asciiTheme="minorHAnsi" w:hAnsiTheme="minorHAnsi" w:cs="Arial"/>
          <w:color w:val="auto"/>
          <w:sz w:val="22"/>
          <w:szCs w:val="22"/>
        </w:rPr>
        <w:t>2.1</w:t>
      </w:r>
      <w:r w:rsidRPr="00F22120">
        <w:rPr>
          <w:rFonts w:asciiTheme="minorHAnsi" w:hAnsiTheme="minorHAnsi" w:cs="Arial"/>
          <w:color w:val="auto"/>
          <w:sz w:val="22"/>
          <w:szCs w:val="22"/>
        </w:rPr>
        <w:t xml:space="preserve"> million (£1.9m million in 16/17) to meet known liabilities.  These are primarily in relation to insurance claims (submitted to the Council but are currently being investigated) and in relation to </w:t>
      </w:r>
      <w:r>
        <w:rPr>
          <w:rFonts w:asciiTheme="minorHAnsi" w:hAnsiTheme="minorHAnsi" w:cs="Arial"/>
          <w:color w:val="auto"/>
          <w:sz w:val="22"/>
          <w:szCs w:val="22"/>
        </w:rPr>
        <w:t xml:space="preserve">the Council’s share of </w:t>
      </w:r>
      <w:r w:rsidRPr="00F22120">
        <w:rPr>
          <w:rFonts w:asciiTheme="minorHAnsi" w:hAnsiTheme="minorHAnsi" w:cs="Arial"/>
          <w:color w:val="auto"/>
          <w:sz w:val="22"/>
          <w:szCs w:val="22"/>
        </w:rPr>
        <w:t xml:space="preserve">NNDR appeals. </w:t>
      </w:r>
    </w:p>
    <w:p w:rsidR="00203BAD" w:rsidRPr="00315B4F" w:rsidRDefault="00203BAD" w:rsidP="00203BAD">
      <w:pPr>
        <w:pStyle w:val="BodyText"/>
        <w:widowControl w:val="0"/>
        <w:rPr>
          <w:rFonts w:asciiTheme="minorHAnsi" w:hAnsiTheme="minorHAnsi" w:cs="Arial"/>
          <w:color w:val="auto"/>
          <w:sz w:val="22"/>
          <w:szCs w:val="22"/>
        </w:rPr>
      </w:pPr>
      <w:r w:rsidRPr="00315B4F">
        <w:rPr>
          <w:rFonts w:asciiTheme="minorHAnsi" w:hAnsiTheme="minorHAnsi" w:cs="Arial"/>
          <w:color w:val="auto"/>
          <w:sz w:val="22"/>
          <w:szCs w:val="22"/>
        </w:rPr>
        <w:t xml:space="preserve">The Council has given a number of pension guarantees as Council staff transferred to other bodies such as Torbay Development Agency. These are </w:t>
      </w:r>
      <w:r>
        <w:rPr>
          <w:rFonts w:asciiTheme="minorHAnsi" w:hAnsiTheme="minorHAnsi" w:cs="Arial"/>
          <w:color w:val="auto"/>
          <w:sz w:val="22"/>
          <w:szCs w:val="22"/>
        </w:rPr>
        <w:t xml:space="preserve">a type of insurance contract and are </w:t>
      </w:r>
      <w:r w:rsidRPr="00315B4F">
        <w:rPr>
          <w:rFonts w:asciiTheme="minorHAnsi" w:hAnsiTheme="minorHAnsi" w:cs="Arial"/>
          <w:color w:val="auto"/>
          <w:sz w:val="22"/>
          <w:szCs w:val="22"/>
        </w:rPr>
        <w:t>unlikely to r</w:t>
      </w:r>
      <w:r>
        <w:rPr>
          <w:rFonts w:asciiTheme="minorHAnsi" w:hAnsiTheme="minorHAnsi" w:cs="Arial"/>
          <w:color w:val="auto"/>
          <w:sz w:val="22"/>
          <w:szCs w:val="22"/>
        </w:rPr>
        <w:t>esult in a cash payment as long as the other body is solvent</w:t>
      </w:r>
      <w:r w:rsidRPr="00315B4F">
        <w:rPr>
          <w:rFonts w:asciiTheme="minorHAnsi" w:hAnsiTheme="minorHAnsi" w:cs="Arial"/>
          <w:color w:val="auto"/>
          <w:sz w:val="22"/>
          <w:szCs w:val="22"/>
        </w:rPr>
        <w:t xml:space="preserve">. As owner or part owner of several limited companies the Council has some exposure to risk but this is limited by share or guarantee. </w:t>
      </w:r>
    </w:p>
    <w:p w:rsidR="00203BAD" w:rsidRPr="0005794A" w:rsidRDefault="00203BAD" w:rsidP="00203BAD">
      <w:pPr>
        <w:pStyle w:val="BodyText"/>
        <w:widowControl w:val="0"/>
        <w:contextualSpacing/>
        <w:rPr>
          <w:rFonts w:asciiTheme="minorHAnsi" w:hAnsiTheme="minorHAnsi" w:cs="Arial"/>
          <w:color w:val="548DD4" w:themeColor="text2" w:themeTint="99"/>
          <w:sz w:val="22"/>
          <w:szCs w:val="22"/>
        </w:rPr>
      </w:pPr>
      <w:r w:rsidRPr="00391B76">
        <w:rPr>
          <w:rFonts w:asciiTheme="minorHAnsi" w:hAnsiTheme="minorHAnsi" w:cs="Arial"/>
          <w:color w:val="auto"/>
          <w:sz w:val="22"/>
          <w:szCs w:val="22"/>
          <w:u w:val="single"/>
        </w:rPr>
        <w:t>Signed by</w:t>
      </w:r>
      <w:r w:rsidRPr="00391B76">
        <w:rPr>
          <w:rFonts w:asciiTheme="minorHAnsi" w:hAnsiTheme="minorHAnsi" w:cs="Arial"/>
          <w:color w:val="auto"/>
          <w:sz w:val="22"/>
          <w:szCs w:val="22"/>
        </w:rPr>
        <w:t>:</w:t>
      </w:r>
      <w:r w:rsidRPr="00391B76">
        <w:rPr>
          <w:rFonts w:asciiTheme="minorHAnsi" w:hAnsiTheme="minorHAnsi" w:cs="Arial"/>
          <w:color w:val="auto"/>
          <w:sz w:val="22"/>
          <w:szCs w:val="22"/>
        </w:rPr>
        <w:tab/>
      </w:r>
      <w:r w:rsidRPr="0005794A">
        <w:rPr>
          <w:rFonts w:asciiTheme="minorHAnsi" w:hAnsiTheme="minorHAnsi" w:cs="Arial"/>
          <w:color w:val="548DD4" w:themeColor="text2" w:themeTint="99"/>
          <w:sz w:val="22"/>
          <w:szCs w:val="22"/>
        </w:rPr>
        <w:tab/>
      </w:r>
      <w:r w:rsidRPr="0005794A">
        <w:rPr>
          <w:rFonts w:asciiTheme="minorHAnsi" w:hAnsiTheme="minorHAnsi" w:cs="Arial"/>
          <w:color w:val="548DD4" w:themeColor="text2" w:themeTint="99"/>
          <w:sz w:val="22"/>
          <w:szCs w:val="22"/>
        </w:rPr>
        <w:tab/>
      </w:r>
      <w:r w:rsidRPr="0005794A">
        <w:rPr>
          <w:rFonts w:asciiTheme="minorHAnsi" w:hAnsiTheme="minorHAnsi" w:cs="Arial"/>
          <w:color w:val="548DD4" w:themeColor="text2" w:themeTint="99"/>
          <w:sz w:val="22"/>
          <w:szCs w:val="22"/>
        </w:rPr>
        <w:tab/>
      </w:r>
      <w:r w:rsidRPr="0005794A">
        <w:rPr>
          <w:rFonts w:asciiTheme="minorHAnsi" w:hAnsiTheme="minorHAnsi" w:cs="Arial"/>
          <w:color w:val="548DD4" w:themeColor="text2" w:themeTint="99"/>
          <w:sz w:val="22"/>
          <w:szCs w:val="22"/>
        </w:rPr>
        <w:tab/>
      </w:r>
      <w:r w:rsidRPr="00391B76">
        <w:rPr>
          <w:rFonts w:asciiTheme="minorHAnsi" w:hAnsiTheme="minorHAnsi" w:cs="Arial"/>
          <w:color w:val="auto"/>
          <w:sz w:val="22"/>
          <w:szCs w:val="22"/>
        </w:rPr>
        <w:t xml:space="preserve">        </w:t>
      </w:r>
      <w:r w:rsidRPr="0096533C">
        <w:rPr>
          <w:rFonts w:asciiTheme="minorHAnsi" w:hAnsiTheme="minorHAnsi" w:cs="Arial"/>
          <w:color w:val="auto"/>
          <w:sz w:val="22"/>
          <w:szCs w:val="22"/>
        </w:rPr>
        <w:t xml:space="preserve">Dated: </w:t>
      </w:r>
      <w:r w:rsidR="00A01F15">
        <w:rPr>
          <w:rFonts w:asciiTheme="minorHAnsi" w:hAnsiTheme="minorHAnsi" w:cs="Arial"/>
          <w:color w:val="auto"/>
          <w:sz w:val="22"/>
          <w:szCs w:val="22"/>
        </w:rPr>
        <w:t>31</w:t>
      </w:r>
      <w:r w:rsidRPr="0096533C">
        <w:rPr>
          <w:rFonts w:asciiTheme="minorHAnsi" w:hAnsiTheme="minorHAnsi" w:cs="Arial"/>
          <w:color w:val="auto"/>
          <w:sz w:val="22"/>
          <w:szCs w:val="22"/>
        </w:rPr>
        <w:t xml:space="preserve"> May 2018</w:t>
      </w:r>
    </w:p>
    <w:p w:rsidR="00203BAD" w:rsidRPr="0005794A" w:rsidRDefault="00203BAD" w:rsidP="00203BAD">
      <w:pPr>
        <w:pStyle w:val="BodyText"/>
        <w:widowControl w:val="0"/>
        <w:contextualSpacing/>
        <w:rPr>
          <w:rFonts w:asciiTheme="minorHAnsi" w:hAnsiTheme="minorHAnsi" w:cs="Arial"/>
          <w:color w:val="548DD4" w:themeColor="text2" w:themeTint="99"/>
          <w:sz w:val="22"/>
          <w:szCs w:val="22"/>
        </w:rPr>
      </w:pPr>
    </w:p>
    <w:p w:rsidR="00203BAD" w:rsidRDefault="00203BAD" w:rsidP="00203BAD">
      <w:pPr>
        <w:pStyle w:val="BodyText"/>
        <w:widowControl w:val="0"/>
        <w:contextualSpacing/>
        <w:rPr>
          <w:rFonts w:asciiTheme="minorHAnsi" w:hAnsiTheme="minorHAnsi" w:cs="Arial"/>
          <w:color w:val="548DD4" w:themeColor="text2" w:themeTint="99"/>
          <w:sz w:val="22"/>
          <w:szCs w:val="22"/>
        </w:rPr>
      </w:pPr>
    </w:p>
    <w:p w:rsidR="00130499" w:rsidRDefault="00130499" w:rsidP="00203BAD">
      <w:pPr>
        <w:pStyle w:val="BodyText"/>
        <w:widowControl w:val="0"/>
        <w:contextualSpacing/>
        <w:rPr>
          <w:rFonts w:asciiTheme="minorHAnsi" w:hAnsiTheme="minorHAnsi" w:cs="Arial"/>
          <w:color w:val="548DD4" w:themeColor="text2" w:themeTint="99"/>
          <w:sz w:val="22"/>
          <w:szCs w:val="22"/>
        </w:rPr>
      </w:pPr>
    </w:p>
    <w:p w:rsidR="00130499" w:rsidRDefault="00130499" w:rsidP="00203BAD">
      <w:pPr>
        <w:pStyle w:val="BodyText"/>
        <w:widowControl w:val="0"/>
        <w:contextualSpacing/>
        <w:rPr>
          <w:rFonts w:asciiTheme="minorHAnsi" w:hAnsiTheme="minorHAnsi" w:cs="Arial"/>
          <w:color w:val="548DD4" w:themeColor="text2" w:themeTint="99"/>
          <w:sz w:val="22"/>
          <w:szCs w:val="22"/>
        </w:rPr>
      </w:pPr>
    </w:p>
    <w:p w:rsidR="00130499" w:rsidRDefault="00130499" w:rsidP="00203BAD">
      <w:pPr>
        <w:pStyle w:val="BodyText"/>
        <w:widowControl w:val="0"/>
        <w:contextualSpacing/>
        <w:rPr>
          <w:rFonts w:asciiTheme="minorHAnsi" w:hAnsiTheme="minorHAnsi" w:cs="Arial"/>
          <w:color w:val="548DD4" w:themeColor="text2" w:themeTint="99"/>
          <w:sz w:val="22"/>
          <w:szCs w:val="22"/>
        </w:rPr>
      </w:pPr>
    </w:p>
    <w:p w:rsidR="0092589C" w:rsidRDefault="00203BAD" w:rsidP="00203BAD">
      <w:pPr>
        <w:spacing w:after="0" w:line="240" w:lineRule="auto"/>
        <w:rPr>
          <w:rFonts w:asciiTheme="minorHAnsi" w:hAnsiTheme="minorHAnsi" w:cs="Arial"/>
          <w:color w:val="auto"/>
          <w:sz w:val="22"/>
          <w:szCs w:val="22"/>
        </w:rPr>
      </w:pPr>
      <w:proofErr w:type="gramStart"/>
      <w:r>
        <w:rPr>
          <w:rFonts w:asciiTheme="minorHAnsi" w:hAnsiTheme="minorHAnsi" w:cs="Arial"/>
          <w:color w:val="auto"/>
          <w:sz w:val="22"/>
          <w:szCs w:val="22"/>
        </w:rPr>
        <w:t xml:space="preserve">Martin </w:t>
      </w:r>
      <w:r w:rsidR="0096533C">
        <w:rPr>
          <w:rFonts w:asciiTheme="minorHAnsi" w:hAnsiTheme="minorHAnsi" w:cs="Arial"/>
          <w:color w:val="auto"/>
          <w:sz w:val="22"/>
          <w:szCs w:val="22"/>
        </w:rPr>
        <w:t xml:space="preserve"> Phillips</w:t>
      </w:r>
      <w:proofErr w:type="gramEnd"/>
    </w:p>
    <w:p w:rsidR="0096533C" w:rsidRDefault="0096533C" w:rsidP="00203BAD">
      <w:pPr>
        <w:spacing w:after="0" w:line="240" w:lineRule="auto"/>
        <w:rPr>
          <w:rFonts w:asciiTheme="minorHAnsi" w:hAnsiTheme="minorHAnsi" w:cs="Arial"/>
          <w:color w:val="auto"/>
          <w:sz w:val="22"/>
          <w:szCs w:val="22"/>
        </w:rPr>
      </w:pPr>
      <w:r>
        <w:rPr>
          <w:rFonts w:asciiTheme="minorHAnsi" w:hAnsiTheme="minorHAnsi" w:cs="Arial"/>
          <w:color w:val="auto"/>
          <w:sz w:val="22"/>
          <w:szCs w:val="22"/>
        </w:rPr>
        <w:t>Head of Finance</w:t>
      </w:r>
    </w:p>
    <w:p w:rsidR="0096533C" w:rsidRPr="00391B76" w:rsidRDefault="0096533C" w:rsidP="00203BAD">
      <w:pPr>
        <w:spacing w:after="0" w:line="240" w:lineRule="auto"/>
        <w:rPr>
          <w:rFonts w:asciiTheme="minorHAnsi" w:hAnsiTheme="minorHAnsi" w:cs="Arial"/>
          <w:color w:val="auto"/>
          <w:sz w:val="22"/>
          <w:szCs w:val="22"/>
        </w:rPr>
        <w:sectPr w:rsidR="0096533C" w:rsidRPr="00391B76" w:rsidSect="00AF46FC">
          <w:headerReference w:type="default" r:id="rId29"/>
          <w:pgSz w:w="11906" w:h="16838" w:code="9"/>
          <w:pgMar w:top="1440" w:right="1440" w:bottom="1440" w:left="1440" w:header="544" w:footer="544" w:gutter="0"/>
          <w:cols w:space="708"/>
          <w:titlePg/>
          <w:docGrid w:linePitch="360"/>
        </w:sectPr>
      </w:pPr>
      <w:r>
        <w:rPr>
          <w:rFonts w:asciiTheme="minorHAnsi" w:hAnsiTheme="minorHAnsi" w:cs="Arial"/>
          <w:color w:val="auto"/>
          <w:sz w:val="22"/>
          <w:szCs w:val="22"/>
        </w:rPr>
        <w:t>Torbay Council</w:t>
      </w:r>
    </w:p>
    <w:p w:rsidR="000D34A1" w:rsidRPr="0005794A" w:rsidRDefault="000D34A1" w:rsidP="000D34A1">
      <w:pPr>
        <w:pStyle w:val="BodyText"/>
        <w:widowControl w:val="0"/>
        <w:contextualSpacing/>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jc w:val="center"/>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jc w:val="center"/>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jc w:val="center"/>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jc w:val="center"/>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jc w:val="center"/>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jc w:val="center"/>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jc w:val="center"/>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jc w:val="center"/>
        <w:rPr>
          <w:rFonts w:asciiTheme="minorHAnsi" w:hAnsiTheme="minorHAnsi" w:cs="Arial"/>
          <w:color w:val="548DD4" w:themeColor="text2" w:themeTint="99"/>
          <w:sz w:val="22"/>
          <w:szCs w:val="22"/>
          <w:u w:val="single"/>
        </w:rPr>
      </w:pPr>
    </w:p>
    <w:p w:rsidR="000D34A1" w:rsidRPr="0005794A" w:rsidRDefault="000D34A1" w:rsidP="000D34A1">
      <w:pPr>
        <w:pStyle w:val="BodyText"/>
        <w:widowControl w:val="0"/>
        <w:contextualSpacing/>
        <w:jc w:val="center"/>
        <w:rPr>
          <w:rFonts w:asciiTheme="minorHAnsi" w:hAnsiTheme="minorHAnsi" w:cs="Arial"/>
          <w:color w:val="548DD4" w:themeColor="text2" w:themeTint="99"/>
          <w:sz w:val="22"/>
          <w:szCs w:val="22"/>
          <w:u w:val="single"/>
        </w:rPr>
      </w:pPr>
    </w:p>
    <w:p w:rsidR="00114EA6" w:rsidRPr="00D01648" w:rsidRDefault="00E51139" w:rsidP="000D34A1">
      <w:pPr>
        <w:pStyle w:val="BodyText"/>
        <w:widowControl w:val="0"/>
        <w:contextualSpacing/>
        <w:jc w:val="center"/>
        <w:rPr>
          <w:rFonts w:asciiTheme="minorHAnsi" w:hAnsiTheme="minorHAnsi" w:cs="Arial"/>
          <w:color w:val="auto"/>
          <w:sz w:val="22"/>
          <w:szCs w:val="22"/>
          <w:u w:val="single"/>
        </w:rPr>
        <w:sectPr w:rsidR="00114EA6" w:rsidRPr="00D01648" w:rsidSect="00AF46FC">
          <w:headerReference w:type="first" r:id="rId30"/>
          <w:pgSz w:w="11906" w:h="16838" w:code="9"/>
          <w:pgMar w:top="1440" w:right="1440" w:bottom="1440" w:left="1440" w:header="544" w:footer="544" w:gutter="0"/>
          <w:cols w:space="708"/>
          <w:titlePg/>
          <w:docGrid w:linePitch="360"/>
        </w:sectPr>
      </w:pPr>
      <w:r w:rsidRPr="00D01648">
        <w:rPr>
          <w:rFonts w:cs="Arial"/>
          <w:b/>
          <w:color w:val="auto"/>
          <w:sz w:val="32"/>
          <w:szCs w:val="32"/>
        </w:rPr>
        <w:t>STATEMENT OF ACCOUNTS 201</w:t>
      </w:r>
      <w:r w:rsidR="00D01648" w:rsidRPr="00D01648">
        <w:rPr>
          <w:rFonts w:cs="Arial"/>
          <w:b/>
          <w:color w:val="auto"/>
          <w:sz w:val="32"/>
          <w:szCs w:val="32"/>
        </w:rPr>
        <w:t>7</w:t>
      </w:r>
      <w:r w:rsidR="00114EA6" w:rsidRPr="00D01648">
        <w:rPr>
          <w:rFonts w:cs="Arial"/>
          <w:b/>
          <w:color w:val="auto"/>
          <w:sz w:val="32"/>
          <w:szCs w:val="32"/>
        </w:rPr>
        <w:t>/1</w:t>
      </w:r>
      <w:r w:rsidR="00D01648" w:rsidRPr="00D01648">
        <w:rPr>
          <w:rFonts w:cs="Arial"/>
          <w:b/>
          <w:color w:val="auto"/>
          <w:sz w:val="32"/>
          <w:szCs w:val="32"/>
        </w:rPr>
        <w:t>8</w:t>
      </w:r>
    </w:p>
    <w:p w:rsidR="00BD5B25" w:rsidRPr="00D01648" w:rsidRDefault="00E51139" w:rsidP="008D0906">
      <w:pPr>
        <w:jc w:val="center"/>
        <w:outlineLvl w:val="0"/>
        <w:rPr>
          <w:b/>
          <w:color w:val="auto"/>
          <w:sz w:val="22"/>
          <w:szCs w:val="22"/>
        </w:rPr>
      </w:pPr>
      <w:r w:rsidRPr="00D01648">
        <w:rPr>
          <w:b/>
          <w:color w:val="auto"/>
          <w:sz w:val="22"/>
          <w:szCs w:val="22"/>
        </w:rPr>
        <w:lastRenderedPageBreak/>
        <w:t xml:space="preserve">STATEMENT OF ACCOUNTS </w:t>
      </w:r>
      <w:r w:rsidR="00321102" w:rsidRPr="00D01648">
        <w:rPr>
          <w:b/>
          <w:color w:val="auto"/>
          <w:sz w:val="22"/>
          <w:szCs w:val="22"/>
        </w:rPr>
        <w:t>201</w:t>
      </w:r>
      <w:r w:rsidR="00D01648" w:rsidRPr="00D01648">
        <w:rPr>
          <w:b/>
          <w:color w:val="auto"/>
          <w:sz w:val="22"/>
          <w:szCs w:val="22"/>
        </w:rPr>
        <w:t>7</w:t>
      </w:r>
      <w:r w:rsidR="00A85FEB" w:rsidRPr="00D01648">
        <w:rPr>
          <w:b/>
          <w:color w:val="auto"/>
          <w:sz w:val="22"/>
          <w:szCs w:val="22"/>
        </w:rPr>
        <w:t>/1</w:t>
      </w:r>
      <w:r w:rsidR="00D01648" w:rsidRPr="00D01648">
        <w:rPr>
          <w:b/>
          <w:color w:val="auto"/>
          <w:sz w:val="22"/>
          <w:szCs w:val="22"/>
        </w:rPr>
        <w:t>8</w:t>
      </w:r>
    </w:p>
    <w:p w:rsidR="003E4150" w:rsidRPr="0005794A" w:rsidRDefault="003E4150" w:rsidP="003E4150">
      <w:pPr>
        <w:jc w:val="center"/>
        <w:rPr>
          <w:b/>
          <w:color w:val="548DD4" w:themeColor="text2" w:themeTint="99"/>
          <w:sz w:val="20"/>
          <w:szCs w:val="20"/>
        </w:rPr>
      </w:pPr>
    </w:p>
    <w:tbl>
      <w:tblPr>
        <w:tblW w:w="9517"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A0" w:firstRow="1" w:lastRow="0" w:firstColumn="1" w:lastColumn="0" w:noHBand="0" w:noVBand="0"/>
      </w:tblPr>
      <w:tblGrid>
        <w:gridCol w:w="4077"/>
        <w:gridCol w:w="851"/>
        <w:gridCol w:w="3827"/>
        <w:gridCol w:w="762"/>
      </w:tblGrid>
      <w:tr w:rsidR="00E51139" w:rsidRPr="0005794A" w:rsidTr="00BE5B28">
        <w:tc>
          <w:tcPr>
            <w:tcW w:w="4077" w:type="dxa"/>
          </w:tcPr>
          <w:p w:rsidR="00E51139" w:rsidRPr="008B4D5B" w:rsidRDefault="00E51139" w:rsidP="00200444">
            <w:pPr>
              <w:widowControl w:val="0"/>
              <w:spacing w:after="0" w:line="240" w:lineRule="auto"/>
              <w:jc w:val="center"/>
              <w:rPr>
                <w:rFonts w:cs="Arial"/>
                <w:b/>
                <w:color w:val="auto"/>
                <w:sz w:val="20"/>
                <w:szCs w:val="20"/>
              </w:rPr>
            </w:pPr>
          </w:p>
        </w:tc>
        <w:tc>
          <w:tcPr>
            <w:tcW w:w="851" w:type="dxa"/>
          </w:tcPr>
          <w:p w:rsidR="00E51139" w:rsidRPr="008B4D5B" w:rsidRDefault="00E51139" w:rsidP="000B3B73">
            <w:pPr>
              <w:widowControl w:val="0"/>
              <w:spacing w:after="0" w:line="240" w:lineRule="auto"/>
              <w:jc w:val="center"/>
              <w:rPr>
                <w:rFonts w:cs="Arial"/>
                <w:color w:val="auto"/>
                <w:sz w:val="20"/>
                <w:szCs w:val="20"/>
              </w:rPr>
            </w:pPr>
          </w:p>
        </w:tc>
        <w:tc>
          <w:tcPr>
            <w:tcW w:w="3827" w:type="dxa"/>
          </w:tcPr>
          <w:p w:rsidR="00E51139" w:rsidRPr="008B4D5B" w:rsidRDefault="00E51139" w:rsidP="00A0020C">
            <w:pPr>
              <w:widowControl w:val="0"/>
              <w:spacing w:after="0" w:line="240" w:lineRule="auto"/>
              <w:rPr>
                <w:rFonts w:cs="Arial"/>
                <w:b/>
                <w:color w:val="auto"/>
                <w:sz w:val="20"/>
                <w:szCs w:val="20"/>
              </w:rPr>
            </w:pPr>
          </w:p>
        </w:tc>
        <w:tc>
          <w:tcPr>
            <w:tcW w:w="762" w:type="dxa"/>
          </w:tcPr>
          <w:p w:rsidR="00E51139" w:rsidRPr="008B4D5B" w:rsidRDefault="00E51139" w:rsidP="000B3B73">
            <w:pPr>
              <w:widowControl w:val="0"/>
              <w:spacing w:after="0" w:line="240" w:lineRule="auto"/>
              <w:jc w:val="center"/>
              <w:rPr>
                <w:rFonts w:cs="Arial"/>
                <w:color w:val="auto"/>
                <w:sz w:val="20"/>
                <w:szCs w:val="20"/>
              </w:rPr>
            </w:pPr>
          </w:p>
        </w:tc>
      </w:tr>
      <w:tr w:rsidR="00045B6D" w:rsidRPr="0005794A" w:rsidTr="00BE5B28">
        <w:tc>
          <w:tcPr>
            <w:tcW w:w="4077" w:type="dxa"/>
          </w:tcPr>
          <w:p w:rsidR="00045B6D" w:rsidRPr="008B4D5B" w:rsidRDefault="00045B6D" w:rsidP="00A0020C">
            <w:pPr>
              <w:widowControl w:val="0"/>
              <w:spacing w:after="0" w:line="240" w:lineRule="auto"/>
              <w:rPr>
                <w:rFonts w:cs="Arial"/>
                <w:color w:val="auto"/>
                <w:sz w:val="20"/>
                <w:szCs w:val="20"/>
              </w:rPr>
            </w:pPr>
            <w:r w:rsidRPr="008B4D5B">
              <w:rPr>
                <w:rFonts w:cs="Arial"/>
                <w:color w:val="auto"/>
                <w:sz w:val="20"/>
                <w:szCs w:val="20"/>
              </w:rPr>
              <w:t>Financial Certificates</w:t>
            </w:r>
          </w:p>
        </w:tc>
        <w:tc>
          <w:tcPr>
            <w:tcW w:w="851" w:type="dxa"/>
          </w:tcPr>
          <w:p w:rsidR="00045B6D" w:rsidRPr="00734710" w:rsidRDefault="00734710" w:rsidP="00D21038">
            <w:pPr>
              <w:widowControl w:val="0"/>
              <w:spacing w:after="0" w:line="240" w:lineRule="auto"/>
              <w:jc w:val="center"/>
              <w:rPr>
                <w:rFonts w:cs="Arial"/>
                <w:color w:val="auto"/>
                <w:sz w:val="20"/>
                <w:szCs w:val="20"/>
              </w:rPr>
            </w:pPr>
            <w:r w:rsidRPr="00734710">
              <w:rPr>
                <w:rFonts w:cs="Arial"/>
                <w:color w:val="auto"/>
                <w:sz w:val="20"/>
                <w:szCs w:val="20"/>
              </w:rPr>
              <w:t>24</w:t>
            </w:r>
          </w:p>
        </w:tc>
        <w:tc>
          <w:tcPr>
            <w:tcW w:w="3827" w:type="dxa"/>
          </w:tcPr>
          <w:p w:rsidR="00045B6D" w:rsidRPr="008B4D5B" w:rsidRDefault="00045B6D" w:rsidP="002C40F2">
            <w:pPr>
              <w:widowControl w:val="0"/>
              <w:spacing w:after="0" w:line="240" w:lineRule="auto"/>
              <w:rPr>
                <w:rFonts w:cs="Arial"/>
                <w:color w:val="auto"/>
                <w:sz w:val="20"/>
                <w:szCs w:val="20"/>
              </w:rPr>
            </w:pPr>
            <w:r w:rsidRPr="008B4D5B">
              <w:rPr>
                <w:rFonts w:cs="Arial"/>
                <w:color w:val="auto"/>
                <w:sz w:val="20"/>
                <w:szCs w:val="20"/>
              </w:rPr>
              <w:t>Note 1</w:t>
            </w:r>
            <w:r w:rsidR="002C40F2" w:rsidRPr="008B4D5B">
              <w:rPr>
                <w:rFonts w:cs="Arial"/>
                <w:color w:val="auto"/>
                <w:sz w:val="20"/>
                <w:szCs w:val="20"/>
              </w:rPr>
              <w:t>8</w:t>
            </w:r>
            <w:r w:rsidR="0044527D" w:rsidRPr="008B4D5B">
              <w:rPr>
                <w:rFonts w:cs="Arial"/>
                <w:color w:val="auto"/>
                <w:sz w:val="20"/>
                <w:szCs w:val="20"/>
              </w:rPr>
              <w:t xml:space="preserve"> </w:t>
            </w:r>
            <w:r w:rsidRPr="008B4D5B">
              <w:rPr>
                <w:rFonts w:cs="Arial"/>
                <w:color w:val="auto"/>
                <w:sz w:val="20"/>
                <w:szCs w:val="20"/>
              </w:rPr>
              <w:t xml:space="preserve"> Investments</w:t>
            </w:r>
          </w:p>
        </w:tc>
        <w:tc>
          <w:tcPr>
            <w:tcW w:w="762" w:type="dxa"/>
          </w:tcPr>
          <w:p w:rsidR="00045B6D" w:rsidRPr="009213E0" w:rsidRDefault="00734710" w:rsidP="00506799">
            <w:pPr>
              <w:widowControl w:val="0"/>
              <w:spacing w:after="0" w:line="240" w:lineRule="auto"/>
              <w:jc w:val="center"/>
              <w:rPr>
                <w:rFonts w:cs="Arial"/>
                <w:color w:val="auto"/>
                <w:sz w:val="20"/>
                <w:szCs w:val="20"/>
              </w:rPr>
            </w:pPr>
            <w:r w:rsidRPr="009213E0">
              <w:rPr>
                <w:rFonts w:cs="Arial"/>
                <w:color w:val="auto"/>
                <w:sz w:val="20"/>
                <w:szCs w:val="20"/>
              </w:rPr>
              <w:t>6</w:t>
            </w:r>
            <w:r w:rsidR="00506799">
              <w:rPr>
                <w:rFonts w:cs="Arial"/>
                <w:color w:val="auto"/>
                <w:sz w:val="20"/>
                <w:szCs w:val="20"/>
              </w:rPr>
              <w:t>5</w:t>
            </w:r>
          </w:p>
        </w:tc>
      </w:tr>
      <w:tr w:rsidR="00045B6D" w:rsidRPr="0005794A" w:rsidTr="00BE5B28">
        <w:tc>
          <w:tcPr>
            <w:tcW w:w="4077" w:type="dxa"/>
          </w:tcPr>
          <w:p w:rsidR="00045B6D" w:rsidRPr="008B4D5B" w:rsidRDefault="00045B6D" w:rsidP="00A0020C">
            <w:pPr>
              <w:widowControl w:val="0"/>
              <w:spacing w:after="0" w:line="240" w:lineRule="auto"/>
              <w:rPr>
                <w:rFonts w:cs="Arial"/>
                <w:color w:val="auto"/>
                <w:sz w:val="20"/>
                <w:szCs w:val="20"/>
              </w:rPr>
            </w:pPr>
          </w:p>
        </w:tc>
        <w:tc>
          <w:tcPr>
            <w:tcW w:w="851" w:type="dxa"/>
          </w:tcPr>
          <w:p w:rsidR="00045B6D" w:rsidRPr="00734710" w:rsidRDefault="00045B6D" w:rsidP="00A0020C">
            <w:pPr>
              <w:widowControl w:val="0"/>
              <w:spacing w:after="0" w:line="240" w:lineRule="auto"/>
              <w:jc w:val="center"/>
              <w:rPr>
                <w:rFonts w:cs="Arial"/>
                <w:color w:val="auto"/>
                <w:sz w:val="20"/>
                <w:szCs w:val="20"/>
              </w:rPr>
            </w:pPr>
          </w:p>
        </w:tc>
        <w:tc>
          <w:tcPr>
            <w:tcW w:w="3827" w:type="dxa"/>
          </w:tcPr>
          <w:p w:rsidR="00045B6D" w:rsidRPr="008B4D5B" w:rsidRDefault="00045B6D" w:rsidP="002C40F2">
            <w:pPr>
              <w:widowControl w:val="0"/>
              <w:spacing w:after="0" w:line="240" w:lineRule="auto"/>
              <w:rPr>
                <w:rFonts w:cs="Arial"/>
                <w:color w:val="auto"/>
                <w:sz w:val="20"/>
                <w:szCs w:val="20"/>
              </w:rPr>
            </w:pPr>
            <w:r w:rsidRPr="008B4D5B">
              <w:rPr>
                <w:rFonts w:cs="Arial"/>
                <w:color w:val="auto"/>
                <w:sz w:val="20"/>
                <w:szCs w:val="20"/>
              </w:rPr>
              <w:t>Note 1</w:t>
            </w:r>
            <w:r w:rsidR="002C40F2" w:rsidRPr="008B4D5B">
              <w:rPr>
                <w:rFonts w:cs="Arial"/>
                <w:color w:val="auto"/>
                <w:sz w:val="20"/>
                <w:szCs w:val="20"/>
              </w:rPr>
              <w:t>9</w:t>
            </w:r>
            <w:r w:rsidRPr="008B4D5B">
              <w:rPr>
                <w:rFonts w:cs="Arial"/>
                <w:color w:val="auto"/>
                <w:sz w:val="20"/>
                <w:szCs w:val="20"/>
              </w:rPr>
              <w:t xml:space="preserve"> Debtors</w:t>
            </w:r>
          </w:p>
        </w:tc>
        <w:tc>
          <w:tcPr>
            <w:tcW w:w="762" w:type="dxa"/>
          </w:tcPr>
          <w:p w:rsidR="00045B6D" w:rsidRPr="009213E0" w:rsidRDefault="00506799" w:rsidP="003F076E">
            <w:pPr>
              <w:widowControl w:val="0"/>
              <w:spacing w:after="0" w:line="240" w:lineRule="auto"/>
              <w:jc w:val="center"/>
              <w:rPr>
                <w:rFonts w:cs="Arial"/>
                <w:color w:val="auto"/>
                <w:sz w:val="20"/>
                <w:szCs w:val="20"/>
              </w:rPr>
            </w:pPr>
            <w:r>
              <w:rPr>
                <w:rFonts w:cs="Arial"/>
                <w:color w:val="auto"/>
                <w:sz w:val="20"/>
                <w:szCs w:val="20"/>
              </w:rPr>
              <w:t>66</w:t>
            </w:r>
          </w:p>
        </w:tc>
      </w:tr>
      <w:tr w:rsidR="00045B6D" w:rsidRPr="0005794A" w:rsidTr="00BE5B28">
        <w:tc>
          <w:tcPr>
            <w:tcW w:w="4077" w:type="dxa"/>
          </w:tcPr>
          <w:p w:rsidR="00045B6D" w:rsidRPr="008B4D5B" w:rsidRDefault="00BE5B28" w:rsidP="00BE539A">
            <w:pPr>
              <w:widowControl w:val="0"/>
              <w:spacing w:after="0" w:line="240" w:lineRule="auto"/>
              <w:rPr>
                <w:rFonts w:cs="Arial"/>
                <w:color w:val="auto"/>
                <w:sz w:val="20"/>
                <w:szCs w:val="20"/>
              </w:rPr>
            </w:pPr>
            <w:r w:rsidRPr="008B4D5B">
              <w:rPr>
                <w:rFonts w:cs="Arial"/>
                <w:color w:val="auto"/>
                <w:sz w:val="20"/>
                <w:szCs w:val="20"/>
              </w:rPr>
              <w:t xml:space="preserve">Independent Auditor’s Report </w:t>
            </w:r>
          </w:p>
        </w:tc>
        <w:tc>
          <w:tcPr>
            <w:tcW w:w="851" w:type="dxa"/>
          </w:tcPr>
          <w:p w:rsidR="00045B6D" w:rsidRPr="00734710" w:rsidRDefault="00734710" w:rsidP="002C40F2">
            <w:pPr>
              <w:widowControl w:val="0"/>
              <w:spacing w:after="0" w:line="240" w:lineRule="auto"/>
              <w:jc w:val="center"/>
              <w:rPr>
                <w:rFonts w:cs="Arial"/>
                <w:color w:val="auto"/>
                <w:sz w:val="20"/>
                <w:szCs w:val="20"/>
              </w:rPr>
            </w:pPr>
            <w:r w:rsidRPr="00734710">
              <w:rPr>
                <w:rFonts w:cs="Arial"/>
                <w:color w:val="auto"/>
                <w:sz w:val="20"/>
                <w:szCs w:val="20"/>
              </w:rPr>
              <w:t>26</w:t>
            </w:r>
          </w:p>
        </w:tc>
        <w:tc>
          <w:tcPr>
            <w:tcW w:w="3827" w:type="dxa"/>
          </w:tcPr>
          <w:p w:rsidR="00045B6D" w:rsidRPr="008B4D5B" w:rsidRDefault="00045B6D" w:rsidP="002C40F2">
            <w:pPr>
              <w:widowControl w:val="0"/>
              <w:spacing w:after="0" w:line="240" w:lineRule="auto"/>
              <w:rPr>
                <w:rFonts w:cs="Arial"/>
                <w:color w:val="auto"/>
                <w:sz w:val="20"/>
                <w:szCs w:val="20"/>
              </w:rPr>
            </w:pPr>
            <w:r w:rsidRPr="008B4D5B">
              <w:rPr>
                <w:rFonts w:cs="Arial"/>
                <w:color w:val="auto"/>
                <w:sz w:val="20"/>
                <w:szCs w:val="20"/>
              </w:rPr>
              <w:t xml:space="preserve">Note </w:t>
            </w:r>
            <w:r w:rsidR="002C40F2" w:rsidRPr="008B4D5B">
              <w:rPr>
                <w:rFonts w:cs="Arial"/>
                <w:color w:val="auto"/>
                <w:sz w:val="20"/>
                <w:szCs w:val="20"/>
              </w:rPr>
              <w:t>20</w:t>
            </w:r>
            <w:r w:rsidRPr="008B4D5B">
              <w:rPr>
                <w:rFonts w:cs="Arial"/>
                <w:color w:val="auto"/>
                <w:sz w:val="20"/>
                <w:szCs w:val="20"/>
              </w:rPr>
              <w:t xml:space="preserve"> Cash and Cash Equivalents</w:t>
            </w:r>
          </w:p>
        </w:tc>
        <w:tc>
          <w:tcPr>
            <w:tcW w:w="762" w:type="dxa"/>
          </w:tcPr>
          <w:p w:rsidR="00045B6D" w:rsidRPr="009213E0" w:rsidRDefault="00734710" w:rsidP="00506799">
            <w:pPr>
              <w:widowControl w:val="0"/>
              <w:spacing w:after="0" w:line="240" w:lineRule="auto"/>
              <w:jc w:val="center"/>
              <w:rPr>
                <w:rFonts w:cs="Arial"/>
                <w:color w:val="auto"/>
                <w:sz w:val="20"/>
                <w:szCs w:val="20"/>
              </w:rPr>
            </w:pPr>
            <w:r w:rsidRPr="009213E0">
              <w:rPr>
                <w:rFonts w:cs="Arial"/>
                <w:color w:val="auto"/>
                <w:sz w:val="20"/>
                <w:szCs w:val="20"/>
              </w:rPr>
              <w:t>6</w:t>
            </w:r>
            <w:r w:rsidR="00506799">
              <w:rPr>
                <w:rFonts w:cs="Arial"/>
                <w:color w:val="auto"/>
                <w:sz w:val="20"/>
                <w:szCs w:val="20"/>
              </w:rPr>
              <w:t>7</w:t>
            </w:r>
          </w:p>
        </w:tc>
      </w:tr>
      <w:tr w:rsidR="00045B6D" w:rsidRPr="0005794A" w:rsidTr="00BE5B28">
        <w:tc>
          <w:tcPr>
            <w:tcW w:w="4077" w:type="dxa"/>
          </w:tcPr>
          <w:p w:rsidR="00045B6D" w:rsidRPr="008B4D5B" w:rsidRDefault="00045B6D" w:rsidP="00A0020C">
            <w:pPr>
              <w:widowControl w:val="0"/>
              <w:spacing w:after="0" w:line="240" w:lineRule="auto"/>
              <w:rPr>
                <w:rFonts w:cs="Arial"/>
                <w:color w:val="auto"/>
                <w:sz w:val="20"/>
                <w:szCs w:val="20"/>
              </w:rPr>
            </w:pPr>
          </w:p>
        </w:tc>
        <w:tc>
          <w:tcPr>
            <w:tcW w:w="851" w:type="dxa"/>
          </w:tcPr>
          <w:p w:rsidR="00045B6D" w:rsidRPr="00734710" w:rsidRDefault="00045B6D" w:rsidP="00A0020C">
            <w:pPr>
              <w:widowControl w:val="0"/>
              <w:spacing w:after="0" w:line="240" w:lineRule="auto"/>
              <w:jc w:val="center"/>
              <w:rPr>
                <w:rFonts w:cs="Arial"/>
                <w:color w:val="auto"/>
                <w:sz w:val="20"/>
                <w:szCs w:val="20"/>
              </w:rPr>
            </w:pPr>
          </w:p>
        </w:tc>
        <w:tc>
          <w:tcPr>
            <w:tcW w:w="3827" w:type="dxa"/>
          </w:tcPr>
          <w:p w:rsidR="00045B6D" w:rsidRPr="008B4D5B" w:rsidRDefault="00045B6D" w:rsidP="002C40F2">
            <w:pPr>
              <w:widowControl w:val="0"/>
              <w:spacing w:after="0" w:line="240" w:lineRule="auto"/>
              <w:rPr>
                <w:rFonts w:cs="Arial"/>
                <w:color w:val="auto"/>
                <w:sz w:val="20"/>
                <w:szCs w:val="20"/>
              </w:rPr>
            </w:pPr>
            <w:r w:rsidRPr="008B4D5B">
              <w:rPr>
                <w:rFonts w:cs="Arial"/>
                <w:color w:val="auto"/>
                <w:sz w:val="20"/>
                <w:szCs w:val="20"/>
              </w:rPr>
              <w:t xml:space="preserve">Note </w:t>
            </w:r>
            <w:r w:rsidR="0044527D" w:rsidRPr="008B4D5B">
              <w:rPr>
                <w:rFonts w:cs="Arial"/>
                <w:color w:val="auto"/>
                <w:sz w:val="20"/>
                <w:szCs w:val="20"/>
              </w:rPr>
              <w:t>2</w:t>
            </w:r>
            <w:r w:rsidR="002C40F2" w:rsidRPr="008B4D5B">
              <w:rPr>
                <w:rFonts w:cs="Arial"/>
                <w:color w:val="auto"/>
                <w:sz w:val="20"/>
                <w:szCs w:val="20"/>
              </w:rPr>
              <w:t xml:space="preserve">1 </w:t>
            </w:r>
            <w:r w:rsidRPr="008B4D5B">
              <w:rPr>
                <w:rFonts w:cs="Arial"/>
                <w:color w:val="auto"/>
                <w:sz w:val="20"/>
                <w:szCs w:val="20"/>
              </w:rPr>
              <w:t>Creditors</w:t>
            </w:r>
          </w:p>
        </w:tc>
        <w:tc>
          <w:tcPr>
            <w:tcW w:w="762" w:type="dxa"/>
          </w:tcPr>
          <w:p w:rsidR="00045B6D" w:rsidRPr="009213E0" w:rsidRDefault="00734710" w:rsidP="00506799">
            <w:pPr>
              <w:widowControl w:val="0"/>
              <w:spacing w:after="0" w:line="240" w:lineRule="auto"/>
              <w:jc w:val="center"/>
              <w:rPr>
                <w:rFonts w:cs="Arial"/>
                <w:color w:val="auto"/>
                <w:sz w:val="20"/>
                <w:szCs w:val="20"/>
              </w:rPr>
            </w:pPr>
            <w:r w:rsidRPr="009213E0">
              <w:rPr>
                <w:rFonts w:cs="Arial"/>
                <w:color w:val="auto"/>
                <w:sz w:val="20"/>
                <w:szCs w:val="20"/>
              </w:rPr>
              <w:t>6</w:t>
            </w:r>
            <w:r w:rsidR="00506799">
              <w:rPr>
                <w:rFonts w:cs="Arial"/>
                <w:color w:val="auto"/>
                <w:sz w:val="20"/>
                <w:szCs w:val="20"/>
              </w:rPr>
              <w:t>7</w:t>
            </w:r>
          </w:p>
        </w:tc>
      </w:tr>
      <w:tr w:rsidR="00045B6D" w:rsidRPr="0005794A" w:rsidTr="00BE5B28">
        <w:tc>
          <w:tcPr>
            <w:tcW w:w="4077" w:type="dxa"/>
          </w:tcPr>
          <w:p w:rsidR="00045B6D" w:rsidRPr="008B4D5B" w:rsidRDefault="00045B6D" w:rsidP="00A0020C">
            <w:pPr>
              <w:widowControl w:val="0"/>
              <w:spacing w:after="0" w:line="240" w:lineRule="auto"/>
              <w:rPr>
                <w:rFonts w:cs="Arial"/>
                <w:b/>
                <w:color w:val="auto"/>
                <w:sz w:val="20"/>
                <w:szCs w:val="20"/>
              </w:rPr>
            </w:pPr>
            <w:r w:rsidRPr="008B4D5B">
              <w:rPr>
                <w:rFonts w:cs="Arial"/>
                <w:b/>
                <w:color w:val="auto"/>
                <w:sz w:val="20"/>
                <w:szCs w:val="20"/>
              </w:rPr>
              <w:t>Core Financial Statements:-</w:t>
            </w:r>
          </w:p>
        </w:tc>
        <w:tc>
          <w:tcPr>
            <w:tcW w:w="851" w:type="dxa"/>
          </w:tcPr>
          <w:p w:rsidR="00045B6D" w:rsidRPr="00734710" w:rsidRDefault="00045B6D" w:rsidP="00A0020C">
            <w:pPr>
              <w:widowControl w:val="0"/>
              <w:spacing w:after="0" w:line="240" w:lineRule="auto"/>
              <w:jc w:val="center"/>
              <w:rPr>
                <w:rFonts w:cs="Arial"/>
                <w:color w:val="auto"/>
                <w:sz w:val="20"/>
                <w:szCs w:val="20"/>
              </w:rPr>
            </w:pPr>
          </w:p>
        </w:tc>
        <w:tc>
          <w:tcPr>
            <w:tcW w:w="3827" w:type="dxa"/>
          </w:tcPr>
          <w:p w:rsidR="00045B6D" w:rsidRPr="008B4D5B" w:rsidRDefault="00045B6D" w:rsidP="002C40F2">
            <w:pPr>
              <w:widowControl w:val="0"/>
              <w:spacing w:after="0" w:line="240" w:lineRule="auto"/>
              <w:rPr>
                <w:rFonts w:cs="Arial"/>
                <w:color w:val="auto"/>
                <w:sz w:val="20"/>
                <w:szCs w:val="20"/>
              </w:rPr>
            </w:pPr>
            <w:r w:rsidRPr="008B4D5B">
              <w:rPr>
                <w:rFonts w:cs="Arial"/>
                <w:color w:val="auto"/>
                <w:sz w:val="20"/>
                <w:szCs w:val="20"/>
              </w:rPr>
              <w:t xml:space="preserve">Note </w:t>
            </w:r>
            <w:r w:rsidR="0044527D" w:rsidRPr="008B4D5B">
              <w:rPr>
                <w:rFonts w:cs="Arial"/>
                <w:color w:val="auto"/>
                <w:sz w:val="20"/>
                <w:szCs w:val="20"/>
              </w:rPr>
              <w:t>2</w:t>
            </w:r>
            <w:r w:rsidR="002C40F2" w:rsidRPr="008B4D5B">
              <w:rPr>
                <w:rFonts w:cs="Arial"/>
                <w:color w:val="auto"/>
                <w:sz w:val="20"/>
                <w:szCs w:val="20"/>
              </w:rPr>
              <w:t>2</w:t>
            </w:r>
            <w:r w:rsidRPr="008B4D5B">
              <w:rPr>
                <w:rFonts w:cs="Arial"/>
                <w:color w:val="auto"/>
                <w:sz w:val="20"/>
                <w:szCs w:val="20"/>
              </w:rPr>
              <w:t xml:space="preserve"> Provisions</w:t>
            </w:r>
          </w:p>
        </w:tc>
        <w:tc>
          <w:tcPr>
            <w:tcW w:w="762" w:type="dxa"/>
          </w:tcPr>
          <w:p w:rsidR="00045B6D" w:rsidRPr="009213E0" w:rsidRDefault="00734710" w:rsidP="00506799">
            <w:pPr>
              <w:widowControl w:val="0"/>
              <w:spacing w:after="0" w:line="240" w:lineRule="auto"/>
              <w:jc w:val="center"/>
              <w:rPr>
                <w:rFonts w:cs="Arial"/>
                <w:color w:val="auto"/>
                <w:sz w:val="20"/>
                <w:szCs w:val="20"/>
              </w:rPr>
            </w:pPr>
            <w:r w:rsidRPr="009213E0">
              <w:rPr>
                <w:rFonts w:cs="Arial"/>
                <w:color w:val="auto"/>
                <w:sz w:val="20"/>
                <w:szCs w:val="20"/>
              </w:rPr>
              <w:t>6</w:t>
            </w:r>
            <w:r w:rsidR="00506799">
              <w:rPr>
                <w:rFonts w:cs="Arial"/>
                <w:color w:val="auto"/>
                <w:sz w:val="20"/>
                <w:szCs w:val="20"/>
              </w:rPr>
              <w:t>8</w:t>
            </w:r>
          </w:p>
        </w:tc>
      </w:tr>
      <w:tr w:rsidR="00550E61" w:rsidRPr="0005794A" w:rsidTr="00BE5B28">
        <w:trPr>
          <w:trHeight w:val="265"/>
        </w:trPr>
        <w:tc>
          <w:tcPr>
            <w:tcW w:w="4077" w:type="dxa"/>
          </w:tcPr>
          <w:p w:rsidR="00550E61" w:rsidRPr="008B4D5B" w:rsidRDefault="00550E61" w:rsidP="00550E61">
            <w:pPr>
              <w:widowControl w:val="0"/>
              <w:spacing w:after="0" w:line="240" w:lineRule="auto"/>
              <w:rPr>
                <w:rFonts w:cs="Arial"/>
                <w:b/>
                <w:color w:val="auto"/>
                <w:sz w:val="20"/>
                <w:szCs w:val="20"/>
              </w:rPr>
            </w:pPr>
            <w:r w:rsidRPr="008B4D5B">
              <w:rPr>
                <w:rFonts w:cs="Arial"/>
                <w:b/>
                <w:color w:val="auto"/>
                <w:sz w:val="20"/>
                <w:szCs w:val="20"/>
              </w:rPr>
              <w:t>Comprehensive Income and Expenditure Statement</w:t>
            </w:r>
          </w:p>
        </w:tc>
        <w:tc>
          <w:tcPr>
            <w:tcW w:w="851" w:type="dxa"/>
          </w:tcPr>
          <w:p w:rsidR="00550E61" w:rsidRPr="00734710" w:rsidRDefault="00506799" w:rsidP="00550E61">
            <w:pPr>
              <w:widowControl w:val="0"/>
              <w:spacing w:after="0" w:line="240" w:lineRule="auto"/>
              <w:jc w:val="center"/>
              <w:rPr>
                <w:rFonts w:cs="Arial"/>
                <w:color w:val="auto"/>
                <w:sz w:val="20"/>
                <w:szCs w:val="20"/>
              </w:rPr>
            </w:pPr>
            <w:r>
              <w:rPr>
                <w:rFonts w:cs="Arial"/>
                <w:color w:val="auto"/>
                <w:sz w:val="20"/>
                <w:szCs w:val="20"/>
              </w:rPr>
              <w:t>31</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23 Borrowing</w:t>
            </w:r>
          </w:p>
        </w:tc>
        <w:tc>
          <w:tcPr>
            <w:tcW w:w="762" w:type="dxa"/>
          </w:tcPr>
          <w:p w:rsidR="00550E61" w:rsidRPr="009213E0" w:rsidRDefault="00734710" w:rsidP="00506799">
            <w:pPr>
              <w:widowControl w:val="0"/>
              <w:spacing w:after="0" w:line="240" w:lineRule="auto"/>
              <w:jc w:val="center"/>
              <w:rPr>
                <w:rFonts w:cs="Arial"/>
                <w:color w:val="auto"/>
                <w:sz w:val="20"/>
                <w:szCs w:val="20"/>
              </w:rPr>
            </w:pPr>
            <w:r w:rsidRPr="009213E0">
              <w:rPr>
                <w:rFonts w:cs="Arial"/>
                <w:color w:val="auto"/>
                <w:sz w:val="20"/>
                <w:szCs w:val="20"/>
              </w:rPr>
              <w:t>6</w:t>
            </w:r>
            <w:r w:rsidR="00506799">
              <w:rPr>
                <w:rFonts w:cs="Arial"/>
                <w:color w:val="auto"/>
                <w:sz w:val="20"/>
                <w:szCs w:val="20"/>
              </w:rPr>
              <w:t>9</w:t>
            </w:r>
          </w:p>
        </w:tc>
      </w:tr>
      <w:tr w:rsidR="00550E61" w:rsidRPr="0005794A" w:rsidTr="00BE5B28">
        <w:trPr>
          <w:trHeight w:val="371"/>
        </w:trPr>
        <w:tc>
          <w:tcPr>
            <w:tcW w:w="4077" w:type="dxa"/>
          </w:tcPr>
          <w:p w:rsidR="00550E61" w:rsidRPr="008B4D5B" w:rsidRDefault="00550E61" w:rsidP="00550E61">
            <w:pPr>
              <w:widowControl w:val="0"/>
              <w:spacing w:after="0" w:line="240" w:lineRule="auto"/>
              <w:rPr>
                <w:rFonts w:cs="Arial"/>
                <w:b/>
                <w:color w:val="auto"/>
                <w:sz w:val="20"/>
                <w:szCs w:val="20"/>
              </w:rPr>
            </w:pPr>
            <w:r w:rsidRPr="008B4D5B">
              <w:rPr>
                <w:rFonts w:cs="Arial"/>
                <w:b/>
                <w:color w:val="auto"/>
                <w:sz w:val="20"/>
                <w:szCs w:val="20"/>
              </w:rPr>
              <w:t>Movement in Reserves Statement</w:t>
            </w:r>
          </w:p>
        </w:tc>
        <w:tc>
          <w:tcPr>
            <w:tcW w:w="851" w:type="dxa"/>
          </w:tcPr>
          <w:p w:rsidR="00550E61" w:rsidRPr="00734710" w:rsidRDefault="00506799" w:rsidP="00550E61">
            <w:pPr>
              <w:widowControl w:val="0"/>
              <w:spacing w:after="0" w:line="240" w:lineRule="auto"/>
              <w:jc w:val="center"/>
              <w:rPr>
                <w:rFonts w:cs="Arial"/>
                <w:color w:val="auto"/>
                <w:sz w:val="20"/>
                <w:szCs w:val="20"/>
              </w:rPr>
            </w:pPr>
            <w:r>
              <w:rPr>
                <w:rFonts w:cs="Arial"/>
                <w:color w:val="auto"/>
                <w:sz w:val="20"/>
                <w:szCs w:val="20"/>
              </w:rPr>
              <w:t>32</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24 Liabilities</w:t>
            </w:r>
          </w:p>
        </w:tc>
        <w:tc>
          <w:tcPr>
            <w:tcW w:w="762" w:type="dxa"/>
          </w:tcPr>
          <w:p w:rsidR="00550E61" w:rsidRPr="009213E0" w:rsidRDefault="00506799" w:rsidP="003F076E">
            <w:pPr>
              <w:widowControl w:val="0"/>
              <w:spacing w:after="0" w:line="240" w:lineRule="auto"/>
              <w:jc w:val="center"/>
              <w:rPr>
                <w:rFonts w:cs="Arial"/>
                <w:color w:val="auto"/>
                <w:sz w:val="20"/>
                <w:szCs w:val="20"/>
              </w:rPr>
            </w:pPr>
            <w:r>
              <w:rPr>
                <w:rFonts w:cs="Arial"/>
                <w:color w:val="auto"/>
                <w:sz w:val="20"/>
                <w:szCs w:val="20"/>
              </w:rPr>
              <w:t>70</w:t>
            </w:r>
          </w:p>
        </w:tc>
      </w:tr>
      <w:tr w:rsidR="00550E61" w:rsidRPr="0005794A" w:rsidTr="00550E61">
        <w:trPr>
          <w:trHeight w:val="279"/>
        </w:trPr>
        <w:tc>
          <w:tcPr>
            <w:tcW w:w="4077" w:type="dxa"/>
          </w:tcPr>
          <w:p w:rsidR="00550E61" w:rsidRPr="008B4D5B" w:rsidRDefault="00550E61" w:rsidP="00550E61">
            <w:pPr>
              <w:widowControl w:val="0"/>
              <w:spacing w:after="0" w:line="240" w:lineRule="auto"/>
              <w:rPr>
                <w:rFonts w:cs="Arial"/>
                <w:b/>
                <w:color w:val="auto"/>
                <w:sz w:val="20"/>
                <w:szCs w:val="20"/>
              </w:rPr>
            </w:pPr>
            <w:r w:rsidRPr="008B4D5B">
              <w:rPr>
                <w:rFonts w:cs="Arial"/>
                <w:b/>
                <w:color w:val="auto"/>
                <w:sz w:val="20"/>
                <w:szCs w:val="20"/>
              </w:rPr>
              <w:t>Balance Sheet</w:t>
            </w:r>
          </w:p>
        </w:tc>
        <w:tc>
          <w:tcPr>
            <w:tcW w:w="851" w:type="dxa"/>
          </w:tcPr>
          <w:p w:rsidR="00550E61" w:rsidRPr="00734710" w:rsidRDefault="00506799" w:rsidP="00550E61">
            <w:pPr>
              <w:widowControl w:val="0"/>
              <w:spacing w:after="0" w:line="240" w:lineRule="auto"/>
              <w:jc w:val="center"/>
              <w:rPr>
                <w:rFonts w:cs="Arial"/>
                <w:color w:val="auto"/>
                <w:sz w:val="20"/>
                <w:szCs w:val="20"/>
              </w:rPr>
            </w:pPr>
            <w:r>
              <w:rPr>
                <w:rFonts w:cs="Arial"/>
                <w:color w:val="auto"/>
                <w:sz w:val="20"/>
                <w:szCs w:val="20"/>
              </w:rPr>
              <w:t>34</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25 Usable Reserves</w:t>
            </w:r>
          </w:p>
        </w:tc>
        <w:tc>
          <w:tcPr>
            <w:tcW w:w="762" w:type="dxa"/>
          </w:tcPr>
          <w:p w:rsidR="00550E61" w:rsidRPr="009213E0" w:rsidRDefault="00734710" w:rsidP="00506799">
            <w:pPr>
              <w:widowControl w:val="0"/>
              <w:spacing w:after="0" w:line="240" w:lineRule="auto"/>
              <w:jc w:val="center"/>
              <w:rPr>
                <w:rFonts w:cs="Arial"/>
                <w:color w:val="auto"/>
                <w:sz w:val="20"/>
                <w:szCs w:val="20"/>
              </w:rPr>
            </w:pPr>
            <w:r w:rsidRPr="009213E0">
              <w:rPr>
                <w:rFonts w:cs="Arial"/>
                <w:color w:val="auto"/>
                <w:sz w:val="20"/>
                <w:szCs w:val="20"/>
              </w:rPr>
              <w:t>7</w:t>
            </w:r>
            <w:r w:rsidR="00506799">
              <w:rPr>
                <w:rFonts w:cs="Arial"/>
                <w:color w:val="auto"/>
                <w:sz w:val="20"/>
                <w:szCs w:val="20"/>
              </w:rPr>
              <w:t>4</w:t>
            </w:r>
          </w:p>
        </w:tc>
      </w:tr>
      <w:tr w:rsidR="00550E61" w:rsidRPr="0005794A" w:rsidTr="00BE5B28">
        <w:tc>
          <w:tcPr>
            <w:tcW w:w="4077" w:type="dxa"/>
          </w:tcPr>
          <w:p w:rsidR="00550E61" w:rsidRPr="008B4D5B" w:rsidRDefault="00550E61" w:rsidP="00550E61">
            <w:pPr>
              <w:widowControl w:val="0"/>
              <w:spacing w:after="0" w:line="240" w:lineRule="auto"/>
              <w:rPr>
                <w:rFonts w:cs="Arial"/>
                <w:b/>
                <w:color w:val="auto"/>
                <w:sz w:val="20"/>
                <w:szCs w:val="20"/>
              </w:rPr>
            </w:pPr>
            <w:r w:rsidRPr="008B4D5B">
              <w:rPr>
                <w:rFonts w:cs="Arial"/>
                <w:b/>
                <w:color w:val="auto"/>
                <w:sz w:val="20"/>
                <w:szCs w:val="20"/>
              </w:rPr>
              <w:t>Cash Flow Statement</w:t>
            </w:r>
          </w:p>
          <w:p w:rsidR="00550E61" w:rsidRPr="008B4D5B" w:rsidRDefault="00550E61" w:rsidP="00550E61">
            <w:pPr>
              <w:widowControl w:val="0"/>
              <w:spacing w:after="0" w:line="240" w:lineRule="auto"/>
              <w:rPr>
                <w:rFonts w:cs="Arial"/>
                <w:b/>
                <w:color w:val="auto"/>
                <w:sz w:val="20"/>
                <w:szCs w:val="20"/>
              </w:rPr>
            </w:pPr>
            <w:r w:rsidRPr="008B4D5B">
              <w:rPr>
                <w:rFonts w:cs="Arial"/>
                <w:b/>
                <w:color w:val="auto"/>
                <w:sz w:val="20"/>
                <w:szCs w:val="20"/>
              </w:rPr>
              <w:t xml:space="preserve"> </w:t>
            </w:r>
            <w:r w:rsidRPr="008B4D5B">
              <w:rPr>
                <w:rFonts w:cs="Arial"/>
                <w:color w:val="auto"/>
                <w:sz w:val="20"/>
                <w:szCs w:val="20"/>
              </w:rPr>
              <w:t xml:space="preserve">Including: Adjustments on Provision of Services for </w:t>
            </w:r>
            <w:proofErr w:type="spellStart"/>
            <w:r w:rsidRPr="008B4D5B">
              <w:rPr>
                <w:rFonts w:cs="Arial"/>
                <w:color w:val="auto"/>
                <w:sz w:val="20"/>
                <w:szCs w:val="20"/>
              </w:rPr>
              <w:t>non cash</w:t>
            </w:r>
            <w:proofErr w:type="spellEnd"/>
            <w:r w:rsidRPr="008B4D5B">
              <w:rPr>
                <w:rFonts w:cs="Arial"/>
                <w:color w:val="auto"/>
                <w:sz w:val="20"/>
                <w:szCs w:val="20"/>
              </w:rPr>
              <w:t xml:space="preserve"> movements</w:t>
            </w:r>
          </w:p>
        </w:tc>
        <w:tc>
          <w:tcPr>
            <w:tcW w:w="851" w:type="dxa"/>
          </w:tcPr>
          <w:p w:rsidR="00550E61" w:rsidRPr="00734710" w:rsidRDefault="00506799" w:rsidP="00550E61">
            <w:pPr>
              <w:widowControl w:val="0"/>
              <w:spacing w:after="0" w:line="240" w:lineRule="auto"/>
              <w:jc w:val="center"/>
              <w:rPr>
                <w:rFonts w:cs="Arial"/>
                <w:color w:val="auto"/>
                <w:sz w:val="20"/>
                <w:szCs w:val="20"/>
              </w:rPr>
            </w:pPr>
            <w:r>
              <w:rPr>
                <w:rFonts w:cs="Arial"/>
                <w:color w:val="auto"/>
                <w:sz w:val="20"/>
                <w:szCs w:val="20"/>
              </w:rPr>
              <w:t>36</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26 Unusable Reserves</w:t>
            </w:r>
          </w:p>
        </w:tc>
        <w:tc>
          <w:tcPr>
            <w:tcW w:w="762" w:type="dxa"/>
          </w:tcPr>
          <w:p w:rsidR="00550E61" w:rsidRPr="009213E0" w:rsidRDefault="00734710" w:rsidP="00506799">
            <w:pPr>
              <w:widowControl w:val="0"/>
              <w:spacing w:after="0" w:line="240" w:lineRule="auto"/>
              <w:jc w:val="center"/>
              <w:rPr>
                <w:rFonts w:cs="Arial"/>
                <w:color w:val="auto"/>
                <w:sz w:val="20"/>
                <w:szCs w:val="20"/>
              </w:rPr>
            </w:pPr>
            <w:r w:rsidRPr="009213E0">
              <w:rPr>
                <w:rFonts w:cs="Arial"/>
                <w:color w:val="auto"/>
                <w:sz w:val="20"/>
                <w:szCs w:val="20"/>
              </w:rPr>
              <w:t>7</w:t>
            </w:r>
            <w:r w:rsidR="00506799">
              <w:rPr>
                <w:rFonts w:cs="Arial"/>
                <w:color w:val="auto"/>
                <w:sz w:val="20"/>
                <w:szCs w:val="20"/>
              </w:rPr>
              <w:t>4</w:t>
            </w:r>
          </w:p>
        </w:tc>
      </w:tr>
      <w:tr w:rsidR="00550E61" w:rsidRPr="0005794A" w:rsidTr="00BE5B28">
        <w:tc>
          <w:tcPr>
            <w:tcW w:w="4077" w:type="dxa"/>
          </w:tcPr>
          <w:p w:rsidR="00550E61" w:rsidRPr="008B4D5B" w:rsidRDefault="00550E61" w:rsidP="00A0020C">
            <w:pPr>
              <w:widowControl w:val="0"/>
              <w:spacing w:after="0" w:line="240" w:lineRule="auto"/>
              <w:rPr>
                <w:rFonts w:cs="Arial"/>
                <w:b/>
                <w:color w:val="auto"/>
                <w:sz w:val="20"/>
                <w:szCs w:val="20"/>
              </w:rPr>
            </w:pPr>
          </w:p>
        </w:tc>
        <w:tc>
          <w:tcPr>
            <w:tcW w:w="851" w:type="dxa"/>
          </w:tcPr>
          <w:p w:rsidR="00550E61" w:rsidRPr="00734710" w:rsidRDefault="00550E61" w:rsidP="00A0020C">
            <w:pPr>
              <w:widowControl w:val="0"/>
              <w:spacing w:after="0" w:line="240" w:lineRule="auto"/>
              <w:jc w:val="center"/>
              <w:rPr>
                <w:rFonts w:cs="Arial"/>
                <w:color w:val="auto"/>
                <w:sz w:val="20"/>
                <w:szCs w:val="20"/>
              </w:rPr>
            </w:pP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27 Pooled Budgets</w:t>
            </w:r>
          </w:p>
        </w:tc>
        <w:tc>
          <w:tcPr>
            <w:tcW w:w="762" w:type="dxa"/>
          </w:tcPr>
          <w:p w:rsidR="00550E61" w:rsidRPr="009213E0" w:rsidRDefault="00506799" w:rsidP="00115AB3">
            <w:pPr>
              <w:widowControl w:val="0"/>
              <w:spacing w:after="0" w:line="240" w:lineRule="auto"/>
              <w:jc w:val="center"/>
              <w:rPr>
                <w:rFonts w:cs="Arial"/>
                <w:color w:val="auto"/>
                <w:sz w:val="20"/>
                <w:szCs w:val="20"/>
              </w:rPr>
            </w:pPr>
            <w:r>
              <w:rPr>
                <w:rFonts w:cs="Arial"/>
                <w:color w:val="auto"/>
                <w:sz w:val="20"/>
                <w:szCs w:val="20"/>
              </w:rPr>
              <w:t>76</w:t>
            </w:r>
          </w:p>
        </w:tc>
      </w:tr>
      <w:tr w:rsidR="00550E61" w:rsidRPr="0005794A" w:rsidTr="00BE5B28">
        <w:tc>
          <w:tcPr>
            <w:tcW w:w="4077" w:type="dxa"/>
          </w:tcPr>
          <w:p w:rsidR="00550E61" w:rsidRPr="008B4D5B" w:rsidRDefault="00550E61" w:rsidP="00A0020C">
            <w:pPr>
              <w:widowControl w:val="0"/>
              <w:spacing w:after="0" w:line="240" w:lineRule="auto"/>
              <w:rPr>
                <w:rFonts w:cs="Arial"/>
                <w:b/>
                <w:color w:val="auto"/>
                <w:sz w:val="20"/>
                <w:szCs w:val="20"/>
              </w:rPr>
            </w:pPr>
            <w:r w:rsidRPr="008B4D5B">
              <w:rPr>
                <w:rFonts w:cs="Arial"/>
                <w:b/>
                <w:color w:val="auto"/>
                <w:sz w:val="20"/>
                <w:szCs w:val="20"/>
              </w:rPr>
              <w:t>Notes to the Core Financial Statements:-</w:t>
            </w:r>
          </w:p>
        </w:tc>
        <w:tc>
          <w:tcPr>
            <w:tcW w:w="851" w:type="dxa"/>
          </w:tcPr>
          <w:p w:rsidR="00550E61" w:rsidRPr="00734710" w:rsidRDefault="00550E61" w:rsidP="00A0020C">
            <w:pPr>
              <w:widowControl w:val="0"/>
              <w:spacing w:after="0" w:line="240" w:lineRule="auto"/>
              <w:jc w:val="center"/>
              <w:rPr>
                <w:rFonts w:cs="Arial"/>
                <w:color w:val="auto"/>
                <w:sz w:val="20"/>
                <w:szCs w:val="20"/>
              </w:rPr>
            </w:pP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28 Members’ Allowances</w:t>
            </w:r>
          </w:p>
        </w:tc>
        <w:tc>
          <w:tcPr>
            <w:tcW w:w="762" w:type="dxa"/>
          </w:tcPr>
          <w:p w:rsidR="00550E61" w:rsidRPr="009213E0" w:rsidRDefault="00506799" w:rsidP="00D71527">
            <w:pPr>
              <w:widowControl w:val="0"/>
              <w:spacing w:after="0" w:line="240" w:lineRule="auto"/>
              <w:jc w:val="center"/>
              <w:rPr>
                <w:rFonts w:cs="Arial"/>
                <w:color w:val="auto"/>
                <w:sz w:val="20"/>
                <w:szCs w:val="20"/>
              </w:rPr>
            </w:pPr>
            <w:r>
              <w:rPr>
                <w:rFonts w:cs="Arial"/>
                <w:color w:val="auto"/>
                <w:sz w:val="20"/>
                <w:szCs w:val="20"/>
              </w:rPr>
              <w:t>76</w:t>
            </w:r>
          </w:p>
        </w:tc>
      </w:tr>
      <w:tr w:rsidR="00550E61" w:rsidRPr="0005794A" w:rsidTr="00BE5B28">
        <w:trPr>
          <w:trHeight w:val="70"/>
        </w:trPr>
        <w:tc>
          <w:tcPr>
            <w:tcW w:w="4077" w:type="dxa"/>
          </w:tcPr>
          <w:p w:rsidR="00550E61" w:rsidRPr="008B4D5B" w:rsidRDefault="00550E61" w:rsidP="00A0020C">
            <w:pPr>
              <w:widowControl w:val="0"/>
              <w:spacing w:after="0" w:line="240" w:lineRule="auto"/>
              <w:rPr>
                <w:rFonts w:cs="Arial"/>
                <w:color w:val="auto"/>
                <w:sz w:val="20"/>
                <w:szCs w:val="20"/>
              </w:rPr>
            </w:pPr>
            <w:r w:rsidRPr="008B4D5B">
              <w:rPr>
                <w:rFonts w:cs="Arial"/>
                <w:color w:val="auto"/>
                <w:sz w:val="20"/>
                <w:szCs w:val="20"/>
              </w:rPr>
              <w:t>General Notes:</w:t>
            </w:r>
          </w:p>
        </w:tc>
        <w:tc>
          <w:tcPr>
            <w:tcW w:w="851" w:type="dxa"/>
          </w:tcPr>
          <w:p w:rsidR="00550E61" w:rsidRPr="00734710" w:rsidRDefault="00550E61" w:rsidP="00A0020C">
            <w:pPr>
              <w:widowControl w:val="0"/>
              <w:spacing w:after="0" w:line="240" w:lineRule="auto"/>
              <w:jc w:val="center"/>
              <w:rPr>
                <w:rFonts w:cs="Arial"/>
                <w:color w:val="auto"/>
                <w:sz w:val="20"/>
                <w:szCs w:val="20"/>
              </w:rPr>
            </w:pP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29 Officers’ Remuneration</w:t>
            </w:r>
          </w:p>
        </w:tc>
        <w:tc>
          <w:tcPr>
            <w:tcW w:w="762" w:type="dxa"/>
          </w:tcPr>
          <w:p w:rsidR="00550E61" w:rsidRPr="009213E0" w:rsidRDefault="00506799" w:rsidP="00C37C2C">
            <w:pPr>
              <w:widowControl w:val="0"/>
              <w:spacing w:after="0" w:line="240" w:lineRule="auto"/>
              <w:jc w:val="center"/>
              <w:rPr>
                <w:rFonts w:cs="Arial"/>
                <w:color w:val="auto"/>
                <w:sz w:val="20"/>
                <w:szCs w:val="20"/>
              </w:rPr>
            </w:pPr>
            <w:r>
              <w:rPr>
                <w:rFonts w:cs="Arial"/>
                <w:color w:val="auto"/>
                <w:sz w:val="20"/>
                <w:szCs w:val="20"/>
              </w:rPr>
              <w:t>76</w:t>
            </w:r>
          </w:p>
        </w:tc>
      </w:tr>
      <w:tr w:rsidR="00550E61" w:rsidRPr="0005794A" w:rsidTr="00BE5B28">
        <w:tc>
          <w:tcPr>
            <w:tcW w:w="4077" w:type="dxa"/>
          </w:tcPr>
          <w:p w:rsidR="00550E61" w:rsidRPr="008B4D5B" w:rsidRDefault="00550E61" w:rsidP="00115AB3">
            <w:pPr>
              <w:widowControl w:val="0"/>
              <w:spacing w:after="0" w:line="240" w:lineRule="auto"/>
              <w:rPr>
                <w:rFonts w:cs="Arial"/>
                <w:color w:val="auto"/>
                <w:sz w:val="20"/>
                <w:szCs w:val="20"/>
              </w:rPr>
            </w:pPr>
            <w:r w:rsidRPr="008B4D5B">
              <w:rPr>
                <w:rFonts w:cs="Arial"/>
                <w:color w:val="auto"/>
                <w:sz w:val="20"/>
                <w:szCs w:val="20"/>
              </w:rPr>
              <w:t>Note 1  Change in Accounting Policy</w:t>
            </w:r>
          </w:p>
        </w:tc>
        <w:tc>
          <w:tcPr>
            <w:tcW w:w="851" w:type="dxa"/>
          </w:tcPr>
          <w:p w:rsidR="00550E61" w:rsidRPr="00734710" w:rsidRDefault="00506799" w:rsidP="00550E61">
            <w:pPr>
              <w:widowControl w:val="0"/>
              <w:spacing w:after="0" w:line="240" w:lineRule="auto"/>
              <w:jc w:val="center"/>
              <w:rPr>
                <w:rFonts w:cs="Arial"/>
                <w:color w:val="auto"/>
                <w:sz w:val="20"/>
                <w:szCs w:val="20"/>
              </w:rPr>
            </w:pPr>
            <w:r>
              <w:rPr>
                <w:rFonts w:cs="Arial"/>
                <w:color w:val="auto"/>
                <w:sz w:val="20"/>
                <w:szCs w:val="20"/>
              </w:rPr>
              <w:t>38</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30 External Audit Costs</w:t>
            </w:r>
          </w:p>
        </w:tc>
        <w:tc>
          <w:tcPr>
            <w:tcW w:w="762" w:type="dxa"/>
          </w:tcPr>
          <w:p w:rsidR="00550E61" w:rsidRPr="009213E0" w:rsidRDefault="00734710" w:rsidP="00506799">
            <w:pPr>
              <w:widowControl w:val="0"/>
              <w:spacing w:after="0" w:line="240" w:lineRule="auto"/>
              <w:jc w:val="center"/>
              <w:rPr>
                <w:rFonts w:cs="Arial"/>
                <w:color w:val="auto"/>
                <w:sz w:val="20"/>
                <w:szCs w:val="20"/>
              </w:rPr>
            </w:pPr>
            <w:r w:rsidRPr="009213E0">
              <w:rPr>
                <w:rFonts w:cs="Arial"/>
                <w:color w:val="auto"/>
                <w:sz w:val="20"/>
                <w:szCs w:val="20"/>
              </w:rPr>
              <w:t>7</w:t>
            </w:r>
            <w:r w:rsidR="00506799">
              <w:rPr>
                <w:rFonts w:cs="Arial"/>
                <w:color w:val="auto"/>
                <w:sz w:val="20"/>
                <w:szCs w:val="20"/>
              </w:rPr>
              <w:t>8</w:t>
            </w:r>
          </w:p>
        </w:tc>
      </w:tr>
      <w:tr w:rsidR="00550E61" w:rsidRPr="0005794A" w:rsidTr="00BE5B28">
        <w:tc>
          <w:tcPr>
            <w:tcW w:w="4077" w:type="dxa"/>
          </w:tcPr>
          <w:p w:rsidR="00550E61" w:rsidRPr="008B4D5B" w:rsidRDefault="00550E61" w:rsidP="00A0020C">
            <w:pPr>
              <w:widowControl w:val="0"/>
              <w:spacing w:after="0" w:line="240" w:lineRule="auto"/>
              <w:rPr>
                <w:rFonts w:cs="Arial"/>
                <w:color w:val="auto"/>
                <w:sz w:val="20"/>
                <w:szCs w:val="20"/>
              </w:rPr>
            </w:pPr>
            <w:r w:rsidRPr="008B4D5B">
              <w:rPr>
                <w:rFonts w:cs="Arial"/>
                <w:color w:val="auto"/>
                <w:sz w:val="20"/>
                <w:szCs w:val="20"/>
              </w:rPr>
              <w:t>Note 2 Accounting Standards Issued, Not Adopted</w:t>
            </w:r>
          </w:p>
        </w:tc>
        <w:tc>
          <w:tcPr>
            <w:tcW w:w="851" w:type="dxa"/>
          </w:tcPr>
          <w:p w:rsidR="00550E61" w:rsidRPr="00734710" w:rsidRDefault="00506799" w:rsidP="00550E61">
            <w:pPr>
              <w:widowControl w:val="0"/>
              <w:spacing w:after="0" w:line="240" w:lineRule="auto"/>
              <w:jc w:val="center"/>
              <w:rPr>
                <w:rFonts w:cs="Arial"/>
                <w:color w:val="auto"/>
                <w:sz w:val="20"/>
                <w:szCs w:val="20"/>
              </w:rPr>
            </w:pPr>
            <w:r>
              <w:rPr>
                <w:rFonts w:cs="Arial"/>
                <w:color w:val="auto"/>
                <w:sz w:val="20"/>
                <w:szCs w:val="20"/>
              </w:rPr>
              <w:t>38</w:t>
            </w:r>
          </w:p>
        </w:tc>
        <w:tc>
          <w:tcPr>
            <w:tcW w:w="3827" w:type="dxa"/>
          </w:tcPr>
          <w:p w:rsidR="00550E61" w:rsidRPr="009B3396" w:rsidRDefault="00550E61" w:rsidP="002C40F2">
            <w:pPr>
              <w:widowControl w:val="0"/>
              <w:spacing w:after="0" w:line="240" w:lineRule="auto"/>
              <w:rPr>
                <w:rFonts w:cs="Arial"/>
                <w:color w:val="auto"/>
                <w:sz w:val="20"/>
                <w:szCs w:val="20"/>
              </w:rPr>
            </w:pPr>
            <w:r w:rsidRPr="009B3396">
              <w:rPr>
                <w:rFonts w:cs="Arial"/>
                <w:color w:val="auto"/>
                <w:sz w:val="20"/>
                <w:szCs w:val="20"/>
              </w:rPr>
              <w:t>Note 31 Dedicated Schools Grant</w:t>
            </w:r>
          </w:p>
        </w:tc>
        <w:tc>
          <w:tcPr>
            <w:tcW w:w="762" w:type="dxa"/>
          </w:tcPr>
          <w:p w:rsidR="00550E61" w:rsidRPr="009B3396" w:rsidRDefault="009213E0" w:rsidP="00506799">
            <w:pPr>
              <w:widowControl w:val="0"/>
              <w:spacing w:after="0" w:line="240" w:lineRule="auto"/>
              <w:jc w:val="center"/>
              <w:rPr>
                <w:rFonts w:cs="Arial"/>
                <w:color w:val="auto"/>
                <w:sz w:val="20"/>
                <w:szCs w:val="20"/>
              </w:rPr>
            </w:pPr>
            <w:r w:rsidRPr="009B3396">
              <w:rPr>
                <w:rFonts w:cs="Arial"/>
                <w:color w:val="auto"/>
                <w:sz w:val="20"/>
                <w:szCs w:val="20"/>
              </w:rPr>
              <w:t>7</w:t>
            </w:r>
            <w:r w:rsidR="00506799">
              <w:rPr>
                <w:rFonts w:cs="Arial"/>
                <w:color w:val="auto"/>
                <w:sz w:val="20"/>
                <w:szCs w:val="20"/>
              </w:rPr>
              <w:t>8</w:t>
            </w:r>
          </w:p>
        </w:tc>
      </w:tr>
      <w:tr w:rsidR="00550E61" w:rsidRPr="0005794A" w:rsidTr="00BE5B28">
        <w:tc>
          <w:tcPr>
            <w:tcW w:w="4077" w:type="dxa"/>
          </w:tcPr>
          <w:p w:rsidR="00550E61" w:rsidRPr="008B4D5B" w:rsidRDefault="00550E61" w:rsidP="00A0020C">
            <w:pPr>
              <w:widowControl w:val="0"/>
              <w:spacing w:after="0" w:line="240" w:lineRule="auto"/>
              <w:rPr>
                <w:rFonts w:cs="Arial"/>
                <w:color w:val="auto"/>
                <w:sz w:val="20"/>
                <w:szCs w:val="20"/>
              </w:rPr>
            </w:pPr>
            <w:r w:rsidRPr="008B4D5B">
              <w:rPr>
                <w:rFonts w:cs="Arial"/>
                <w:color w:val="auto"/>
                <w:sz w:val="20"/>
                <w:szCs w:val="20"/>
              </w:rPr>
              <w:t>Note 3 Critical Judgements in Applying Accounting Policies</w:t>
            </w:r>
          </w:p>
        </w:tc>
        <w:tc>
          <w:tcPr>
            <w:tcW w:w="851" w:type="dxa"/>
          </w:tcPr>
          <w:p w:rsidR="00550E61" w:rsidRPr="00734710" w:rsidRDefault="00734710" w:rsidP="00076DB3">
            <w:pPr>
              <w:widowControl w:val="0"/>
              <w:spacing w:after="0" w:line="240" w:lineRule="auto"/>
              <w:jc w:val="center"/>
              <w:rPr>
                <w:rFonts w:cs="Arial"/>
                <w:color w:val="auto"/>
                <w:sz w:val="20"/>
                <w:szCs w:val="20"/>
              </w:rPr>
            </w:pPr>
            <w:r w:rsidRPr="009B3396">
              <w:rPr>
                <w:rFonts w:cs="Arial"/>
                <w:color w:val="auto"/>
                <w:sz w:val="20"/>
                <w:szCs w:val="20"/>
              </w:rPr>
              <w:t>3</w:t>
            </w:r>
            <w:r w:rsidR="00506799">
              <w:rPr>
                <w:rFonts w:cs="Arial"/>
                <w:color w:val="auto"/>
                <w:sz w:val="20"/>
                <w:szCs w:val="20"/>
              </w:rPr>
              <w:t>8</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32 Grant Income</w:t>
            </w:r>
          </w:p>
        </w:tc>
        <w:tc>
          <w:tcPr>
            <w:tcW w:w="762" w:type="dxa"/>
          </w:tcPr>
          <w:p w:rsidR="00550E61" w:rsidRPr="009213E0" w:rsidRDefault="009213E0" w:rsidP="00506799">
            <w:pPr>
              <w:widowControl w:val="0"/>
              <w:spacing w:after="0" w:line="240" w:lineRule="auto"/>
              <w:jc w:val="center"/>
              <w:rPr>
                <w:rFonts w:cs="Arial"/>
                <w:color w:val="auto"/>
                <w:sz w:val="20"/>
                <w:szCs w:val="20"/>
              </w:rPr>
            </w:pPr>
            <w:r w:rsidRPr="009213E0">
              <w:rPr>
                <w:rFonts w:cs="Arial"/>
                <w:color w:val="auto"/>
                <w:sz w:val="20"/>
                <w:szCs w:val="20"/>
              </w:rPr>
              <w:t>7</w:t>
            </w:r>
            <w:r w:rsidR="00506799">
              <w:rPr>
                <w:rFonts w:cs="Arial"/>
                <w:color w:val="auto"/>
                <w:sz w:val="20"/>
                <w:szCs w:val="20"/>
              </w:rPr>
              <w:t>9</w:t>
            </w:r>
          </w:p>
        </w:tc>
      </w:tr>
      <w:tr w:rsidR="00550E61" w:rsidRPr="0005794A" w:rsidTr="00BE5B28">
        <w:tc>
          <w:tcPr>
            <w:tcW w:w="4077" w:type="dxa"/>
          </w:tcPr>
          <w:p w:rsidR="00550E61" w:rsidRPr="008B4D5B" w:rsidRDefault="00550E61" w:rsidP="00A0020C">
            <w:pPr>
              <w:widowControl w:val="0"/>
              <w:spacing w:after="0" w:line="240" w:lineRule="auto"/>
              <w:rPr>
                <w:rFonts w:cs="Arial"/>
                <w:color w:val="auto"/>
                <w:sz w:val="20"/>
                <w:szCs w:val="20"/>
              </w:rPr>
            </w:pPr>
            <w:r w:rsidRPr="008B4D5B">
              <w:rPr>
                <w:rFonts w:cs="Arial"/>
                <w:color w:val="auto"/>
                <w:sz w:val="20"/>
                <w:szCs w:val="20"/>
              </w:rPr>
              <w:t>Note 4 Assumptions made about the future and other major sources of estimation uncertainty</w:t>
            </w:r>
          </w:p>
        </w:tc>
        <w:tc>
          <w:tcPr>
            <w:tcW w:w="851" w:type="dxa"/>
          </w:tcPr>
          <w:p w:rsidR="00550E61" w:rsidRPr="00734710" w:rsidRDefault="00506799" w:rsidP="00550E61">
            <w:pPr>
              <w:widowControl w:val="0"/>
              <w:spacing w:after="0" w:line="240" w:lineRule="auto"/>
              <w:jc w:val="center"/>
              <w:rPr>
                <w:rFonts w:cs="Arial"/>
                <w:color w:val="auto"/>
                <w:sz w:val="20"/>
                <w:szCs w:val="20"/>
              </w:rPr>
            </w:pPr>
            <w:r>
              <w:rPr>
                <w:rFonts w:cs="Arial"/>
                <w:color w:val="auto"/>
                <w:sz w:val="20"/>
                <w:szCs w:val="20"/>
              </w:rPr>
              <w:t>40</w:t>
            </w:r>
          </w:p>
        </w:tc>
        <w:tc>
          <w:tcPr>
            <w:tcW w:w="3827" w:type="dxa"/>
          </w:tcPr>
          <w:p w:rsidR="00550E61" w:rsidRPr="0005794A" w:rsidRDefault="00550E61" w:rsidP="002C40F2">
            <w:pPr>
              <w:widowControl w:val="0"/>
              <w:spacing w:after="0" w:line="240" w:lineRule="auto"/>
              <w:rPr>
                <w:rFonts w:cs="Arial"/>
                <w:color w:val="548DD4" w:themeColor="text2" w:themeTint="99"/>
                <w:sz w:val="20"/>
                <w:szCs w:val="20"/>
              </w:rPr>
            </w:pPr>
            <w:r w:rsidRPr="008B4D5B">
              <w:rPr>
                <w:rFonts w:cs="Arial"/>
                <w:color w:val="auto"/>
                <w:sz w:val="20"/>
                <w:szCs w:val="20"/>
              </w:rPr>
              <w:t>Note 33 Related Parties</w:t>
            </w:r>
          </w:p>
        </w:tc>
        <w:tc>
          <w:tcPr>
            <w:tcW w:w="762" w:type="dxa"/>
          </w:tcPr>
          <w:p w:rsidR="00550E61" w:rsidRPr="009213E0" w:rsidRDefault="00506799" w:rsidP="00C37C2C">
            <w:pPr>
              <w:widowControl w:val="0"/>
              <w:spacing w:after="0" w:line="240" w:lineRule="auto"/>
              <w:jc w:val="center"/>
              <w:rPr>
                <w:rFonts w:cs="Arial"/>
                <w:color w:val="auto"/>
                <w:sz w:val="20"/>
                <w:szCs w:val="20"/>
              </w:rPr>
            </w:pPr>
            <w:r>
              <w:rPr>
                <w:rFonts w:cs="Arial"/>
                <w:color w:val="auto"/>
                <w:sz w:val="20"/>
                <w:szCs w:val="20"/>
              </w:rPr>
              <w:t>80</w:t>
            </w:r>
          </w:p>
        </w:tc>
      </w:tr>
      <w:tr w:rsidR="00550E61" w:rsidRPr="0005794A" w:rsidTr="00BE5B28">
        <w:tc>
          <w:tcPr>
            <w:tcW w:w="4077" w:type="dxa"/>
          </w:tcPr>
          <w:p w:rsidR="00550E61" w:rsidRPr="008B4D5B" w:rsidRDefault="00550E61" w:rsidP="00550E61">
            <w:pPr>
              <w:widowControl w:val="0"/>
              <w:spacing w:after="0" w:line="240" w:lineRule="auto"/>
              <w:rPr>
                <w:rFonts w:cs="Arial"/>
                <w:b/>
                <w:color w:val="auto"/>
                <w:sz w:val="20"/>
                <w:szCs w:val="20"/>
              </w:rPr>
            </w:pPr>
            <w:r w:rsidRPr="008B4D5B">
              <w:rPr>
                <w:rFonts w:cs="Arial"/>
                <w:color w:val="auto"/>
                <w:sz w:val="20"/>
                <w:szCs w:val="20"/>
              </w:rPr>
              <w:t>Note 5 Expenditure and Funding Analysis</w:t>
            </w:r>
          </w:p>
        </w:tc>
        <w:tc>
          <w:tcPr>
            <w:tcW w:w="851" w:type="dxa"/>
          </w:tcPr>
          <w:p w:rsidR="00550E61" w:rsidRPr="00734710" w:rsidRDefault="00506799" w:rsidP="00B24077">
            <w:pPr>
              <w:widowControl w:val="0"/>
              <w:spacing w:after="0" w:line="240" w:lineRule="auto"/>
              <w:jc w:val="center"/>
              <w:rPr>
                <w:rFonts w:cs="Arial"/>
                <w:color w:val="auto"/>
                <w:sz w:val="20"/>
                <w:szCs w:val="20"/>
              </w:rPr>
            </w:pPr>
            <w:r>
              <w:rPr>
                <w:rFonts w:cs="Arial"/>
                <w:color w:val="auto"/>
                <w:sz w:val="20"/>
                <w:szCs w:val="20"/>
              </w:rPr>
              <w:t>42</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34 Impairment Losses</w:t>
            </w:r>
          </w:p>
        </w:tc>
        <w:tc>
          <w:tcPr>
            <w:tcW w:w="762" w:type="dxa"/>
          </w:tcPr>
          <w:p w:rsidR="00550E61" w:rsidRPr="009213E0" w:rsidRDefault="009213E0" w:rsidP="00506799">
            <w:pPr>
              <w:widowControl w:val="0"/>
              <w:spacing w:after="0" w:line="240" w:lineRule="auto"/>
              <w:jc w:val="center"/>
              <w:rPr>
                <w:rFonts w:cs="Arial"/>
                <w:color w:val="auto"/>
                <w:sz w:val="20"/>
                <w:szCs w:val="20"/>
              </w:rPr>
            </w:pPr>
            <w:r w:rsidRPr="009213E0">
              <w:rPr>
                <w:rFonts w:cs="Arial"/>
                <w:color w:val="auto"/>
                <w:sz w:val="20"/>
                <w:szCs w:val="20"/>
              </w:rPr>
              <w:t>8</w:t>
            </w:r>
            <w:r w:rsidR="00506799">
              <w:rPr>
                <w:rFonts w:cs="Arial"/>
                <w:color w:val="auto"/>
                <w:sz w:val="20"/>
                <w:szCs w:val="20"/>
              </w:rPr>
              <w:t>8</w:t>
            </w:r>
          </w:p>
        </w:tc>
      </w:tr>
      <w:tr w:rsidR="00550E61" w:rsidRPr="0005794A" w:rsidTr="00BE5B28">
        <w:tc>
          <w:tcPr>
            <w:tcW w:w="4077" w:type="dxa"/>
          </w:tcPr>
          <w:p w:rsidR="00550E61" w:rsidRPr="008B4D5B" w:rsidRDefault="00550E61" w:rsidP="00A41AA3">
            <w:pPr>
              <w:widowControl w:val="0"/>
              <w:spacing w:after="0" w:line="240" w:lineRule="auto"/>
              <w:rPr>
                <w:rFonts w:cs="Arial"/>
                <w:color w:val="auto"/>
                <w:sz w:val="20"/>
                <w:szCs w:val="20"/>
              </w:rPr>
            </w:pPr>
            <w:r w:rsidRPr="008B4D5B">
              <w:rPr>
                <w:rFonts w:cs="Arial"/>
                <w:color w:val="auto"/>
                <w:sz w:val="20"/>
                <w:szCs w:val="20"/>
              </w:rPr>
              <w:t>Note 6 Events After the Reporting Period</w:t>
            </w:r>
          </w:p>
        </w:tc>
        <w:tc>
          <w:tcPr>
            <w:tcW w:w="851" w:type="dxa"/>
          </w:tcPr>
          <w:p w:rsidR="00550E61" w:rsidRPr="00734710" w:rsidRDefault="00506799" w:rsidP="00A0020C">
            <w:pPr>
              <w:widowControl w:val="0"/>
              <w:spacing w:after="0" w:line="240" w:lineRule="auto"/>
              <w:jc w:val="center"/>
              <w:rPr>
                <w:rFonts w:cs="Arial"/>
                <w:color w:val="auto"/>
                <w:sz w:val="20"/>
                <w:szCs w:val="20"/>
              </w:rPr>
            </w:pPr>
            <w:r>
              <w:rPr>
                <w:rFonts w:cs="Arial"/>
                <w:color w:val="auto"/>
                <w:sz w:val="20"/>
                <w:szCs w:val="20"/>
              </w:rPr>
              <w:t>42</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35 Contingent Liabilities</w:t>
            </w:r>
          </w:p>
        </w:tc>
        <w:tc>
          <w:tcPr>
            <w:tcW w:w="762" w:type="dxa"/>
          </w:tcPr>
          <w:p w:rsidR="00550E61" w:rsidRPr="009213E0" w:rsidRDefault="00506799" w:rsidP="00277CBC">
            <w:pPr>
              <w:widowControl w:val="0"/>
              <w:spacing w:after="0" w:line="240" w:lineRule="auto"/>
              <w:jc w:val="center"/>
              <w:rPr>
                <w:rFonts w:cs="Arial"/>
                <w:color w:val="auto"/>
                <w:sz w:val="20"/>
                <w:szCs w:val="20"/>
              </w:rPr>
            </w:pPr>
            <w:r>
              <w:rPr>
                <w:rFonts w:cs="Arial"/>
                <w:color w:val="auto"/>
                <w:sz w:val="20"/>
                <w:szCs w:val="20"/>
              </w:rPr>
              <w:t>88</w:t>
            </w:r>
          </w:p>
        </w:tc>
      </w:tr>
      <w:tr w:rsidR="00550E61" w:rsidRPr="0005794A" w:rsidTr="00BE5B28">
        <w:tc>
          <w:tcPr>
            <w:tcW w:w="4077" w:type="dxa"/>
          </w:tcPr>
          <w:p w:rsidR="00550E61" w:rsidRPr="008B4D5B" w:rsidRDefault="00550E61" w:rsidP="00A0020C">
            <w:pPr>
              <w:widowControl w:val="0"/>
              <w:spacing w:after="0" w:line="240" w:lineRule="auto"/>
              <w:rPr>
                <w:rFonts w:cs="Arial"/>
                <w:color w:val="auto"/>
                <w:sz w:val="20"/>
                <w:szCs w:val="20"/>
              </w:rPr>
            </w:pPr>
            <w:r w:rsidRPr="008B4D5B">
              <w:rPr>
                <w:rFonts w:cs="Arial"/>
                <w:color w:val="auto"/>
                <w:sz w:val="20"/>
                <w:szCs w:val="20"/>
              </w:rPr>
              <w:t>Note 7 Note to the Expenditure and Income Analysis</w:t>
            </w:r>
          </w:p>
        </w:tc>
        <w:tc>
          <w:tcPr>
            <w:tcW w:w="851" w:type="dxa"/>
          </w:tcPr>
          <w:p w:rsidR="00550E61" w:rsidRPr="00734710" w:rsidRDefault="00506799" w:rsidP="00A0020C">
            <w:pPr>
              <w:widowControl w:val="0"/>
              <w:spacing w:after="0" w:line="240" w:lineRule="auto"/>
              <w:jc w:val="center"/>
              <w:rPr>
                <w:rFonts w:cs="Arial"/>
                <w:color w:val="auto"/>
                <w:sz w:val="20"/>
                <w:szCs w:val="20"/>
              </w:rPr>
            </w:pPr>
            <w:r>
              <w:rPr>
                <w:rFonts w:cs="Arial"/>
                <w:color w:val="auto"/>
                <w:sz w:val="20"/>
                <w:szCs w:val="20"/>
              </w:rPr>
              <w:t>43</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36 Termination Benefits &amp; Exit Packages</w:t>
            </w:r>
          </w:p>
        </w:tc>
        <w:tc>
          <w:tcPr>
            <w:tcW w:w="762" w:type="dxa"/>
          </w:tcPr>
          <w:p w:rsidR="00550E61" w:rsidRPr="009213E0" w:rsidRDefault="009213E0" w:rsidP="00506799">
            <w:pPr>
              <w:widowControl w:val="0"/>
              <w:spacing w:after="0" w:line="240" w:lineRule="auto"/>
              <w:jc w:val="center"/>
              <w:rPr>
                <w:rFonts w:cs="Arial"/>
                <w:color w:val="auto"/>
                <w:sz w:val="20"/>
                <w:szCs w:val="20"/>
              </w:rPr>
            </w:pPr>
            <w:r w:rsidRPr="009213E0">
              <w:rPr>
                <w:rFonts w:cs="Arial"/>
                <w:color w:val="auto"/>
                <w:sz w:val="20"/>
                <w:szCs w:val="20"/>
              </w:rPr>
              <w:t>8</w:t>
            </w:r>
            <w:r w:rsidR="00506799">
              <w:rPr>
                <w:rFonts w:cs="Arial"/>
                <w:color w:val="auto"/>
                <w:sz w:val="20"/>
                <w:szCs w:val="20"/>
              </w:rPr>
              <w:t>9</w:t>
            </w:r>
          </w:p>
        </w:tc>
      </w:tr>
      <w:tr w:rsidR="00550E61" w:rsidRPr="0005794A" w:rsidTr="00BE5B28">
        <w:tc>
          <w:tcPr>
            <w:tcW w:w="4077" w:type="dxa"/>
          </w:tcPr>
          <w:p w:rsidR="00550E61" w:rsidRPr="0005794A" w:rsidRDefault="00550E61" w:rsidP="008B4D5B">
            <w:pPr>
              <w:widowControl w:val="0"/>
              <w:spacing w:after="0" w:line="240" w:lineRule="auto"/>
              <w:rPr>
                <w:rFonts w:cs="Arial"/>
                <w:color w:val="548DD4" w:themeColor="text2" w:themeTint="99"/>
                <w:sz w:val="20"/>
                <w:szCs w:val="20"/>
              </w:rPr>
            </w:pPr>
            <w:r w:rsidRPr="008B4D5B">
              <w:rPr>
                <w:rFonts w:cs="Arial"/>
                <w:color w:val="auto"/>
                <w:sz w:val="20"/>
                <w:szCs w:val="20"/>
              </w:rPr>
              <w:t>Note 8 Expenditure and Income Analysed by Nature</w:t>
            </w:r>
            <w:r w:rsidR="008B4D5B">
              <w:rPr>
                <w:rFonts w:cs="Arial"/>
                <w:color w:val="auto"/>
                <w:sz w:val="20"/>
                <w:szCs w:val="20"/>
              </w:rPr>
              <w:t xml:space="preserve"> and</w:t>
            </w:r>
            <w:r w:rsidR="00A45F14" w:rsidRPr="008B4D5B">
              <w:rPr>
                <w:rFonts w:cs="Arial"/>
                <w:color w:val="auto"/>
                <w:sz w:val="20"/>
                <w:szCs w:val="20"/>
              </w:rPr>
              <w:t xml:space="preserve"> Income analysed by Segment</w:t>
            </w:r>
          </w:p>
        </w:tc>
        <w:tc>
          <w:tcPr>
            <w:tcW w:w="851" w:type="dxa"/>
          </w:tcPr>
          <w:p w:rsidR="00550E61" w:rsidRPr="00734710" w:rsidRDefault="00734710" w:rsidP="00506799">
            <w:pPr>
              <w:widowControl w:val="0"/>
              <w:spacing w:after="0" w:line="240" w:lineRule="auto"/>
              <w:jc w:val="center"/>
              <w:rPr>
                <w:rFonts w:cs="Arial"/>
                <w:color w:val="auto"/>
                <w:sz w:val="20"/>
                <w:szCs w:val="20"/>
              </w:rPr>
            </w:pPr>
            <w:r w:rsidRPr="00734710">
              <w:rPr>
                <w:rFonts w:cs="Arial"/>
                <w:color w:val="auto"/>
                <w:sz w:val="20"/>
                <w:szCs w:val="20"/>
              </w:rPr>
              <w:t>4</w:t>
            </w:r>
            <w:r w:rsidR="00506799">
              <w:rPr>
                <w:rFonts w:cs="Arial"/>
                <w:color w:val="auto"/>
                <w:sz w:val="20"/>
                <w:szCs w:val="20"/>
              </w:rPr>
              <w:t>4</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 xml:space="preserve">Note 37 Capital </w:t>
            </w:r>
            <w:r w:rsidR="000D4912" w:rsidRPr="008B4D5B">
              <w:rPr>
                <w:rFonts w:cs="Arial"/>
                <w:color w:val="auto"/>
                <w:sz w:val="20"/>
                <w:szCs w:val="20"/>
              </w:rPr>
              <w:t xml:space="preserve">Expenditure and Capital </w:t>
            </w:r>
            <w:r w:rsidRPr="008B4D5B">
              <w:rPr>
                <w:rFonts w:cs="Arial"/>
                <w:color w:val="auto"/>
                <w:sz w:val="20"/>
                <w:szCs w:val="20"/>
              </w:rPr>
              <w:t>Financing</w:t>
            </w:r>
          </w:p>
        </w:tc>
        <w:tc>
          <w:tcPr>
            <w:tcW w:w="762" w:type="dxa"/>
          </w:tcPr>
          <w:p w:rsidR="00550E61" w:rsidRPr="009213E0" w:rsidRDefault="009213E0" w:rsidP="00506799">
            <w:pPr>
              <w:widowControl w:val="0"/>
              <w:spacing w:after="0" w:line="240" w:lineRule="auto"/>
              <w:jc w:val="center"/>
              <w:rPr>
                <w:rFonts w:cs="Arial"/>
                <w:color w:val="auto"/>
                <w:sz w:val="20"/>
                <w:szCs w:val="20"/>
              </w:rPr>
            </w:pPr>
            <w:r w:rsidRPr="009213E0">
              <w:rPr>
                <w:rFonts w:cs="Arial"/>
                <w:color w:val="auto"/>
                <w:sz w:val="20"/>
                <w:szCs w:val="20"/>
              </w:rPr>
              <w:t>8</w:t>
            </w:r>
            <w:r w:rsidR="00506799">
              <w:rPr>
                <w:rFonts w:cs="Arial"/>
                <w:color w:val="auto"/>
                <w:sz w:val="20"/>
                <w:szCs w:val="20"/>
              </w:rPr>
              <w:t>9</w:t>
            </w:r>
          </w:p>
        </w:tc>
      </w:tr>
      <w:tr w:rsidR="00550E61" w:rsidRPr="0005794A" w:rsidTr="00BE5B28">
        <w:tc>
          <w:tcPr>
            <w:tcW w:w="4077" w:type="dxa"/>
          </w:tcPr>
          <w:p w:rsidR="00550E61" w:rsidRPr="008B4D5B" w:rsidRDefault="00550E61" w:rsidP="00A0020C">
            <w:pPr>
              <w:widowControl w:val="0"/>
              <w:spacing w:after="0" w:line="240" w:lineRule="auto"/>
              <w:rPr>
                <w:rFonts w:cs="Arial"/>
                <w:color w:val="auto"/>
                <w:sz w:val="20"/>
                <w:szCs w:val="20"/>
              </w:rPr>
            </w:pPr>
            <w:r w:rsidRPr="008B4D5B">
              <w:rPr>
                <w:rFonts w:cs="Arial"/>
                <w:color w:val="auto"/>
                <w:sz w:val="20"/>
                <w:szCs w:val="20"/>
              </w:rPr>
              <w:t>Notes re Movement in Reserves Statement:</w:t>
            </w:r>
          </w:p>
        </w:tc>
        <w:tc>
          <w:tcPr>
            <w:tcW w:w="851" w:type="dxa"/>
          </w:tcPr>
          <w:p w:rsidR="00550E61" w:rsidRPr="00734710" w:rsidRDefault="00550E61" w:rsidP="00A0020C">
            <w:pPr>
              <w:widowControl w:val="0"/>
              <w:spacing w:after="0" w:line="240" w:lineRule="auto"/>
              <w:jc w:val="center"/>
              <w:rPr>
                <w:rFonts w:cs="Arial"/>
                <w:color w:val="auto"/>
                <w:sz w:val="20"/>
                <w:szCs w:val="20"/>
              </w:rPr>
            </w:pP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38 Leases</w:t>
            </w:r>
          </w:p>
        </w:tc>
        <w:tc>
          <w:tcPr>
            <w:tcW w:w="762" w:type="dxa"/>
          </w:tcPr>
          <w:p w:rsidR="00550E61" w:rsidRPr="009213E0" w:rsidRDefault="00506799" w:rsidP="00277CBC">
            <w:pPr>
              <w:widowControl w:val="0"/>
              <w:spacing w:after="0" w:line="240" w:lineRule="auto"/>
              <w:jc w:val="center"/>
              <w:rPr>
                <w:rFonts w:cs="Arial"/>
                <w:color w:val="auto"/>
                <w:sz w:val="20"/>
                <w:szCs w:val="20"/>
              </w:rPr>
            </w:pPr>
            <w:r>
              <w:rPr>
                <w:rFonts w:cs="Arial"/>
                <w:color w:val="auto"/>
                <w:sz w:val="20"/>
                <w:szCs w:val="20"/>
              </w:rPr>
              <w:t>90</w:t>
            </w:r>
          </w:p>
        </w:tc>
      </w:tr>
      <w:tr w:rsidR="00550E61" w:rsidRPr="0005794A" w:rsidTr="00BE5B28">
        <w:tc>
          <w:tcPr>
            <w:tcW w:w="4077" w:type="dxa"/>
          </w:tcPr>
          <w:p w:rsidR="00550E61" w:rsidRPr="008B4D5B" w:rsidRDefault="00550E61" w:rsidP="00045B6D">
            <w:pPr>
              <w:widowControl w:val="0"/>
              <w:spacing w:after="0" w:line="240" w:lineRule="auto"/>
              <w:rPr>
                <w:rFonts w:cs="Arial"/>
                <w:color w:val="auto"/>
                <w:sz w:val="20"/>
                <w:szCs w:val="20"/>
              </w:rPr>
            </w:pPr>
            <w:r w:rsidRPr="008B4D5B">
              <w:rPr>
                <w:rFonts w:cs="Arial"/>
                <w:color w:val="auto"/>
                <w:sz w:val="20"/>
                <w:szCs w:val="20"/>
              </w:rPr>
              <w:t>Note 9 Adjustments between Accounting Basis and Funding Basis under Regulations</w:t>
            </w:r>
          </w:p>
        </w:tc>
        <w:tc>
          <w:tcPr>
            <w:tcW w:w="851" w:type="dxa"/>
          </w:tcPr>
          <w:p w:rsidR="00550E61" w:rsidRPr="00734710" w:rsidRDefault="00506799" w:rsidP="00A0020C">
            <w:pPr>
              <w:widowControl w:val="0"/>
              <w:spacing w:after="0" w:line="240" w:lineRule="auto"/>
              <w:jc w:val="center"/>
              <w:rPr>
                <w:rFonts w:cs="Arial"/>
                <w:color w:val="auto"/>
                <w:sz w:val="20"/>
                <w:szCs w:val="20"/>
              </w:rPr>
            </w:pPr>
            <w:r>
              <w:rPr>
                <w:rFonts w:cs="Arial"/>
                <w:color w:val="auto"/>
                <w:sz w:val="20"/>
                <w:szCs w:val="20"/>
              </w:rPr>
              <w:t>44</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39 Pension Schemes Accounted for as Defined Contribution Schemes</w:t>
            </w:r>
          </w:p>
        </w:tc>
        <w:tc>
          <w:tcPr>
            <w:tcW w:w="762" w:type="dxa"/>
          </w:tcPr>
          <w:p w:rsidR="00550E61" w:rsidRPr="009213E0" w:rsidRDefault="00506799" w:rsidP="00277CBC">
            <w:pPr>
              <w:widowControl w:val="0"/>
              <w:spacing w:after="0" w:line="240" w:lineRule="auto"/>
              <w:jc w:val="center"/>
              <w:rPr>
                <w:rFonts w:cs="Arial"/>
                <w:color w:val="auto"/>
                <w:sz w:val="20"/>
                <w:szCs w:val="20"/>
              </w:rPr>
            </w:pPr>
            <w:r>
              <w:rPr>
                <w:rFonts w:cs="Arial"/>
                <w:color w:val="auto"/>
                <w:sz w:val="20"/>
                <w:szCs w:val="20"/>
              </w:rPr>
              <w:t>91</w:t>
            </w:r>
          </w:p>
        </w:tc>
      </w:tr>
      <w:tr w:rsidR="00550E61" w:rsidRPr="0005794A" w:rsidTr="00BE5B28">
        <w:tc>
          <w:tcPr>
            <w:tcW w:w="4077" w:type="dxa"/>
          </w:tcPr>
          <w:p w:rsidR="00550E61" w:rsidRPr="008B4D5B" w:rsidRDefault="00550E61" w:rsidP="0044527D">
            <w:pPr>
              <w:widowControl w:val="0"/>
              <w:spacing w:after="0" w:line="240" w:lineRule="auto"/>
              <w:rPr>
                <w:rFonts w:cs="Arial"/>
                <w:color w:val="auto"/>
                <w:sz w:val="20"/>
                <w:szCs w:val="20"/>
              </w:rPr>
            </w:pPr>
            <w:r w:rsidRPr="008B4D5B">
              <w:rPr>
                <w:rFonts w:cs="Arial"/>
                <w:color w:val="auto"/>
                <w:sz w:val="20"/>
                <w:szCs w:val="20"/>
              </w:rPr>
              <w:t>Note 10 Transfers to/from Earmarked Reserves</w:t>
            </w:r>
          </w:p>
        </w:tc>
        <w:tc>
          <w:tcPr>
            <w:tcW w:w="851" w:type="dxa"/>
          </w:tcPr>
          <w:p w:rsidR="00550E61" w:rsidRPr="00734710" w:rsidRDefault="00506799" w:rsidP="00A0020C">
            <w:pPr>
              <w:widowControl w:val="0"/>
              <w:spacing w:after="0" w:line="240" w:lineRule="auto"/>
              <w:jc w:val="center"/>
              <w:rPr>
                <w:rFonts w:cs="Arial"/>
                <w:color w:val="auto"/>
                <w:sz w:val="20"/>
                <w:szCs w:val="20"/>
              </w:rPr>
            </w:pPr>
            <w:r>
              <w:rPr>
                <w:rFonts w:cs="Arial"/>
                <w:color w:val="auto"/>
                <w:sz w:val="20"/>
                <w:szCs w:val="20"/>
              </w:rPr>
              <w:t>51</w:t>
            </w: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40 Defined Benefit Pension Schemes</w:t>
            </w:r>
          </w:p>
        </w:tc>
        <w:tc>
          <w:tcPr>
            <w:tcW w:w="762" w:type="dxa"/>
          </w:tcPr>
          <w:p w:rsidR="00550E61" w:rsidRPr="009213E0" w:rsidRDefault="00506799" w:rsidP="00277CBC">
            <w:pPr>
              <w:widowControl w:val="0"/>
              <w:spacing w:after="0" w:line="240" w:lineRule="auto"/>
              <w:jc w:val="center"/>
              <w:rPr>
                <w:rFonts w:cs="Arial"/>
                <w:color w:val="auto"/>
                <w:sz w:val="20"/>
                <w:szCs w:val="20"/>
              </w:rPr>
            </w:pPr>
            <w:r>
              <w:rPr>
                <w:rFonts w:cs="Arial"/>
                <w:color w:val="auto"/>
                <w:sz w:val="20"/>
                <w:szCs w:val="20"/>
              </w:rPr>
              <w:t>92</w:t>
            </w:r>
          </w:p>
        </w:tc>
      </w:tr>
      <w:tr w:rsidR="00550E61" w:rsidRPr="0005794A" w:rsidTr="00BE5B28">
        <w:tc>
          <w:tcPr>
            <w:tcW w:w="4077" w:type="dxa"/>
          </w:tcPr>
          <w:p w:rsidR="00550E61" w:rsidRPr="008B4D5B" w:rsidRDefault="00550E61" w:rsidP="00A0020C">
            <w:pPr>
              <w:widowControl w:val="0"/>
              <w:spacing w:after="0" w:line="240" w:lineRule="auto"/>
              <w:rPr>
                <w:rFonts w:cs="Arial"/>
                <w:color w:val="auto"/>
                <w:sz w:val="20"/>
                <w:szCs w:val="20"/>
              </w:rPr>
            </w:pPr>
            <w:r w:rsidRPr="008B4D5B">
              <w:rPr>
                <w:rFonts w:cs="Arial"/>
                <w:color w:val="auto"/>
                <w:sz w:val="20"/>
                <w:szCs w:val="20"/>
              </w:rPr>
              <w:t>Notes re Comprehensive Income &amp; Expenditure Statement:</w:t>
            </w:r>
          </w:p>
        </w:tc>
        <w:tc>
          <w:tcPr>
            <w:tcW w:w="851" w:type="dxa"/>
          </w:tcPr>
          <w:p w:rsidR="00550E61" w:rsidRPr="00734710" w:rsidRDefault="00550E61" w:rsidP="00A0020C">
            <w:pPr>
              <w:widowControl w:val="0"/>
              <w:spacing w:after="0" w:line="240" w:lineRule="auto"/>
              <w:jc w:val="center"/>
              <w:rPr>
                <w:rFonts w:cs="Arial"/>
                <w:color w:val="auto"/>
                <w:sz w:val="20"/>
                <w:szCs w:val="20"/>
              </w:rPr>
            </w:pPr>
          </w:p>
        </w:tc>
        <w:tc>
          <w:tcPr>
            <w:tcW w:w="382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41 Summary of Significant Accounting Policies</w:t>
            </w:r>
          </w:p>
        </w:tc>
        <w:tc>
          <w:tcPr>
            <w:tcW w:w="762" w:type="dxa"/>
          </w:tcPr>
          <w:p w:rsidR="00550E61" w:rsidRPr="009213E0" w:rsidRDefault="006E3F40" w:rsidP="00506799">
            <w:pPr>
              <w:widowControl w:val="0"/>
              <w:spacing w:after="0" w:line="240" w:lineRule="auto"/>
              <w:jc w:val="center"/>
              <w:rPr>
                <w:rFonts w:cs="Arial"/>
                <w:color w:val="auto"/>
                <w:sz w:val="20"/>
                <w:szCs w:val="20"/>
              </w:rPr>
            </w:pPr>
            <w:r w:rsidRPr="009213E0">
              <w:rPr>
                <w:rFonts w:cs="Arial"/>
                <w:color w:val="auto"/>
                <w:sz w:val="20"/>
                <w:szCs w:val="20"/>
              </w:rPr>
              <w:t>9</w:t>
            </w:r>
            <w:r w:rsidR="00506799">
              <w:rPr>
                <w:rFonts w:cs="Arial"/>
                <w:color w:val="auto"/>
                <w:sz w:val="20"/>
                <w:szCs w:val="20"/>
              </w:rPr>
              <w:t>8</w:t>
            </w:r>
          </w:p>
        </w:tc>
      </w:tr>
      <w:tr w:rsidR="00550E61" w:rsidRPr="0005794A" w:rsidTr="00BE5B28">
        <w:tc>
          <w:tcPr>
            <w:tcW w:w="4077" w:type="dxa"/>
          </w:tcPr>
          <w:p w:rsidR="00550E61" w:rsidRPr="008B4D5B" w:rsidRDefault="00550E61" w:rsidP="0044527D">
            <w:pPr>
              <w:widowControl w:val="0"/>
              <w:spacing w:after="0" w:line="240" w:lineRule="auto"/>
              <w:rPr>
                <w:rFonts w:cs="Arial"/>
                <w:color w:val="auto"/>
                <w:sz w:val="20"/>
                <w:szCs w:val="20"/>
              </w:rPr>
            </w:pPr>
            <w:r w:rsidRPr="008B4D5B">
              <w:rPr>
                <w:rFonts w:cs="Arial"/>
                <w:color w:val="auto"/>
                <w:sz w:val="20"/>
                <w:szCs w:val="20"/>
              </w:rPr>
              <w:t>Note 11 Financing and Investment Income and Expenditure</w:t>
            </w:r>
          </w:p>
        </w:tc>
        <w:tc>
          <w:tcPr>
            <w:tcW w:w="851" w:type="dxa"/>
          </w:tcPr>
          <w:p w:rsidR="00550E61" w:rsidRPr="00734710" w:rsidRDefault="00506799" w:rsidP="00A0020C">
            <w:pPr>
              <w:widowControl w:val="0"/>
              <w:spacing w:after="0" w:line="240" w:lineRule="auto"/>
              <w:jc w:val="center"/>
              <w:rPr>
                <w:rFonts w:cs="Arial"/>
                <w:color w:val="auto"/>
                <w:sz w:val="20"/>
                <w:szCs w:val="20"/>
              </w:rPr>
            </w:pPr>
            <w:r>
              <w:rPr>
                <w:rFonts w:cs="Arial"/>
                <w:color w:val="auto"/>
                <w:sz w:val="20"/>
                <w:szCs w:val="20"/>
              </w:rPr>
              <w:t>51</w:t>
            </w:r>
          </w:p>
        </w:tc>
        <w:tc>
          <w:tcPr>
            <w:tcW w:w="3827" w:type="dxa"/>
          </w:tcPr>
          <w:p w:rsidR="00550E61" w:rsidRPr="006E3F40" w:rsidRDefault="006E3F40" w:rsidP="00F113A6">
            <w:pPr>
              <w:widowControl w:val="0"/>
              <w:spacing w:after="0" w:line="240" w:lineRule="auto"/>
              <w:rPr>
                <w:rFonts w:cs="Arial"/>
                <w:color w:val="auto"/>
                <w:sz w:val="20"/>
                <w:szCs w:val="20"/>
              </w:rPr>
            </w:pPr>
            <w:r w:rsidRPr="006E3F40">
              <w:rPr>
                <w:rFonts w:cs="Arial"/>
                <w:color w:val="auto"/>
                <w:sz w:val="20"/>
                <w:szCs w:val="20"/>
              </w:rPr>
              <w:t>Note 42 Post Balance Sheet Event</w:t>
            </w:r>
          </w:p>
        </w:tc>
        <w:tc>
          <w:tcPr>
            <w:tcW w:w="762" w:type="dxa"/>
          </w:tcPr>
          <w:p w:rsidR="00550E61" w:rsidRPr="006E3F40" w:rsidRDefault="006E3F40" w:rsidP="00506799">
            <w:pPr>
              <w:widowControl w:val="0"/>
              <w:spacing w:after="0" w:line="240" w:lineRule="auto"/>
              <w:jc w:val="center"/>
              <w:rPr>
                <w:rFonts w:cs="Arial"/>
                <w:color w:val="auto"/>
                <w:sz w:val="20"/>
                <w:szCs w:val="20"/>
              </w:rPr>
            </w:pPr>
            <w:r w:rsidRPr="006E3F40">
              <w:rPr>
                <w:rFonts w:cs="Arial"/>
                <w:color w:val="auto"/>
                <w:sz w:val="20"/>
                <w:szCs w:val="20"/>
              </w:rPr>
              <w:t>1</w:t>
            </w:r>
            <w:r w:rsidR="00506799">
              <w:rPr>
                <w:rFonts w:cs="Arial"/>
                <w:color w:val="auto"/>
                <w:sz w:val="20"/>
                <w:szCs w:val="20"/>
              </w:rPr>
              <w:t>11</w:t>
            </w:r>
          </w:p>
        </w:tc>
      </w:tr>
      <w:tr w:rsidR="00550E61" w:rsidRPr="0005794A" w:rsidTr="00BE5B28">
        <w:tc>
          <w:tcPr>
            <w:tcW w:w="4077" w:type="dxa"/>
          </w:tcPr>
          <w:p w:rsidR="00550E61" w:rsidRPr="008B4D5B" w:rsidRDefault="00550E61" w:rsidP="0044527D">
            <w:pPr>
              <w:widowControl w:val="0"/>
              <w:spacing w:after="0" w:line="240" w:lineRule="auto"/>
              <w:rPr>
                <w:rFonts w:cs="Arial"/>
                <w:color w:val="auto"/>
                <w:sz w:val="20"/>
                <w:szCs w:val="20"/>
              </w:rPr>
            </w:pPr>
            <w:r w:rsidRPr="008B4D5B">
              <w:rPr>
                <w:rFonts w:cs="Arial"/>
                <w:color w:val="auto"/>
                <w:sz w:val="20"/>
                <w:szCs w:val="20"/>
              </w:rPr>
              <w:t>Note 12 Taxation and Non-Specific Grant Income</w:t>
            </w:r>
          </w:p>
        </w:tc>
        <w:tc>
          <w:tcPr>
            <w:tcW w:w="851" w:type="dxa"/>
          </w:tcPr>
          <w:p w:rsidR="00550E61" w:rsidRPr="00734710" w:rsidRDefault="00506799" w:rsidP="00A0020C">
            <w:pPr>
              <w:widowControl w:val="0"/>
              <w:spacing w:after="0" w:line="240" w:lineRule="auto"/>
              <w:jc w:val="center"/>
              <w:rPr>
                <w:rFonts w:cs="Arial"/>
                <w:color w:val="auto"/>
                <w:sz w:val="20"/>
                <w:szCs w:val="20"/>
              </w:rPr>
            </w:pPr>
            <w:r>
              <w:rPr>
                <w:rFonts w:cs="Arial"/>
                <w:color w:val="auto"/>
                <w:sz w:val="20"/>
                <w:szCs w:val="20"/>
              </w:rPr>
              <w:t>52</w:t>
            </w:r>
          </w:p>
        </w:tc>
        <w:tc>
          <w:tcPr>
            <w:tcW w:w="3827" w:type="dxa"/>
          </w:tcPr>
          <w:p w:rsidR="00550E61" w:rsidRPr="008B4D5B" w:rsidRDefault="00550E61" w:rsidP="00F113A6">
            <w:pPr>
              <w:widowControl w:val="0"/>
              <w:spacing w:after="0" w:line="240" w:lineRule="auto"/>
              <w:rPr>
                <w:rFonts w:cs="Arial"/>
                <w:color w:val="auto"/>
                <w:sz w:val="20"/>
                <w:szCs w:val="20"/>
              </w:rPr>
            </w:pPr>
          </w:p>
        </w:tc>
        <w:tc>
          <w:tcPr>
            <w:tcW w:w="762" w:type="dxa"/>
          </w:tcPr>
          <w:p w:rsidR="00550E61" w:rsidRPr="009213E0" w:rsidRDefault="00550E61" w:rsidP="00277CBC">
            <w:pPr>
              <w:widowControl w:val="0"/>
              <w:spacing w:after="0" w:line="240" w:lineRule="auto"/>
              <w:jc w:val="center"/>
              <w:rPr>
                <w:rFonts w:cs="Arial"/>
                <w:color w:val="auto"/>
                <w:sz w:val="20"/>
                <w:szCs w:val="20"/>
              </w:rPr>
            </w:pPr>
          </w:p>
        </w:tc>
      </w:tr>
      <w:tr w:rsidR="00550E61" w:rsidRPr="0005794A" w:rsidTr="00BE5B28">
        <w:tc>
          <w:tcPr>
            <w:tcW w:w="4077" w:type="dxa"/>
          </w:tcPr>
          <w:p w:rsidR="00550E61" w:rsidRPr="008B4D5B" w:rsidRDefault="00550E61" w:rsidP="00A0020C">
            <w:pPr>
              <w:widowControl w:val="0"/>
              <w:spacing w:after="0" w:line="240" w:lineRule="auto"/>
              <w:rPr>
                <w:rFonts w:cs="Arial"/>
                <w:color w:val="auto"/>
                <w:sz w:val="20"/>
                <w:szCs w:val="20"/>
              </w:rPr>
            </w:pPr>
            <w:r w:rsidRPr="008B4D5B">
              <w:rPr>
                <w:rFonts w:cs="Arial"/>
                <w:color w:val="auto"/>
                <w:sz w:val="20"/>
                <w:szCs w:val="20"/>
              </w:rPr>
              <w:t>Notes re Balance Sheet:</w:t>
            </w:r>
          </w:p>
        </w:tc>
        <w:tc>
          <w:tcPr>
            <w:tcW w:w="851" w:type="dxa"/>
          </w:tcPr>
          <w:p w:rsidR="00550E61" w:rsidRPr="00734710" w:rsidRDefault="00550E61" w:rsidP="00A0020C">
            <w:pPr>
              <w:widowControl w:val="0"/>
              <w:spacing w:after="0" w:line="240" w:lineRule="auto"/>
              <w:jc w:val="center"/>
              <w:rPr>
                <w:rFonts w:cs="Arial"/>
                <w:color w:val="auto"/>
                <w:sz w:val="20"/>
                <w:szCs w:val="20"/>
              </w:rPr>
            </w:pPr>
          </w:p>
        </w:tc>
        <w:tc>
          <w:tcPr>
            <w:tcW w:w="3827" w:type="dxa"/>
          </w:tcPr>
          <w:p w:rsidR="00550E61" w:rsidRPr="008B4D5B" w:rsidRDefault="006E3F40" w:rsidP="00F113A6">
            <w:pPr>
              <w:widowControl w:val="0"/>
              <w:spacing w:after="0" w:line="240" w:lineRule="auto"/>
              <w:rPr>
                <w:rFonts w:cs="Arial"/>
                <w:color w:val="auto"/>
                <w:sz w:val="20"/>
                <w:szCs w:val="20"/>
              </w:rPr>
            </w:pPr>
            <w:r w:rsidRPr="008B4D5B">
              <w:rPr>
                <w:rFonts w:cs="Arial"/>
                <w:b/>
                <w:color w:val="auto"/>
                <w:sz w:val="20"/>
                <w:szCs w:val="20"/>
              </w:rPr>
              <w:t>Supplementary Financial Statement:-</w:t>
            </w:r>
          </w:p>
        </w:tc>
        <w:tc>
          <w:tcPr>
            <w:tcW w:w="762" w:type="dxa"/>
          </w:tcPr>
          <w:p w:rsidR="00550E61" w:rsidRPr="009213E0" w:rsidRDefault="00550E61" w:rsidP="00277CBC">
            <w:pPr>
              <w:widowControl w:val="0"/>
              <w:spacing w:after="0" w:line="240" w:lineRule="auto"/>
              <w:jc w:val="center"/>
              <w:rPr>
                <w:rFonts w:cs="Arial"/>
                <w:color w:val="auto"/>
                <w:sz w:val="20"/>
                <w:szCs w:val="20"/>
              </w:rPr>
            </w:pPr>
          </w:p>
        </w:tc>
      </w:tr>
      <w:tr w:rsidR="00550E61" w:rsidRPr="0005794A" w:rsidTr="00BE5B28">
        <w:tc>
          <w:tcPr>
            <w:tcW w:w="4077" w:type="dxa"/>
          </w:tcPr>
          <w:p w:rsidR="00550E61" w:rsidRPr="008B4D5B" w:rsidRDefault="00550E61" w:rsidP="0044527D">
            <w:pPr>
              <w:widowControl w:val="0"/>
              <w:spacing w:after="0" w:line="240" w:lineRule="auto"/>
              <w:rPr>
                <w:rFonts w:cs="Arial"/>
                <w:color w:val="auto"/>
                <w:sz w:val="20"/>
                <w:szCs w:val="20"/>
              </w:rPr>
            </w:pPr>
            <w:r w:rsidRPr="008B4D5B">
              <w:rPr>
                <w:rFonts w:cs="Arial"/>
                <w:color w:val="auto"/>
                <w:sz w:val="20"/>
                <w:szCs w:val="20"/>
              </w:rPr>
              <w:t>Note 13 Property, Plant and Equipment</w:t>
            </w:r>
          </w:p>
        </w:tc>
        <w:tc>
          <w:tcPr>
            <w:tcW w:w="851" w:type="dxa"/>
          </w:tcPr>
          <w:p w:rsidR="00550E61" w:rsidRPr="00734710" w:rsidRDefault="00506799" w:rsidP="00A0020C">
            <w:pPr>
              <w:widowControl w:val="0"/>
              <w:spacing w:after="0" w:line="240" w:lineRule="auto"/>
              <w:jc w:val="center"/>
              <w:rPr>
                <w:rFonts w:cs="Arial"/>
                <w:color w:val="auto"/>
                <w:sz w:val="20"/>
                <w:szCs w:val="20"/>
              </w:rPr>
            </w:pPr>
            <w:r>
              <w:rPr>
                <w:rFonts w:cs="Arial"/>
                <w:color w:val="auto"/>
                <w:sz w:val="20"/>
                <w:szCs w:val="20"/>
              </w:rPr>
              <w:t>52</w:t>
            </w:r>
          </w:p>
        </w:tc>
        <w:tc>
          <w:tcPr>
            <w:tcW w:w="3827" w:type="dxa"/>
          </w:tcPr>
          <w:p w:rsidR="00550E61" w:rsidRPr="008B4D5B" w:rsidRDefault="00550E61" w:rsidP="00F113A6">
            <w:pPr>
              <w:widowControl w:val="0"/>
              <w:spacing w:after="0" w:line="240" w:lineRule="auto"/>
              <w:rPr>
                <w:rFonts w:cs="Arial"/>
                <w:b/>
                <w:color w:val="auto"/>
                <w:sz w:val="20"/>
                <w:szCs w:val="20"/>
              </w:rPr>
            </w:pPr>
          </w:p>
        </w:tc>
        <w:tc>
          <w:tcPr>
            <w:tcW w:w="762" w:type="dxa"/>
          </w:tcPr>
          <w:p w:rsidR="00550E61" w:rsidRPr="009213E0" w:rsidRDefault="00550E61" w:rsidP="00553895">
            <w:pPr>
              <w:widowControl w:val="0"/>
              <w:spacing w:after="0" w:line="240" w:lineRule="auto"/>
              <w:jc w:val="center"/>
              <w:rPr>
                <w:rFonts w:cs="Arial"/>
                <w:color w:val="auto"/>
                <w:sz w:val="20"/>
                <w:szCs w:val="20"/>
              </w:rPr>
            </w:pPr>
          </w:p>
        </w:tc>
      </w:tr>
      <w:tr w:rsidR="00550E61" w:rsidRPr="0005794A" w:rsidTr="00BE5B28">
        <w:tc>
          <w:tcPr>
            <w:tcW w:w="4077" w:type="dxa"/>
          </w:tcPr>
          <w:p w:rsidR="00550E61" w:rsidRPr="008B4D5B" w:rsidRDefault="00550E61" w:rsidP="0044527D">
            <w:pPr>
              <w:widowControl w:val="0"/>
              <w:spacing w:after="0" w:line="240" w:lineRule="auto"/>
              <w:rPr>
                <w:rFonts w:cs="Arial"/>
                <w:color w:val="auto"/>
                <w:sz w:val="20"/>
                <w:szCs w:val="20"/>
              </w:rPr>
            </w:pPr>
            <w:r w:rsidRPr="008B4D5B">
              <w:rPr>
                <w:rFonts w:cs="Arial"/>
                <w:color w:val="auto"/>
                <w:sz w:val="20"/>
                <w:szCs w:val="20"/>
              </w:rPr>
              <w:t>Note 14 Heritage Assets</w:t>
            </w:r>
          </w:p>
        </w:tc>
        <w:tc>
          <w:tcPr>
            <w:tcW w:w="851" w:type="dxa"/>
          </w:tcPr>
          <w:p w:rsidR="00550E61" w:rsidRPr="00734710" w:rsidRDefault="00506799" w:rsidP="00A0020C">
            <w:pPr>
              <w:widowControl w:val="0"/>
              <w:spacing w:after="0" w:line="240" w:lineRule="auto"/>
              <w:jc w:val="center"/>
              <w:rPr>
                <w:rFonts w:cs="Arial"/>
                <w:color w:val="auto"/>
                <w:sz w:val="20"/>
                <w:szCs w:val="20"/>
              </w:rPr>
            </w:pPr>
            <w:r>
              <w:rPr>
                <w:rFonts w:cs="Arial"/>
                <w:color w:val="auto"/>
                <w:sz w:val="20"/>
                <w:szCs w:val="20"/>
              </w:rPr>
              <w:t>56</w:t>
            </w:r>
          </w:p>
        </w:tc>
        <w:tc>
          <w:tcPr>
            <w:tcW w:w="3827" w:type="dxa"/>
          </w:tcPr>
          <w:p w:rsidR="00550E61" w:rsidRPr="008B4D5B" w:rsidRDefault="006E3F40" w:rsidP="00F113A6">
            <w:pPr>
              <w:widowControl w:val="0"/>
              <w:spacing w:after="0" w:line="240" w:lineRule="auto"/>
              <w:rPr>
                <w:rFonts w:cs="Arial"/>
                <w:b/>
                <w:color w:val="auto"/>
                <w:sz w:val="20"/>
                <w:szCs w:val="20"/>
              </w:rPr>
            </w:pPr>
            <w:r w:rsidRPr="008B4D5B">
              <w:rPr>
                <w:rFonts w:cs="Arial"/>
                <w:b/>
                <w:color w:val="auto"/>
                <w:sz w:val="20"/>
                <w:szCs w:val="20"/>
              </w:rPr>
              <w:t>Collection Fund Summary Account</w:t>
            </w:r>
          </w:p>
        </w:tc>
        <w:tc>
          <w:tcPr>
            <w:tcW w:w="762" w:type="dxa"/>
          </w:tcPr>
          <w:p w:rsidR="00550E61" w:rsidRPr="009213E0" w:rsidRDefault="006E3F40" w:rsidP="00506799">
            <w:pPr>
              <w:widowControl w:val="0"/>
              <w:spacing w:after="0" w:line="240" w:lineRule="auto"/>
              <w:jc w:val="center"/>
              <w:rPr>
                <w:rFonts w:cs="Arial"/>
                <w:color w:val="auto"/>
                <w:sz w:val="20"/>
                <w:szCs w:val="20"/>
              </w:rPr>
            </w:pPr>
            <w:r w:rsidRPr="009213E0">
              <w:rPr>
                <w:rFonts w:cs="Arial"/>
                <w:color w:val="auto"/>
                <w:sz w:val="20"/>
                <w:szCs w:val="20"/>
              </w:rPr>
              <w:t>1</w:t>
            </w:r>
            <w:r w:rsidR="00506799">
              <w:rPr>
                <w:rFonts w:cs="Arial"/>
                <w:color w:val="auto"/>
                <w:sz w:val="20"/>
                <w:szCs w:val="20"/>
              </w:rPr>
              <w:t>12</w:t>
            </w:r>
          </w:p>
        </w:tc>
      </w:tr>
      <w:tr w:rsidR="00550E61" w:rsidRPr="0005794A" w:rsidTr="00BE5B28">
        <w:tc>
          <w:tcPr>
            <w:tcW w:w="407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15 Investment Properties</w:t>
            </w:r>
          </w:p>
        </w:tc>
        <w:tc>
          <w:tcPr>
            <w:tcW w:w="851" w:type="dxa"/>
          </w:tcPr>
          <w:p w:rsidR="00550E61" w:rsidRPr="00734710" w:rsidRDefault="00734710" w:rsidP="00506799">
            <w:pPr>
              <w:widowControl w:val="0"/>
              <w:spacing w:after="0" w:line="240" w:lineRule="auto"/>
              <w:jc w:val="center"/>
              <w:rPr>
                <w:rFonts w:cs="Arial"/>
                <w:color w:val="auto"/>
                <w:sz w:val="20"/>
                <w:szCs w:val="20"/>
              </w:rPr>
            </w:pPr>
            <w:r w:rsidRPr="00734710">
              <w:rPr>
                <w:rFonts w:cs="Arial"/>
                <w:color w:val="auto"/>
                <w:sz w:val="20"/>
                <w:szCs w:val="20"/>
              </w:rPr>
              <w:t>5</w:t>
            </w:r>
            <w:r w:rsidR="00506799">
              <w:rPr>
                <w:rFonts w:cs="Arial"/>
                <w:color w:val="auto"/>
                <w:sz w:val="20"/>
                <w:szCs w:val="20"/>
              </w:rPr>
              <w:t>7</w:t>
            </w:r>
          </w:p>
        </w:tc>
        <w:tc>
          <w:tcPr>
            <w:tcW w:w="3827" w:type="dxa"/>
          </w:tcPr>
          <w:p w:rsidR="00550E61" w:rsidRPr="008B4D5B" w:rsidRDefault="006E3F40" w:rsidP="00F113A6">
            <w:pPr>
              <w:widowControl w:val="0"/>
              <w:spacing w:after="0" w:line="240" w:lineRule="auto"/>
              <w:rPr>
                <w:rFonts w:cs="Arial"/>
                <w:color w:val="auto"/>
                <w:sz w:val="20"/>
                <w:szCs w:val="20"/>
              </w:rPr>
            </w:pPr>
            <w:r w:rsidRPr="008B4D5B">
              <w:rPr>
                <w:rFonts w:cs="Arial"/>
                <w:color w:val="auto"/>
                <w:sz w:val="20"/>
                <w:szCs w:val="20"/>
              </w:rPr>
              <w:t>Notes to the Collection Fund Summary Account</w:t>
            </w:r>
          </w:p>
        </w:tc>
        <w:tc>
          <w:tcPr>
            <w:tcW w:w="762" w:type="dxa"/>
          </w:tcPr>
          <w:p w:rsidR="00550E61" w:rsidRPr="009213E0" w:rsidRDefault="006E3F40" w:rsidP="00506799">
            <w:pPr>
              <w:widowControl w:val="0"/>
              <w:spacing w:after="0" w:line="240" w:lineRule="auto"/>
              <w:rPr>
                <w:rFonts w:cs="Arial"/>
                <w:color w:val="auto"/>
                <w:sz w:val="20"/>
                <w:szCs w:val="20"/>
              </w:rPr>
            </w:pPr>
            <w:r>
              <w:rPr>
                <w:rFonts w:cs="Arial"/>
                <w:color w:val="auto"/>
                <w:sz w:val="20"/>
                <w:szCs w:val="20"/>
              </w:rPr>
              <w:t xml:space="preserve">  </w:t>
            </w:r>
            <w:r w:rsidRPr="009213E0">
              <w:rPr>
                <w:rFonts w:cs="Arial"/>
                <w:color w:val="auto"/>
                <w:sz w:val="20"/>
                <w:szCs w:val="20"/>
              </w:rPr>
              <w:t>1</w:t>
            </w:r>
            <w:r w:rsidR="00506799">
              <w:rPr>
                <w:rFonts w:cs="Arial"/>
                <w:color w:val="auto"/>
                <w:sz w:val="20"/>
                <w:szCs w:val="20"/>
              </w:rPr>
              <w:t>13</w:t>
            </w:r>
          </w:p>
        </w:tc>
      </w:tr>
      <w:tr w:rsidR="00550E61" w:rsidRPr="0005794A" w:rsidTr="00BE5B28">
        <w:tc>
          <w:tcPr>
            <w:tcW w:w="4077" w:type="dxa"/>
          </w:tcPr>
          <w:p w:rsidR="00550E61" w:rsidRPr="008B4D5B" w:rsidRDefault="00550E61" w:rsidP="002C40F2">
            <w:pPr>
              <w:widowControl w:val="0"/>
              <w:spacing w:after="0" w:line="240" w:lineRule="auto"/>
              <w:rPr>
                <w:rFonts w:cs="Arial"/>
                <w:color w:val="auto"/>
                <w:sz w:val="20"/>
                <w:szCs w:val="20"/>
              </w:rPr>
            </w:pPr>
            <w:r w:rsidRPr="008B4D5B">
              <w:rPr>
                <w:rFonts w:cs="Arial"/>
                <w:color w:val="auto"/>
                <w:sz w:val="20"/>
                <w:szCs w:val="20"/>
              </w:rPr>
              <w:t>Note 16 Financial Instruments</w:t>
            </w:r>
          </w:p>
        </w:tc>
        <w:tc>
          <w:tcPr>
            <w:tcW w:w="851" w:type="dxa"/>
          </w:tcPr>
          <w:p w:rsidR="00550E61" w:rsidRPr="00734710" w:rsidRDefault="00734710" w:rsidP="00506799">
            <w:pPr>
              <w:widowControl w:val="0"/>
              <w:spacing w:after="0" w:line="240" w:lineRule="auto"/>
              <w:jc w:val="center"/>
              <w:rPr>
                <w:rFonts w:cs="Arial"/>
                <w:color w:val="auto"/>
                <w:sz w:val="20"/>
                <w:szCs w:val="20"/>
              </w:rPr>
            </w:pPr>
            <w:r w:rsidRPr="00734710">
              <w:rPr>
                <w:rFonts w:cs="Arial"/>
                <w:color w:val="auto"/>
                <w:sz w:val="20"/>
                <w:szCs w:val="20"/>
              </w:rPr>
              <w:t>5</w:t>
            </w:r>
            <w:r w:rsidR="00506799">
              <w:rPr>
                <w:rFonts w:cs="Arial"/>
                <w:color w:val="auto"/>
                <w:sz w:val="20"/>
                <w:szCs w:val="20"/>
              </w:rPr>
              <w:t>8</w:t>
            </w:r>
          </w:p>
        </w:tc>
        <w:tc>
          <w:tcPr>
            <w:tcW w:w="3827" w:type="dxa"/>
          </w:tcPr>
          <w:p w:rsidR="00550E61" w:rsidRPr="008B4D5B" w:rsidRDefault="006E3F40" w:rsidP="00200444">
            <w:pPr>
              <w:widowControl w:val="0"/>
              <w:spacing w:after="0" w:line="240" w:lineRule="auto"/>
              <w:rPr>
                <w:rFonts w:cs="Arial"/>
                <w:color w:val="auto"/>
                <w:sz w:val="20"/>
                <w:szCs w:val="20"/>
              </w:rPr>
            </w:pPr>
            <w:r w:rsidRPr="008B4D5B">
              <w:rPr>
                <w:rFonts w:cs="Arial"/>
                <w:b/>
                <w:color w:val="auto"/>
                <w:sz w:val="20"/>
                <w:szCs w:val="20"/>
              </w:rPr>
              <w:t>Annual Governance Statement</w:t>
            </w:r>
          </w:p>
        </w:tc>
        <w:tc>
          <w:tcPr>
            <w:tcW w:w="762" w:type="dxa"/>
          </w:tcPr>
          <w:p w:rsidR="00550E61" w:rsidRPr="009213E0" w:rsidRDefault="006E3F40" w:rsidP="00506799">
            <w:pPr>
              <w:widowControl w:val="0"/>
              <w:spacing w:after="0" w:line="240" w:lineRule="auto"/>
              <w:jc w:val="center"/>
              <w:rPr>
                <w:rFonts w:cs="Arial"/>
                <w:color w:val="auto"/>
                <w:sz w:val="20"/>
                <w:szCs w:val="20"/>
              </w:rPr>
            </w:pPr>
            <w:r>
              <w:rPr>
                <w:rFonts w:cs="Arial"/>
                <w:color w:val="auto"/>
                <w:sz w:val="20"/>
                <w:szCs w:val="20"/>
              </w:rPr>
              <w:t>1</w:t>
            </w:r>
            <w:r w:rsidR="00506799">
              <w:rPr>
                <w:rFonts w:cs="Arial"/>
                <w:color w:val="auto"/>
                <w:sz w:val="20"/>
                <w:szCs w:val="20"/>
              </w:rPr>
              <w:t>15</w:t>
            </w:r>
          </w:p>
        </w:tc>
      </w:tr>
      <w:tr w:rsidR="00550E61" w:rsidRPr="0005794A" w:rsidTr="00BE5B28">
        <w:tc>
          <w:tcPr>
            <w:tcW w:w="4077" w:type="dxa"/>
          </w:tcPr>
          <w:p w:rsidR="00550E61" w:rsidRPr="008B4D5B" w:rsidRDefault="00550E61" w:rsidP="002C40F2">
            <w:pPr>
              <w:widowControl w:val="0"/>
              <w:spacing w:after="0" w:line="240" w:lineRule="auto"/>
              <w:rPr>
                <w:rFonts w:cs="Arial"/>
                <w:strike/>
                <w:color w:val="auto"/>
                <w:sz w:val="20"/>
                <w:szCs w:val="20"/>
              </w:rPr>
            </w:pPr>
            <w:r w:rsidRPr="008B4D5B">
              <w:rPr>
                <w:rFonts w:cs="Arial"/>
                <w:color w:val="auto"/>
                <w:sz w:val="20"/>
                <w:szCs w:val="20"/>
              </w:rPr>
              <w:t>Note 17 Nature and Extent of Risks Arising from Financial Instruments</w:t>
            </w:r>
          </w:p>
        </w:tc>
        <w:tc>
          <w:tcPr>
            <w:tcW w:w="851" w:type="dxa"/>
          </w:tcPr>
          <w:p w:rsidR="00550E61" w:rsidRPr="00734710" w:rsidRDefault="00506799" w:rsidP="00A0020C">
            <w:pPr>
              <w:widowControl w:val="0"/>
              <w:spacing w:after="0" w:line="240" w:lineRule="auto"/>
              <w:jc w:val="center"/>
              <w:rPr>
                <w:rFonts w:cs="Arial"/>
                <w:color w:val="auto"/>
                <w:sz w:val="20"/>
                <w:szCs w:val="20"/>
              </w:rPr>
            </w:pPr>
            <w:r>
              <w:rPr>
                <w:rFonts w:cs="Arial"/>
                <w:color w:val="auto"/>
                <w:sz w:val="20"/>
                <w:szCs w:val="20"/>
              </w:rPr>
              <w:t>61</w:t>
            </w:r>
          </w:p>
        </w:tc>
        <w:tc>
          <w:tcPr>
            <w:tcW w:w="3827" w:type="dxa"/>
          </w:tcPr>
          <w:p w:rsidR="00550E61" w:rsidRPr="0005794A" w:rsidRDefault="006E3F40" w:rsidP="00200444">
            <w:pPr>
              <w:widowControl w:val="0"/>
              <w:spacing w:after="0" w:line="240" w:lineRule="auto"/>
              <w:rPr>
                <w:rFonts w:cs="Arial"/>
                <w:color w:val="548DD4" w:themeColor="text2" w:themeTint="99"/>
                <w:sz w:val="20"/>
                <w:szCs w:val="20"/>
              </w:rPr>
            </w:pPr>
            <w:r w:rsidRPr="008B4D5B">
              <w:rPr>
                <w:rFonts w:cs="Arial"/>
                <w:b/>
                <w:color w:val="auto"/>
                <w:sz w:val="20"/>
                <w:szCs w:val="20"/>
              </w:rPr>
              <w:t>Glossary of Terms</w:t>
            </w:r>
          </w:p>
        </w:tc>
        <w:tc>
          <w:tcPr>
            <w:tcW w:w="762" w:type="dxa"/>
          </w:tcPr>
          <w:p w:rsidR="00550E61" w:rsidRPr="0005794A" w:rsidRDefault="006E3F40" w:rsidP="00506799">
            <w:pPr>
              <w:widowControl w:val="0"/>
              <w:spacing w:after="0" w:line="240" w:lineRule="auto"/>
              <w:jc w:val="center"/>
              <w:rPr>
                <w:rFonts w:cs="Arial"/>
                <w:color w:val="548DD4" w:themeColor="text2" w:themeTint="99"/>
                <w:sz w:val="20"/>
                <w:szCs w:val="20"/>
              </w:rPr>
            </w:pPr>
            <w:r w:rsidRPr="006E3F40">
              <w:rPr>
                <w:rFonts w:cs="Arial"/>
                <w:color w:val="auto"/>
                <w:sz w:val="20"/>
                <w:szCs w:val="20"/>
              </w:rPr>
              <w:t>13</w:t>
            </w:r>
            <w:r w:rsidR="00506799">
              <w:rPr>
                <w:rFonts w:cs="Arial"/>
                <w:color w:val="auto"/>
                <w:sz w:val="20"/>
                <w:szCs w:val="20"/>
              </w:rPr>
              <w:t>2</w:t>
            </w:r>
          </w:p>
        </w:tc>
      </w:tr>
    </w:tbl>
    <w:p w:rsidR="001B5E09" w:rsidRPr="0005794A" w:rsidRDefault="001B5E09" w:rsidP="00E075DA">
      <w:pPr>
        <w:rPr>
          <w:b/>
          <w:color w:val="548DD4" w:themeColor="text2" w:themeTint="99"/>
          <w:sz w:val="20"/>
          <w:szCs w:val="20"/>
        </w:rPr>
        <w:sectPr w:rsidR="001B5E09" w:rsidRPr="0005794A" w:rsidSect="00AF46FC">
          <w:headerReference w:type="first" r:id="rId31"/>
          <w:pgSz w:w="11906" w:h="16838" w:code="9"/>
          <w:pgMar w:top="1440" w:right="1440" w:bottom="1440" w:left="1440" w:header="544" w:footer="544" w:gutter="0"/>
          <w:cols w:space="708"/>
          <w:titlePg/>
          <w:docGrid w:linePitch="360"/>
        </w:sectPr>
      </w:pPr>
    </w:p>
    <w:p w:rsidR="00E51139" w:rsidRPr="00D01648" w:rsidRDefault="00E51139" w:rsidP="008D0906">
      <w:pPr>
        <w:outlineLvl w:val="0"/>
        <w:rPr>
          <w:b/>
          <w:color w:val="auto"/>
          <w:sz w:val="20"/>
          <w:szCs w:val="20"/>
        </w:rPr>
      </w:pPr>
      <w:r w:rsidRPr="00D01648">
        <w:rPr>
          <w:b/>
          <w:color w:val="auto"/>
          <w:sz w:val="20"/>
          <w:szCs w:val="20"/>
        </w:rPr>
        <w:lastRenderedPageBreak/>
        <w:t>FINANCIAL CERTIFICATES</w:t>
      </w:r>
    </w:p>
    <w:p w:rsidR="00E51139" w:rsidRPr="00D01648" w:rsidRDefault="00E51139" w:rsidP="008D0906">
      <w:pPr>
        <w:pStyle w:val="Heading7"/>
        <w:rPr>
          <w:color w:val="auto"/>
          <w:sz w:val="20"/>
          <w:szCs w:val="20"/>
        </w:rPr>
      </w:pPr>
      <w:r w:rsidRPr="00D01648">
        <w:rPr>
          <w:color w:val="auto"/>
          <w:sz w:val="20"/>
          <w:szCs w:val="20"/>
        </w:rPr>
        <w:t>The Statement of Responsibilities for the Statement of Accounts</w:t>
      </w:r>
    </w:p>
    <w:p w:rsidR="00E51139" w:rsidRPr="00D01648" w:rsidRDefault="00E51139" w:rsidP="00E075DA">
      <w:pPr>
        <w:pStyle w:val="Footer"/>
        <w:rPr>
          <w:b/>
          <w:color w:val="auto"/>
          <w:sz w:val="20"/>
          <w:szCs w:val="20"/>
          <w:u w:val="single"/>
        </w:rPr>
      </w:pPr>
    </w:p>
    <w:p w:rsidR="00E51139" w:rsidRPr="00D01648" w:rsidRDefault="00E51139" w:rsidP="008D0906">
      <w:pPr>
        <w:pStyle w:val="Footer"/>
        <w:outlineLvl w:val="0"/>
        <w:rPr>
          <w:b/>
          <w:color w:val="auto"/>
          <w:sz w:val="20"/>
          <w:szCs w:val="20"/>
          <w:u w:val="single"/>
        </w:rPr>
      </w:pPr>
      <w:r w:rsidRPr="00D01648">
        <w:rPr>
          <w:b/>
          <w:color w:val="auto"/>
          <w:sz w:val="20"/>
          <w:szCs w:val="20"/>
          <w:u w:val="single"/>
        </w:rPr>
        <w:t>The Council’s Responsibilities</w:t>
      </w:r>
    </w:p>
    <w:p w:rsidR="00E51139" w:rsidRPr="00D01648" w:rsidRDefault="00E51139" w:rsidP="00E075DA">
      <w:pPr>
        <w:pStyle w:val="Footer"/>
        <w:rPr>
          <w:b/>
          <w:color w:val="auto"/>
          <w:sz w:val="20"/>
          <w:szCs w:val="20"/>
        </w:rPr>
      </w:pPr>
    </w:p>
    <w:p w:rsidR="00E51139" w:rsidRPr="00D01648" w:rsidRDefault="00E51139" w:rsidP="00E075DA">
      <w:pPr>
        <w:pStyle w:val="Footer"/>
        <w:rPr>
          <w:color w:val="auto"/>
          <w:sz w:val="20"/>
          <w:szCs w:val="20"/>
        </w:rPr>
      </w:pPr>
      <w:r w:rsidRPr="00D01648">
        <w:rPr>
          <w:color w:val="auto"/>
          <w:sz w:val="20"/>
          <w:szCs w:val="20"/>
        </w:rPr>
        <w:t>The Council is required:-</w:t>
      </w:r>
    </w:p>
    <w:p w:rsidR="00E51139" w:rsidRPr="00D01648" w:rsidRDefault="00E51139" w:rsidP="00E075DA">
      <w:pPr>
        <w:pStyle w:val="Footer"/>
        <w:rPr>
          <w:color w:val="auto"/>
          <w:sz w:val="20"/>
          <w:szCs w:val="20"/>
        </w:rPr>
      </w:pPr>
    </w:p>
    <w:p w:rsidR="00E51139" w:rsidRPr="00D01648" w:rsidRDefault="00E51139" w:rsidP="00FC32F1">
      <w:pPr>
        <w:pStyle w:val="Footer"/>
        <w:widowControl w:val="0"/>
        <w:numPr>
          <w:ilvl w:val="0"/>
          <w:numId w:val="6"/>
        </w:numPr>
        <w:tabs>
          <w:tab w:val="clear" w:pos="4513"/>
          <w:tab w:val="clear" w:pos="9026"/>
        </w:tabs>
        <w:adjustRightInd w:val="0"/>
        <w:spacing w:line="360" w:lineRule="atLeast"/>
        <w:jc w:val="both"/>
        <w:textAlignment w:val="baseline"/>
        <w:rPr>
          <w:color w:val="auto"/>
          <w:sz w:val="20"/>
          <w:szCs w:val="20"/>
        </w:rPr>
      </w:pPr>
      <w:proofErr w:type="gramStart"/>
      <w:r w:rsidRPr="00D01648">
        <w:rPr>
          <w:color w:val="auto"/>
          <w:sz w:val="20"/>
          <w:szCs w:val="20"/>
        </w:rPr>
        <w:t>to</w:t>
      </w:r>
      <w:proofErr w:type="gramEnd"/>
      <w:r w:rsidRPr="00D01648">
        <w:rPr>
          <w:color w:val="auto"/>
          <w:sz w:val="20"/>
          <w:szCs w:val="20"/>
        </w:rPr>
        <w:t xml:space="preserve"> make arrangements for the proper administration of its financial affairs and to secure that one of its officers has the responsibility for the administration of those affairs.  In this Council, that officer is the Council’s Chief Finance Officer</w:t>
      </w:r>
    </w:p>
    <w:p w:rsidR="00E51139" w:rsidRPr="00D01648" w:rsidRDefault="00E51139" w:rsidP="00E075DA">
      <w:pPr>
        <w:pStyle w:val="Footer"/>
        <w:rPr>
          <w:color w:val="auto"/>
          <w:sz w:val="20"/>
          <w:szCs w:val="20"/>
        </w:rPr>
      </w:pPr>
    </w:p>
    <w:p w:rsidR="00E51139" w:rsidRPr="00D01648" w:rsidRDefault="00E51139" w:rsidP="00FC32F1">
      <w:pPr>
        <w:pStyle w:val="Footer"/>
        <w:widowControl w:val="0"/>
        <w:numPr>
          <w:ilvl w:val="0"/>
          <w:numId w:val="7"/>
        </w:numPr>
        <w:tabs>
          <w:tab w:val="clear" w:pos="4513"/>
          <w:tab w:val="clear" w:pos="9026"/>
        </w:tabs>
        <w:adjustRightInd w:val="0"/>
        <w:spacing w:line="360" w:lineRule="atLeast"/>
        <w:jc w:val="both"/>
        <w:textAlignment w:val="baseline"/>
        <w:rPr>
          <w:color w:val="auto"/>
          <w:sz w:val="20"/>
          <w:szCs w:val="20"/>
        </w:rPr>
      </w:pPr>
      <w:r w:rsidRPr="00D01648">
        <w:rPr>
          <w:color w:val="auto"/>
          <w:sz w:val="20"/>
          <w:szCs w:val="20"/>
        </w:rPr>
        <w:t>to manage its affairs to secure economic, efficient and effective use of resources and safeguard its assets</w:t>
      </w:r>
    </w:p>
    <w:p w:rsidR="00E51139" w:rsidRPr="00D01648" w:rsidRDefault="00E51139" w:rsidP="00E075DA">
      <w:pPr>
        <w:pStyle w:val="Footer"/>
        <w:rPr>
          <w:color w:val="auto"/>
          <w:sz w:val="20"/>
          <w:szCs w:val="20"/>
        </w:rPr>
      </w:pPr>
    </w:p>
    <w:p w:rsidR="00E51139" w:rsidRPr="00D01648" w:rsidRDefault="00E51139" w:rsidP="00FC32F1">
      <w:pPr>
        <w:pStyle w:val="Footer"/>
        <w:widowControl w:val="0"/>
        <w:numPr>
          <w:ilvl w:val="0"/>
          <w:numId w:val="8"/>
        </w:numPr>
        <w:tabs>
          <w:tab w:val="clear" w:pos="4513"/>
          <w:tab w:val="clear" w:pos="9026"/>
        </w:tabs>
        <w:adjustRightInd w:val="0"/>
        <w:spacing w:line="360" w:lineRule="atLeast"/>
        <w:jc w:val="both"/>
        <w:textAlignment w:val="baseline"/>
        <w:rPr>
          <w:color w:val="auto"/>
          <w:sz w:val="20"/>
          <w:szCs w:val="20"/>
        </w:rPr>
      </w:pPr>
      <w:r w:rsidRPr="00D01648">
        <w:rPr>
          <w:color w:val="auto"/>
          <w:sz w:val="20"/>
          <w:szCs w:val="20"/>
        </w:rPr>
        <w:t>approve the Statement of Accounts</w:t>
      </w:r>
    </w:p>
    <w:p w:rsidR="00E51139" w:rsidRPr="00D01648" w:rsidRDefault="00E51139" w:rsidP="00E075DA">
      <w:pPr>
        <w:pStyle w:val="Footer"/>
        <w:rPr>
          <w:color w:val="auto"/>
          <w:sz w:val="20"/>
          <w:szCs w:val="20"/>
        </w:rPr>
      </w:pPr>
    </w:p>
    <w:p w:rsidR="00E51139" w:rsidRPr="00D01648" w:rsidRDefault="00E51139" w:rsidP="00E075DA">
      <w:pPr>
        <w:pStyle w:val="Footer"/>
        <w:rPr>
          <w:b/>
          <w:color w:val="auto"/>
          <w:sz w:val="20"/>
          <w:szCs w:val="20"/>
          <w:u w:val="single"/>
        </w:rPr>
      </w:pPr>
    </w:p>
    <w:p w:rsidR="00E51139" w:rsidRPr="009B3396" w:rsidRDefault="00E51139" w:rsidP="008D0906">
      <w:pPr>
        <w:pStyle w:val="Footer"/>
        <w:outlineLvl w:val="0"/>
        <w:rPr>
          <w:b/>
          <w:color w:val="auto"/>
          <w:sz w:val="20"/>
          <w:szCs w:val="20"/>
          <w:u w:val="single"/>
        </w:rPr>
      </w:pPr>
      <w:r w:rsidRPr="009B3396">
        <w:rPr>
          <w:b/>
          <w:color w:val="auto"/>
          <w:sz w:val="20"/>
          <w:szCs w:val="20"/>
          <w:u w:val="single"/>
        </w:rPr>
        <w:t>Audit Committee Approval o</w:t>
      </w:r>
      <w:r w:rsidR="00321102" w:rsidRPr="009B3396">
        <w:rPr>
          <w:b/>
          <w:color w:val="auto"/>
          <w:sz w:val="20"/>
          <w:szCs w:val="20"/>
          <w:u w:val="single"/>
        </w:rPr>
        <w:t>f the Statement of Accounts 201</w:t>
      </w:r>
      <w:r w:rsidR="00D01648" w:rsidRPr="009B3396">
        <w:rPr>
          <w:b/>
          <w:color w:val="auto"/>
          <w:sz w:val="20"/>
          <w:szCs w:val="20"/>
          <w:u w:val="single"/>
        </w:rPr>
        <w:t>7</w:t>
      </w:r>
      <w:r w:rsidR="00321102" w:rsidRPr="009B3396">
        <w:rPr>
          <w:b/>
          <w:color w:val="auto"/>
          <w:sz w:val="20"/>
          <w:szCs w:val="20"/>
          <w:u w:val="single"/>
        </w:rPr>
        <w:t>/1</w:t>
      </w:r>
      <w:r w:rsidR="00D01648" w:rsidRPr="009B3396">
        <w:rPr>
          <w:b/>
          <w:color w:val="auto"/>
          <w:sz w:val="20"/>
          <w:szCs w:val="20"/>
          <w:u w:val="single"/>
        </w:rPr>
        <w:t>8</w:t>
      </w:r>
    </w:p>
    <w:p w:rsidR="00E51139" w:rsidRPr="009B3396" w:rsidRDefault="00E51139" w:rsidP="00E075DA">
      <w:pPr>
        <w:pStyle w:val="Footer"/>
        <w:rPr>
          <w:b/>
          <w:color w:val="auto"/>
          <w:sz w:val="20"/>
          <w:szCs w:val="20"/>
          <w:u w:val="single"/>
        </w:rPr>
      </w:pPr>
    </w:p>
    <w:p w:rsidR="00E51139" w:rsidRPr="009B3396" w:rsidRDefault="00E51139" w:rsidP="00E075DA">
      <w:pPr>
        <w:pStyle w:val="Footer"/>
        <w:rPr>
          <w:color w:val="auto"/>
          <w:sz w:val="20"/>
          <w:szCs w:val="20"/>
        </w:rPr>
      </w:pPr>
    </w:p>
    <w:p w:rsidR="00E51139" w:rsidRPr="009B3396" w:rsidRDefault="00E51139" w:rsidP="00E075DA">
      <w:pPr>
        <w:pStyle w:val="Footer"/>
        <w:rPr>
          <w:color w:val="548DD4" w:themeColor="text2" w:themeTint="99"/>
          <w:sz w:val="20"/>
          <w:szCs w:val="20"/>
        </w:rPr>
      </w:pPr>
      <w:r w:rsidRPr="009B3396">
        <w:rPr>
          <w:color w:val="auto"/>
          <w:sz w:val="20"/>
          <w:szCs w:val="20"/>
        </w:rPr>
        <w:t>I confirm that the Council completed its approval process of the Statement of Accounts 201</w:t>
      </w:r>
      <w:r w:rsidR="00D01648" w:rsidRPr="009B3396">
        <w:rPr>
          <w:color w:val="auto"/>
          <w:sz w:val="20"/>
          <w:szCs w:val="20"/>
        </w:rPr>
        <w:t>7</w:t>
      </w:r>
      <w:r w:rsidR="00321102" w:rsidRPr="009B3396">
        <w:rPr>
          <w:color w:val="auto"/>
          <w:sz w:val="20"/>
          <w:szCs w:val="20"/>
        </w:rPr>
        <w:t>/2</w:t>
      </w:r>
      <w:r w:rsidR="00EE591E" w:rsidRPr="009B3396">
        <w:rPr>
          <w:color w:val="auto"/>
          <w:sz w:val="20"/>
          <w:szCs w:val="20"/>
        </w:rPr>
        <w:t>0</w:t>
      </w:r>
      <w:r w:rsidR="00321102" w:rsidRPr="009B3396">
        <w:rPr>
          <w:color w:val="auto"/>
          <w:sz w:val="20"/>
          <w:szCs w:val="20"/>
        </w:rPr>
        <w:t>1</w:t>
      </w:r>
      <w:r w:rsidR="00D01648" w:rsidRPr="009B3396">
        <w:rPr>
          <w:color w:val="auto"/>
          <w:sz w:val="20"/>
          <w:szCs w:val="20"/>
        </w:rPr>
        <w:t>8</w:t>
      </w:r>
      <w:r w:rsidRPr="009B3396">
        <w:rPr>
          <w:color w:val="auto"/>
          <w:sz w:val="20"/>
          <w:szCs w:val="20"/>
        </w:rPr>
        <w:t xml:space="preserve"> on</w:t>
      </w:r>
      <w:r w:rsidRPr="009B3396">
        <w:rPr>
          <w:color w:val="548DD4" w:themeColor="text2" w:themeTint="99"/>
          <w:sz w:val="20"/>
          <w:szCs w:val="20"/>
        </w:rPr>
        <w:t xml:space="preserve"> </w:t>
      </w:r>
      <w:r w:rsidRPr="009B3396">
        <w:rPr>
          <w:color w:val="auto"/>
          <w:sz w:val="20"/>
          <w:szCs w:val="20"/>
        </w:rPr>
        <w:t xml:space="preserve">the </w:t>
      </w:r>
      <w:r w:rsidR="00156BAB" w:rsidRPr="009B3396">
        <w:rPr>
          <w:color w:val="auto"/>
          <w:sz w:val="20"/>
          <w:szCs w:val="20"/>
        </w:rPr>
        <w:t>2</w:t>
      </w:r>
      <w:r w:rsidR="00E77E41" w:rsidRPr="009B3396">
        <w:rPr>
          <w:color w:val="auto"/>
          <w:sz w:val="20"/>
          <w:szCs w:val="20"/>
        </w:rPr>
        <w:t>5</w:t>
      </w:r>
      <w:r w:rsidR="008C2428" w:rsidRPr="009B3396">
        <w:rPr>
          <w:color w:val="auto"/>
          <w:sz w:val="20"/>
          <w:szCs w:val="20"/>
        </w:rPr>
        <w:t>th</w:t>
      </w:r>
      <w:r w:rsidR="00156BAB" w:rsidRPr="009B3396">
        <w:rPr>
          <w:color w:val="auto"/>
          <w:sz w:val="20"/>
          <w:szCs w:val="20"/>
        </w:rPr>
        <w:t xml:space="preserve"> </w:t>
      </w:r>
      <w:r w:rsidR="00D24A22" w:rsidRPr="009B3396">
        <w:rPr>
          <w:color w:val="auto"/>
          <w:sz w:val="20"/>
          <w:szCs w:val="20"/>
        </w:rPr>
        <w:t>July</w:t>
      </w:r>
      <w:r w:rsidR="00D24A22" w:rsidRPr="009B3396">
        <w:rPr>
          <w:color w:val="548DD4" w:themeColor="text2" w:themeTint="99"/>
          <w:sz w:val="20"/>
          <w:szCs w:val="20"/>
        </w:rPr>
        <w:t xml:space="preserve"> </w:t>
      </w:r>
      <w:r w:rsidR="00D24A22" w:rsidRPr="009B3396">
        <w:rPr>
          <w:color w:val="auto"/>
          <w:sz w:val="20"/>
          <w:szCs w:val="20"/>
        </w:rPr>
        <w:t>201</w:t>
      </w:r>
      <w:r w:rsidR="00D01648" w:rsidRPr="009B3396">
        <w:rPr>
          <w:color w:val="auto"/>
          <w:sz w:val="20"/>
          <w:szCs w:val="20"/>
        </w:rPr>
        <w:t>8</w:t>
      </w:r>
      <w:r w:rsidRPr="009B3396">
        <w:rPr>
          <w:color w:val="auto"/>
          <w:sz w:val="20"/>
          <w:szCs w:val="20"/>
        </w:rPr>
        <w:t xml:space="preserve"> at a meeting of the Council’s Audit Committee.</w:t>
      </w: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E075DA">
      <w:pPr>
        <w:pStyle w:val="Footer"/>
        <w:rPr>
          <w:color w:val="548DD4" w:themeColor="text2" w:themeTint="99"/>
          <w:sz w:val="20"/>
          <w:szCs w:val="20"/>
        </w:rPr>
      </w:pPr>
    </w:p>
    <w:p w:rsidR="00E51139" w:rsidRPr="009B3396" w:rsidRDefault="00E51139" w:rsidP="008D0906">
      <w:pPr>
        <w:pStyle w:val="Footer"/>
        <w:outlineLvl w:val="0"/>
        <w:rPr>
          <w:color w:val="auto"/>
          <w:sz w:val="20"/>
          <w:szCs w:val="20"/>
        </w:rPr>
      </w:pPr>
      <w:r w:rsidRPr="009B3396">
        <w:rPr>
          <w:color w:val="auto"/>
          <w:sz w:val="20"/>
          <w:szCs w:val="20"/>
        </w:rPr>
        <w:t xml:space="preserve">Councillor </w:t>
      </w:r>
      <w:r w:rsidR="00A01078" w:rsidRPr="009B3396">
        <w:rPr>
          <w:color w:val="auto"/>
          <w:sz w:val="20"/>
          <w:szCs w:val="20"/>
        </w:rPr>
        <w:t>Tyerman</w:t>
      </w:r>
    </w:p>
    <w:p w:rsidR="00E51139" w:rsidRPr="009B3396" w:rsidRDefault="00E51139" w:rsidP="00E075DA">
      <w:pPr>
        <w:pStyle w:val="Footer"/>
        <w:rPr>
          <w:color w:val="auto"/>
          <w:sz w:val="20"/>
          <w:szCs w:val="20"/>
        </w:rPr>
      </w:pPr>
    </w:p>
    <w:p w:rsidR="00E51139" w:rsidRPr="009B3396" w:rsidRDefault="00E51139" w:rsidP="008D0906">
      <w:pPr>
        <w:pStyle w:val="Footer"/>
        <w:outlineLvl w:val="0"/>
        <w:rPr>
          <w:color w:val="auto"/>
          <w:sz w:val="20"/>
          <w:szCs w:val="20"/>
        </w:rPr>
      </w:pPr>
      <w:r w:rsidRPr="009B3396">
        <w:rPr>
          <w:color w:val="auto"/>
          <w:sz w:val="20"/>
          <w:szCs w:val="20"/>
        </w:rPr>
        <w:t>Chair of Audit Committee</w:t>
      </w:r>
    </w:p>
    <w:p w:rsidR="00E51139" w:rsidRPr="009B3396" w:rsidRDefault="00E51139" w:rsidP="00E075DA">
      <w:pPr>
        <w:pStyle w:val="Footer"/>
        <w:rPr>
          <w:color w:val="auto"/>
          <w:sz w:val="20"/>
          <w:szCs w:val="20"/>
        </w:rPr>
      </w:pPr>
    </w:p>
    <w:p w:rsidR="00E51139" w:rsidRPr="009B3396" w:rsidRDefault="00156BAB" w:rsidP="00E075DA">
      <w:pPr>
        <w:pStyle w:val="Footer"/>
        <w:rPr>
          <w:color w:val="auto"/>
          <w:sz w:val="20"/>
          <w:szCs w:val="20"/>
        </w:rPr>
      </w:pPr>
      <w:r w:rsidRPr="009B3396">
        <w:rPr>
          <w:color w:val="auto"/>
          <w:sz w:val="20"/>
          <w:szCs w:val="20"/>
        </w:rPr>
        <w:t>2</w:t>
      </w:r>
      <w:r w:rsidR="00E77E41" w:rsidRPr="009B3396">
        <w:rPr>
          <w:color w:val="auto"/>
          <w:sz w:val="20"/>
          <w:szCs w:val="20"/>
        </w:rPr>
        <w:t>5</w:t>
      </w:r>
      <w:r w:rsidR="009F0D13" w:rsidRPr="009B3396">
        <w:rPr>
          <w:color w:val="auto"/>
          <w:sz w:val="20"/>
          <w:szCs w:val="20"/>
        </w:rPr>
        <w:t>th</w:t>
      </w:r>
      <w:r w:rsidRPr="009B3396">
        <w:rPr>
          <w:color w:val="auto"/>
          <w:sz w:val="20"/>
          <w:szCs w:val="20"/>
        </w:rPr>
        <w:t xml:space="preserve"> </w:t>
      </w:r>
      <w:r w:rsidR="009F0D13" w:rsidRPr="009B3396">
        <w:rPr>
          <w:color w:val="auto"/>
          <w:sz w:val="20"/>
          <w:szCs w:val="20"/>
        </w:rPr>
        <w:t xml:space="preserve">July </w:t>
      </w:r>
      <w:r w:rsidR="00E51139" w:rsidRPr="009B3396">
        <w:rPr>
          <w:color w:val="auto"/>
          <w:sz w:val="20"/>
          <w:szCs w:val="20"/>
        </w:rPr>
        <w:t>201</w:t>
      </w:r>
      <w:r w:rsidR="00E77E41" w:rsidRPr="009B3396">
        <w:rPr>
          <w:color w:val="auto"/>
          <w:sz w:val="20"/>
          <w:szCs w:val="20"/>
        </w:rPr>
        <w:t>8</w:t>
      </w:r>
    </w:p>
    <w:p w:rsidR="00E51139" w:rsidRPr="0005794A" w:rsidRDefault="00E51139" w:rsidP="00E075DA">
      <w:pPr>
        <w:pStyle w:val="Footer"/>
        <w:rPr>
          <w:b/>
          <w:color w:val="548DD4" w:themeColor="text2" w:themeTint="99"/>
          <w:sz w:val="20"/>
          <w:szCs w:val="20"/>
          <w:u w:val="single"/>
        </w:rPr>
      </w:pPr>
    </w:p>
    <w:p w:rsidR="00E51139" w:rsidRPr="0005794A" w:rsidRDefault="00E51139" w:rsidP="00E075DA">
      <w:pPr>
        <w:pStyle w:val="Footer"/>
        <w:rPr>
          <w:b/>
          <w:color w:val="548DD4" w:themeColor="text2" w:themeTint="99"/>
          <w:sz w:val="20"/>
          <w:szCs w:val="20"/>
          <w:u w:val="single"/>
        </w:rPr>
      </w:pPr>
    </w:p>
    <w:p w:rsidR="00E51139" w:rsidRPr="0005794A" w:rsidRDefault="00E51139" w:rsidP="00E075DA">
      <w:pPr>
        <w:pStyle w:val="Footer"/>
        <w:rPr>
          <w:b/>
          <w:color w:val="548DD4" w:themeColor="text2" w:themeTint="99"/>
          <w:sz w:val="20"/>
          <w:szCs w:val="20"/>
          <w:u w:val="single"/>
        </w:rPr>
      </w:pPr>
    </w:p>
    <w:p w:rsidR="00E51139" w:rsidRPr="0005794A" w:rsidRDefault="00E51139" w:rsidP="00E075DA">
      <w:pPr>
        <w:pStyle w:val="Footer"/>
        <w:rPr>
          <w:b/>
          <w:color w:val="548DD4" w:themeColor="text2" w:themeTint="99"/>
          <w:sz w:val="20"/>
          <w:szCs w:val="20"/>
          <w:u w:val="single"/>
        </w:rPr>
      </w:pPr>
    </w:p>
    <w:p w:rsidR="00E51139" w:rsidRPr="0005794A" w:rsidRDefault="00E51139" w:rsidP="00E075DA">
      <w:pPr>
        <w:pStyle w:val="Footer"/>
        <w:rPr>
          <w:b/>
          <w:color w:val="548DD4" w:themeColor="text2" w:themeTint="99"/>
          <w:sz w:val="20"/>
          <w:szCs w:val="20"/>
          <w:u w:val="single"/>
        </w:rPr>
      </w:pPr>
    </w:p>
    <w:p w:rsidR="00E51139" w:rsidRPr="0005794A" w:rsidRDefault="00E51139" w:rsidP="00E075DA">
      <w:pPr>
        <w:pStyle w:val="Footer"/>
        <w:rPr>
          <w:b/>
          <w:color w:val="548DD4" w:themeColor="text2" w:themeTint="99"/>
          <w:sz w:val="20"/>
          <w:szCs w:val="20"/>
          <w:u w:val="single"/>
        </w:rPr>
      </w:pPr>
    </w:p>
    <w:p w:rsidR="00E51139" w:rsidRPr="0005794A" w:rsidRDefault="00E51139" w:rsidP="00E075DA">
      <w:pPr>
        <w:pStyle w:val="Footer"/>
        <w:rPr>
          <w:b/>
          <w:color w:val="548DD4" w:themeColor="text2" w:themeTint="99"/>
          <w:sz w:val="20"/>
          <w:szCs w:val="20"/>
          <w:u w:val="single"/>
        </w:rPr>
      </w:pPr>
    </w:p>
    <w:p w:rsidR="00E51139" w:rsidRPr="0005794A" w:rsidRDefault="00E51139" w:rsidP="00E075DA">
      <w:pPr>
        <w:pStyle w:val="Footer"/>
        <w:rPr>
          <w:b/>
          <w:color w:val="548DD4" w:themeColor="text2" w:themeTint="99"/>
          <w:sz w:val="20"/>
          <w:szCs w:val="20"/>
          <w:u w:val="single"/>
        </w:rPr>
      </w:pPr>
    </w:p>
    <w:p w:rsidR="003850CB" w:rsidRPr="0005794A" w:rsidRDefault="003850CB" w:rsidP="00E075DA">
      <w:pPr>
        <w:pStyle w:val="Footer"/>
        <w:rPr>
          <w:b/>
          <w:color w:val="548DD4" w:themeColor="text2" w:themeTint="99"/>
          <w:sz w:val="20"/>
          <w:szCs w:val="20"/>
          <w:u w:val="single"/>
        </w:rPr>
      </w:pPr>
    </w:p>
    <w:p w:rsidR="003850CB" w:rsidRPr="0005794A" w:rsidRDefault="003850CB" w:rsidP="00E075DA">
      <w:pPr>
        <w:pStyle w:val="Footer"/>
        <w:rPr>
          <w:b/>
          <w:color w:val="548DD4" w:themeColor="text2" w:themeTint="99"/>
          <w:sz w:val="20"/>
          <w:szCs w:val="20"/>
          <w:u w:val="single"/>
        </w:rPr>
      </w:pPr>
    </w:p>
    <w:p w:rsidR="00E51139" w:rsidRPr="0005794A" w:rsidRDefault="00E51139" w:rsidP="00E075DA">
      <w:pPr>
        <w:pStyle w:val="Footer"/>
        <w:rPr>
          <w:b/>
          <w:color w:val="548DD4" w:themeColor="text2" w:themeTint="99"/>
          <w:sz w:val="20"/>
          <w:szCs w:val="20"/>
          <w:u w:val="single"/>
        </w:rPr>
      </w:pPr>
    </w:p>
    <w:p w:rsidR="002E7B7C" w:rsidRPr="0005794A" w:rsidRDefault="002E7B7C" w:rsidP="00E075DA">
      <w:pPr>
        <w:pStyle w:val="Footer"/>
        <w:rPr>
          <w:b/>
          <w:color w:val="548DD4" w:themeColor="text2" w:themeTint="99"/>
          <w:sz w:val="20"/>
          <w:szCs w:val="20"/>
          <w:u w:val="single"/>
        </w:rPr>
        <w:sectPr w:rsidR="002E7B7C" w:rsidRPr="0005794A" w:rsidSect="00AF46FC">
          <w:headerReference w:type="default" r:id="rId32"/>
          <w:headerReference w:type="first" r:id="rId33"/>
          <w:pgSz w:w="11906" w:h="16838" w:code="9"/>
          <w:pgMar w:top="1440" w:right="1440" w:bottom="1440" w:left="1440" w:header="544" w:footer="544" w:gutter="0"/>
          <w:cols w:space="708"/>
          <w:titlePg/>
          <w:docGrid w:linePitch="360"/>
        </w:sectPr>
      </w:pPr>
    </w:p>
    <w:p w:rsidR="00F82C04" w:rsidRPr="0005794A" w:rsidRDefault="00F82C04" w:rsidP="00E075DA">
      <w:pPr>
        <w:pStyle w:val="Footer"/>
        <w:rPr>
          <w:b/>
          <w:color w:val="548DD4" w:themeColor="text2" w:themeTint="99"/>
          <w:sz w:val="20"/>
          <w:szCs w:val="20"/>
          <w:u w:val="single"/>
        </w:rPr>
      </w:pPr>
    </w:p>
    <w:p w:rsidR="00E51139" w:rsidRPr="00895408" w:rsidRDefault="00E51139" w:rsidP="008D0906">
      <w:pPr>
        <w:pStyle w:val="Footer"/>
        <w:outlineLvl w:val="0"/>
        <w:rPr>
          <w:b/>
          <w:color w:val="auto"/>
          <w:sz w:val="20"/>
          <w:szCs w:val="20"/>
          <w:u w:val="single"/>
        </w:rPr>
      </w:pPr>
      <w:r w:rsidRPr="00895408">
        <w:rPr>
          <w:b/>
          <w:color w:val="auto"/>
          <w:sz w:val="20"/>
          <w:szCs w:val="20"/>
          <w:u w:val="single"/>
        </w:rPr>
        <w:t>The Chief Finance Officer’s Responsibilities</w:t>
      </w:r>
    </w:p>
    <w:p w:rsidR="00E51139" w:rsidRPr="00895408" w:rsidRDefault="00E51139" w:rsidP="00E075DA">
      <w:pPr>
        <w:pStyle w:val="Footer"/>
        <w:rPr>
          <w:b/>
          <w:color w:val="auto"/>
          <w:sz w:val="20"/>
          <w:szCs w:val="20"/>
          <w:u w:val="single"/>
        </w:rPr>
      </w:pPr>
    </w:p>
    <w:p w:rsidR="00E51139" w:rsidRPr="00895408" w:rsidRDefault="00E51139" w:rsidP="00E075DA">
      <w:pPr>
        <w:pStyle w:val="Footer"/>
        <w:rPr>
          <w:color w:val="auto"/>
          <w:sz w:val="20"/>
          <w:szCs w:val="20"/>
        </w:rPr>
      </w:pPr>
      <w:r w:rsidRPr="00895408">
        <w:rPr>
          <w:color w:val="auto"/>
          <w:sz w:val="20"/>
          <w:szCs w:val="20"/>
        </w:rPr>
        <w:t>The Chief Finance Officer is responsible for the preparation of the Council’s statement of accounts in accordance with proper practices as set out in the CIPFA/LASAAC Code of Practice on Local Authority Accounting in the United Kingdom (Code of Practice).</w:t>
      </w:r>
    </w:p>
    <w:p w:rsidR="00E51139" w:rsidRPr="00895408" w:rsidRDefault="00E51139" w:rsidP="00E075DA">
      <w:pPr>
        <w:pStyle w:val="Footer"/>
        <w:rPr>
          <w:color w:val="auto"/>
          <w:sz w:val="20"/>
          <w:szCs w:val="20"/>
        </w:rPr>
      </w:pPr>
    </w:p>
    <w:p w:rsidR="00E51139" w:rsidRPr="00895408" w:rsidRDefault="00E51139" w:rsidP="00E075DA">
      <w:pPr>
        <w:pStyle w:val="Footer"/>
        <w:rPr>
          <w:color w:val="auto"/>
          <w:sz w:val="20"/>
          <w:szCs w:val="20"/>
        </w:rPr>
      </w:pPr>
      <w:r w:rsidRPr="00895408">
        <w:rPr>
          <w:color w:val="auto"/>
          <w:sz w:val="20"/>
          <w:szCs w:val="20"/>
        </w:rPr>
        <w:t>In preparing this Statement of Accounts, the Chief Finance Officer has:-</w:t>
      </w:r>
    </w:p>
    <w:p w:rsidR="00E51139" w:rsidRPr="00895408" w:rsidRDefault="00E51139" w:rsidP="00FC32F1">
      <w:pPr>
        <w:pStyle w:val="Footer"/>
        <w:widowControl w:val="0"/>
        <w:numPr>
          <w:ilvl w:val="0"/>
          <w:numId w:val="9"/>
        </w:numPr>
        <w:tabs>
          <w:tab w:val="clear" w:pos="4513"/>
          <w:tab w:val="clear" w:pos="9026"/>
        </w:tabs>
        <w:adjustRightInd w:val="0"/>
        <w:spacing w:line="360" w:lineRule="atLeast"/>
        <w:jc w:val="both"/>
        <w:textAlignment w:val="baseline"/>
        <w:rPr>
          <w:color w:val="auto"/>
          <w:sz w:val="20"/>
          <w:szCs w:val="20"/>
        </w:rPr>
      </w:pPr>
      <w:r w:rsidRPr="00895408">
        <w:rPr>
          <w:color w:val="auto"/>
          <w:sz w:val="20"/>
          <w:szCs w:val="20"/>
        </w:rPr>
        <w:t>selected suitable accounting policies and then applied them consistently;</w:t>
      </w:r>
    </w:p>
    <w:p w:rsidR="00E51139" w:rsidRPr="00895408" w:rsidRDefault="00E51139" w:rsidP="00FC32F1">
      <w:pPr>
        <w:pStyle w:val="Footer"/>
        <w:widowControl w:val="0"/>
        <w:numPr>
          <w:ilvl w:val="0"/>
          <w:numId w:val="10"/>
        </w:numPr>
        <w:tabs>
          <w:tab w:val="clear" w:pos="4513"/>
          <w:tab w:val="clear" w:pos="9026"/>
        </w:tabs>
        <w:adjustRightInd w:val="0"/>
        <w:spacing w:line="360" w:lineRule="atLeast"/>
        <w:jc w:val="both"/>
        <w:textAlignment w:val="baseline"/>
        <w:rPr>
          <w:color w:val="auto"/>
          <w:sz w:val="20"/>
          <w:szCs w:val="20"/>
        </w:rPr>
      </w:pPr>
      <w:r w:rsidRPr="00895408">
        <w:rPr>
          <w:color w:val="auto"/>
          <w:sz w:val="20"/>
          <w:szCs w:val="20"/>
        </w:rPr>
        <w:t>made judg</w:t>
      </w:r>
      <w:r w:rsidR="008D1DBA" w:rsidRPr="00895408">
        <w:rPr>
          <w:color w:val="auto"/>
          <w:sz w:val="20"/>
          <w:szCs w:val="20"/>
        </w:rPr>
        <w:t>e</w:t>
      </w:r>
      <w:r w:rsidRPr="00895408">
        <w:rPr>
          <w:color w:val="auto"/>
          <w:sz w:val="20"/>
          <w:szCs w:val="20"/>
        </w:rPr>
        <w:t>ments and estimates that were reasonable and prudent;</w:t>
      </w:r>
    </w:p>
    <w:p w:rsidR="00E51139" w:rsidRPr="00895408" w:rsidRDefault="00E51139" w:rsidP="00FC32F1">
      <w:pPr>
        <w:pStyle w:val="Footer"/>
        <w:widowControl w:val="0"/>
        <w:numPr>
          <w:ilvl w:val="0"/>
          <w:numId w:val="11"/>
        </w:numPr>
        <w:tabs>
          <w:tab w:val="clear" w:pos="4513"/>
          <w:tab w:val="clear" w:pos="9026"/>
        </w:tabs>
        <w:adjustRightInd w:val="0"/>
        <w:spacing w:line="360" w:lineRule="atLeast"/>
        <w:jc w:val="both"/>
        <w:textAlignment w:val="baseline"/>
        <w:rPr>
          <w:color w:val="auto"/>
          <w:sz w:val="20"/>
          <w:szCs w:val="20"/>
        </w:rPr>
      </w:pPr>
      <w:proofErr w:type="gramStart"/>
      <w:r w:rsidRPr="00895408">
        <w:rPr>
          <w:color w:val="auto"/>
          <w:sz w:val="20"/>
          <w:szCs w:val="20"/>
        </w:rPr>
        <w:t>complied</w:t>
      </w:r>
      <w:proofErr w:type="gramEnd"/>
      <w:r w:rsidRPr="00895408">
        <w:rPr>
          <w:color w:val="auto"/>
          <w:sz w:val="20"/>
          <w:szCs w:val="20"/>
        </w:rPr>
        <w:t xml:space="preserve"> with the Code of Practice.</w:t>
      </w:r>
    </w:p>
    <w:p w:rsidR="00E51139" w:rsidRPr="00895408" w:rsidRDefault="00E51139" w:rsidP="00E075DA">
      <w:pPr>
        <w:pStyle w:val="Footer"/>
        <w:rPr>
          <w:color w:val="auto"/>
          <w:sz w:val="20"/>
          <w:szCs w:val="20"/>
        </w:rPr>
      </w:pPr>
    </w:p>
    <w:p w:rsidR="00E51139" w:rsidRPr="00895408" w:rsidRDefault="00E51139" w:rsidP="00E075DA">
      <w:pPr>
        <w:pStyle w:val="Footer"/>
        <w:rPr>
          <w:color w:val="auto"/>
          <w:sz w:val="20"/>
          <w:szCs w:val="20"/>
        </w:rPr>
      </w:pPr>
      <w:r w:rsidRPr="00895408">
        <w:rPr>
          <w:color w:val="auto"/>
          <w:sz w:val="20"/>
          <w:szCs w:val="20"/>
        </w:rPr>
        <w:t>The Chief Finance Officer has also:-</w:t>
      </w:r>
    </w:p>
    <w:p w:rsidR="00E51139" w:rsidRPr="00895408" w:rsidRDefault="00E51139" w:rsidP="00FC32F1">
      <w:pPr>
        <w:pStyle w:val="Footer"/>
        <w:widowControl w:val="0"/>
        <w:numPr>
          <w:ilvl w:val="0"/>
          <w:numId w:val="12"/>
        </w:numPr>
        <w:tabs>
          <w:tab w:val="clear" w:pos="4513"/>
          <w:tab w:val="clear" w:pos="9026"/>
        </w:tabs>
        <w:adjustRightInd w:val="0"/>
        <w:spacing w:line="360" w:lineRule="atLeast"/>
        <w:jc w:val="both"/>
        <w:textAlignment w:val="baseline"/>
        <w:rPr>
          <w:color w:val="auto"/>
          <w:sz w:val="20"/>
          <w:szCs w:val="20"/>
        </w:rPr>
      </w:pPr>
      <w:r w:rsidRPr="00895408">
        <w:rPr>
          <w:color w:val="auto"/>
          <w:sz w:val="20"/>
          <w:szCs w:val="20"/>
        </w:rPr>
        <w:t>kept proper accounting records which were up to date;</w:t>
      </w:r>
    </w:p>
    <w:p w:rsidR="00E51139" w:rsidRPr="00895408" w:rsidRDefault="00E51139" w:rsidP="00FC32F1">
      <w:pPr>
        <w:pStyle w:val="Footer"/>
        <w:widowControl w:val="0"/>
        <w:numPr>
          <w:ilvl w:val="0"/>
          <w:numId w:val="13"/>
        </w:numPr>
        <w:tabs>
          <w:tab w:val="clear" w:pos="4513"/>
          <w:tab w:val="clear" w:pos="9026"/>
        </w:tabs>
        <w:adjustRightInd w:val="0"/>
        <w:spacing w:line="360" w:lineRule="atLeast"/>
        <w:jc w:val="both"/>
        <w:textAlignment w:val="baseline"/>
        <w:rPr>
          <w:color w:val="auto"/>
          <w:sz w:val="20"/>
          <w:szCs w:val="20"/>
        </w:rPr>
      </w:pPr>
      <w:proofErr w:type="gramStart"/>
      <w:r w:rsidRPr="00895408">
        <w:rPr>
          <w:color w:val="auto"/>
          <w:sz w:val="20"/>
          <w:szCs w:val="20"/>
        </w:rPr>
        <w:t>taken</w:t>
      </w:r>
      <w:proofErr w:type="gramEnd"/>
      <w:r w:rsidRPr="00895408">
        <w:rPr>
          <w:color w:val="auto"/>
          <w:sz w:val="20"/>
          <w:szCs w:val="20"/>
        </w:rPr>
        <w:t xml:space="preserve"> reasonable steps for the prevention and detection of fraud and other irregularities.</w:t>
      </w:r>
    </w:p>
    <w:p w:rsidR="00E51139" w:rsidRPr="0005794A" w:rsidRDefault="00E51139" w:rsidP="00E075DA">
      <w:pPr>
        <w:pStyle w:val="Footer"/>
        <w:pBdr>
          <w:bottom w:val="single" w:sz="12" w:space="1" w:color="auto"/>
        </w:pBdr>
        <w:rPr>
          <w:color w:val="548DD4" w:themeColor="text2" w:themeTint="99"/>
          <w:sz w:val="20"/>
          <w:szCs w:val="20"/>
        </w:rPr>
      </w:pPr>
    </w:p>
    <w:p w:rsidR="00E51139" w:rsidRPr="0005794A" w:rsidRDefault="00E51139" w:rsidP="00E075DA">
      <w:pPr>
        <w:pStyle w:val="Footer"/>
        <w:rPr>
          <w:color w:val="548DD4" w:themeColor="text2" w:themeTint="99"/>
          <w:sz w:val="20"/>
          <w:szCs w:val="20"/>
        </w:rPr>
      </w:pPr>
    </w:p>
    <w:p w:rsidR="00E51139" w:rsidRPr="0005794A" w:rsidRDefault="00E51139" w:rsidP="00E075DA">
      <w:pPr>
        <w:pStyle w:val="Footer"/>
        <w:rPr>
          <w:b/>
          <w:color w:val="548DD4" w:themeColor="text2" w:themeTint="99"/>
          <w:sz w:val="20"/>
          <w:szCs w:val="20"/>
          <w:u w:val="single"/>
        </w:rPr>
      </w:pPr>
    </w:p>
    <w:p w:rsidR="00E51139" w:rsidRPr="00895408" w:rsidRDefault="00E51139" w:rsidP="008D0906">
      <w:pPr>
        <w:pStyle w:val="Footer"/>
        <w:outlineLvl w:val="0"/>
        <w:rPr>
          <w:b/>
          <w:color w:val="auto"/>
          <w:sz w:val="20"/>
          <w:szCs w:val="20"/>
          <w:u w:val="single"/>
        </w:rPr>
      </w:pPr>
      <w:r w:rsidRPr="00895408">
        <w:rPr>
          <w:b/>
          <w:color w:val="auto"/>
          <w:sz w:val="20"/>
          <w:szCs w:val="20"/>
          <w:u w:val="single"/>
        </w:rPr>
        <w:t>The Chief Finance Officer’s Statement</w:t>
      </w:r>
    </w:p>
    <w:p w:rsidR="00E51139" w:rsidRPr="00895408" w:rsidRDefault="00E51139" w:rsidP="00E075DA">
      <w:pPr>
        <w:pStyle w:val="Footer"/>
        <w:rPr>
          <w:b/>
          <w:color w:val="auto"/>
          <w:sz w:val="20"/>
          <w:szCs w:val="20"/>
          <w:u w:val="single"/>
        </w:rPr>
      </w:pPr>
    </w:p>
    <w:p w:rsidR="00E51139" w:rsidRPr="0098229B" w:rsidRDefault="00E51139" w:rsidP="00E075DA">
      <w:pPr>
        <w:pStyle w:val="Footer"/>
        <w:rPr>
          <w:color w:val="auto"/>
          <w:sz w:val="20"/>
          <w:szCs w:val="20"/>
        </w:rPr>
      </w:pPr>
      <w:r w:rsidRPr="0098229B">
        <w:rPr>
          <w:color w:val="auto"/>
          <w:sz w:val="20"/>
          <w:szCs w:val="20"/>
        </w:rPr>
        <w:t>The Statement of Accounts as required by the Accounts and Audit Regulations</w:t>
      </w:r>
      <w:r w:rsidR="00ED0956" w:rsidRPr="0098229B">
        <w:rPr>
          <w:color w:val="auto"/>
          <w:sz w:val="20"/>
          <w:szCs w:val="20"/>
        </w:rPr>
        <w:t xml:space="preserve"> </w:t>
      </w:r>
      <w:r w:rsidRPr="0098229B">
        <w:rPr>
          <w:color w:val="auto"/>
          <w:sz w:val="20"/>
          <w:szCs w:val="20"/>
        </w:rPr>
        <w:t xml:space="preserve">is set out on pages </w:t>
      </w:r>
      <w:r w:rsidR="005C7764">
        <w:rPr>
          <w:color w:val="auto"/>
          <w:sz w:val="20"/>
          <w:szCs w:val="20"/>
        </w:rPr>
        <w:t xml:space="preserve">31 </w:t>
      </w:r>
      <w:r w:rsidR="00CA7693" w:rsidRPr="0098229B">
        <w:rPr>
          <w:color w:val="auto"/>
          <w:sz w:val="20"/>
          <w:szCs w:val="20"/>
        </w:rPr>
        <w:t>to</w:t>
      </w:r>
      <w:r w:rsidRPr="0098229B">
        <w:rPr>
          <w:color w:val="auto"/>
          <w:sz w:val="20"/>
          <w:szCs w:val="20"/>
        </w:rPr>
        <w:t xml:space="preserve"> page </w:t>
      </w:r>
      <w:r w:rsidR="00E23956" w:rsidRPr="0098229B">
        <w:rPr>
          <w:color w:val="auto"/>
          <w:sz w:val="20"/>
          <w:szCs w:val="20"/>
        </w:rPr>
        <w:t>11</w:t>
      </w:r>
      <w:r w:rsidR="005C7764">
        <w:rPr>
          <w:color w:val="auto"/>
          <w:sz w:val="20"/>
          <w:szCs w:val="20"/>
        </w:rPr>
        <w:t>4</w:t>
      </w:r>
      <w:r w:rsidR="00541B33" w:rsidRPr="0098229B">
        <w:rPr>
          <w:color w:val="auto"/>
          <w:sz w:val="20"/>
          <w:szCs w:val="20"/>
        </w:rPr>
        <w:t xml:space="preserve"> </w:t>
      </w:r>
      <w:r w:rsidRPr="0098229B">
        <w:rPr>
          <w:color w:val="auto"/>
          <w:sz w:val="20"/>
          <w:szCs w:val="20"/>
        </w:rPr>
        <w:t xml:space="preserve">and has been prepared in accordance with the accounting policies </w:t>
      </w:r>
      <w:r w:rsidR="001A79FA" w:rsidRPr="0098229B">
        <w:rPr>
          <w:color w:val="auto"/>
          <w:sz w:val="20"/>
          <w:szCs w:val="20"/>
        </w:rPr>
        <w:t xml:space="preserve">which are </w:t>
      </w:r>
      <w:r w:rsidRPr="0098229B">
        <w:rPr>
          <w:color w:val="auto"/>
          <w:sz w:val="20"/>
          <w:szCs w:val="20"/>
        </w:rPr>
        <w:t>set out</w:t>
      </w:r>
      <w:r w:rsidR="001A79FA" w:rsidRPr="0098229B">
        <w:rPr>
          <w:color w:val="auto"/>
          <w:sz w:val="20"/>
          <w:szCs w:val="20"/>
        </w:rPr>
        <w:t xml:space="preserve">, if significant, </w:t>
      </w:r>
      <w:r w:rsidRPr="0098229B">
        <w:rPr>
          <w:color w:val="auto"/>
          <w:sz w:val="20"/>
          <w:szCs w:val="20"/>
        </w:rPr>
        <w:t xml:space="preserve">on </w:t>
      </w:r>
      <w:r w:rsidRPr="00E267A9">
        <w:rPr>
          <w:color w:val="auto"/>
          <w:sz w:val="20"/>
          <w:szCs w:val="20"/>
        </w:rPr>
        <w:t>pages</w:t>
      </w:r>
      <w:r w:rsidR="00305B45" w:rsidRPr="00E267A9">
        <w:rPr>
          <w:color w:val="auto"/>
          <w:sz w:val="20"/>
          <w:szCs w:val="20"/>
        </w:rPr>
        <w:t xml:space="preserve"> </w:t>
      </w:r>
      <w:r w:rsidR="00CA7693" w:rsidRPr="00E267A9">
        <w:rPr>
          <w:color w:val="auto"/>
          <w:sz w:val="20"/>
          <w:szCs w:val="20"/>
        </w:rPr>
        <w:t>9</w:t>
      </w:r>
      <w:r w:rsidR="005C7764">
        <w:rPr>
          <w:color w:val="auto"/>
          <w:sz w:val="20"/>
          <w:szCs w:val="20"/>
        </w:rPr>
        <w:t>8</w:t>
      </w:r>
      <w:r w:rsidR="00CA7693" w:rsidRPr="00E267A9">
        <w:rPr>
          <w:color w:val="auto"/>
          <w:sz w:val="20"/>
          <w:szCs w:val="20"/>
        </w:rPr>
        <w:t xml:space="preserve"> to</w:t>
      </w:r>
      <w:r w:rsidRPr="00E267A9">
        <w:rPr>
          <w:color w:val="auto"/>
          <w:sz w:val="20"/>
          <w:szCs w:val="20"/>
        </w:rPr>
        <w:t xml:space="preserve"> </w:t>
      </w:r>
      <w:r w:rsidR="00E23956" w:rsidRPr="00E267A9">
        <w:rPr>
          <w:color w:val="auto"/>
          <w:sz w:val="20"/>
          <w:szCs w:val="20"/>
        </w:rPr>
        <w:t>1</w:t>
      </w:r>
      <w:r w:rsidR="005C7764">
        <w:rPr>
          <w:color w:val="auto"/>
          <w:sz w:val="20"/>
          <w:szCs w:val="20"/>
        </w:rPr>
        <w:t>11</w:t>
      </w:r>
      <w:r w:rsidRPr="00E267A9">
        <w:rPr>
          <w:color w:val="auto"/>
          <w:sz w:val="20"/>
          <w:szCs w:val="20"/>
        </w:rPr>
        <w:t>. In my opinion it is a true and fair view of the financial position of the Council at 31st March</w:t>
      </w:r>
      <w:r w:rsidRPr="0098229B">
        <w:rPr>
          <w:color w:val="auto"/>
          <w:sz w:val="20"/>
          <w:szCs w:val="20"/>
        </w:rPr>
        <w:t xml:space="preserve"> 201</w:t>
      </w:r>
      <w:r w:rsidR="00D01648" w:rsidRPr="0098229B">
        <w:rPr>
          <w:color w:val="auto"/>
          <w:sz w:val="20"/>
          <w:szCs w:val="20"/>
        </w:rPr>
        <w:t>8</w:t>
      </w:r>
      <w:r w:rsidRPr="0098229B">
        <w:rPr>
          <w:color w:val="auto"/>
          <w:sz w:val="20"/>
          <w:szCs w:val="20"/>
        </w:rPr>
        <w:t xml:space="preserve"> and its income and expenditure for the year ended 31st March 201</w:t>
      </w:r>
      <w:r w:rsidR="00D01648" w:rsidRPr="0098229B">
        <w:rPr>
          <w:color w:val="auto"/>
          <w:sz w:val="20"/>
          <w:szCs w:val="20"/>
        </w:rPr>
        <w:t>8</w:t>
      </w:r>
      <w:r w:rsidRPr="0098229B">
        <w:rPr>
          <w:color w:val="auto"/>
          <w:sz w:val="20"/>
          <w:szCs w:val="20"/>
        </w:rPr>
        <w:t>.</w:t>
      </w:r>
    </w:p>
    <w:p w:rsidR="00E51139" w:rsidRPr="00895408" w:rsidRDefault="00E51139" w:rsidP="00E075DA">
      <w:pPr>
        <w:pStyle w:val="Footer"/>
        <w:rPr>
          <w:color w:val="auto"/>
          <w:sz w:val="20"/>
          <w:szCs w:val="20"/>
        </w:rPr>
      </w:pPr>
    </w:p>
    <w:p w:rsidR="00E51139" w:rsidRPr="00895408" w:rsidRDefault="00E51139" w:rsidP="008D0906">
      <w:pPr>
        <w:pStyle w:val="Footer"/>
        <w:outlineLvl w:val="0"/>
        <w:rPr>
          <w:color w:val="auto"/>
          <w:sz w:val="20"/>
          <w:szCs w:val="20"/>
        </w:rPr>
      </w:pPr>
      <w:r w:rsidRPr="00895408">
        <w:rPr>
          <w:color w:val="auto"/>
          <w:sz w:val="20"/>
          <w:szCs w:val="20"/>
        </w:rPr>
        <w:t>The accounts are audited by the Council’s External Auditor, Grant Thornton</w:t>
      </w:r>
      <w:r w:rsidR="00FA1FDE" w:rsidRPr="00895408">
        <w:rPr>
          <w:color w:val="auto"/>
          <w:sz w:val="20"/>
          <w:szCs w:val="20"/>
        </w:rPr>
        <w:t xml:space="preserve"> LLP</w:t>
      </w:r>
      <w:r w:rsidRPr="00895408">
        <w:rPr>
          <w:color w:val="auto"/>
          <w:sz w:val="20"/>
          <w:szCs w:val="20"/>
        </w:rPr>
        <w:t xml:space="preserve">. </w:t>
      </w:r>
    </w:p>
    <w:p w:rsidR="00E51139" w:rsidRPr="00895408" w:rsidRDefault="00E51139" w:rsidP="00E075DA">
      <w:pPr>
        <w:pStyle w:val="Footer"/>
        <w:rPr>
          <w:color w:val="auto"/>
          <w:sz w:val="20"/>
          <w:szCs w:val="20"/>
        </w:rPr>
      </w:pPr>
    </w:p>
    <w:p w:rsidR="00E51139" w:rsidRPr="00895408" w:rsidRDefault="00E51139" w:rsidP="00E075DA">
      <w:pPr>
        <w:pStyle w:val="Footer"/>
        <w:rPr>
          <w:color w:val="auto"/>
          <w:sz w:val="20"/>
          <w:szCs w:val="20"/>
        </w:rPr>
      </w:pPr>
      <w:r w:rsidRPr="00895408">
        <w:rPr>
          <w:color w:val="auto"/>
          <w:sz w:val="20"/>
          <w:szCs w:val="20"/>
        </w:rPr>
        <w:t>The Statement of Accounts 201</w:t>
      </w:r>
      <w:r w:rsidR="00D01648" w:rsidRPr="00895408">
        <w:rPr>
          <w:color w:val="auto"/>
          <w:sz w:val="20"/>
          <w:szCs w:val="20"/>
        </w:rPr>
        <w:t>7</w:t>
      </w:r>
      <w:r w:rsidR="00607E02" w:rsidRPr="00895408">
        <w:rPr>
          <w:color w:val="auto"/>
          <w:sz w:val="20"/>
          <w:szCs w:val="20"/>
        </w:rPr>
        <w:t>/1</w:t>
      </w:r>
      <w:r w:rsidR="00A856B3" w:rsidRPr="00895408">
        <w:rPr>
          <w:color w:val="auto"/>
          <w:sz w:val="20"/>
          <w:szCs w:val="20"/>
        </w:rPr>
        <w:t>8</w:t>
      </w:r>
      <w:r w:rsidRPr="00895408">
        <w:rPr>
          <w:color w:val="auto"/>
          <w:sz w:val="20"/>
          <w:szCs w:val="20"/>
        </w:rPr>
        <w:t xml:space="preserve"> were authorised for issue on the </w:t>
      </w:r>
      <w:r w:rsidR="00895408" w:rsidRPr="0098229B">
        <w:rPr>
          <w:color w:val="auto"/>
          <w:sz w:val="20"/>
          <w:szCs w:val="20"/>
        </w:rPr>
        <w:t>2</w:t>
      </w:r>
      <w:r w:rsidR="0098229B" w:rsidRPr="0098229B">
        <w:rPr>
          <w:color w:val="auto"/>
          <w:sz w:val="20"/>
          <w:szCs w:val="20"/>
        </w:rPr>
        <w:t xml:space="preserve">8 </w:t>
      </w:r>
      <w:r w:rsidR="00895408" w:rsidRPr="0098229B">
        <w:rPr>
          <w:color w:val="auto"/>
          <w:sz w:val="20"/>
          <w:szCs w:val="20"/>
        </w:rPr>
        <w:t xml:space="preserve">May </w:t>
      </w:r>
      <w:r w:rsidRPr="0098229B">
        <w:rPr>
          <w:color w:val="auto"/>
          <w:sz w:val="20"/>
          <w:szCs w:val="20"/>
        </w:rPr>
        <w:t>201</w:t>
      </w:r>
      <w:r w:rsidR="00A856B3" w:rsidRPr="0098229B">
        <w:rPr>
          <w:color w:val="auto"/>
          <w:sz w:val="20"/>
          <w:szCs w:val="20"/>
        </w:rPr>
        <w:t>8</w:t>
      </w:r>
      <w:r w:rsidRPr="0098229B">
        <w:rPr>
          <w:color w:val="auto"/>
          <w:sz w:val="20"/>
          <w:szCs w:val="20"/>
        </w:rPr>
        <w:t>.</w:t>
      </w:r>
      <w:r w:rsidRPr="00895408">
        <w:rPr>
          <w:color w:val="auto"/>
          <w:sz w:val="20"/>
          <w:szCs w:val="20"/>
        </w:rPr>
        <w:t xml:space="preserve"> This is also the date up to which events after the balance sheet date have been considered.</w:t>
      </w:r>
    </w:p>
    <w:p w:rsidR="00E51139" w:rsidRPr="0005794A" w:rsidRDefault="00E51139" w:rsidP="00E075DA">
      <w:pPr>
        <w:pStyle w:val="Footer"/>
        <w:rPr>
          <w:color w:val="548DD4" w:themeColor="text2" w:themeTint="99"/>
          <w:sz w:val="20"/>
          <w:szCs w:val="20"/>
        </w:rPr>
      </w:pPr>
    </w:p>
    <w:p w:rsidR="00E51139" w:rsidRPr="0005794A" w:rsidRDefault="00E51139" w:rsidP="00E075DA">
      <w:pPr>
        <w:pStyle w:val="Footer"/>
        <w:rPr>
          <w:color w:val="548DD4" w:themeColor="text2" w:themeTint="99"/>
          <w:sz w:val="20"/>
          <w:szCs w:val="20"/>
        </w:rPr>
      </w:pPr>
    </w:p>
    <w:p w:rsidR="00E51139" w:rsidRPr="0005794A" w:rsidRDefault="00E51139" w:rsidP="00E075DA">
      <w:pPr>
        <w:pStyle w:val="Footer"/>
        <w:rPr>
          <w:color w:val="548DD4" w:themeColor="text2" w:themeTint="99"/>
          <w:sz w:val="20"/>
          <w:szCs w:val="20"/>
        </w:rPr>
      </w:pPr>
    </w:p>
    <w:p w:rsidR="00E51139" w:rsidRPr="0005794A" w:rsidRDefault="00E51139" w:rsidP="00E075DA">
      <w:pPr>
        <w:pStyle w:val="Footer"/>
        <w:rPr>
          <w:color w:val="548DD4" w:themeColor="text2" w:themeTint="99"/>
          <w:sz w:val="20"/>
          <w:szCs w:val="20"/>
        </w:rPr>
      </w:pPr>
    </w:p>
    <w:p w:rsidR="00E51139" w:rsidRPr="0005794A" w:rsidRDefault="00E51139" w:rsidP="00E075DA">
      <w:pPr>
        <w:pStyle w:val="Footer"/>
        <w:rPr>
          <w:color w:val="548DD4" w:themeColor="text2" w:themeTint="99"/>
          <w:sz w:val="20"/>
          <w:szCs w:val="20"/>
        </w:rPr>
      </w:pPr>
    </w:p>
    <w:p w:rsidR="00E51139" w:rsidRPr="0098229B" w:rsidRDefault="00C852D5" w:rsidP="008D0906">
      <w:pPr>
        <w:pStyle w:val="Footer"/>
        <w:outlineLvl w:val="0"/>
        <w:rPr>
          <w:color w:val="auto"/>
          <w:sz w:val="20"/>
          <w:szCs w:val="20"/>
        </w:rPr>
      </w:pPr>
      <w:r w:rsidRPr="0098229B">
        <w:rPr>
          <w:color w:val="auto"/>
          <w:sz w:val="20"/>
          <w:szCs w:val="20"/>
        </w:rPr>
        <w:t>Martin Phillips</w:t>
      </w:r>
      <w:r w:rsidR="00E51139" w:rsidRPr="0098229B">
        <w:rPr>
          <w:color w:val="auto"/>
          <w:sz w:val="20"/>
          <w:szCs w:val="20"/>
        </w:rPr>
        <w:tab/>
      </w:r>
    </w:p>
    <w:p w:rsidR="00E51139" w:rsidRPr="0098229B" w:rsidRDefault="00E51139" w:rsidP="00E075DA">
      <w:pPr>
        <w:pStyle w:val="Footer"/>
        <w:rPr>
          <w:color w:val="auto"/>
          <w:sz w:val="20"/>
          <w:szCs w:val="20"/>
        </w:rPr>
      </w:pPr>
      <w:r w:rsidRPr="0098229B">
        <w:rPr>
          <w:color w:val="auto"/>
          <w:sz w:val="20"/>
          <w:szCs w:val="20"/>
        </w:rPr>
        <w:t>Chief Finance Officer</w:t>
      </w:r>
    </w:p>
    <w:p w:rsidR="00E51139" w:rsidRPr="00895408" w:rsidRDefault="00A01F15" w:rsidP="00E075DA">
      <w:pPr>
        <w:pStyle w:val="Footer"/>
        <w:rPr>
          <w:rFonts w:cs="Arial"/>
          <w:color w:val="auto"/>
          <w:sz w:val="20"/>
          <w:szCs w:val="20"/>
        </w:rPr>
      </w:pPr>
      <w:r>
        <w:rPr>
          <w:rFonts w:cs="Arial"/>
          <w:color w:val="auto"/>
          <w:sz w:val="20"/>
          <w:szCs w:val="20"/>
        </w:rPr>
        <w:t>31</w:t>
      </w:r>
      <w:r w:rsidR="00895408" w:rsidRPr="0098229B">
        <w:rPr>
          <w:rFonts w:cs="Arial"/>
          <w:color w:val="auto"/>
          <w:sz w:val="20"/>
          <w:szCs w:val="20"/>
        </w:rPr>
        <w:t xml:space="preserve"> May</w:t>
      </w:r>
      <w:r w:rsidR="006341B7" w:rsidRPr="0098229B">
        <w:rPr>
          <w:rFonts w:cs="Arial"/>
          <w:color w:val="auto"/>
          <w:sz w:val="20"/>
          <w:szCs w:val="20"/>
        </w:rPr>
        <w:t xml:space="preserve"> </w:t>
      </w:r>
      <w:r w:rsidR="00E51139" w:rsidRPr="0098229B">
        <w:rPr>
          <w:rFonts w:cs="Arial"/>
          <w:color w:val="auto"/>
          <w:sz w:val="20"/>
          <w:szCs w:val="20"/>
        </w:rPr>
        <w:t>201</w:t>
      </w:r>
      <w:r w:rsidR="00895408" w:rsidRPr="0098229B">
        <w:rPr>
          <w:rFonts w:cs="Arial"/>
          <w:color w:val="auto"/>
          <w:sz w:val="20"/>
          <w:szCs w:val="20"/>
        </w:rPr>
        <w:t>8</w:t>
      </w:r>
    </w:p>
    <w:p w:rsidR="00E51139" w:rsidRPr="0005794A" w:rsidRDefault="00E51139" w:rsidP="00E075DA">
      <w:pPr>
        <w:autoSpaceDE w:val="0"/>
        <w:autoSpaceDN w:val="0"/>
        <w:spacing w:line="240" w:lineRule="auto"/>
        <w:rPr>
          <w:rFonts w:cs="Arial"/>
          <w:b/>
          <w:bCs/>
          <w:color w:val="548DD4" w:themeColor="text2" w:themeTint="99"/>
          <w:sz w:val="20"/>
          <w:szCs w:val="20"/>
          <w:lang w:eastAsia="en-GB"/>
        </w:rPr>
      </w:pPr>
    </w:p>
    <w:p w:rsidR="00E51139" w:rsidRPr="0005794A" w:rsidRDefault="00E51139" w:rsidP="00E075DA">
      <w:pPr>
        <w:autoSpaceDE w:val="0"/>
        <w:autoSpaceDN w:val="0"/>
        <w:spacing w:line="240" w:lineRule="auto"/>
        <w:rPr>
          <w:rFonts w:cs="Arial"/>
          <w:b/>
          <w:bCs/>
          <w:color w:val="548DD4" w:themeColor="text2" w:themeTint="99"/>
          <w:sz w:val="20"/>
          <w:szCs w:val="20"/>
          <w:lang w:eastAsia="en-GB"/>
        </w:rPr>
      </w:pPr>
    </w:p>
    <w:p w:rsidR="00E51139" w:rsidRPr="00895408" w:rsidRDefault="00E51139" w:rsidP="00E075DA">
      <w:pPr>
        <w:autoSpaceDE w:val="0"/>
        <w:autoSpaceDN w:val="0"/>
        <w:spacing w:line="240" w:lineRule="auto"/>
        <w:rPr>
          <w:rFonts w:cs="Arial"/>
          <w:b/>
          <w:bCs/>
          <w:strike/>
          <w:color w:val="auto"/>
          <w:sz w:val="20"/>
          <w:szCs w:val="20"/>
          <w:lang w:eastAsia="en-GB"/>
        </w:rPr>
      </w:pPr>
    </w:p>
    <w:p w:rsidR="00E51139" w:rsidRPr="009B3396" w:rsidRDefault="00E51139" w:rsidP="00C52E9B">
      <w:pPr>
        <w:pStyle w:val="Footer"/>
        <w:spacing w:line="240" w:lineRule="atLeast"/>
        <w:rPr>
          <w:color w:val="auto"/>
          <w:sz w:val="20"/>
          <w:szCs w:val="20"/>
        </w:rPr>
      </w:pPr>
      <w:r w:rsidRPr="009B3396">
        <w:rPr>
          <w:color w:val="auto"/>
          <w:sz w:val="20"/>
          <w:szCs w:val="20"/>
        </w:rPr>
        <w:t xml:space="preserve">The Statement of Accounts </w:t>
      </w:r>
      <w:r w:rsidR="00321102" w:rsidRPr="009B3396">
        <w:rPr>
          <w:color w:val="auto"/>
          <w:sz w:val="20"/>
          <w:szCs w:val="20"/>
        </w:rPr>
        <w:t>201</w:t>
      </w:r>
      <w:r w:rsidR="00A856B3" w:rsidRPr="009B3396">
        <w:rPr>
          <w:color w:val="auto"/>
          <w:sz w:val="20"/>
          <w:szCs w:val="20"/>
        </w:rPr>
        <w:t>7</w:t>
      </w:r>
      <w:r w:rsidR="00321102" w:rsidRPr="009B3396">
        <w:rPr>
          <w:color w:val="auto"/>
          <w:sz w:val="20"/>
          <w:szCs w:val="20"/>
        </w:rPr>
        <w:t>/1</w:t>
      </w:r>
      <w:r w:rsidR="00A856B3" w:rsidRPr="009B3396">
        <w:rPr>
          <w:color w:val="auto"/>
          <w:sz w:val="20"/>
          <w:szCs w:val="20"/>
        </w:rPr>
        <w:t>8</w:t>
      </w:r>
      <w:r w:rsidRPr="009B3396">
        <w:rPr>
          <w:color w:val="auto"/>
          <w:sz w:val="20"/>
          <w:szCs w:val="20"/>
        </w:rPr>
        <w:t xml:space="preserve"> were authorised for approval by Members on the </w:t>
      </w:r>
      <w:r w:rsidR="006341B7" w:rsidRPr="009B3396">
        <w:rPr>
          <w:color w:val="auto"/>
          <w:sz w:val="20"/>
          <w:szCs w:val="20"/>
        </w:rPr>
        <w:t>2</w:t>
      </w:r>
      <w:r w:rsidR="00895408" w:rsidRPr="009B3396">
        <w:rPr>
          <w:color w:val="auto"/>
          <w:sz w:val="20"/>
          <w:szCs w:val="20"/>
        </w:rPr>
        <w:t>5</w:t>
      </w:r>
      <w:r w:rsidR="00881F67" w:rsidRPr="009B3396">
        <w:rPr>
          <w:color w:val="auto"/>
          <w:sz w:val="20"/>
          <w:szCs w:val="20"/>
        </w:rPr>
        <w:t>th</w:t>
      </w:r>
      <w:r w:rsidRPr="009B3396">
        <w:rPr>
          <w:color w:val="auto"/>
          <w:sz w:val="20"/>
          <w:szCs w:val="20"/>
        </w:rPr>
        <w:t xml:space="preserve"> </w:t>
      </w:r>
      <w:r w:rsidR="0008137E" w:rsidRPr="009B3396">
        <w:rPr>
          <w:color w:val="auto"/>
          <w:sz w:val="20"/>
          <w:szCs w:val="20"/>
        </w:rPr>
        <w:t>July</w:t>
      </w:r>
      <w:r w:rsidRPr="009B3396">
        <w:rPr>
          <w:color w:val="auto"/>
          <w:sz w:val="20"/>
          <w:szCs w:val="20"/>
        </w:rPr>
        <w:t xml:space="preserve"> and for publication on</w:t>
      </w:r>
      <w:r w:rsidR="0008137E" w:rsidRPr="009B3396">
        <w:rPr>
          <w:color w:val="auto"/>
          <w:sz w:val="20"/>
          <w:szCs w:val="20"/>
        </w:rPr>
        <w:t>ce the audit opinion has been received, which will be before</w:t>
      </w:r>
      <w:r w:rsidRPr="009B3396">
        <w:rPr>
          <w:color w:val="auto"/>
          <w:sz w:val="20"/>
          <w:szCs w:val="20"/>
        </w:rPr>
        <w:t xml:space="preserve"> the</w:t>
      </w:r>
      <w:r w:rsidR="0008137E" w:rsidRPr="009B3396">
        <w:rPr>
          <w:color w:val="auto"/>
          <w:sz w:val="20"/>
          <w:szCs w:val="20"/>
        </w:rPr>
        <w:t xml:space="preserve"> statutory deadline of the</w:t>
      </w:r>
      <w:r w:rsidRPr="009B3396">
        <w:rPr>
          <w:color w:val="auto"/>
          <w:sz w:val="20"/>
          <w:szCs w:val="20"/>
        </w:rPr>
        <w:t xml:space="preserve"> </w:t>
      </w:r>
      <w:r w:rsidR="0008137E" w:rsidRPr="009B3396">
        <w:rPr>
          <w:color w:val="auto"/>
          <w:sz w:val="20"/>
          <w:szCs w:val="20"/>
        </w:rPr>
        <w:t>3</w:t>
      </w:r>
      <w:r w:rsidR="00895408" w:rsidRPr="009B3396">
        <w:rPr>
          <w:color w:val="auto"/>
          <w:sz w:val="20"/>
          <w:szCs w:val="20"/>
        </w:rPr>
        <w:t xml:space="preserve">1 July </w:t>
      </w:r>
      <w:r w:rsidR="00A01459" w:rsidRPr="009B3396">
        <w:rPr>
          <w:color w:val="auto"/>
          <w:sz w:val="20"/>
          <w:szCs w:val="20"/>
        </w:rPr>
        <w:t>201</w:t>
      </w:r>
      <w:r w:rsidR="00A856B3" w:rsidRPr="009B3396">
        <w:rPr>
          <w:color w:val="auto"/>
          <w:sz w:val="20"/>
          <w:szCs w:val="20"/>
        </w:rPr>
        <w:t>8</w:t>
      </w:r>
      <w:r w:rsidRPr="009B3396">
        <w:rPr>
          <w:color w:val="auto"/>
          <w:sz w:val="20"/>
          <w:szCs w:val="20"/>
        </w:rPr>
        <w:t xml:space="preserve">. This is also the date up to which events after the balance sheet date </w:t>
      </w:r>
      <w:r w:rsidR="0008137E" w:rsidRPr="009B3396">
        <w:rPr>
          <w:color w:val="auto"/>
          <w:sz w:val="20"/>
          <w:szCs w:val="20"/>
        </w:rPr>
        <w:t xml:space="preserve">will be </w:t>
      </w:r>
      <w:r w:rsidRPr="009B3396">
        <w:rPr>
          <w:color w:val="auto"/>
          <w:sz w:val="20"/>
          <w:szCs w:val="20"/>
        </w:rPr>
        <w:t>considered.</w:t>
      </w:r>
    </w:p>
    <w:p w:rsidR="00E51139" w:rsidRPr="009B3396" w:rsidRDefault="00E51139" w:rsidP="00E0645E">
      <w:pPr>
        <w:pStyle w:val="Footer"/>
        <w:rPr>
          <w:color w:val="auto"/>
          <w:sz w:val="20"/>
          <w:szCs w:val="20"/>
        </w:rPr>
      </w:pPr>
    </w:p>
    <w:p w:rsidR="00E51139" w:rsidRPr="009B3396" w:rsidRDefault="00E51139" w:rsidP="00E0645E">
      <w:pPr>
        <w:pStyle w:val="Footer"/>
        <w:rPr>
          <w:color w:val="auto"/>
          <w:sz w:val="20"/>
          <w:szCs w:val="20"/>
        </w:rPr>
      </w:pPr>
    </w:p>
    <w:p w:rsidR="00E51139" w:rsidRPr="009B3396" w:rsidRDefault="00E51139" w:rsidP="00E0645E">
      <w:pPr>
        <w:pStyle w:val="Footer"/>
        <w:rPr>
          <w:color w:val="auto"/>
          <w:sz w:val="20"/>
          <w:szCs w:val="20"/>
        </w:rPr>
      </w:pPr>
    </w:p>
    <w:p w:rsidR="00E51139" w:rsidRPr="009B3396" w:rsidRDefault="00E51139" w:rsidP="00E0645E">
      <w:pPr>
        <w:pStyle w:val="Footer"/>
        <w:rPr>
          <w:color w:val="auto"/>
          <w:sz w:val="20"/>
          <w:szCs w:val="20"/>
        </w:rPr>
      </w:pPr>
    </w:p>
    <w:p w:rsidR="00E51139" w:rsidRPr="009B3396" w:rsidRDefault="00E51139" w:rsidP="00E0645E">
      <w:pPr>
        <w:pStyle w:val="Footer"/>
        <w:rPr>
          <w:color w:val="auto"/>
          <w:sz w:val="20"/>
          <w:szCs w:val="20"/>
        </w:rPr>
      </w:pPr>
    </w:p>
    <w:p w:rsidR="00C852D5" w:rsidRPr="009B3396" w:rsidRDefault="00C852D5" w:rsidP="00C852D5">
      <w:pPr>
        <w:pStyle w:val="Footer"/>
        <w:rPr>
          <w:color w:val="auto"/>
          <w:sz w:val="20"/>
          <w:szCs w:val="20"/>
        </w:rPr>
      </w:pPr>
    </w:p>
    <w:p w:rsidR="00E51139" w:rsidRPr="009B3396" w:rsidRDefault="00C852D5" w:rsidP="008D0906">
      <w:pPr>
        <w:pStyle w:val="Footer"/>
        <w:outlineLvl w:val="0"/>
        <w:rPr>
          <w:color w:val="auto"/>
          <w:sz w:val="20"/>
          <w:szCs w:val="20"/>
        </w:rPr>
      </w:pPr>
      <w:r w:rsidRPr="009B3396">
        <w:rPr>
          <w:color w:val="auto"/>
          <w:sz w:val="20"/>
          <w:szCs w:val="20"/>
        </w:rPr>
        <w:t xml:space="preserve">Martin Phillips </w:t>
      </w:r>
    </w:p>
    <w:p w:rsidR="00E51139" w:rsidRPr="009B3396" w:rsidRDefault="00E51139" w:rsidP="00E0645E">
      <w:pPr>
        <w:pStyle w:val="Footer"/>
        <w:rPr>
          <w:color w:val="auto"/>
          <w:sz w:val="20"/>
          <w:szCs w:val="20"/>
        </w:rPr>
      </w:pPr>
      <w:r w:rsidRPr="009B3396">
        <w:rPr>
          <w:color w:val="auto"/>
          <w:sz w:val="20"/>
          <w:szCs w:val="20"/>
        </w:rPr>
        <w:t>Chief Finance Officer</w:t>
      </w:r>
    </w:p>
    <w:p w:rsidR="00C26646" w:rsidRPr="009B3396" w:rsidRDefault="002F36BA" w:rsidP="00BD2831">
      <w:pPr>
        <w:pStyle w:val="Footer"/>
        <w:rPr>
          <w:rFonts w:cs="Arial"/>
          <w:color w:val="auto"/>
          <w:sz w:val="20"/>
          <w:szCs w:val="20"/>
        </w:rPr>
        <w:sectPr w:rsidR="00C26646" w:rsidRPr="009B3396" w:rsidSect="00AF46FC">
          <w:pgSz w:w="11906" w:h="16838" w:code="9"/>
          <w:pgMar w:top="1440" w:right="1440" w:bottom="1440" w:left="1440" w:header="544" w:footer="544" w:gutter="0"/>
          <w:cols w:space="708"/>
          <w:titlePg/>
          <w:docGrid w:linePitch="360"/>
        </w:sectPr>
      </w:pPr>
      <w:proofErr w:type="gramStart"/>
      <w:r w:rsidRPr="009B3396">
        <w:rPr>
          <w:rFonts w:cs="Arial"/>
          <w:color w:val="auto"/>
          <w:sz w:val="20"/>
          <w:szCs w:val="20"/>
        </w:rPr>
        <w:t>2</w:t>
      </w:r>
      <w:r w:rsidR="00895408" w:rsidRPr="009B3396">
        <w:rPr>
          <w:rFonts w:cs="Arial"/>
          <w:color w:val="auto"/>
          <w:sz w:val="20"/>
          <w:szCs w:val="20"/>
        </w:rPr>
        <w:t>5</w:t>
      </w:r>
      <w:r w:rsidRPr="009B3396">
        <w:rPr>
          <w:rFonts w:cs="Arial"/>
          <w:color w:val="auto"/>
          <w:sz w:val="20"/>
          <w:szCs w:val="20"/>
        </w:rPr>
        <w:t>th</w:t>
      </w:r>
      <w:r w:rsidR="00321102" w:rsidRPr="009B3396">
        <w:rPr>
          <w:rFonts w:cs="Arial"/>
          <w:color w:val="auto"/>
          <w:sz w:val="20"/>
          <w:szCs w:val="20"/>
        </w:rPr>
        <w:t xml:space="preserve"> </w:t>
      </w:r>
      <w:r w:rsidR="00E51139" w:rsidRPr="009B3396">
        <w:rPr>
          <w:rFonts w:cs="Arial"/>
          <w:color w:val="auto"/>
          <w:sz w:val="20"/>
          <w:szCs w:val="20"/>
        </w:rPr>
        <w:t xml:space="preserve"> </w:t>
      </w:r>
      <w:r w:rsidR="00A01459" w:rsidRPr="009B3396">
        <w:rPr>
          <w:rFonts w:cs="Arial"/>
          <w:color w:val="auto"/>
          <w:sz w:val="20"/>
          <w:szCs w:val="20"/>
        </w:rPr>
        <w:t>July</w:t>
      </w:r>
      <w:proofErr w:type="gramEnd"/>
      <w:r w:rsidR="00E51139" w:rsidRPr="009B3396">
        <w:rPr>
          <w:rFonts w:cs="Arial"/>
          <w:color w:val="auto"/>
          <w:sz w:val="20"/>
          <w:szCs w:val="20"/>
        </w:rPr>
        <w:t xml:space="preserve"> 201</w:t>
      </w:r>
      <w:r w:rsidR="00895408" w:rsidRPr="009B3396">
        <w:rPr>
          <w:rFonts w:cs="Arial"/>
          <w:color w:val="auto"/>
          <w:sz w:val="20"/>
          <w:szCs w:val="20"/>
        </w:rPr>
        <w:t>8</w:t>
      </w:r>
    </w:p>
    <w:p w:rsidR="004C4B3E" w:rsidRPr="004C4B3E" w:rsidRDefault="004C4B3E" w:rsidP="004C4B3E">
      <w:pPr>
        <w:rPr>
          <w:b/>
          <w:color w:val="auto"/>
          <w:sz w:val="28"/>
          <w:szCs w:val="28"/>
        </w:rPr>
      </w:pPr>
      <w:r w:rsidRPr="004C4B3E">
        <w:rPr>
          <w:b/>
          <w:color w:val="auto"/>
          <w:sz w:val="28"/>
          <w:szCs w:val="28"/>
        </w:rPr>
        <w:lastRenderedPageBreak/>
        <w:t>Independent auditor’s report to the members of Torbay Council</w:t>
      </w:r>
    </w:p>
    <w:p w:rsidR="004C4B3E" w:rsidRPr="004C4B3E" w:rsidRDefault="004C4B3E" w:rsidP="004C4B3E">
      <w:pPr>
        <w:rPr>
          <w:b/>
          <w:color w:val="auto"/>
          <w:sz w:val="24"/>
          <w:szCs w:val="24"/>
        </w:rPr>
      </w:pPr>
      <w:r w:rsidRPr="004C4B3E">
        <w:rPr>
          <w:b/>
          <w:color w:val="auto"/>
          <w:sz w:val="24"/>
          <w:szCs w:val="24"/>
        </w:rPr>
        <w:t>Report on the Audit of the Financial Statements</w:t>
      </w:r>
    </w:p>
    <w:p w:rsidR="004C4B3E" w:rsidRPr="004C4B3E" w:rsidRDefault="004C4B3E" w:rsidP="004C4B3E">
      <w:pPr>
        <w:rPr>
          <w:b/>
          <w:color w:val="auto"/>
          <w:sz w:val="24"/>
          <w:szCs w:val="24"/>
        </w:rPr>
      </w:pPr>
      <w:r w:rsidRPr="004C4B3E">
        <w:rPr>
          <w:b/>
          <w:color w:val="auto"/>
          <w:sz w:val="24"/>
          <w:szCs w:val="24"/>
        </w:rPr>
        <w:t>Opinion</w:t>
      </w:r>
    </w:p>
    <w:p w:rsidR="004C4B3E" w:rsidRPr="004C4B3E" w:rsidRDefault="004C4B3E" w:rsidP="004C4B3E">
      <w:pPr>
        <w:pStyle w:val="CommentText"/>
        <w:rPr>
          <w:color w:val="auto"/>
        </w:rPr>
      </w:pPr>
      <w:r w:rsidRPr="004C4B3E">
        <w:rPr>
          <w:color w:val="auto"/>
        </w:rPr>
        <w:t>We have audited the financial statements of Torbay Council (the ‘Authority’) for the year ended 31 March 2018 which comprise the Comprehensive Income and Expenditure Statement, the Movement in Reserves Statement, the Balance Sheet, the Cash Flow Statement, the Collection Fund Summary Account 2017/18 and notes to the core financial statements, including a summary of significant accounting policies, and Collection Fund Summary Account. The financial reporting framework that has been applied in their preparation is applicable law and the CIPFA/LASAAC code of practice on local authority accounting in the United Kingdom 2017/18.</w:t>
      </w:r>
    </w:p>
    <w:p w:rsidR="004C4B3E" w:rsidRPr="004C4B3E" w:rsidRDefault="004C4B3E" w:rsidP="004C4B3E">
      <w:pPr>
        <w:autoSpaceDE w:val="0"/>
        <w:autoSpaceDN w:val="0"/>
        <w:adjustRightInd w:val="0"/>
        <w:rPr>
          <w:color w:val="auto"/>
          <w:sz w:val="20"/>
          <w:szCs w:val="20"/>
        </w:rPr>
      </w:pPr>
      <w:r w:rsidRPr="004C4B3E">
        <w:rPr>
          <w:color w:val="auto"/>
          <w:sz w:val="20"/>
          <w:szCs w:val="20"/>
        </w:rPr>
        <w:t>In our opinion the financial statements:</w:t>
      </w:r>
    </w:p>
    <w:p w:rsidR="004C4B3E" w:rsidRPr="004C4B3E" w:rsidRDefault="004C4B3E" w:rsidP="00C2205A">
      <w:pPr>
        <w:numPr>
          <w:ilvl w:val="0"/>
          <w:numId w:val="42"/>
        </w:numPr>
        <w:autoSpaceDE w:val="0"/>
        <w:autoSpaceDN w:val="0"/>
        <w:adjustRightInd w:val="0"/>
        <w:spacing w:after="0" w:line="240" w:lineRule="auto"/>
        <w:rPr>
          <w:color w:val="auto"/>
          <w:sz w:val="20"/>
          <w:szCs w:val="20"/>
        </w:rPr>
      </w:pPr>
      <w:r w:rsidRPr="004C4B3E">
        <w:rPr>
          <w:color w:val="auto"/>
          <w:sz w:val="20"/>
          <w:szCs w:val="20"/>
        </w:rPr>
        <w:t xml:space="preserve">give a true and fair view of the financial position of the Authority as at 31 March 2018 and of its expenditure and income for the year then ended; </w:t>
      </w:r>
    </w:p>
    <w:p w:rsidR="004C4B3E" w:rsidRPr="004C4B3E" w:rsidRDefault="004C4B3E" w:rsidP="00C2205A">
      <w:pPr>
        <w:numPr>
          <w:ilvl w:val="0"/>
          <w:numId w:val="42"/>
        </w:numPr>
        <w:autoSpaceDE w:val="0"/>
        <w:autoSpaceDN w:val="0"/>
        <w:adjustRightInd w:val="0"/>
        <w:spacing w:after="0" w:line="240" w:lineRule="auto"/>
        <w:rPr>
          <w:color w:val="auto"/>
          <w:sz w:val="20"/>
          <w:szCs w:val="20"/>
        </w:rPr>
      </w:pPr>
      <w:r w:rsidRPr="004C4B3E">
        <w:rPr>
          <w:color w:val="auto"/>
          <w:sz w:val="20"/>
          <w:szCs w:val="20"/>
        </w:rPr>
        <w:t xml:space="preserve">have been prepared properly in accordance with the CIPFA/LASAAC code of practice on local authority accounting in the United Kingdom 2017/18; and </w:t>
      </w:r>
    </w:p>
    <w:p w:rsidR="004C4B3E" w:rsidRPr="004C4B3E" w:rsidRDefault="004C4B3E" w:rsidP="00C2205A">
      <w:pPr>
        <w:numPr>
          <w:ilvl w:val="0"/>
          <w:numId w:val="42"/>
        </w:numPr>
        <w:autoSpaceDE w:val="0"/>
        <w:autoSpaceDN w:val="0"/>
        <w:adjustRightInd w:val="0"/>
        <w:spacing w:after="0" w:line="240" w:lineRule="auto"/>
        <w:rPr>
          <w:color w:val="auto"/>
          <w:sz w:val="20"/>
          <w:szCs w:val="20"/>
        </w:rPr>
      </w:pPr>
      <w:proofErr w:type="gramStart"/>
      <w:r w:rsidRPr="004C4B3E">
        <w:rPr>
          <w:color w:val="auto"/>
          <w:sz w:val="20"/>
          <w:szCs w:val="20"/>
        </w:rPr>
        <w:t>have</w:t>
      </w:r>
      <w:proofErr w:type="gramEnd"/>
      <w:r w:rsidRPr="004C4B3E">
        <w:rPr>
          <w:color w:val="auto"/>
          <w:sz w:val="20"/>
          <w:szCs w:val="20"/>
        </w:rPr>
        <w:t xml:space="preserve"> been prepared in accordance with the requirements of the Local Audit and Accountability Act 2014.</w:t>
      </w:r>
    </w:p>
    <w:p w:rsidR="004C4B3E" w:rsidRPr="004C4B3E" w:rsidRDefault="004C4B3E" w:rsidP="004C4B3E">
      <w:pPr>
        <w:pStyle w:val="Heading2"/>
        <w:rPr>
          <w:rFonts w:eastAsia="Arial"/>
          <w:b/>
          <w:bCs w:val="0"/>
          <w:color w:val="auto"/>
          <w:sz w:val="20"/>
          <w:szCs w:val="20"/>
        </w:rPr>
      </w:pPr>
      <w:r w:rsidRPr="004C4B3E">
        <w:rPr>
          <w:rFonts w:eastAsia="Arial"/>
          <w:b/>
          <w:bCs w:val="0"/>
          <w:color w:val="auto"/>
          <w:sz w:val="20"/>
          <w:szCs w:val="20"/>
        </w:rPr>
        <w:t>Basis for opinion</w:t>
      </w:r>
    </w:p>
    <w:p w:rsidR="004C4B3E" w:rsidRDefault="004C4B3E" w:rsidP="004C4B3E">
      <w:pPr>
        <w:spacing w:after="284"/>
        <w:rPr>
          <w:color w:val="auto"/>
          <w:sz w:val="20"/>
          <w:szCs w:val="20"/>
        </w:rPr>
      </w:pPr>
      <w:r w:rsidRPr="004C4B3E">
        <w:rPr>
          <w:color w:val="auto"/>
          <w:sz w:val="20"/>
          <w:szCs w:val="20"/>
        </w:rPr>
        <w:t>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the Authority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rsidR="004C4B3E" w:rsidRPr="004C4B3E" w:rsidRDefault="004C4B3E" w:rsidP="004C4B3E">
      <w:pPr>
        <w:spacing w:after="284"/>
        <w:rPr>
          <w:color w:val="auto"/>
          <w:sz w:val="20"/>
          <w:szCs w:val="20"/>
        </w:rPr>
      </w:pPr>
      <w:r w:rsidRPr="004C4B3E">
        <w:rPr>
          <w:b/>
          <w:color w:val="auto"/>
          <w:sz w:val="20"/>
          <w:szCs w:val="20"/>
        </w:rPr>
        <w:t>Who we are reporting to</w:t>
      </w:r>
    </w:p>
    <w:p w:rsidR="004C4B3E" w:rsidRPr="004C4B3E" w:rsidRDefault="004C4B3E" w:rsidP="004C4B3E">
      <w:pPr>
        <w:rPr>
          <w:color w:val="auto"/>
          <w:sz w:val="20"/>
          <w:szCs w:val="20"/>
        </w:rPr>
      </w:pPr>
      <w:r w:rsidRPr="004C4B3E">
        <w:rPr>
          <w:color w:val="auto"/>
          <w:sz w:val="20"/>
          <w:szCs w:val="20"/>
        </w:rPr>
        <w:t>This report is made solely to the members of the Authority, as a body, in accordance with Part 5 of the Local Audit and Accountability Act 2014 and as set out in paragraph 43 of the Statement of Responsibilities of Auditors and Audited Bodies published by Public Sector Audit Appointments Limited. Our audit work has been undertaken so that we might state to the Authority’s members those matters we are required to state to them in an auditor's report and for no other purpose. To the fullest extent permitted by law, we do not accept or assume responsibility to anyone other than the Authority and the Authority's members as a body, for our audit work, for this report, or for the opinions we have formed.</w:t>
      </w:r>
    </w:p>
    <w:p w:rsidR="004C4B3E" w:rsidRPr="004C4B3E" w:rsidRDefault="004C4B3E" w:rsidP="004C4B3E">
      <w:pPr>
        <w:keepNext/>
        <w:spacing w:line="260" w:lineRule="atLeast"/>
        <w:outlineLvl w:val="1"/>
        <w:rPr>
          <w:b/>
          <w:color w:val="auto"/>
          <w:sz w:val="20"/>
          <w:szCs w:val="20"/>
        </w:rPr>
      </w:pPr>
      <w:r w:rsidRPr="004C4B3E">
        <w:rPr>
          <w:b/>
          <w:color w:val="auto"/>
          <w:sz w:val="20"/>
          <w:szCs w:val="20"/>
        </w:rPr>
        <w:t>Conclusions relating to going concern</w:t>
      </w:r>
    </w:p>
    <w:p w:rsidR="004C4B3E" w:rsidRPr="004C4B3E" w:rsidRDefault="004C4B3E" w:rsidP="004C4B3E">
      <w:pPr>
        <w:rPr>
          <w:color w:val="auto"/>
          <w:sz w:val="20"/>
          <w:szCs w:val="20"/>
        </w:rPr>
      </w:pPr>
      <w:r w:rsidRPr="004C4B3E">
        <w:rPr>
          <w:color w:val="auto"/>
          <w:sz w:val="20"/>
          <w:szCs w:val="20"/>
        </w:rPr>
        <w:t xml:space="preserve">We have nothing to report in respect of the following matters in relation to which the ISAs (UK) require us to report to you </w:t>
      </w:r>
      <w:proofErr w:type="spellStart"/>
      <w:r w:rsidRPr="004C4B3E">
        <w:rPr>
          <w:color w:val="auto"/>
          <w:sz w:val="20"/>
          <w:szCs w:val="20"/>
        </w:rPr>
        <w:t>where</w:t>
      </w:r>
      <w:proofErr w:type="spellEnd"/>
      <w:r w:rsidRPr="004C4B3E">
        <w:rPr>
          <w:color w:val="auto"/>
          <w:sz w:val="20"/>
          <w:szCs w:val="20"/>
        </w:rPr>
        <w:t>:</w:t>
      </w:r>
    </w:p>
    <w:p w:rsidR="004C4B3E" w:rsidRPr="004C4B3E" w:rsidRDefault="004C4B3E" w:rsidP="00C2205A">
      <w:pPr>
        <w:pStyle w:val="ListParagraph"/>
        <w:numPr>
          <w:ilvl w:val="0"/>
          <w:numId w:val="44"/>
        </w:numPr>
        <w:spacing w:after="0" w:line="240" w:lineRule="auto"/>
        <w:rPr>
          <w:color w:val="auto"/>
          <w:sz w:val="20"/>
          <w:szCs w:val="20"/>
        </w:rPr>
      </w:pPr>
      <w:r w:rsidRPr="004C4B3E">
        <w:rPr>
          <w:color w:val="auto"/>
          <w:sz w:val="20"/>
          <w:szCs w:val="20"/>
        </w:rPr>
        <w:t>the Chief Finance Officer’s use of the going concern basis of accounting in the preparation of the financial statements is not appropriate; or</w:t>
      </w:r>
    </w:p>
    <w:p w:rsidR="004C4B3E" w:rsidRPr="004C4B3E" w:rsidRDefault="004C4B3E" w:rsidP="00C2205A">
      <w:pPr>
        <w:pStyle w:val="ListParagraph"/>
        <w:numPr>
          <w:ilvl w:val="0"/>
          <w:numId w:val="44"/>
        </w:numPr>
        <w:spacing w:after="0" w:line="240" w:lineRule="auto"/>
        <w:rPr>
          <w:color w:val="auto"/>
          <w:sz w:val="20"/>
          <w:szCs w:val="20"/>
        </w:rPr>
      </w:pPr>
      <w:proofErr w:type="gramStart"/>
      <w:r w:rsidRPr="004C4B3E">
        <w:rPr>
          <w:color w:val="auto"/>
          <w:sz w:val="20"/>
          <w:szCs w:val="20"/>
        </w:rPr>
        <w:t>the</w:t>
      </w:r>
      <w:proofErr w:type="gramEnd"/>
      <w:r w:rsidRPr="004C4B3E">
        <w:rPr>
          <w:color w:val="auto"/>
          <w:sz w:val="20"/>
          <w:szCs w:val="20"/>
        </w:rPr>
        <w:t xml:space="preserve"> Chief Finance Officer has not disclosed in the financial statements any identified material uncertainties that may cast significant doubt about the Authority’s ability to continue to adopt the going concern basis of accounting for a period of at least twelve months from the date when the financial statements are authorised for issue.</w:t>
      </w:r>
    </w:p>
    <w:p w:rsidR="004C4B3E" w:rsidRPr="004C4B3E" w:rsidRDefault="004C4B3E" w:rsidP="004C4B3E">
      <w:pPr>
        <w:keepNext/>
        <w:spacing w:line="260" w:lineRule="atLeast"/>
        <w:outlineLvl w:val="1"/>
        <w:rPr>
          <w:color w:val="auto"/>
          <w:sz w:val="20"/>
          <w:szCs w:val="20"/>
        </w:rPr>
      </w:pPr>
      <w:bookmarkStart w:id="1" w:name="_GoBack"/>
      <w:bookmarkEnd w:id="1"/>
    </w:p>
    <w:p w:rsidR="004C4B3E" w:rsidRPr="004C4B3E" w:rsidRDefault="004C4B3E" w:rsidP="004C4B3E">
      <w:pPr>
        <w:keepNext/>
        <w:spacing w:line="260" w:lineRule="atLeast"/>
        <w:outlineLvl w:val="1"/>
        <w:rPr>
          <w:b/>
          <w:color w:val="auto"/>
          <w:sz w:val="20"/>
          <w:szCs w:val="20"/>
        </w:rPr>
      </w:pPr>
      <w:r w:rsidRPr="004C4B3E">
        <w:rPr>
          <w:b/>
          <w:color w:val="auto"/>
          <w:sz w:val="20"/>
          <w:szCs w:val="20"/>
        </w:rPr>
        <w:t>Other information</w:t>
      </w:r>
    </w:p>
    <w:p w:rsidR="004C4B3E" w:rsidRPr="004C4B3E" w:rsidRDefault="004C4B3E" w:rsidP="004C4B3E">
      <w:pPr>
        <w:spacing w:after="284"/>
        <w:rPr>
          <w:color w:val="auto"/>
          <w:sz w:val="20"/>
          <w:szCs w:val="20"/>
        </w:rPr>
      </w:pPr>
      <w:r w:rsidRPr="004C4B3E">
        <w:rPr>
          <w:color w:val="auto"/>
          <w:sz w:val="20"/>
          <w:szCs w:val="20"/>
        </w:rPr>
        <w:t>The Chief Finance Officer is responsible for the other information. The other information comprises the information included in the Financial Reports &amp; Accounts set out on pages 1 to 1</w:t>
      </w:r>
      <w:r w:rsidR="003512EB">
        <w:rPr>
          <w:color w:val="auto"/>
          <w:sz w:val="20"/>
          <w:szCs w:val="20"/>
        </w:rPr>
        <w:t>37</w:t>
      </w:r>
      <w:r w:rsidRPr="004C4B3E">
        <w:rPr>
          <w:color w:val="auto"/>
          <w:sz w:val="20"/>
          <w:szCs w:val="20"/>
        </w:rPr>
        <w:t xml:space="preserve">, other than the financial statements and our auditor’s report thereon. Our opinion on the financial statements does not cover the other information and, except to the extent otherwise explicitly stated in our report, we do not express any form of assurance conclusion thereon. </w:t>
      </w:r>
    </w:p>
    <w:p w:rsidR="004C4B3E" w:rsidRPr="004C4B3E" w:rsidRDefault="004C4B3E" w:rsidP="004C4B3E">
      <w:pPr>
        <w:spacing w:after="284"/>
        <w:rPr>
          <w:color w:val="auto"/>
          <w:sz w:val="20"/>
          <w:szCs w:val="20"/>
        </w:rPr>
      </w:pPr>
      <w:r w:rsidRPr="004C4B3E">
        <w:rPr>
          <w:color w:val="auto"/>
          <w:sz w:val="20"/>
          <w:szCs w:val="20"/>
        </w:rPr>
        <w:t>In connection with our audit of the financial statements, our responsibility is to read the other information and, in doing so, consider whether the other information is materially inconsistent with the financial statements or our knowledge of the Authority obtained in the course of our work including that gained through work in relation to the Authority’s arrangements for securing value for money through economy, efficiency and effectiveness in the use of its resources or otherwise appears to be materially misstated. If we identify such material 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this other information, we are required to report that fact.</w:t>
      </w:r>
    </w:p>
    <w:p w:rsidR="004C4B3E" w:rsidRPr="004C4B3E" w:rsidRDefault="004C4B3E" w:rsidP="004C4B3E">
      <w:pPr>
        <w:rPr>
          <w:color w:val="auto"/>
          <w:sz w:val="20"/>
          <w:szCs w:val="20"/>
        </w:rPr>
      </w:pPr>
      <w:r w:rsidRPr="004C4B3E">
        <w:rPr>
          <w:color w:val="auto"/>
          <w:sz w:val="20"/>
          <w:szCs w:val="20"/>
        </w:rPr>
        <w:t>We have nothing to report in this regard.</w:t>
      </w:r>
    </w:p>
    <w:p w:rsidR="004C4B3E" w:rsidRDefault="004C4B3E" w:rsidP="004C4B3E">
      <w:pPr>
        <w:pStyle w:val="Heading2"/>
        <w:rPr>
          <w:rFonts w:eastAsia="Arial"/>
          <w:b/>
          <w:bCs w:val="0"/>
          <w:color w:val="auto"/>
          <w:sz w:val="20"/>
          <w:szCs w:val="20"/>
        </w:rPr>
      </w:pPr>
      <w:r w:rsidRPr="004C4B3E">
        <w:rPr>
          <w:rFonts w:eastAsia="Arial"/>
          <w:b/>
          <w:bCs w:val="0"/>
          <w:color w:val="auto"/>
          <w:sz w:val="20"/>
          <w:szCs w:val="20"/>
        </w:rPr>
        <w:t>Other information we are required to report on by exception under the Code of Audit Practice</w:t>
      </w:r>
    </w:p>
    <w:p w:rsidR="004C4B3E" w:rsidRPr="004C4B3E" w:rsidRDefault="004C4B3E" w:rsidP="004C4B3E">
      <w:pPr>
        <w:autoSpaceDE w:val="0"/>
        <w:autoSpaceDN w:val="0"/>
        <w:adjustRightInd w:val="0"/>
        <w:rPr>
          <w:color w:val="auto"/>
          <w:sz w:val="20"/>
          <w:szCs w:val="20"/>
        </w:rPr>
      </w:pPr>
      <w:r w:rsidRPr="004C4B3E">
        <w:rPr>
          <w:color w:val="auto"/>
          <w:sz w:val="20"/>
          <w:szCs w:val="20"/>
        </w:rPr>
        <w:t xml:space="preserve">Under the Code of Audit Practice published by the National Audit Office on behalf of the Comptroller and Auditor General (the Code of Audit Practice) we are required to consider whether the Annual Governance Statement does not comply with the ‘Delivering Good Governance in Local Government:  Framework (2016)’ published by CIPFA and SOLACE or is misleading or inconsistent with the information of which we are aware from our audit. We are not required to consider whether the Annual Governance Statement addresses all risks and controls or that risks are satisfactorily addressed by internal controls. </w:t>
      </w:r>
    </w:p>
    <w:p w:rsidR="004C4B3E" w:rsidRPr="004C4B3E" w:rsidRDefault="004C4B3E" w:rsidP="004C4B3E">
      <w:pPr>
        <w:rPr>
          <w:color w:val="auto"/>
          <w:sz w:val="20"/>
          <w:szCs w:val="20"/>
        </w:rPr>
      </w:pPr>
      <w:r w:rsidRPr="004C4B3E">
        <w:rPr>
          <w:color w:val="auto"/>
          <w:sz w:val="20"/>
          <w:szCs w:val="20"/>
        </w:rPr>
        <w:t>We have nothing to report in this regard.</w:t>
      </w:r>
    </w:p>
    <w:p w:rsidR="004C4B3E" w:rsidRPr="004C4B3E" w:rsidRDefault="004C4B3E" w:rsidP="004C4B3E">
      <w:pPr>
        <w:keepNext/>
        <w:spacing w:line="260" w:lineRule="atLeast"/>
        <w:outlineLvl w:val="1"/>
        <w:rPr>
          <w:b/>
          <w:color w:val="auto"/>
          <w:sz w:val="20"/>
          <w:szCs w:val="20"/>
        </w:rPr>
      </w:pPr>
      <w:r w:rsidRPr="004C4B3E">
        <w:rPr>
          <w:b/>
          <w:color w:val="auto"/>
          <w:sz w:val="20"/>
          <w:szCs w:val="20"/>
        </w:rPr>
        <w:t xml:space="preserve">Opinion on other matter required by the Code of Audit Practice </w:t>
      </w:r>
    </w:p>
    <w:p w:rsidR="004C4B3E" w:rsidRPr="004C4B3E" w:rsidRDefault="004C4B3E" w:rsidP="004C4B3E">
      <w:pPr>
        <w:rPr>
          <w:color w:val="auto"/>
          <w:sz w:val="20"/>
          <w:szCs w:val="20"/>
        </w:rPr>
      </w:pPr>
      <w:r w:rsidRPr="004C4B3E">
        <w:rPr>
          <w:color w:val="auto"/>
          <w:sz w:val="20"/>
          <w:szCs w:val="20"/>
        </w:rPr>
        <w:t>In our opinion, based on the work undertaken in the course of the audit of the financial statements and our knowledge of the Authority gained through our work in relation to the Authority’s arrangements for securing economy, efficiency and effectiveness in its use of resources, the other information published together with the financial statements in the Financial Reports &amp; Accounts for the financial year for which the financial statements are prepared is consistent with the financial statements.</w:t>
      </w:r>
    </w:p>
    <w:p w:rsidR="004C4B3E" w:rsidRPr="004C4B3E" w:rsidRDefault="004C4B3E" w:rsidP="004C4B3E">
      <w:pPr>
        <w:autoSpaceDE w:val="0"/>
        <w:autoSpaceDN w:val="0"/>
        <w:adjustRightInd w:val="0"/>
        <w:rPr>
          <w:b/>
          <w:color w:val="auto"/>
          <w:sz w:val="20"/>
          <w:szCs w:val="20"/>
        </w:rPr>
      </w:pPr>
      <w:r w:rsidRPr="004C4B3E">
        <w:rPr>
          <w:b/>
          <w:color w:val="auto"/>
          <w:sz w:val="20"/>
          <w:szCs w:val="20"/>
        </w:rPr>
        <w:t>Matters on which we are required to report by exception</w:t>
      </w:r>
    </w:p>
    <w:p w:rsidR="004C4B3E" w:rsidRPr="004C4B3E" w:rsidRDefault="004C4B3E" w:rsidP="004C4B3E">
      <w:pPr>
        <w:keepNext/>
        <w:spacing w:line="260" w:lineRule="atLeast"/>
        <w:outlineLvl w:val="3"/>
        <w:rPr>
          <w:color w:val="auto"/>
          <w:sz w:val="20"/>
          <w:szCs w:val="20"/>
        </w:rPr>
      </w:pPr>
      <w:r w:rsidRPr="004C4B3E">
        <w:rPr>
          <w:color w:val="auto"/>
          <w:sz w:val="20"/>
          <w:szCs w:val="20"/>
        </w:rPr>
        <w:t>Under the Code of Audit Practice we are required to report to you if:</w:t>
      </w:r>
    </w:p>
    <w:p w:rsidR="004C4B3E" w:rsidRPr="004C4B3E" w:rsidRDefault="004C4B3E" w:rsidP="00C2205A">
      <w:pPr>
        <w:numPr>
          <w:ilvl w:val="0"/>
          <w:numId w:val="43"/>
        </w:numPr>
        <w:autoSpaceDE w:val="0"/>
        <w:autoSpaceDN w:val="0"/>
        <w:adjustRightInd w:val="0"/>
        <w:spacing w:after="0" w:line="240" w:lineRule="auto"/>
        <w:rPr>
          <w:color w:val="auto"/>
          <w:sz w:val="20"/>
          <w:szCs w:val="20"/>
        </w:rPr>
      </w:pPr>
      <w:r w:rsidRPr="004C4B3E">
        <w:rPr>
          <w:color w:val="auto"/>
          <w:sz w:val="20"/>
          <w:szCs w:val="20"/>
        </w:rPr>
        <w:t>we have reported a matter in the public interest under section 24 of the Local Audit and Accountability Act 2014  in the course of, or at the conclusion of the audit; or</w:t>
      </w:r>
    </w:p>
    <w:p w:rsidR="004C4B3E" w:rsidRPr="004C4B3E" w:rsidRDefault="004C4B3E" w:rsidP="00C2205A">
      <w:pPr>
        <w:numPr>
          <w:ilvl w:val="0"/>
          <w:numId w:val="43"/>
        </w:numPr>
        <w:autoSpaceDE w:val="0"/>
        <w:autoSpaceDN w:val="0"/>
        <w:adjustRightInd w:val="0"/>
        <w:spacing w:after="0" w:line="240" w:lineRule="auto"/>
        <w:rPr>
          <w:color w:val="auto"/>
          <w:sz w:val="20"/>
          <w:szCs w:val="20"/>
        </w:rPr>
      </w:pPr>
      <w:r w:rsidRPr="004C4B3E">
        <w:rPr>
          <w:color w:val="auto"/>
          <w:sz w:val="20"/>
          <w:szCs w:val="20"/>
        </w:rPr>
        <w:t>we have made a written recommendation to the Authority under section 24 of the Local Audit and Accountability Act 2014  in the course of, or at the conclusion of the audit; or</w:t>
      </w:r>
    </w:p>
    <w:p w:rsidR="004C4B3E" w:rsidRPr="004C4B3E" w:rsidRDefault="004C4B3E" w:rsidP="00C2205A">
      <w:pPr>
        <w:numPr>
          <w:ilvl w:val="0"/>
          <w:numId w:val="43"/>
        </w:numPr>
        <w:autoSpaceDE w:val="0"/>
        <w:autoSpaceDN w:val="0"/>
        <w:adjustRightInd w:val="0"/>
        <w:spacing w:after="0" w:line="240" w:lineRule="auto"/>
        <w:rPr>
          <w:color w:val="auto"/>
          <w:sz w:val="20"/>
          <w:szCs w:val="20"/>
        </w:rPr>
      </w:pPr>
      <w:proofErr w:type="gramStart"/>
      <w:r w:rsidRPr="004C4B3E">
        <w:rPr>
          <w:color w:val="auto"/>
          <w:sz w:val="20"/>
          <w:szCs w:val="20"/>
        </w:rPr>
        <w:t>we</w:t>
      </w:r>
      <w:proofErr w:type="gramEnd"/>
      <w:r w:rsidRPr="004C4B3E">
        <w:rPr>
          <w:color w:val="auto"/>
          <w:sz w:val="20"/>
          <w:szCs w:val="20"/>
        </w:rPr>
        <w:t xml:space="preserve"> have exercised any other special powers of the auditor under the Local Audit and Accountability Act 2014.</w:t>
      </w:r>
    </w:p>
    <w:p w:rsidR="004C4B3E" w:rsidRPr="004C4B3E" w:rsidRDefault="004C4B3E" w:rsidP="004C4B3E">
      <w:pPr>
        <w:rPr>
          <w:color w:val="auto"/>
          <w:sz w:val="20"/>
          <w:szCs w:val="20"/>
        </w:rPr>
      </w:pPr>
    </w:p>
    <w:p w:rsidR="004C4B3E" w:rsidRDefault="004C4B3E" w:rsidP="004C4B3E">
      <w:pPr>
        <w:rPr>
          <w:color w:val="auto"/>
          <w:sz w:val="20"/>
          <w:szCs w:val="20"/>
        </w:rPr>
      </w:pPr>
      <w:r w:rsidRPr="004C4B3E">
        <w:rPr>
          <w:color w:val="auto"/>
          <w:sz w:val="20"/>
          <w:szCs w:val="20"/>
        </w:rPr>
        <w:t>We have nothing to report in respect of the above matters.</w:t>
      </w:r>
    </w:p>
    <w:p w:rsidR="004C4B3E" w:rsidRPr="004C4B3E" w:rsidRDefault="004C4B3E" w:rsidP="004C4B3E">
      <w:pPr>
        <w:rPr>
          <w:b/>
          <w:color w:val="auto"/>
          <w:sz w:val="20"/>
          <w:szCs w:val="20"/>
        </w:rPr>
      </w:pPr>
      <w:r w:rsidRPr="004C4B3E">
        <w:rPr>
          <w:b/>
          <w:color w:val="auto"/>
          <w:sz w:val="20"/>
          <w:szCs w:val="20"/>
        </w:rPr>
        <w:lastRenderedPageBreak/>
        <w:t>Responsibilities of the Authority, the Chief Finance Officer and Those Charged with Governance for the financial statements</w:t>
      </w:r>
    </w:p>
    <w:p w:rsidR="004C4B3E" w:rsidRPr="004C4B3E" w:rsidRDefault="004C4B3E" w:rsidP="004C4B3E">
      <w:pPr>
        <w:autoSpaceDE w:val="0"/>
        <w:autoSpaceDN w:val="0"/>
        <w:adjustRightInd w:val="0"/>
        <w:contextualSpacing/>
        <w:rPr>
          <w:color w:val="auto"/>
          <w:sz w:val="20"/>
          <w:szCs w:val="20"/>
        </w:rPr>
      </w:pPr>
      <w:r w:rsidRPr="004C4B3E">
        <w:rPr>
          <w:color w:val="auto"/>
          <w:sz w:val="20"/>
          <w:szCs w:val="20"/>
        </w:rPr>
        <w:t xml:space="preserve">As explained more fully in the Statement of Responsibilities for the Statement of Accounts set out on pages 24 to 25, the Authority is required to make arrangements for the proper administration of its financial affairs and to secure that one of its officers has the responsibility for the administration of those affairs.  In this authority, that officer is the Chief Finance Officer. The Chief Finance Officer is responsible for the preparation of the Financial Reports &amp; Accounts, which includes the financial statements, in accordance with proper practices as set out in the CIPFA/LASAAC code of practice on local authority accounting in the United Kingdom 2017/18, which give a true and fair view, and for such internal control as the Chief Finance Officer determines is necessary to enable the preparation of financial statements that are free from material misstatement, whether due to fraud or error. </w:t>
      </w:r>
    </w:p>
    <w:p w:rsidR="004C4B3E" w:rsidRDefault="004C4B3E" w:rsidP="004C4B3E">
      <w:pPr>
        <w:autoSpaceDE w:val="0"/>
        <w:autoSpaceDN w:val="0"/>
        <w:adjustRightInd w:val="0"/>
        <w:rPr>
          <w:color w:val="auto"/>
          <w:sz w:val="20"/>
          <w:szCs w:val="20"/>
        </w:rPr>
      </w:pPr>
    </w:p>
    <w:p w:rsidR="004C4B3E" w:rsidRPr="004C4B3E" w:rsidRDefault="004C4B3E" w:rsidP="004C4B3E">
      <w:pPr>
        <w:autoSpaceDE w:val="0"/>
        <w:autoSpaceDN w:val="0"/>
        <w:adjustRightInd w:val="0"/>
        <w:rPr>
          <w:color w:val="auto"/>
          <w:sz w:val="20"/>
          <w:szCs w:val="20"/>
        </w:rPr>
      </w:pPr>
      <w:r w:rsidRPr="004C4B3E">
        <w:rPr>
          <w:color w:val="auto"/>
          <w:sz w:val="20"/>
          <w:szCs w:val="20"/>
        </w:rPr>
        <w:t>In preparing the financial statements, the Chief Finance Officer is responsible for assessing the Authority’s ability to continue as a going concern, disclosing, as applicable, matters related to going concern and using the going concern basis of accounting unless the Authority lacks funding for its continued existence or when policy decisions have been made that affect the services provided by the Authority.</w:t>
      </w:r>
    </w:p>
    <w:p w:rsidR="004C4B3E" w:rsidRPr="004C4B3E" w:rsidRDefault="004C4B3E" w:rsidP="004C4B3E">
      <w:pPr>
        <w:autoSpaceDE w:val="0"/>
        <w:autoSpaceDN w:val="0"/>
        <w:adjustRightInd w:val="0"/>
        <w:rPr>
          <w:color w:val="auto"/>
          <w:sz w:val="20"/>
          <w:szCs w:val="20"/>
        </w:rPr>
      </w:pPr>
      <w:r w:rsidRPr="004C4B3E">
        <w:rPr>
          <w:color w:val="auto"/>
          <w:sz w:val="20"/>
          <w:szCs w:val="20"/>
        </w:rPr>
        <w:t>The Audit Committee is Those Charged with Governance.</w:t>
      </w:r>
    </w:p>
    <w:p w:rsidR="004C4B3E" w:rsidRPr="004C4B3E" w:rsidRDefault="004C4B3E" w:rsidP="004C4B3E">
      <w:pPr>
        <w:autoSpaceDE w:val="0"/>
        <w:autoSpaceDN w:val="0"/>
        <w:adjustRightInd w:val="0"/>
        <w:rPr>
          <w:b/>
          <w:color w:val="auto"/>
          <w:sz w:val="20"/>
          <w:szCs w:val="20"/>
        </w:rPr>
      </w:pPr>
      <w:r w:rsidRPr="004C4B3E">
        <w:rPr>
          <w:b/>
          <w:color w:val="auto"/>
          <w:sz w:val="20"/>
          <w:szCs w:val="20"/>
        </w:rPr>
        <w:t>Auditor’s responsibilities for the audit of the financial statements</w:t>
      </w:r>
    </w:p>
    <w:p w:rsidR="004C4B3E" w:rsidRPr="004C4B3E" w:rsidRDefault="004C4B3E" w:rsidP="004C4B3E">
      <w:pPr>
        <w:autoSpaceDE w:val="0"/>
        <w:autoSpaceDN w:val="0"/>
        <w:adjustRightInd w:val="0"/>
        <w:rPr>
          <w:color w:val="auto"/>
          <w:sz w:val="20"/>
          <w:szCs w:val="20"/>
        </w:rPr>
      </w:pPr>
      <w:r w:rsidRPr="004C4B3E">
        <w:rPr>
          <w:color w:val="auto"/>
          <w:sz w:val="20"/>
          <w:szCs w:val="20"/>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rsidR="004C4B3E" w:rsidRPr="004C4B3E" w:rsidRDefault="004C4B3E" w:rsidP="004C4B3E">
      <w:pPr>
        <w:autoSpaceDE w:val="0"/>
        <w:autoSpaceDN w:val="0"/>
        <w:adjustRightInd w:val="0"/>
        <w:rPr>
          <w:color w:val="auto"/>
          <w:sz w:val="20"/>
          <w:szCs w:val="20"/>
        </w:rPr>
      </w:pPr>
      <w:r w:rsidRPr="004C4B3E">
        <w:rPr>
          <w:color w:val="auto"/>
          <w:sz w:val="20"/>
          <w:szCs w:val="20"/>
        </w:rPr>
        <w:t xml:space="preserve">A further description of our responsibilities for the audit of the financial statements is located on the Financial Reporting Council’s website at: </w:t>
      </w:r>
      <w:hyperlink r:id="rId34" w:history="1">
        <w:r w:rsidRPr="004C4B3E">
          <w:rPr>
            <w:color w:val="auto"/>
            <w:sz w:val="20"/>
            <w:szCs w:val="20"/>
          </w:rPr>
          <w:t>www.frc.org.uk/auditorsresponsibilities</w:t>
        </w:r>
      </w:hyperlink>
      <w:r w:rsidRPr="004C4B3E">
        <w:rPr>
          <w:color w:val="auto"/>
          <w:sz w:val="20"/>
          <w:szCs w:val="20"/>
        </w:rPr>
        <w:t>. This description forms part of our auditor’s report.</w:t>
      </w:r>
    </w:p>
    <w:p w:rsidR="004C4B3E" w:rsidRPr="004C4B3E" w:rsidRDefault="004C4B3E" w:rsidP="004C4B3E">
      <w:pPr>
        <w:pStyle w:val="inlinenormal"/>
        <w:spacing w:before="0" w:after="0" w:line="240" w:lineRule="auto"/>
        <w:rPr>
          <w:rFonts w:eastAsia="Arial"/>
          <w:b/>
          <w:bCs/>
          <w:sz w:val="20"/>
          <w:szCs w:val="20"/>
          <w:lang w:eastAsia="en-US"/>
        </w:rPr>
      </w:pPr>
      <w:r w:rsidRPr="004C4B3E">
        <w:rPr>
          <w:rFonts w:eastAsia="Arial" w:cs="Times New Roman"/>
          <w:b/>
          <w:sz w:val="20"/>
          <w:szCs w:val="20"/>
          <w:lang w:eastAsia="en-US"/>
        </w:rPr>
        <w:t xml:space="preserve">Report on other legal and regulatory requirements - Conclusion on </w:t>
      </w:r>
      <w:r w:rsidRPr="004C4B3E">
        <w:rPr>
          <w:rFonts w:eastAsia="Arial"/>
          <w:b/>
          <w:bCs/>
          <w:sz w:val="20"/>
          <w:szCs w:val="20"/>
          <w:lang w:eastAsia="en-US"/>
        </w:rPr>
        <w:t>the Authority’s arrangements for securing economy, efficiency and effectiveness in its use of resources</w:t>
      </w:r>
    </w:p>
    <w:p w:rsidR="004C4B3E" w:rsidRPr="004C4B3E" w:rsidRDefault="004C4B3E" w:rsidP="004C4B3E">
      <w:pPr>
        <w:pStyle w:val="inlinenormal"/>
        <w:spacing w:before="0" w:after="0" w:line="240" w:lineRule="auto"/>
        <w:rPr>
          <w:rFonts w:eastAsia="Arial"/>
          <w:b/>
          <w:bCs/>
          <w:sz w:val="20"/>
          <w:szCs w:val="20"/>
          <w:lang w:eastAsia="en-US"/>
        </w:rPr>
      </w:pPr>
    </w:p>
    <w:p w:rsidR="004C4B3E" w:rsidRDefault="004C4B3E" w:rsidP="004C4B3E">
      <w:pPr>
        <w:pStyle w:val="inlinenormal"/>
        <w:spacing w:before="0" w:after="0" w:line="240" w:lineRule="auto"/>
        <w:rPr>
          <w:rFonts w:eastAsia="Arial"/>
          <w:b/>
          <w:bCs/>
          <w:sz w:val="20"/>
          <w:szCs w:val="20"/>
          <w:lang w:eastAsia="en-US"/>
        </w:rPr>
      </w:pPr>
      <w:r w:rsidRPr="004C4B3E">
        <w:rPr>
          <w:rFonts w:eastAsia="Arial"/>
          <w:b/>
          <w:bCs/>
          <w:sz w:val="20"/>
          <w:szCs w:val="20"/>
          <w:lang w:eastAsia="en-US"/>
        </w:rPr>
        <w:t xml:space="preserve">Qualified conclusion </w:t>
      </w:r>
    </w:p>
    <w:p w:rsidR="004C4B3E" w:rsidRPr="004C4B3E" w:rsidRDefault="004C4B3E" w:rsidP="004C4B3E">
      <w:pPr>
        <w:pStyle w:val="inlinenormal"/>
        <w:spacing w:before="0" w:after="0" w:line="240" w:lineRule="auto"/>
        <w:rPr>
          <w:rFonts w:eastAsia="Arial"/>
          <w:b/>
          <w:bCs/>
          <w:sz w:val="20"/>
          <w:szCs w:val="20"/>
          <w:lang w:eastAsia="en-US"/>
        </w:rPr>
      </w:pPr>
    </w:p>
    <w:p w:rsidR="004C4B3E" w:rsidRPr="004C4B3E" w:rsidRDefault="004C4B3E" w:rsidP="004C4B3E">
      <w:pPr>
        <w:pStyle w:val="inlinenormal"/>
        <w:spacing w:before="0" w:after="0" w:line="240" w:lineRule="auto"/>
        <w:rPr>
          <w:rFonts w:eastAsia="Arial"/>
          <w:iCs/>
          <w:sz w:val="20"/>
          <w:szCs w:val="20"/>
          <w:lang w:eastAsia="en-US"/>
        </w:rPr>
      </w:pPr>
      <w:r w:rsidRPr="004C4B3E">
        <w:rPr>
          <w:rFonts w:eastAsia="Arial" w:cs="Times New Roman"/>
          <w:sz w:val="20"/>
          <w:szCs w:val="20"/>
          <w:lang w:eastAsia="en-US"/>
        </w:rPr>
        <w:t>On the basis of our work, having regard to the guidance on the specified criterion issued by the Comptroller and Auditor General in November 2017, except for the effects of the matter described in the basis for qualified conclusion section of our report we are satisfied that, in all significant respects, the Authority put in place proper arrangements for securing economy, efficiency and effectiveness in its use of resources for the year ended 31 March 2018.</w:t>
      </w:r>
    </w:p>
    <w:p w:rsidR="004C4B3E" w:rsidRPr="004C4B3E" w:rsidRDefault="004C4B3E" w:rsidP="004C4B3E">
      <w:pPr>
        <w:pStyle w:val="inlinenormal"/>
        <w:spacing w:before="0" w:after="0" w:line="240" w:lineRule="auto"/>
        <w:rPr>
          <w:rFonts w:eastAsia="Arial"/>
          <w:iCs/>
          <w:sz w:val="20"/>
          <w:szCs w:val="20"/>
          <w:lang w:eastAsia="en-US"/>
        </w:rPr>
      </w:pPr>
    </w:p>
    <w:p w:rsidR="004C4B3E" w:rsidRPr="004C4B3E" w:rsidRDefault="004C4B3E" w:rsidP="004C4B3E">
      <w:pPr>
        <w:autoSpaceDE w:val="0"/>
        <w:autoSpaceDN w:val="0"/>
        <w:adjustRightInd w:val="0"/>
        <w:rPr>
          <w:b/>
          <w:color w:val="auto"/>
          <w:sz w:val="20"/>
          <w:szCs w:val="20"/>
        </w:rPr>
      </w:pPr>
      <w:r w:rsidRPr="004C4B3E">
        <w:rPr>
          <w:b/>
          <w:color w:val="auto"/>
          <w:sz w:val="20"/>
          <w:szCs w:val="20"/>
        </w:rPr>
        <w:t>Basis for qualified conclusion</w:t>
      </w:r>
    </w:p>
    <w:p w:rsidR="004C4B3E" w:rsidRPr="004C4B3E" w:rsidRDefault="004C4B3E" w:rsidP="004C4B3E">
      <w:pPr>
        <w:autoSpaceDE w:val="0"/>
        <w:autoSpaceDN w:val="0"/>
        <w:adjustRightInd w:val="0"/>
        <w:spacing w:after="284"/>
        <w:rPr>
          <w:color w:val="auto"/>
          <w:sz w:val="20"/>
          <w:szCs w:val="20"/>
        </w:rPr>
      </w:pPr>
      <w:r w:rsidRPr="004C4B3E">
        <w:rPr>
          <w:color w:val="auto"/>
          <w:sz w:val="20"/>
          <w:szCs w:val="20"/>
        </w:rPr>
        <w:t>In considering the Authority's arrangements for securing efficiency, economy and effectiveness in its use of resources we identified the following matter:</w:t>
      </w:r>
    </w:p>
    <w:p w:rsidR="004C4B3E" w:rsidRPr="004C4B3E" w:rsidRDefault="004C4B3E" w:rsidP="004C4B3E">
      <w:pPr>
        <w:autoSpaceDE w:val="0"/>
        <w:autoSpaceDN w:val="0"/>
        <w:adjustRightInd w:val="0"/>
        <w:spacing w:after="284"/>
        <w:rPr>
          <w:color w:val="auto"/>
          <w:sz w:val="20"/>
          <w:szCs w:val="20"/>
        </w:rPr>
      </w:pPr>
      <w:r w:rsidRPr="004C4B3E">
        <w:rPr>
          <w:color w:val="auto"/>
          <w:sz w:val="20"/>
          <w:szCs w:val="20"/>
        </w:rPr>
        <w:t>In January 2016, Ofsted issued its report on the inspection of the Authority's services for children in need of help and protection, children looked after and care leavers. The overall judgement was that children's services were rated as inadequate.</w:t>
      </w:r>
    </w:p>
    <w:p w:rsidR="004C4B3E" w:rsidRPr="004C4B3E" w:rsidRDefault="004C4B3E" w:rsidP="004C4B3E">
      <w:pPr>
        <w:rPr>
          <w:color w:val="auto"/>
          <w:sz w:val="20"/>
          <w:szCs w:val="20"/>
        </w:rPr>
      </w:pPr>
      <w:r w:rsidRPr="004C4B3E">
        <w:rPr>
          <w:color w:val="auto"/>
          <w:sz w:val="20"/>
          <w:szCs w:val="20"/>
        </w:rPr>
        <w:br w:type="page"/>
      </w:r>
    </w:p>
    <w:p w:rsidR="004C4B3E" w:rsidRPr="004C4B3E" w:rsidRDefault="004C4B3E" w:rsidP="004C4B3E">
      <w:pPr>
        <w:autoSpaceDE w:val="0"/>
        <w:autoSpaceDN w:val="0"/>
        <w:adjustRightInd w:val="0"/>
        <w:rPr>
          <w:color w:val="auto"/>
          <w:sz w:val="20"/>
          <w:szCs w:val="20"/>
        </w:rPr>
      </w:pPr>
      <w:r w:rsidRPr="004C4B3E">
        <w:rPr>
          <w:color w:val="auto"/>
          <w:sz w:val="20"/>
          <w:szCs w:val="20"/>
        </w:rPr>
        <w:lastRenderedPageBreak/>
        <w:t>The report concluded that:</w:t>
      </w:r>
    </w:p>
    <w:p w:rsidR="004C4B3E" w:rsidRPr="004C4B3E" w:rsidRDefault="004C4B3E" w:rsidP="00C2205A">
      <w:pPr>
        <w:pStyle w:val="ListParagraph"/>
        <w:numPr>
          <w:ilvl w:val="0"/>
          <w:numId w:val="45"/>
        </w:numPr>
        <w:autoSpaceDE w:val="0"/>
        <w:autoSpaceDN w:val="0"/>
        <w:adjustRightInd w:val="0"/>
        <w:spacing w:after="284" w:line="240" w:lineRule="auto"/>
        <w:rPr>
          <w:color w:val="auto"/>
          <w:sz w:val="20"/>
          <w:szCs w:val="20"/>
        </w:rPr>
      </w:pPr>
      <w:r w:rsidRPr="004C4B3E">
        <w:rPr>
          <w:color w:val="auto"/>
          <w:sz w:val="20"/>
          <w:szCs w:val="20"/>
        </w:rPr>
        <w:t>turnover within the senior leadership had adversely affected the speed and effectiveness of improvement in response to previous inspection reports;</w:t>
      </w:r>
    </w:p>
    <w:p w:rsidR="004C4B3E" w:rsidRPr="004C4B3E" w:rsidRDefault="004C4B3E" w:rsidP="00C2205A">
      <w:pPr>
        <w:pStyle w:val="ListParagraph"/>
        <w:numPr>
          <w:ilvl w:val="0"/>
          <w:numId w:val="45"/>
        </w:numPr>
        <w:autoSpaceDE w:val="0"/>
        <w:autoSpaceDN w:val="0"/>
        <w:adjustRightInd w:val="0"/>
        <w:spacing w:after="284" w:line="240" w:lineRule="auto"/>
        <w:rPr>
          <w:color w:val="auto"/>
          <w:sz w:val="20"/>
          <w:szCs w:val="20"/>
        </w:rPr>
      </w:pPr>
      <w:r w:rsidRPr="004C4B3E">
        <w:rPr>
          <w:color w:val="auto"/>
          <w:sz w:val="20"/>
          <w:szCs w:val="20"/>
        </w:rPr>
        <w:t>performance information was not reliable and quality assurance processes were not embedded to identify improvements across the service; and</w:t>
      </w:r>
    </w:p>
    <w:p w:rsidR="004C4B3E" w:rsidRPr="004C4B3E" w:rsidRDefault="004C4B3E" w:rsidP="00C2205A">
      <w:pPr>
        <w:pStyle w:val="ListParagraph"/>
        <w:numPr>
          <w:ilvl w:val="0"/>
          <w:numId w:val="45"/>
        </w:numPr>
        <w:autoSpaceDE w:val="0"/>
        <w:autoSpaceDN w:val="0"/>
        <w:adjustRightInd w:val="0"/>
        <w:spacing w:after="284" w:line="240" w:lineRule="auto"/>
        <w:rPr>
          <w:color w:val="auto"/>
          <w:sz w:val="20"/>
          <w:szCs w:val="20"/>
        </w:rPr>
      </w:pPr>
      <w:proofErr w:type="gramStart"/>
      <w:r w:rsidRPr="004C4B3E">
        <w:rPr>
          <w:color w:val="auto"/>
          <w:sz w:val="20"/>
          <w:szCs w:val="20"/>
        </w:rPr>
        <w:t>there</w:t>
      </w:r>
      <w:proofErr w:type="gramEnd"/>
      <w:r w:rsidRPr="004C4B3E">
        <w:rPr>
          <w:color w:val="auto"/>
          <w:sz w:val="20"/>
          <w:szCs w:val="20"/>
        </w:rPr>
        <w:t xml:space="preserve"> were weaknesses and inconsistencies in social work practice across the service.</w:t>
      </w:r>
    </w:p>
    <w:p w:rsidR="004C4B3E" w:rsidRPr="004C4B3E" w:rsidRDefault="004C4B3E" w:rsidP="004C4B3E">
      <w:pPr>
        <w:autoSpaceDE w:val="0"/>
        <w:autoSpaceDN w:val="0"/>
        <w:adjustRightInd w:val="0"/>
        <w:spacing w:after="284"/>
        <w:rPr>
          <w:color w:val="auto"/>
          <w:sz w:val="20"/>
          <w:szCs w:val="20"/>
        </w:rPr>
      </w:pPr>
      <w:r w:rsidRPr="004C4B3E">
        <w:rPr>
          <w:color w:val="auto"/>
          <w:sz w:val="20"/>
          <w:szCs w:val="20"/>
        </w:rPr>
        <w:t>Since issuing its report, Ofsted has published the outcome of monitoring inspections carried out, with the most recent being in February 2018. This most recent inspection notes that the Council’s progress in improving services for its children and young people remains too slow and that the quality of service that some children looked after receive has declined since the Authority was inspected in October 2015.  Ofsted were carrying out a further inspection at the time of our audit in June 2018, but as at 31 March 2018, the overall inadequate rating remained in place.</w:t>
      </w:r>
    </w:p>
    <w:p w:rsidR="004C4B3E" w:rsidRPr="004C4B3E" w:rsidRDefault="004C4B3E" w:rsidP="004C4B3E">
      <w:pPr>
        <w:pStyle w:val="inlinenormal"/>
        <w:spacing w:before="0" w:after="0" w:line="240" w:lineRule="auto"/>
        <w:rPr>
          <w:rFonts w:eastAsia="Arial"/>
          <w:iCs/>
          <w:sz w:val="20"/>
          <w:szCs w:val="20"/>
          <w:lang w:eastAsia="en-US"/>
        </w:rPr>
      </w:pPr>
      <w:r w:rsidRPr="004C4B3E">
        <w:rPr>
          <w:rFonts w:eastAsia="Arial" w:cs="Times New Roman"/>
          <w:sz w:val="20"/>
          <w:szCs w:val="20"/>
          <w:lang w:eastAsia="en-US"/>
        </w:rPr>
        <w:t>This matter is evidence of weaknesses in proper arrangements for understanding and using appropriate and reliable financial and performance information to support informed decision making and performance management and for planning, organising and developing the workforce effectively to deliver strategic priorities.</w:t>
      </w:r>
    </w:p>
    <w:p w:rsidR="004C4B3E" w:rsidRPr="004C4B3E" w:rsidRDefault="004C4B3E" w:rsidP="004C4B3E">
      <w:pPr>
        <w:pStyle w:val="inlinenormal"/>
        <w:spacing w:before="0" w:after="0" w:line="240" w:lineRule="auto"/>
        <w:rPr>
          <w:rFonts w:eastAsia="Arial"/>
          <w:iCs/>
          <w:sz w:val="20"/>
          <w:szCs w:val="20"/>
          <w:lang w:eastAsia="en-US"/>
        </w:rPr>
      </w:pPr>
    </w:p>
    <w:p w:rsidR="004C4B3E" w:rsidRPr="004C4B3E" w:rsidRDefault="004C4B3E" w:rsidP="004C4B3E">
      <w:pPr>
        <w:rPr>
          <w:b/>
          <w:color w:val="auto"/>
          <w:sz w:val="20"/>
          <w:szCs w:val="20"/>
        </w:rPr>
      </w:pPr>
      <w:r w:rsidRPr="004C4B3E">
        <w:rPr>
          <w:b/>
          <w:color w:val="auto"/>
          <w:sz w:val="20"/>
          <w:szCs w:val="20"/>
        </w:rPr>
        <w:t xml:space="preserve">Responsibilities of the Authority </w:t>
      </w:r>
    </w:p>
    <w:p w:rsidR="004C4B3E" w:rsidRPr="004C4B3E" w:rsidRDefault="004C4B3E" w:rsidP="004C4B3E">
      <w:pPr>
        <w:pStyle w:val="inlinenormal"/>
        <w:spacing w:before="0" w:after="0" w:line="240" w:lineRule="auto"/>
        <w:rPr>
          <w:rFonts w:eastAsia="Arial" w:cs="Times New Roman"/>
          <w:sz w:val="20"/>
          <w:szCs w:val="20"/>
          <w:lang w:eastAsia="en-US"/>
        </w:rPr>
      </w:pPr>
      <w:r w:rsidRPr="004C4B3E">
        <w:rPr>
          <w:rFonts w:eastAsia="Arial" w:cs="Times New Roman"/>
          <w:sz w:val="20"/>
          <w:szCs w:val="20"/>
          <w:lang w:eastAsia="en-US"/>
        </w:rPr>
        <w:t>The Authority is responsible for putting in place proper arrangements for securing economy, efficiency and effectiveness in its use of resources, to ensure proper stewardship and governance, and to review regularly the adequacy and effectiveness of these arrangements.</w:t>
      </w:r>
    </w:p>
    <w:p w:rsidR="004C4B3E" w:rsidRPr="004C4B3E" w:rsidRDefault="004C4B3E" w:rsidP="004C4B3E">
      <w:pPr>
        <w:pStyle w:val="inlinenormal"/>
        <w:spacing w:before="0" w:after="0" w:line="240" w:lineRule="auto"/>
        <w:rPr>
          <w:rFonts w:eastAsia="Arial" w:cs="Times New Roman"/>
          <w:sz w:val="20"/>
          <w:szCs w:val="20"/>
          <w:lang w:eastAsia="en-US"/>
        </w:rPr>
      </w:pPr>
    </w:p>
    <w:p w:rsidR="004C4B3E" w:rsidRDefault="004C4B3E" w:rsidP="004C4B3E">
      <w:pPr>
        <w:pStyle w:val="inlinenormal"/>
        <w:spacing w:before="0" w:after="0" w:line="240" w:lineRule="auto"/>
        <w:rPr>
          <w:rFonts w:eastAsia="Arial" w:cs="Times New Roman"/>
          <w:b/>
          <w:sz w:val="20"/>
          <w:szCs w:val="20"/>
          <w:lang w:eastAsia="en-US"/>
        </w:rPr>
      </w:pPr>
      <w:r w:rsidRPr="004C4B3E">
        <w:rPr>
          <w:rFonts w:eastAsia="Arial" w:cs="Times New Roman"/>
          <w:b/>
          <w:sz w:val="20"/>
          <w:szCs w:val="20"/>
          <w:lang w:eastAsia="en-US"/>
        </w:rPr>
        <w:t>Auditor’s responsibilities for the review of the Authority’s arrangements for securing economy, efficiency and effectiveness in its use of resources</w:t>
      </w:r>
    </w:p>
    <w:p w:rsidR="004C4B3E" w:rsidRPr="004C4B3E" w:rsidRDefault="004C4B3E" w:rsidP="004C4B3E">
      <w:pPr>
        <w:pStyle w:val="inlinenormal"/>
        <w:spacing w:before="0" w:after="0" w:line="240" w:lineRule="auto"/>
        <w:rPr>
          <w:rFonts w:eastAsia="Arial" w:cs="Times New Roman"/>
          <w:b/>
          <w:sz w:val="20"/>
          <w:szCs w:val="20"/>
          <w:lang w:eastAsia="en-US"/>
        </w:rPr>
      </w:pPr>
    </w:p>
    <w:p w:rsidR="004C4B3E" w:rsidRPr="004C4B3E" w:rsidRDefault="004C4B3E" w:rsidP="004C4B3E">
      <w:pPr>
        <w:pStyle w:val="inlinenormal"/>
        <w:spacing w:before="0" w:after="0" w:line="240" w:lineRule="auto"/>
        <w:rPr>
          <w:rFonts w:eastAsia="Arial" w:cs="Times New Roman"/>
          <w:sz w:val="20"/>
          <w:szCs w:val="20"/>
          <w:lang w:eastAsia="en-US"/>
        </w:rPr>
      </w:pPr>
      <w:r w:rsidRPr="004C4B3E">
        <w:rPr>
          <w:rFonts w:eastAsia="Arial" w:cs="Times New Roman"/>
          <w:sz w:val="20"/>
          <w:szCs w:val="20"/>
          <w:lang w:eastAsia="en-US"/>
        </w:rPr>
        <w:t>We are required under Section 20(1</w:t>
      </w:r>
      <w:proofErr w:type="gramStart"/>
      <w:r w:rsidRPr="004C4B3E">
        <w:rPr>
          <w:rFonts w:eastAsia="Arial" w:cs="Times New Roman"/>
          <w:sz w:val="20"/>
          <w:szCs w:val="20"/>
          <w:lang w:eastAsia="en-US"/>
        </w:rPr>
        <w:t>)(</w:t>
      </w:r>
      <w:proofErr w:type="gramEnd"/>
      <w:r w:rsidRPr="004C4B3E">
        <w:rPr>
          <w:rFonts w:eastAsia="Arial" w:cs="Times New Roman"/>
          <w:sz w:val="20"/>
          <w:szCs w:val="20"/>
          <w:lang w:eastAsia="en-US"/>
        </w:rPr>
        <w:t>c) of the Local Audit and Accountability Act 2014 to be satisfied that the Authority has made proper arrangements for securing economy, efficiency and effectiveness in its use of resources. We are not required to consider, nor have we considered, whether all aspects of the Authority's arrangements for securing economy, efficiency and effectiveness in its use of resources are operating effectively.</w:t>
      </w:r>
    </w:p>
    <w:p w:rsidR="004C4B3E" w:rsidRPr="004C4B3E" w:rsidRDefault="004C4B3E" w:rsidP="004C4B3E">
      <w:pPr>
        <w:pStyle w:val="inlinenormal"/>
        <w:spacing w:before="0" w:after="0" w:line="240" w:lineRule="auto"/>
        <w:rPr>
          <w:rFonts w:eastAsia="Arial" w:cs="Times New Roman"/>
          <w:sz w:val="20"/>
          <w:szCs w:val="20"/>
          <w:lang w:eastAsia="en-US"/>
        </w:rPr>
      </w:pPr>
    </w:p>
    <w:p w:rsidR="004C4B3E" w:rsidRPr="004C4B3E" w:rsidRDefault="004C4B3E" w:rsidP="004C4B3E">
      <w:pPr>
        <w:autoSpaceDE w:val="0"/>
        <w:autoSpaceDN w:val="0"/>
        <w:adjustRightInd w:val="0"/>
        <w:rPr>
          <w:color w:val="auto"/>
          <w:sz w:val="20"/>
          <w:szCs w:val="20"/>
        </w:rPr>
      </w:pPr>
      <w:r w:rsidRPr="004C4B3E">
        <w:rPr>
          <w:color w:val="auto"/>
          <w:sz w:val="20"/>
          <w:szCs w:val="20"/>
        </w:rPr>
        <w:t>We have undertaken our review in accordance with the Code of Audit Practice, having regard to the guidance on the specified criterion issued by the Comptroller and Auditor General in November 2017, as to whether in all significant respects the Authority had proper arrangements to ensure it took properly informed decisions and deployed resources to achieve planned and sustainable outcomes for taxpayers and local people. The Comptroller and Auditor General</w:t>
      </w:r>
      <w:r w:rsidRPr="004C4B3E" w:rsidDel="00960B67">
        <w:rPr>
          <w:color w:val="auto"/>
          <w:sz w:val="20"/>
          <w:szCs w:val="20"/>
        </w:rPr>
        <w:t xml:space="preserve"> </w:t>
      </w:r>
      <w:r w:rsidRPr="004C4B3E">
        <w:rPr>
          <w:color w:val="auto"/>
          <w:sz w:val="20"/>
          <w:szCs w:val="20"/>
        </w:rPr>
        <w:t>determined this criterion as that necessary for us to consider under the Code of Audit Practice in satisfying ourselves whether the Authority put in place proper arrangements for securing economy, efficiency and effectiveness in its use of resources for the year ended 31 March 2018.</w:t>
      </w:r>
    </w:p>
    <w:p w:rsidR="004C4B3E" w:rsidRPr="004C4B3E" w:rsidRDefault="004C4B3E" w:rsidP="004C4B3E">
      <w:pPr>
        <w:autoSpaceDE w:val="0"/>
        <w:autoSpaceDN w:val="0"/>
        <w:adjustRightInd w:val="0"/>
        <w:rPr>
          <w:color w:val="auto"/>
          <w:sz w:val="20"/>
          <w:szCs w:val="20"/>
        </w:rPr>
      </w:pPr>
      <w:r w:rsidRPr="004C4B3E">
        <w:rPr>
          <w:color w:val="auto"/>
          <w:sz w:val="20"/>
          <w:szCs w:val="20"/>
        </w:rPr>
        <w:t>We planned our work in accordance with the Code of Audit Practice. Based on our risk assessment, we undertook such work as we considered necessary to be satisfied that the Authority has put in place proper arrangements for securing economy, efficiency and effectiveness in its use of resources.</w:t>
      </w:r>
    </w:p>
    <w:p w:rsidR="004C4B3E" w:rsidRPr="004C4B3E" w:rsidRDefault="004C4B3E" w:rsidP="004C4B3E">
      <w:pPr>
        <w:pStyle w:val="inlinenormal"/>
        <w:spacing w:before="0" w:after="0" w:line="240" w:lineRule="auto"/>
        <w:rPr>
          <w:rFonts w:eastAsia="Arial" w:cs="Times New Roman"/>
          <w:sz w:val="20"/>
          <w:szCs w:val="20"/>
          <w:lang w:eastAsia="en-US"/>
        </w:rPr>
      </w:pPr>
    </w:p>
    <w:p w:rsidR="004C4B3E" w:rsidRDefault="004C4B3E" w:rsidP="004C4B3E">
      <w:pPr>
        <w:rPr>
          <w:rFonts w:ascii="Arial Black" w:hAnsi="Arial Black" w:cs="Arial"/>
          <w:b/>
          <w:iCs/>
          <w:color w:val="7030A0"/>
        </w:rPr>
      </w:pPr>
      <w:r>
        <w:rPr>
          <w:rFonts w:ascii="Arial Black" w:hAnsi="Arial Black"/>
          <w:b/>
          <w:iCs/>
          <w:color w:val="7030A0"/>
        </w:rPr>
        <w:br w:type="page"/>
      </w:r>
    </w:p>
    <w:p w:rsidR="004C4B3E" w:rsidRPr="00C2205A" w:rsidRDefault="004C4B3E" w:rsidP="00C2205A">
      <w:pPr>
        <w:rPr>
          <w:iCs/>
          <w:color w:val="auto"/>
          <w:sz w:val="20"/>
          <w:szCs w:val="20"/>
        </w:rPr>
      </w:pPr>
      <w:r w:rsidRPr="00C2205A">
        <w:rPr>
          <w:b/>
          <w:color w:val="auto"/>
          <w:sz w:val="20"/>
          <w:szCs w:val="20"/>
        </w:rPr>
        <w:lastRenderedPageBreak/>
        <w:t xml:space="preserve">Report on other legal and regulatory requirements - </w:t>
      </w:r>
      <w:r w:rsidRPr="00C2205A">
        <w:rPr>
          <w:i/>
          <w:iCs/>
          <w:color w:val="auto"/>
          <w:sz w:val="20"/>
          <w:szCs w:val="20"/>
        </w:rPr>
        <w:t>Delay in certification of completion of the audit</w:t>
      </w:r>
    </w:p>
    <w:p w:rsidR="004C4B3E" w:rsidRPr="00C2205A" w:rsidRDefault="004C4B3E" w:rsidP="00C2205A">
      <w:pPr>
        <w:autoSpaceDE w:val="0"/>
        <w:autoSpaceDN w:val="0"/>
        <w:adjustRightInd w:val="0"/>
        <w:rPr>
          <w:color w:val="auto"/>
          <w:sz w:val="20"/>
          <w:szCs w:val="20"/>
        </w:rPr>
      </w:pPr>
      <w:r w:rsidRPr="00C2205A">
        <w:rPr>
          <w:color w:val="auto"/>
          <w:sz w:val="20"/>
          <w:szCs w:val="20"/>
        </w:rPr>
        <w:t>We cannot formally conclude the audit and issue an audit certificate for the Authority for the year ended 31 March 2018 in accordance with the requirements of the Local Audit and Accountability Act 2014 and the Code of Audit Practice until we have completed our consideration of an objection brought to our attention by a local authority elector under Section 27 of the Local Audit and Accountability Act 2014. We are satisfied that this matter does not have a material effect on the financial statements or on our conclusion on the Authority's arrangements for securing economy, efficiency and effectiveness in its use of resources for the year ended 31 March 2018.</w:t>
      </w:r>
    </w:p>
    <w:p w:rsidR="004C4B3E" w:rsidRPr="00C2205A" w:rsidRDefault="004C4B3E" w:rsidP="00C2205A">
      <w:pPr>
        <w:pStyle w:val="BodyText2"/>
        <w:rPr>
          <w:color w:val="auto"/>
          <w:sz w:val="20"/>
          <w:szCs w:val="20"/>
        </w:rPr>
      </w:pPr>
      <w:r w:rsidRPr="00C2205A">
        <w:rPr>
          <w:color w:val="auto"/>
          <w:sz w:val="20"/>
          <w:szCs w:val="20"/>
        </w:rPr>
        <w:t xml:space="preserve">Alex Walling </w:t>
      </w:r>
      <w:r w:rsidRPr="00C2205A">
        <w:rPr>
          <w:color w:val="auto"/>
          <w:sz w:val="20"/>
          <w:szCs w:val="20"/>
        </w:rPr>
        <w:br/>
        <w:t>for and on behalf of Grant Thornton UK LLP, Appointed Auditor</w:t>
      </w:r>
    </w:p>
    <w:p w:rsidR="004C4B3E" w:rsidRPr="00C2205A" w:rsidRDefault="004C4B3E" w:rsidP="004C4B3E">
      <w:pPr>
        <w:rPr>
          <w:color w:val="auto"/>
          <w:sz w:val="20"/>
          <w:szCs w:val="20"/>
        </w:rPr>
      </w:pPr>
      <w:r w:rsidRPr="00C2205A">
        <w:rPr>
          <w:color w:val="auto"/>
          <w:sz w:val="20"/>
          <w:szCs w:val="20"/>
        </w:rPr>
        <w:t>2 Glass Wharf</w:t>
      </w:r>
      <w:r w:rsidRPr="00C2205A">
        <w:rPr>
          <w:color w:val="auto"/>
          <w:sz w:val="20"/>
          <w:szCs w:val="20"/>
        </w:rPr>
        <w:br/>
        <w:t>Bristol</w:t>
      </w:r>
      <w:r w:rsidRPr="00C2205A">
        <w:rPr>
          <w:color w:val="auto"/>
          <w:sz w:val="20"/>
          <w:szCs w:val="20"/>
        </w:rPr>
        <w:br/>
        <w:t>BS2 0EL</w:t>
      </w:r>
    </w:p>
    <w:p w:rsidR="004C4B3E" w:rsidRPr="00C2205A" w:rsidRDefault="004C4B3E" w:rsidP="004C4B3E">
      <w:pPr>
        <w:pStyle w:val="BodyText2"/>
        <w:keepNext/>
        <w:rPr>
          <w:color w:val="auto"/>
          <w:sz w:val="20"/>
          <w:szCs w:val="20"/>
        </w:rPr>
      </w:pPr>
      <w:r w:rsidRPr="00C2205A">
        <w:rPr>
          <w:color w:val="auto"/>
          <w:sz w:val="20"/>
          <w:szCs w:val="20"/>
        </w:rPr>
        <w:t>26 July 2018</w:t>
      </w:r>
    </w:p>
    <w:p w:rsidR="0098229B" w:rsidRDefault="0098229B" w:rsidP="00F113A6">
      <w:pPr>
        <w:spacing w:after="0" w:line="240" w:lineRule="auto"/>
        <w:rPr>
          <w:rFonts w:cs="Arial"/>
          <w:color w:val="548DD4" w:themeColor="text2" w:themeTint="99"/>
          <w:sz w:val="22"/>
          <w:szCs w:val="22"/>
        </w:rPr>
      </w:pPr>
    </w:p>
    <w:p w:rsidR="0098229B" w:rsidRDefault="0098229B" w:rsidP="00F113A6">
      <w:pPr>
        <w:spacing w:after="0" w:line="240" w:lineRule="auto"/>
        <w:rPr>
          <w:rFonts w:cs="Arial"/>
          <w:color w:val="548DD4" w:themeColor="text2" w:themeTint="99"/>
          <w:sz w:val="22"/>
          <w:szCs w:val="22"/>
        </w:rPr>
      </w:pPr>
    </w:p>
    <w:p w:rsidR="0098229B" w:rsidRDefault="0098229B" w:rsidP="00F113A6">
      <w:pPr>
        <w:spacing w:after="0" w:line="240" w:lineRule="auto"/>
        <w:rPr>
          <w:rFonts w:cs="Arial"/>
          <w:color w:val="548DD4" w:themeColor="text2" w:themeTint="99"/>
          <w:sz w:val="22"/>
          <w:szCs w:val="22"/>
        </w:rPr>
      </w:pPr>
    </w:p>
    <w:p w:rsidR="0098229B" w:rsidRDefault="0098229B" w:rsidP="00F113A6">
      <w:pPr>
        <w:spacing w:after="0" w:line="240" w:lineRule="auto"/>
        <w:rPr>
          <w:rFonts w:cs="Arial"/>
          <w:color w:val="548DD4" w:themeColor="text2" w:themeTint="99"/>
          <w:sz w:val="22"/>
          <w:szCs w:val="22"/>
        </w:rPr>
      </w:pPr>
    </w:p>
    <w:p w:rsidR="0098229B" w:rsidRDefault="0098229B" w:rsidP="00F113A6">
      <w:pPr>
        <w:spacing w:after="0" w:line="240" w:lineRule="auto"/>
        <w:rPr>
          <w:rFonts w:cs="Arial"/>
          <w:color w:val="548DD4" w:themeColor="text2" w:themeTint="99"/>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Default="00CA5102" w:rsidP="0098229B">
      <w:pPr>
        <w:spacing w:after="0" w:line="240" w:lineRule="auto"/>
        <w:jc w:val="center"/>
        <w:rPr>
          <w:rFonts w:cs="Arial"/>
          <w:color w:val="auto"/>
          <w:sz w:val="22"/>
          <w:szCs w:val="22"/>
        </w:rPr>
      </w:pPr>
    </w:p>
    <w:p w:rsidR="00CA5102" w:rsidRPr="0098229B" w:rsidRDefault="00CA5102" w:rsidP="00C2205A">
      <w:pPr>
        <w:spacing w:after="0" w:line="240" w:lineRule="auto"/>
        <w:rPr>
          <w:rFonts w:cs="Arial"/>
          <w:color w:val="auto"/>
          <w:sz w:val="22"/>
          <w:szCs w:val="22"/>
        </w:rPr>
        <w:sectPr w:rsidR="00CA5102" w:rsidRPr="0098229B" w:rsidSect="00FE4082">
          <w:headerReference w:type="first" r:id="rId35"/>
          <w:pgSz w:w="11906" w:h="16838" w:code="9"/>
          <w:pgMar w:top="1440" w:right="1440" w:bottom="1440" w:left="1440" w:header="544" w:footer="544" w:gutter="0"/>
          <w:cols w:space="708"/>
          <w:titlePg/>
          <w:docGrid w:linePitch="360"/>
        </w:sectPr>
      </w:pPr>
    </w:p>
    <w:p w:rsidR="00FE4082" w:rsidRPr="00A856B3" w:rsidRDefault="00FE4082" w:rsidP="00FE4082">
      <w:pPr>
        <w:spacing w:after="0" w:line="240" w:lineRule="auto"/>
        <w:jc w:val="center"/>
        <w:outlineLvl w:val="0"/>
        <w:rPr>
          <w:b/>
          <w:color w:val="auto"/>
          <w:sz w:val="28"/>
          <w:szCs w:val="28"/>
        </w:rPr>
      </w:pPr>
      <w:r w:rsidRPr="00A856B3">
        <w:rPr>
          <w:b/>
          <w:color w:val="auto"/>
          <w:sz w:val="28"/>
          <w:szCs w:val="28"/>
        </w:rPr>
        <w:lastRenderedPageBreak/>
        <w:t>Core Financial Statements</w:t>
      </w:r>
    </w:p>
    <w:p w:rsidR="00FE4082" w:rsidRPr="00A856B3" w:rsidRDefault="00FE4082" w:rsidP="00FE4082">
      <w:pPr>
        <w:spacing w:after="0" w:line="240" w:lineRule="auto"/>
        <w:jc w:val="center"/>
        <w:outlineLvl w:val="0"/>
        <w:rPr>
          <w:b/>
          <w:color w:val="auto"/>
          <w:sz w:val="28"/>
          <w:szCs w:val="28"/>
        </w:rPr>
      </w:pPr>
    </w:p>
    <w:p w:rsidR="00F113A6" w:rsidRPr="00A856B3" w:rsidRDefault="00F113A6" w:rsidP="008D0906">
      <w:pPr>
        <w:spacing w:after="0" w:line="240" w:lineRule="auto"/>
        <w:outlineLvl w:val="0"/>
        <w:rPr>
          <w:rFonts w:cs="Arial"/>
          <w:strike/>
          <w:color w:val="auto"/>
          <w:sz w:val="22"/>
          <w:szCs w:val="22"/>
        </w:rPr>
      </w:pPr>
      <w:r w:rsidRPr="00A856B3">
        <w:rPr>
          <w:b/>
          <w:color w:val="auto"/>
        </w:rPr>
        <w:t>Comprehensive Income and Expenditure Statement</w:t>
      </w:r>
    </w:p>
    <w:p w:rsidR="00F113A6" w:rsidRPr="00A856B3" w:rsidRDefault="00F113A6" w:rsidP="00F113A6">
      <w:pPr>
        <w:pStyle w:val="BodyText"/>
        <w:widowControl w:val="0"/>
        <w:ind w:right="-105"/>
        <w:rPr>
          <w:rFonts w:cs="Arial"/>
          <w:color w:val="auto"/>
          <w:sz w:val="20"/>
          <w:szCs w:val="20"/>
        </w:rPr>
      </w:pPr>
      <w:r w:rsidRPr="00A856B3">
        <w:rPr>
          <w:rFonts w:cs="Arial"/>
          <w:color w:val="auto"/>
          <w:sz w:val="20"/>
          <w:szCs w:val="20"/>
        </w:rPr>
        <w:t xml:space="preserve">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 </w:t>
      </w:r>
    </w:p>
    <w:tbl>
      <w:tblPr>
        <w:tblStyle w:val="ListTable3-Accent51"/>
        <w:tblW w:w="10031" w:type="dxa"/>
        <w:tblLayout w:type="fixed"/>
        <w:tblLook w:val="00A0" w:firstRow="1" w:lastRow="0" w:firstColumn="1" w:lastColumn="0" w:noHBand="0" w:noVBand="0"/>
      </w:tblPr>
      <w:tblGrid>
        <w:gridCol w:w="817"/>
        <w:gridCol w:w="851"/>
        <w:gridCol w:w="850"/>
        <w:gridCol w:w="142"/>
        <w:gridCol w:w="3147"/>
        <w:gridCol w:w="680"/>
        <w:gridCol w:w="1134"/>
        <w:gridCol w:w="1276"/>
        <w:gridCol w:w="1134"/>
      </w:tblGrid>
      <w:tr w:rsidR="00F113A6" w:rsidRPr="0005794A" w:rsidTr="00B113D5">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2660" w:type="dxa"/>
            <w:gridSpan w:val="4"/>
          </w:tcPr>
          <w:p w:rsidR="00F113A6" w:rsidRPr="00A856B3" w:rsidRDefault="00A856B3" w:rsidP="00F113A6">
            <w:pPr>
              <w:rPr>
                <w:color w:val="auto"/>
                <w:lang w:eastAsia="en-GB"/>
              </w:rPr>
            </w:pPr>
            <w:r w:rsidRPr="00A856B3">
              <w:rPr>
                <w:color w:val="auto"/>
                <w:lang w:eastAsia="en-GB"/>
              </w:rPr>
              <w:t>2016/17</w:t>
            </w:r>
            <w:r w:rsidR="003D5A07" w:rsidRPr="00A856B3">
              <w:rPr>
                <w:color w:val="auto"/>
                <w:lang w:eastAsia="en-GB"/>
              </w:rPr>
              <w:t xml:space="preserve"> </w:t>
            </w:r>
            <w:r w:rsidR="00FC1EDD" w:rsidRPr="009B3396">
              <w:rPr>
                <w:color w:val="auto"/>
                <w:lang w:eastAsia="en-GB"/>
              </w:rPr>
              <w:t>***</w:t>
            </w:r>
            <w:r w:rsidR="003D5A07" w:rsidRPr="00A856B3">
              <w:rPr>
                <w:b w:val="0"/>
                <w:color w:val="auto"/>
                <w:lang w:eastAsia="en-GB"/>
              </w:rPr>
              <w:t>restated</w:t>
            </w:r>
          </w:p>
        </w:tc>
        <w:tc>
          <w:tcPr>
            <w:cnfStyle w:val="000010000000" w:firstRow="0" w:lastRow="0" w:firstColumn="0" w:lastColumn="0" w:oddVBand="1" w:evenVBand="0" w:oddHBand="0" w:evenHBand="0" w:firstRowFirstColumn="0" w:firstRowLastColumn="0" w:lastRowFirstColumn="0" w:lastRowLastColumn="0"/>
            <w:tcW w:w="3147" w:type="dxa"/>
          </w:tcPr>
          <w:p w:rsidR="00F113A6" w:rsidRPr="00A856B3" w:rsidRDefault="00F113A6" w:rsidP="00F113A6">
            <w:pPr>
              <w:rPr>
                <w:color w:val="auto"/>
                <w:lang w:eastAsia="en-GB"/>
              </w:rPr>
            </w:pPr>
          </w:p>
        </w:tc>
        <w:tc>
          <w:tcPr>
            <w:tcW w:w="680" w:type="dxa"/>
          </w:tcPr>
          <w:p w:rsidR="00F113A6" w:rsidRPr="00A856B3" w:rsidRDefault="00F113A6" w:rsidP="00F113A6">
            <w:pPr>
              <w:cnfStyle w:val="100000000000" w:firstRow="1" w:lastRow="0" w:firstColumn="0" w:lastColumn="0" w:oddVBand="0" w:evenVBand="0" w:oddHBand="0" w:evenHBand="0" w:firstRowFirstColumn="0" w:firstRowLastColumn="0" w:lastRowFirstColumn="0" w:lastRowLastColumn="0"/>
              <w:rPr>
                <w:color w:val="auto"/>
                <w:lang w:eastAsia="en-GB"/>
              </w:rPr>
            </w:pPr>
          </w:p>
        </w:tc>
        <w:tc>
          <w:tcPr>
            <w:cnfStyle w:val="000010000000" w:firstRow="0" w:lastRow="0" w:firstColumn="0" w:lastColumn="0" w:oddVBand="1" w:evenVBand="0" w:oddHBand="0" w:evenHBand="0" w:firstRowFirstColumn="0" w:firstRowLastColumn="0" w:lastRowFirstColumn="0" w:lastRowLastColumn="0"/>
            <w:tcW w:w="1134" w:type="dxa"/>
          </w:tcPr>
          <w:p w:rsidR="00F113A6" w:rsidRPr="00A856B3" w:rsidRDefault="00F113A6" w:rsidP="00F113A6">
            <w:pPr>
              <w:rPr>
                <w:color w:val="auto"/>
                <w:lang w:eastAsia="en-GB"/>
              </w:rPr>
            </w:pPr>
          </w:p>
        </w:tc>
        <w:tc>
          <w:tcPr>
            <w:tcW w:w="1276" w:type="dxa"/>
          </w:tcPr>
          <w:p w:rsidR="00F113A6" w:rsidRPr="00A856B3" w:rsidRDefault="00A856B3" w:rsidP="00F113A6">
            <w:pPr>
              <w:cnfStyle w:val="100000000000" w:firstRow="1" w:lastRow="0" w:firstColumn="0" w:lastColumn="0" w:oddVBand="0" w:evenVBand="0" w:oddHBand="0" w:evenHBand="0" w:firstRowFirstColumn="0" w:firstRowLastColumn="0" w:lastRowFirstColumn="0" w:lastRowLastColumn="0"/>
              <w:rPr>
                <w:color w:val="auto"/>
                <w:lang w:eastAsia="en-GB"/>
              </w:rPr>
            </w:pPr>
            <w:r w:rsidRPr="00A856B3">
              <w:rPr>
                <w:color w:val="auto"/>
                <w:lang w:eastAsia="en-GB"/>
              </w:rPr>
              <w:t>2017/18</w:t>
            </w:r>
          </w:p>
        </w:tc>
        <w:tc>
          <w:tcPr>
            <w:cnfStyle w:val="000010000000" w:firstRow="0" w:lastRow="0" w:firstColumn="0" w:lastColumn="0" w:oddVBand="1" w:evenVBand="0" w:oddHBand="0" w:evenHBand="0" w:firstRowFirstColumn="0" w:firstRowLastColumn="0" w:lastRowFirstColumn="0" w:lastRowLastColumn="0"/>
            <w:tcW w:w="1134" w:type="dxa"/>
            <w:noWrap/>
          </w:tcPr>
          <w:p w:rsidR="00F113A6" w:rsidRPr="00A856B3" w:rsidRDefault="00F113A6" w:rsidP="00F113A6">
            <w:pPr>
              <w:rPr>
                <w:color w:val="auto"/>
                <w:lang w:eastAsia="en-GB"/>
              </w:rPr>
            </w:pPr>
          </w:p>
        </w:tc>
      </w:tr>
      <w:tr w:rsidR="00F113A6" w:rsidRPr="0005794A" w:rsidTr="00B113D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17" w:type="dxa"/>
            <w:shd w:val="clear" w:color="auto" w:fill="4BACC6" w:themeFill="accent5"/>
          </w:tcPr>
          <w:p w:rsidR="00F113A6" w:rsidRPr="00A856B3" w:rsidRDefault="00F113A6" w:rsidP="00F113A6">
            <w:pPr>
              <w:pStyle w:val="NoSpacing"/>
              <w:jc w:val="center"/>
              <w:rPr>
                <w:rFonts w:ascii="Arial" w:hAnsi="Arial" w:cs="Arial"/>
                <w:b w:val="0"/>
                <w:sz w:val="18"/>
                <w:szCs w:val="18"/>
              </w:rPr>
            </w:pPr>
            <w:r w:rsidRPr="00A856B3">
              <w:rPr>
                <w:rFonts w:ascii="Arial" w:hAnsi="Arial" w:cs="Arial"/>
                <w:b w:val="0"/>
                <w:sz w:val="18"/>
                <w:szCs w:val="18"/>
              </w:rPr>
              <w:t>Gross</w:t>
            </w:r>
          </w:p>
          <w:p w:rsidR="00F113A6" w:rsidRPr="00A856B3" w:rsidRDefault="00F113A6" w:rsidP="00F113A6">
            <w:pPr>
              <w:pStyle w:val="NoSpacing"/>
              <w:jc w:val="center"/>
              <w:rPr>
                <w:rFonts w:ascii="Arial" w:hAnsi="Arial" w:cs="Arial"/>
                <w:b w:val="0"/>
                <w:sz w:val="18"/>
                <w:szCs w:val="18"/>
              </w:rPr>
            </w:pPr>
            <w:proofErr w:type="spellStart"/>
            <w:r w:rsidRPr="00A856B3">
              <w:rPr>
                <w:rFonts w:ascii="Arial" w:hAnsi="Arial" w:cs="Arial"/>
                <w:b w:val="0"/>
                <w:sz w:val="18"/>
                <w:szCs w:val="18"/>
              </w:rPr>
              <w:t>Exp</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hemeFill="accent5"/>
          </w:tcPr>
          <w:p w:rsidR="00F113A6" w:rsidRPr="00A856B3" w:rsidRDefault="00F113A6" w:rsidP="00F113A6">
            <w:pPr>
              <w:pStyle w:val="NoSpacing"/>
              <w:jc w:val="center"/>
              <w:rPr>
                <w:rFonts w:ascii="Arial" w:hAnsi="Arial" w:cs="Arial"/>
                <w:sz w:val="18"/>
                <w:szCs w:val="18"/>
              </w:rPr>
            </w:pPr>
            <w:r w:rsidRPr="00A856B3">
              <w:rPr>
                <w:rFonts w:ascii="Arial" w:hAnsi="Arial" w:cs="Arial"/>
                <w:sz w:val="18"/>
                <w:szCs w:val="18"/>
              </w:rPr>
              <w:t>Gross</w:t>
            </w:r>
          </w:p>
          <w:p w:rsidR="00F113A6" w:rsidRPr="00A856B3" w:rsidRDefault="00F113A6" w:rsidP="00F113A6">
            <w:pPr>
              <w:pStyle w:val="NoSpacing"/>
              <w:jc w:val="center"/>
              <w:rPr>
                <w:rFonts w:ascii="Arial" w:hAnsi="Arial" w:cs="Arial"/>
                <w:sz w:val="18"/>
                <w:szCs w:val="18"/>
              </w:rPr>
            </w:pPr>
            <w:r w:rsidRPr="00A856B3">
              <w:rPr>
                <w:rFonts w:ascii="Arial" w:hAnsi="Arial" w:cs="Arial"/>
                <w:sz w:val="18"/>
                <w:szCs w:val="18"/>
              </w:rPr>
              <w:t>Income</w:t>
            </w:r>
          </w:p>
        </w:tc>
        <w:tc>
          <w:tcPr>
            <w:tcW w:w="850" w:type="dxa"/>
            <w:shd w:val="clear" w:color="auto" w:fill="4BACC6" w:themeFill="accent5"/>
          </w:tcPr>
          <w:p w:rsidR="00F113A6" w:rsidRPr="00A856B3" w:rsidRDefault="00F113A6" w:rsidP="00F113A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856B3">
              <w:rPr>
                <w:rFonts w:ascii="Arial" w:hAnsi="Arial" w:cs="Arial"/>
                <w:sz w:val="18"/>
                <w:szCs w:val="18"/>
              </w:rPr>
              <w:t>Net</w:t>
            </w:r>
          </w:p>
          <w:p w:rsidR="00F113A6" w:rsidRPr="00A856B3" w:rsidRDefault="00F113A6" w:rsidP="00F113A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A856B3">
              <w:rPr>
                <w:rFonts w:ascii="Arial" w:hAnsi="Arial" w:cs="Arial"/>
                <w:sz w:val="18"/>
                <w:szCs w:val="18"/>
              </w:rPr>
              <w:t>Exp</w:t>
            </w:r>
            <w:proofErr w:type="spellEnd"/>
          </w:p>
        </w:tc>
        <w:tc>
          <w:tcPr>
            <w:cnfStyle w:val="000010000000" w:firstRow="0" w:lastRow="0" w:firstColumn="0" w:lastColumn="0" w:oddVBand="1" w:evenVBand="0" w:oddHBand="0" w:evenHBand="0" w:firstRowFirstColumn="0" w:firstRowLastColumn="0" w:lastRowFirstColumn="0" w:lastRowLastColumn="0"/>
            <w:tcW w:w="3289" w:type="dxa"/>
            <w:gridSpan w:val="2"/>
            <w:shd w:val="clear" w:color="auto" w:fill="4BACC6" w:themeFill="accent5"/>
          </w:tcPr>
          <w:p w:rsidR="00F113A6" w:rsidRPr="00A856B3" w:rsidRDefault="00F113A6" w:rsidP="00F113A6">
            <w:pPr>
              <w:pStyle w:val="NoSpacing"/>
              <w:rPr>
                <w:rFonts w:ascii="Arial" w:hAnsi="Arial" w:cs="Arial"/>
                <w:sz w:val="18"/>
                <w:szCs w:val="18"/>
              </w:rPr>
            </w:pPr>
            <w:r w:rsidRPr="00A856B3">
              <w:rPr>
                <w:rFonts w:ascii="Arial" w:hAnsi="Arial" w:cs="Arial"/>
                <w:sz w:val="18"/>
                <w:szCs w:val="18"/>
              </w:rPr>
              <w:t>Services</w:t>
            </w:r>
          </w:p>
        </w:tc>
        <w:tc>
          <w:tcPr>
            <w:tcW w:w="680" w:type="dxa"/>
            <w:shd w:val="clear" w:color="auto" w:fill="4BACC6" w:themeFill="accent5"/>
          </w:tcPr>
          <w:p w:rsidR="00F113A6" w:rsidRPr="00A856B3" w:rsidRDefault="00F113A6" w:rsidP="00F113A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856B3">
              <w:rPr>
                <w:rFonts w:ascii="Arial" w:hAnsi="Arial" w:cs="Arial"/>
                <w:sz w:val="18"/>
                <w:szCs w:val="18"/>
              </w:rPr>
              <w:t>Note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F113A6" w:rsidRPr="00A856B3" w:rsidRDefault="00F113A6" w:rsidP="00F113A6">
            <w:pPr>
              <w:pStyle w:val="NoSpacing"/>
              <w:jc w:val="center"/>
              <w:rPr>
                <w:rFonts w:ascii="Arial" w:hAnsi="Arial" w:cs="Arial"/>
                <w:sz w:val="18"/>
                <w:szCs w:val="18"/>
              </w:rPr>
            </w:pPr>
            <w:r w:rsidRPr="00A856B3">
              <w:rPr>
                <w:rFonts w:ascii="Arial" w:hAnsi="Arial" w:cs="Arial"/>
                <w:sz w:val="18"/>
                <w:szCs w:val="18"/>
              </w:rPr>
              <w:t>Gross</w:t>
            </w:r>
          </w:p>
          <w:p w:rsidR="00F113A6" w:rsidRPr="00A856B3" w:rsidRDefault="00F113A6" w:rsidP="00F113A6">
            <w:pPr>
              <w:pStyle w:val="NoSpacing"/>
              <w:jc w:val="center"/>
              <w:rPr>
                <w:rFonts w:ascii="Arial" w:hAnsi="Arial" w:cs="Arial"/>
                <w:sz w:val="18"/>
                <w:szCs w:val="18"/>
              </w:rPr>
            </w:pPr>
            <w:proofErr w:type="spellStart"/>
            <w:r w:rsidRPr="00A856B3">
              <w:rPr>
                <w:rFonts w:ascii="Arial" w:hAnsi="Arial" w:cs="Arial"/>
                <w:sz w:val="18"/>
                <w:szCs w:val="18"/>
              </w:rPr>
              <w:t>Exp</w:t>
            </w:r>
            <w:proofErr w:type="spellEnd"/>
          </w:p>
        </w:tc>
        <w:tc>
          <w:tcPr>
            <w:tcW w:w="1276" w:type="dxa"/>
            <w:shd w:val="clear" w:color="auto" w:fill="4BACC6" w:themeFill="accent5"/>
          </w:tcPr>
          <w:p w:rsidR="00F113A6" w:rsidRPr="00A856B3" w:rsidRDefault="00F113A6" w:rsidP="00F113A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856B3">
              <w:rPr>
                <w:rFonts w:ascii="Arial" w:hAnsi="Arial" w:cs="Arial"/>
                <w:sz w:val="18"/>
                <w:szCs w:val="18"/>
              </w:rPr>
              <w:t>Gross</w:t>
            </w:r>
          </w:p>
          <w:p w:rsidR="00F113A6" w:rsidRPr="00A856B3" w:rsidRDefault="00F113A6" w:rsidP="00F113A6">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856B3">
              <w:rPr>
                <w:rFonts w:ascii="Arial" w:hAnsi="Arial" w:cs="Arial"/>
                <w:sz w:val="18"/>
                <w:szCs w:val="18"/>
              </w:rPr>
              <w:t>Income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noWrap/>
          </w:tcPr>
          <w:p w:rsidR="00F113A6" w:rsidRPr="00A856B3" w:rsidRDefault="00F113A6" w:rsidP="00F113A6">
            <w:pPr>
              <w:pStyle w:val="NoSpacing"/>
              <w:jc w:val="center"/>
              <w:rPr>
                <w:rFonts w:ascii="Arial" w:hAnsi="Arial" w:cs="Arial"/>
                <w:sz w:val="18"/>
                <w:szCs w:val="18"/>
              </w:rPr>
            </w:pPr>
            <w:r w:rsidRPr="00A856B3">
              <w:rPr>
                <w:rFonts w:ascii="Arial" w:hAnsi="Arial" w:cs="Arial"/>
                <w:sz w:val="18"/>
                <w:szCs w:val="18"/>
              </w:rPr>
              <w:t>Net</w:t>
            </w:r>
          </w:p>
          <w:p w:rsidR="00F113A6" w:rsidRPr="00A856B3" w:rsidRDefault="00F113A6" w:rsidP="00F113A6">
            <w:pPr>
              <w:pStyle w:val="NoSpacing"/>
              <w:jc w:val="center"/>
              <w:rPr>
                <w:rFonts w:ascii="Arial" w:hAnsi="Arial" w:cs="Arial"/>
                <w:sz w:val="18"/>
                <w:szCs w:val="18"/>
              </w:rPr>
            </w:pPr>
            <w:proofErr w:type="spellStart"/>
            <w:r w:rsidRPr="00A856B3">
              <w:rPr>
                <w:rFonts w:ascii="Arial" w:hAnsi="Arial" w:cs="Arial"/>
                <w:sz w:val="18"/>
                <w:szCs w:val="18"/>
              </w:rPr>
              <w:t>Exp</w:t>
            </w:r>
            <w:proofErr w:type="spellEnd"/>
          </w:p>
        </w:tc>
      </w:tr>
      <w:tr w:rsidR="00F113A6" w:rsidRPr="0005794A" w:rsidTr="00B113D5">
        <w:trPr>
          <w:trHeight w:val="325"/>
        </w:trPr>
        <w:tc>
          <w:tcPr>
            <w:cnfStyle w:val="001000000000" w:firstRow="0" w:lastRow="0" w:firstColumn="1" w:lastColumn="0" w:oddVBand="0" w:evenVBand="0" w:oddHBand="0" w:evenHBand="0" w:firstRowFirstColumn="0" w:firstRowLastColumn="0" w:lastRowFirstColumn="0" w:lastRowLastColumn="0"/>
            <w:tcW w:w="817" w:type="dxa"/>
            <w:shd w:val="clear" w:color="auto" w:fill="4BACC6" w:themeFill="accent5"/>
          </w:tcPr>
          <w:p w:rsidR="00F113A6" w:rsidRPr="00A856B3" w:rsidRDefault="00F113A6" w:rsidP="00F113A6">
            <w:pPr>
              <w:jc w:val="center"/>
              <w:rPr>
                <w:rFonts w:cs="Arial"/>
                <w:b w:val="0"/>
                <w:bCs w:val="0"/>
                <w:color w:val="auto"/>
                <w:sz w:val="18"/>
                <w:szCs w:val="18"/>
                <w:lang w:eastAsia="en-GB"/>
              </w:rPr>
            </w:pPr>
            <w:r w:rsidRPr="00A856B3">
              <w:rPr>
                <w:rFonts w:cs="Arial"/>
                <w:b w:val="0"/>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hemeFill="accent5"/>
          </w:tcPr>
          <w:p w:rsidR="00F113A6" w:rsidRPr="00A856B3" w:rsidRDefault="00F113A6" w:rsidP="00F113A6">
            <w:pPr>
              <w:jc w:val="center"/>
              <w:rPr>
                <w:rFonts w:cs="Arial"/>
                <w:color w:val="auto"/>
                <w:sz w:val="18"/>
                <w:szCs w:val="18"/>
                <w:lang w:eastAsia="en-GB"/>
              </w:rPr>
            </w:pPr>
            <w:r w:rsidRPr="00A856B3">
              <w:rPr>
                <w:rFonts w:cs="Arial"/>
                <w:color w:val="auto"/>
                <w:sz w:val="18"/>
                <w:szCs w:val="18"/>
                <w:lang w:eastAsia="en-GB"/>
              </w:rPr>
              <w:t>£m</w:t>
            </w:r>
          </w:p>
        </w:tc>
        <w:tc>
          <w:tcPr>
            <w:tcW w:w="850" w:type="dxa"/>
            <w:shd w:val="clear" w:color="auto" w:fill="4BACC6" w:themeFill="accent5"/>
          </w:tcPr>
          <w:p w:rsidR="00F113A6" w:rsidRPr="00A856B3" w:rsidRDefault="00F113A6" w:rsidP="00F113A6">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A856B3">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3289" w:type="dxa"/>
            <w:gridSpan w:val="2"/>
            <w:shd w:val="clear" w:color="auto" w:fill="4BACC6" w:themeFill="accent5"/>
          </w:tcPr>
          <w:p w:rsidR="00F113A6" w:rsidRPr="00A856B3" w:rsidRDefault="00F113A6" w:rsidP="00F113A6">
            <w:pPr>
              <w:rPr>
                <w:rFonts w:cs="Arial"/>
                <w:color w:val="auto"/>
                <w:sz w:val="18"/>
                <w:szCs w:val="18"/>
                <w:lang w:eastAsia="en-GB"/>
              </w:rPr>
            </w:pPr>
          </w:p>
        </w:tc>
        <w:tc>
          <w:tcPr>
            <w:tcW w:w="680" w:type="dxa"/>
            <w:shd w:val="clear" w:color="auto" w:fill="4BACC6" w:themeFill="accent5"/>
          </w:tcPr>
          <w:p w:rsidR="00F113A6" w:rsidRPr="00A856B3" w:rsidRDefault="00F113A6" w:rsidP="00F113A6">
            <w:pP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noWrap/>
          </w:tcPr>
          <w:p w:rsidR="00F113A6" w:rsidRPr="00A856B3" w:rsidRDefault="00F113A6" w:rsidP="00F113A6">
            <w:pPr>
              <w:jc w:val="center"/>
              <w:rPr>
                <w:rFonts w:cs="Arial"/>
                <w:color w:val="auto"/>
                <w:sz w:val="18"/>
                <w:szCs w:val="18"/>
                <w:lang w:eastAsia="en-GB"/>
              </w:rPr>
            </w:pPr>
            <w:r w:rsidRPr="00A856B3">
              <w:rPr>
                <w:rFonts w:cs="Arial"/>
                <w:color w:val="auto"/>
                <w:sz w:val="18"/>
                <w:szCs w:val="18"/>
                <w:lang w:eastAsia="en-GB"/>
              </w:rPr>
              <w:t>£m</w:t>
            </w:r>
          </w:p>
        </w:tc>
        <w:tc>
          <w:tcPr>
            <w:tcW w:w="1276" w:type="dxa"/>
            <w:shd w:val="clear" w:color="auto" w:fill="4BACC6" w:themeFill="accent5"/>
            <w:noWrap/>
          </w:tcPr>
          <w:p w:rsidR="00F113A6" w:rsidRPr="00A856B3" w:rsidRDefault="00F113A6" w:rsidP="00F113A6">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A856B3">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noWrap/>
          </w:tcPr>
          <w:p w:rsidR="00F113A6" w:rsidRPr="00A856B3" w:rsidRDefault="00F113A6" w:rsidP="00F113A6">
            <w:pPr>
              <w:jc w:val="center"/>
              <w:rPr>
                <w:rFonts w:cs="Arial"/>
                <w:color w:val="auto"/>
                <w:sz w:val="18"/>
                <w:szCs w:val="18"/>
                <w:lang w:eastAsia="en-GB"/>
              </w:rPr>
            </w:pPr>
            <w:r w:rsidRPr="00A856B3">
              <w:rPr>
                <w:rFonts w:cs="Arial"/>
                <w:color w:val="auto"/>
                <w:sz w:val="18"/>
                <w:szCs w:val="18"/>
                <w:lang w:eastAsia="en-GB"/>
              </w:rPr>
              <w:t>£m</w:t>
            </w:r>
          </w:p>
        </w:tc>
      </w:tr>
      <w:tr w:rsidR="00A856B3" w:rsidRPr="0005794A" w:rsidTr="00B113D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tcPr>
          <w:p w:rsidR="00A856B3" w:rsidRPr="00A856B3" w:rsidRDefault="00A856B3" w:rsidP="00A856B3">
            <w:pPr>
              <w:widowControl w:val="0"/>
              <w:spacing w:after="0" w:line="240" w:lineRule="auto"/>
              <w:jc w:val="right"/>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851" w:type="dxa"/>
          </w:tcPr>
          <w:p w:rsidR="00A856B3" w:rsidRPr="00A856B3" w:rsidRDefault="00A856B3" w:rsidP="00A856B3">
            <w:pPr>
              <w:widowControl w:val="0"/>
              <w:spacing w:after="0" w:line="240" w:lineRule="auto"/>
              <w:jc w:val="right"/>
              <w:rPr>
                <w:rFonts w:cs="Arial"/>
                <w:color w:val="auto"/>
                <w:sz w:val="20"/>
                <w:szCs w:val="20"/>
                <w:lang w:eastAsia="en-GB"/>
              </w:rPr>
            </w:pPr>
          </w:p>
        </w:tc>
        <w:tc>
          <w:tcPr>
            <w:tcW w:w="850" w:type="dxa"/>
          </w:tcPr>
          <w:p w:rsidR="00A856B3" w:rsidRPr="00A856B3" w:rsidRDefault="00A856B3" w:rsidP="00A856B3">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A856B3" w:rsidRPr="00A856B3" w:rsidRDefault="00A856B3" w:rsidP="00184FBB">
            <w:pPr>
              <w:widowControl w:val="0"/>
              <w:spacing w:after="0" w:line="240" w:lineRule="auto"/>
              <w:rPr>
                <w:rFonts w:cs="Arial"/>
                <w:b/>
                <w:color w:val="auto"/>
                <w:sz w:val="20"/>
                <w:szCs w:val="20"/>
                <w:lang w:eastAsia="en-GB"/>
              </w:rPr>
            </w:pPr>
            <w:r w:rsidRPr="00A856B3">
              <w:rPr>
                <w:rFonts w:cs="Arial"/>
                <w:b/>
                <w:color w:val="auto"/>
                <w:sz w:val="20"/>
                <w:szCs w:val="20"/>
                <w:lang w:eastAsia="en-GB"/>
              </w:rPr>
              <w:t>Joint Commissioning:-</w:t>
            </w:r>
          </w:p>
        </w:tc>
        <w:tc>
          <w:tcPr>
            <w:tcW w:w="680" w:type="dxa"/>
          </w:tcPr>
          <w:p w:rsidR="00A856B3" w:rsidRPr="00A856B3" w:rsidRDefault="00A856B3" w:rsidP="00F113A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A856B3" w:rsidRPr="0005794A" w:rsidRDefault="00A856B3" w:rsidP="00F113A6">
            <w:pPr>
              <w:widowControl w:val="0"/>
              <w:spacing w:after="0" w:line="240" w:lineRule="auto"/>
              <w:jc w:val="right"/>
              <w:rPr>
                <w:rFonts w:cs="Arial"/>
                <w:color w:val="548DD4" w:themeColor="text2" w:themeTint="99"/>
                <w:sz w:val="20"/>
                <w:szCs w:val="20"/>
                <w:lang w:eastAsia="en-GB"/>
              </w:rPr>
            </w:pPr>
          </w:p>
        </w:tc>
        <w:tc>
          <w:tcPr>
            <w:tcW w:w="1276" w:type="dxa"/>
            <w:noWrap/>
          </w:tcPr>
          <w:p w:rsidR="00A856B3" w:rsidRPr="0005794A" w:rsidRDefault="00A856B3" w:rsidP="00F113A6">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A856B3" w:rsidRPr="0005794A" w:rsidRDefault="00A856B3" w:rsidP="00F113A6">
            <w:pPr>
              <w:widowControl w:val="0"/>
              <w:spacing w:after="0" w:line="240" w:lineRule="auto"/>
              <w:jc w:val="right"/>
              <w:rPr>
                <w:rFonts w:cs="Arial"/>
                <w:b/>
                <w:color w:val="548DD4" w:themeColor="text2" w:themeTint="99"/>
                <w:sz w:val="20"/>
                <w:szCs w:val="20"/>
                <w:lang w:eastAsia="en-GB"/>
              </w:rPr>
            </w:pPr>
          </w:p>
        </w:tc>
      </w:tr>
      <w:tr w:rsidR="001B439E" w:rsidRPr="0005794A" w:rsidTr="00B113D5">
        <w:trPr>
          <w:trHeight w:val="255"/>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r w:rsidRPr="00CD2AD2">
              <w:rPr>
                <w:rFonts w:cs="Arial"/>
                <w:b w:val="0"/>
                <w:color w:val="auto"/>
                <w:sz w:val="20"/>
                <w:szCs w:val="20"/>
                <w:lang w:eastAsia="en-GB"/>
              </w:rPr>
              <w:t>46.1</w:t>
            </w: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color w:val="auto"/>
                <w:sz w:val="20"/>
                <w:szCs w:val="20"/>
                <w:lang w:eastAsia="en-GB"/>
              </w:rPr>
            </w:pPr>
            <w:r w:rsidRPr="00CD2AD2">
              <w:rPr>
                <w:rFonts w:cs="Arial"/>
                <w:color w:val="auto"/>
                <w:sz w:val="20"/>
                <w:szCs w:val="20"/>
                <w:lang w:eastAsia="en-GB"/>
              </w:rPr>
              <w:t>(2.4)</w:t>
            </w:r>
          </w:p>
        </w:tc>
        <w:tc>
          <w:tcPr>
            <w:tcW w:w="850" w:type="dxa"/>
          </w:tcPr>
          <w:p w:rsidR="001B439E" w:rsidRPr="00CD2AD2"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43.7</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color w:val="auto"/>
                <w:sz w:val="20"/>
                <w:szCs w:val="20"/>
                <w:lang w:eastAsia="en-GB"/>
              </w:rPr>
            </w:pPr>
            <w:r w:rsidRPr="00A856B3">
              <w:rPr>
                <w:rFonts w:cs="Arial"/>
                <w:color w:val="auto"/>
                <w:sz w:val="20"/>
                <w:szCs w:val="20"/>
                <w:lang w:eastAsia="en-GB"/>
              </w:rPr>
              <w:t>Adult’s Services</w:t>
            </w:r>
          </w:p>
        </w:tc>
        <w:tc>
          <w:tcPr>
            <w:tcW w:w="680" w:type="dxa"/>
          </w:tcPr>
          <w:p w:rsidR="001B439E" w:rsidRPr="00A856B3" w:rsidRDefault="001B439E" w:rsidP="001B439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CC23B2" w:rsidP="001B439E">
            <w:pPr>
              <w:widowControl w:val="0"/>
              <w:spacing w:after="0" w:line="240" w:lineRule="auto"/>
              <w:jc w:val="right"/>
              <w:rPr>
                <w:rFonts w:cs="Arial"/>
                <w:color w:val="auto"/>
                <w:sz w:val="20"/>
                <w:szCs w:val="20"/>
                <w:lang w:eastAsia="en-GB"/>
              </w:rPr>
            </w:pPr>
            <w:r w:rsidRPr="0040734D">
              <w:rPr>
                <w:rFonts w:cs="Arial"/>
                <w:color w:val="auto"/>
                <w:sz w:val="20"/>
                <w:szCs w:val="20"/>
                <w:lang w:eastAsia="en-GB"/>
              </w:rPr>
              <w:t>48.4</w:t>
            </w:r>
          </w:p>
        </w:tc>
        <w:tc>
          <w:tcPr>
            <w:tcW w:w="1276" w:type="dxa"/>
            <w:noWrap/>
          </w:tcPr>
          <w:p w:rsidR="001B439E" w:rsidRPr="0040734D" w:rsidRDefault="00CC23B2"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40734D">
              <w:rPr>
                <w:rFonts w:cs="Arial"/>
                <w:color w:val="auto"/>
                <w:sz w:val="20"/>
                <w:szCs w:val="20"/>
                <w:lang w:eastAsia="en-GB"/>
              </w:rPr>
              <w:t>(10.5)</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1B439E">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37.9</w:t>
            </w:r>
          </w:p>
        </w:tc>
      </w:tr>
      <w:tr w:rsidR="001B439E" w:rsidRPr="0005794A" w:rsidTr="00B113D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r w:rsidRPr="00CD2AD2">
              <w:rPr>
                <w:rFonts w:cs="Arial"/>
                <w:b w:val="0"/>
                <w:color w:val="auto"/>
                <w:sz w:val="20"/>
                <w:szCs w:val="20"/>
                <w:lang w:eastAsia="en-GB"/>
              </w:rPr>
              <w:t>87.0</w:t>
            </w: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color w:val="auto"/>
                <w:sz w:val="20"/>
                <w:szCs w:val="20"/>
                <w:lang w:eastAsia="en-GB"/>
              </w:rPr>
            </w:pPr>
            <w:r w:rsidRPr="00CD2AD2">
              <w:rPr>
                <w:rFonts w:cs="Arial"/>
                <w:color w:val="auto"/>
                <w:sz w:val="20"/>
                <w:szCs w:val="20"/>
                <w:lang w:eastAsia="en-GB"/>
              </w:rPr>
              <w:t>(52.6)</w:t>
            </w:r>
          </w:p>
        </w:tc>
        <w:tc>
          <w:tcPr>
            <w:tcW w:w="850" w:type="dxa"/>
          </w:tcPr>
          <w:p w:rsidR="001B439E" w:rsidRPr="00CD2AD2" w:rsidRDefault="001B439E"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34.4</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autoSpaceDE w:val="0"/>
              <w:autoSpaceDN w:val="0"/>
              <w:adjustRightInd w:val="0"/>
              <w:spacing w:after="0" w:line="240" w:lineRule="auto"/>
              <w:ind w:right="-224"/>
              <w:rPr>
                <w:rFonts w:cs="Arial"/>
                <w:color w:val="auto"/>
                <w:sz w:val="20"/>
                <w:szCs w:val="20"/>
                <w:lang w:eastAsia="en-GB"/>
              </w:rPr>
            </w:pPr>
            <w:r w:rsidRPr="00A856B3">
              <w:rPr>
                <w:rFonts w:cs="Arial"/>
                <w:color w:val="auto"/>
                <w:sz w:val="20"/>
                <w:szCs w:val="20"/>
                <w:lang w:eastAsia="en-GB"/>
              </w:rPr>
              <w:t>Children’s Services</w:t>
            </w:r>
          </w:p>
        </w:tc>
        <w:tc>
          <w:tcPr>
            <w:tcW w:w="680" w:type="dxa"/>
          </w:tcPr>
          <w:p w:rsidR="001B439E" w:rsidRPr="00A856B3" w:rsidRDefault="001B439E" w:rsidP="001B439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473A5F" w:rsidP="00B113D5">
            <w:pPr>
              <w:widowControl w:val="0"/>
              <w:spacing w:after="0" w:line="240" w:lineRule="auto"/>
              <w:jc w:val="right"/>
              <w:rPr>
                <w:rFonts w:cs="Arial"/>
                <w:color w:val="auto"/>
                <w:sz w:val="20"/>
                <w:szCs w:val="20"/>
                <w:lang w:eastAsia="en-GB"/>
              </w:rPr>
            </w:pPr>
            <w:r>
              <w:rPr>
                <w:rFonts w:cs="Arial"/>
                <w:color w:val="auto"/>
                <w:sz w:val="20"/>
                <w:szCs w:val="20"/>
                <w:lang w:eastAsia="en-GB"/>
              </w:rPr>
              <w:t>92.</w:t>
            </w:r>
            <w:r w:rsidR="00B113D5">
              <w:rPr>
                <w:rFonts w:cs="Arial"/>
                <w:color w:val="auto"/>
                <w:sz w:val="20"/>
                <w:szCs w:val="20"/>
                <w:lang w:eastAsia="en-GB"/>
              </w:rPr>
              <w:t>0</w:t>
            </w:r>
          </w:p>
        </w:tc>
        <w:tc>
          <w:tcPr>
            <w:tcW w:w="1276" w:type="dxa"/>
            <w:noWrap/>
          </w:tcPr>
          <w:p w:rsidR="001B439E" w:rsidRPr="0040734D" w:rsidRDefault="00CC23B2" w:rsidP="00473A5F">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40734D">
              <w:rPr>
                <w:rFonts w:cs="Arial"/>
                <w:color w:val="auto"/>
                <w:sz w:val="20"/>
                <w:szCs w:val="20"/>
                <w:lang w:eastAsia="en-GB"/>
              </w:rPr>
              <w:t>(50.</w:t>
            </w:r>
            <w:r w:rsidR="00473A5F">
              <w:rPr>
                <w:rFonts w:cs="Arial"/>
                <w:color w:val="auto"/>
                <w:sz w:val="20"/>
                <w:szCs w:val="20"/>
                <w:lang w:eastAsia="en-GB"/>
              </w:rPr>
              <w:t>1</w:t>
            </w:r>
            <w:r w:rsidRPr="0040734D">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B113D5" w:rsidP="00473A5F">
            <w:pPr>
              <w:widowControl w:val="0"/>
              <w:spacing w:after="0" w:line="240" w:lineRule="auto"/>
              <w:jc w:val="right"/>
              <w:rPr>
                <w:rFonts w:cs="Arial"/>
                <w:b/>
                <w:color w:val="auto"/>
                <w:sz w:val="20"/>
                <w:szCs w:val="20"/>
                <w:lang w:eastAsia="en-GB"/>
              </w:rPr>
            </w:pPr>
            <w:r>
              <w:rPr>
                <w:rFonts w:cs="Arial"/>
                <w:b/>
                <w:color w:val="auto"/>
                <w:sz w:val="20"/>
                <w:szCs w:val="20"/>
                <w:lang w:eastAsia="en-GB"/>
              </w:rPr>
              <w:t>41.9</w:t>
            </w:r>
          </w:p>
        </w:tc>
      </w:tr>
      <w:tr w:rsidR="001B439E" w:rsidRPr="0005794A" w:rsidTr="00B113D5">
        <w:trPr>
          <w:trHeight w:val="255"/>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r w:rsidRPr="00CD2AD2">
              <w:rPr>
                <w:rFonts w:cs="Arial"/>
                <w:b w:val="0"/>
                <w:color w:val="auto"/>
                <w:sz w:val="20"/>
                <w:szCs w:val="20"/>
                <w:lang w:eastAsia="en-GB"/>
              </w:rPr>
              <w:t>10.6</w:t>
            </w: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color w:val="auto"/>
                <w:sz w:val="20"/>
                <w:szCs w:val="20"/>
                <w:lang w:eastAsia="en-GB"/>
              </w:rPr>
            </w:pPr>
            <w:r w:rsidRPr="00CD2AD2">
              <w:rPr>
                <w:rFonts w:cs="Arial"/>
                <w:color w:val="auto"/>
                <w:sz w:val="20"/>
                <w:szCs w:val="20"/>
                <w:lang w:eastAsia="en-GB"/>
              </w:rPr>
              <w:t>(0.6)</w:t>
            </w:r>
          </w:p>
        </w:tc>
        <w:tc>
          <w:tcPr>
            <w:tcW w:w="850" w:type="dxa"/>
          </w:tcPr>
          <w:p w:rsidR="001B439E" w:rsidRPr="00CD2AD2"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10.0</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color w:val="auto"/>
                <w:sz w:val="20"/>
                <w:szCs w:val="20"/>
                <w:lang w:eastAsia="en-GB"/>
              </w:rPr>
            </w:pPr>
            <w:r w:rsidRPr="00A856B3">
              <w:rPr>
                <w:rFonts w:cs="Arial"/>
                <w:color w:val="auto"/>
                <w:sz w:val="20"/>
                <w:szCs w:val="20"/>
                <w:lang w:eastAsia="en-GB"/>
              </w:rPr>
              <w:t>Public Health</w:t>
            </w:r>
          </w:p>
        </w:tc>
        <w:tc>
          <w:tcPr>
            <w:tcW w:w="680" w:type="dxa"/>
          </w:tcPr>
          <w:p w:rsidR="001B439E" w:rsidRPr="00A856B3" w:rsidRDefault="001B439E" w:rsidP="001B439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CC23B2" w:rsidP="00CC23B2">
            <w:pPr>
              <w:widowControl w:val="0"/>
              <w:spacing w:after="0" w:line="240" w:lineRule="auto"/>
              <w:jc w:val="right"/>
              <w:rPr>
                <w:rFonts w:cs="Arial"/>
                <w:color w:val="auto"/>
                <w:sz w:val="20"/>
                <w:szCs w:val="20"/>
                <w:lang w:eastAsia="en-GB"/>
              </w:rPr>
            </w:pPr>
            <w:r w:rsidRPr="0040734D">
              <w:rPr>
                <w:rFonts w:cs="Arial"/>
                <w:color w:val="auto"/>
                <w:sz w:val="20"/>
                <w:szCs w:val="20"/>
                <w:lang w:eastAsia="en-GB"/>
              </w:rPr>
              <w:t>9.9</w:t>
            </w:r>
          </w:p>
        </w:tc>
        <w:tc>
          <w:tcPr>
            <w:tcW w:w="1276" w:type="dxa"/>
            <w:noWrap/>
          </w:tcPr>
          <w:p w:rsidR="001B439E" w:rsidRPr="0040734D" w:rsidRDefault="00CC23B2"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40734D">
              <w:rPr>
                <w:rFonts w:cs="Arial"/>
                <w:color w:val="auto"/>
                <w:sz w:val="20"/>
                <w:szCs w:val="20"/>
                <w:lang w:eastAsia="en-GB"/>
              </w:rPr>
              <w:t>(0.5)</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1B439E">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9.4</w:t>
            </w:r>
          </w:p>
        </w:tc>
      </w:tr>
      <w:tr w:rsidR="001B439E" w:rsidRPr="0005794A" w:rsidTr="00B113D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DD20B0" w:rsidP="001B439E">
            <w:pPr>
              <w:widowControl w:val="0"/>
              <w:spacing w:after="0" w:line="240" w:lineRule="auto"/>
              <w:jc w:val="right"/>
              <w:rPr>
                <w:rFonts w:cs="Arial"/>
                <w:b w:val="0"/>
                <w:color w:val="auto"/>
                <w:sz w:val="20"/>
                <w:szCs w:val="20"/>
                <w:lang w:eastAsia="en-GB"/>
              </w:rPr>
            </w:pPr>
            <w:r w:rsidRPr="00CD2AD2">
              <w:rPr>
                <w:rFonts w:cs="Arial"/>
                <w:b w:val="0"/>
                <w:color w:val="auto"/>
                <w:sz w:val="20"/>
                <w:szCs w:val="20"/>
                <w:lang w:eastAsia="en-GB"/>
              </w:rPr>
              <w:t>137.2</w:t>
            </w: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DD20B0" w:rsidP="001B439E">
            <w:pPr>
              <w:widowControl w:val="0"/>
              <w:spacing w:after="0" w:line="240" w:lineRule="auto"/>
              <w:jc w:val="right"/>
              <w:rPr>
                <w:rFonts w:cs="Arial"/>
                <w:color w:val="auto"/>
                <w:sz w:val="20"/>
                <w:szCs w:val="20"/>
                <w:lang w:eastAsia="en-GB"/>
              </w:rPr>
            </w:pPr>
            <w:r w:rsidRPr="00CD2AD2">
              <w:rPr>
                <w:rFonts w:cs="Arial"/>
                <w:color w:val="auto"/>
                <w:sz w:val="20"/>
                <w:szCs w:val="20"/>
                <w:lang w:eastAsia="en-GB"/>
              </w:rPr>
              <w:t>(106.4)</w:t>
            </w:r>
          </w:p>
        </w:tc>
        <w:tc>
          <w:tcPr>
            <w:tcW w:w="850" w:type="dxa"/>
          </w:tcPr>
          <w:p w:rsidR="001B439E" w:rsidRPr="00CD2AD2" w:rsidRDefault="00DD20B0"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30.8</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DD20B0" w:rsidP="001B439E">
            <w:pPr>
              <w:widowControl w:val="0"/>
              <w:spacing w:after="0" w:line="240" w:lineRule="auto"/>
              <w:rPr>
                <w:rFonts w:cs="Arial"/>
                <w:b/>
                <w:color w:val="auto"/>
                <w:sz w:val="20"/>
                <w:szCs w:val="20"/>
                <w:lang w:eastAsia="en-GB"/>
              </w:rPr>
            </w:pPr>
            <w:r>
              <w:rPr>
                <w:rFonts w:cs="Arial"/>
                <w:b/>
                <w:color w:val="auto"/>
                <w:sz w:val="20"/>
                <w:szCs w:val="20"/>
                <w:lang w:eastAsia="en-GB"/>
              </w:rPr>
              <w:t>Joint Operations</w:t>
            </w:r>
          </w:p>
        </w:tc>
        <w:tc>
          <w:tcPr>
            <w:tcW w:w="680" w:type="dxa"/>
          </w:tcPr>
          <w:p w:rsidR="001B439E" w:rsidRPr="00A856B3" w:rsidRDefault="001B439E" w:rsidP="001B439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CC23B2" w:rsidP="00B113D5">
            <w:pPr>
              <w:widowControl w:val="0"/>
              <w:spacing w:after="0" w:line="240" w:lineRule="auto"/>
              <w:jc w:val="right"/>
              <w:rPr>
                <w:rFonts w:cs="Arial"/>
                <w:color w:val="auto"/>
                <w:sz w:val="20"/>
                <w:szCs w:val="20"/>
                <w:lang w:eastAsia="en-GB"/>
              </w:rPr>
            </w:pPr>
            <w:r w:rsidRPr="0040734D">
              <w:rPr>
                <w:rFonts w:cs="Arial"/>
                <w:color w:val="auto"/>
                <w:sz w:val="20"/>
                <w:szCs w:val="20"/>
                <w:lang w:eastAsia="en-GB"/>
              </w:rPr>
              <w:t>137.</w:t>
            </w:r>
            <w:r w:rsidR="00B113D5">
              <w:rPr>
                <w:rFonts w:cs="Arial"/>
                <w:color w:val="auto"/>
                <w:sz w:val="20"/>
                <w:szCs w:val="20"/>
                <w:lang w:eastAsia="en-GB"/>
              </w:rPr>
              <w:t>8</w:t>
            </w:r>
          </w:p>
        </w:tc>
        <w:tc>
          <w:tcPr>
            <w:tcW w:w="1276" w:type="dxa"/>
            <w:noWrap/>
          </w:tcPr>
          <w:p w:rsidR="001B439E" w:rsidRPr="0040734D" w:rsidRDefault="00CC23B2"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40734D">
              <w:rPr>
                <w:rFonts w:cs="Arial"/>
                <w:color w:val="auto"/>
                <w:sz w:val="20"/>
                <w:szCs w:val="20"/>
                <w:lang w:eastAsia="en-GB"/>
              </w:rPr>
              <w:t>(102.4)</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B113D5">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35.</w:t>
            </w:r>
            <w:r w:rsidR="00B113D5">
              <w:rPr>
                <w:rFonts w:cs="Arial"/>
                <w:b/>
                <w:color w:val="auto"/>
                <w:sz w:val="20"/>
                <w:szCs w:val="20"/>
                <w:lang w:eastAsia="en-GB"/>
              </w:rPr>
              <w:t>4</w:t>
            </w:r>
          </w:p>
        </w:tc>
      </w:tr>
      <w:tr w:rsidR="001B439E" w:rsidRPr="0005794A" w:rsidTr="00B113D5">
        <w:trPr>
          <w:trHeight w:val="255"/>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bCs w:val="0"/>
                <w:color w:val="auto"/>
                <w:sz w:val="20"/>
                <w:szCs w:val="20"/>
                <w:lang w:eastAsia="en-GB"/>
              </w:rPr>
            </w:pPr>
            <w:r w:rsidRPr="00CD2AD2">
              <w:rPr>
                <w:rFonts w:cs="Arial"/>
                <w:b w:val="0"/>
                <w:bCs w:val="0"/>
                <w:color w:val="auto"/>
                <w:sz w:val="20"/>
                <w:szCs w:val="20"/>
                <w:lang w:eastAsia="en-GB"/>
              </w:rPr>
              <w:t>280.9</w:t>
            </w: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bCs/>
                <w:color w:val="auto"/>
                <w:sz w:val="20"/>
                <w:szCs w:val="20"/>
                <w:lang w:eastAsia="en-GB"/>
              </w:rPr>
            </w:pPr>
            <w:r w:rsidRPr="00CD2AD2">
              <w:rPr>
                <w:rFonts w:cs="Arial"/>
                <w:bCs/>
                <w:color w:val="auto"/>
                <w:sz w:val="20"/>
                <w:szCs w:val="20"/>
                <w:lang w:eastAsia="en-GB"/>
              </w:rPr>
              <w:t>(162.0)</w:t>
            </w:r>
          </w:p>
        </w:tc>
        <w:tc>
          <w:tcPr>
            <w:tcW w:w="850" w:type="dxa"/>
          </w:tcPr>
          <w:p w:rsidR="001B439E" w:rsidRPr="00CD2AD2"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CD2AD2">
              <w:rPr>
                <w:rFonts w:cs="Arial"/>
                <w:bCs/>
                <w:color w:val="auto"/>
                <w:sz w:val="20"/>
                <w:szCs w:val="20"/>
                <w:lang w:eastAsia="en-GB"/>
              </w:rPr>
              <w:t>118.9</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b/>
                <w:bCs/>
                <w:color w:val="auto"/>
                <w:sz w:val="20"/>
                <w:szCs w:val="20"/>
                <w:lang w:eastAsia="en-GB"/>
              </w:rPr>
            </w:pPr>
            <w:r w:rsidRPr="00A856B3">
              <w:rPr>
                <w:rFonts w:cs="Arial"/>
                <w:b/>
                <w:bCs/>
                <w:color w:val="auto"/>
                <w:sz w:val="20"/>
                <w:szCs w:val="20"/>
                <w:lang w:eastAsia="en-GB"/>
              </w:rPr>
              <w:t>Cost Of Services</w:t>
            </w:r>
          </w:p>
        </w:tc>
        <w:tc>
          <w:tcPr>
            <w:tcW w:w="680" w:type="dxa"/>
          </w:tcPr>
          <w:p w:rsidR="001B439E" w:rsidRPr="00A856B3" w:rsidRDefault="001B439E" w:rsidP="001B439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473A5F" w:rsidP="00CC23B2">
            <w:pPr>
              <w:widowControl w:val="0"/>
              <w:spacing w:after="0" w:line="240" w:lineRule="auto"/>
              <w:jc w:val="right"/>
              <w:rPr>
                <w:rFonts w:cs="Arial"/>
                <w:b/>
                <w:bCs/>
                <w:color w:val="auto"/>
                <w:sz w:val="20"/>
                <w:szCs w:val="20"/>
                <w:lang w:eastAsia="en-GB"/>
              </w:rPr>
            </w:pPr>
            <w:r>
              <w:rPr>
                <w:rFonts w:cs="Arial"/>
                <w:b/>
                <w:bCs/>
                <w:color w:val="auto"/>
                <w:sz w:val="20"/>
                <w:szCs w:val="20"/>
                <w:lang w:eastAsia="en-GB"/>
              </w:rPr>
              <w:t>288.1</w:t>
            </w:r>
          </w:p>
        </w:tc>
        <w:tc>
          <w:tcPr>
            <w:tcW w:w="1276" w:type="dxa"/>
            <w:noWrap/>
          </w:tcPr>
          <w:p w:rsidR="001B439E" w:rsidRPr="0040734D" w:rsidRDefault="00CC23B2" w:rsidP="00473A5F">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40734D">
              <w:rPr>
                <w:rFonts w:cs="Arial"/>
                <w:b/>
                <w:bCs/>
                <w:color w:val="auto"/>
                <w:sz w:val="20"/>
                <w:szCs w:val="20"/>
                <w:lang w:eastAsia="en-GB"/>
              </w:rPr>
              <w:t>(163.</w:t>
            </w:r>
            <w:r w:rsidR="00473A5F">
              <w:rPr>
                <w:rFonts w:cs="Arial"/>
                <w:b/>
                <w:bCs/>
                <w:color w:val="auto"/>
                <w:sz w:val="20"/>
                <w:szCs w:val="20"/>
                <w:lang w:eastAsia="en-GB"/>
              </w:rPr>
              <w:t>5</w:t>
            </w:r>
            <w:r w:rsidRPr="0040734D">
              <w:rPr>
                <w:rFonts w:cs="Arial"/>
                <w:b/>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473A5F">
            <w:pPr>
              <w:widowControl w:val="0"/>
              <w:spacing w:after="0" w:line="240" w:lineRule="auto"/>
              <w:jc w:val="right"/>
              <w:rPr>
                <w:rFonts w:cs="Arial"/>
                <w:b/>
                <w:bCs/>
                <w:color w:val="auto"/>
                <w:sz w:val="20"/>
                <w:szCs w:val="20"/>
                <w:lang w:eastAsia="en-GB"/>
              </w:rPr>
            </w:pPr>
            <w:r w:rsidRPr="0040734D">
              <w:rPr>
                <w:rFonts w:cs="Arial"/>
                <w:b/>
                <w:bCs/>
                <w:color w:val="auto"/>
                <w:sz w:val="20"/>
                <w:szCs w:val="20"/>
                <w:lang w:eastAsia="en-GB"/>
              </w:rPr>
              <w:t>1</w:t>
            </w:r>
            <w:r w:rsidR="00473A5F">
              <w:rPr>
                <w:rFonts w:cs="Arial"/>
                <w:b/>
                <w:bCs/>
                <w:color w:val="auto"/>
                <w:sz w:val="20"/>
                <w:szCs w:val="20"/>
                <w:lang w:eastAsia="en-GB"/>
              </w:rPr>
              <w:t>24.6</w:t>
            </w:r>
          </w:p>
        </w:tc>
      </w:tr>
      <w:tr w:rsidR="001B439E" w:rsidRPr="0005794A" w:rsidTr="00B113D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r w:rsidRPr="00CD2AD2">
              <w:rPr>
                <w:rFonts w:cs="Arial"/>
                <w:b w:val="0"/>
                <w:color w:val="auto"/>
                <w:sz w:val="20"/>
                <w:szCs w:val="20"/>
                <w:lang w:eastAsia="en-GB"/>
              </w:rPr>
              <w:t>0.9</w:t>
            </w: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color w:val="auto"/>
                <w:sz w:val="20"/>
                <w:szCs w:val="20"/>
                <w:lang w:eastAsia="en-GB"/>
              </w:rPr>
            </w:pPr>
            <w:r w:rsidRPr="00CD2AD2">
              <w:rPr>
                <w:rFonts w:cs="Arial"/>
                <w:color w:val="auto"/>
                <w:sz w:val="20"/>
                <w:szCs w:val="20"/>
                <w:lang w:eastAsia="en-GB"/>
              </w:rPr>
              <w:t>(0.9)</w:t>
            </w:r>
          </w:p>
        </w:tc>
        <w:tc>
          <w:tcPr>
            <w:tcW w:w="850" w:type="dxa"/>
          </w:tcPr>
          <w:p w:rsidR="001B439E" w:rsidRPr="00CD2AD2" w:rsidRDefault="001B439E"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color w:val="auto"/>
                <w:sz w:val="20"/>
                <w:szCs w:val="20"/>
                <w:lang w:eastAsia="en-GB"/>
              </w:rPr>
            </w:pPr>
            <w:r w:rsidRPr="00A856B3">
              <w:rPr>
                <w:rFonts w:cs="Arial"/>
                <w:color w:val="auto"/>
                <w:sz w:val="20"/>
                <w:szCs w:val="20"/>
                <w:lang w:eastAsia="en-GB"/>
              </w:rPr>
              <w:t xml:space="preserve">Other Operating Income &amp; Expenditure </w:t>
            </w:r>
          </w:p>
        </w:tc>
        <w:tc>
          <w:tcPr>
            <w:tcW w:w="680" w:type="dxa"/>
          </w:tcPr>
          <w:p w:rsidR="001B439E" w:rsidRPr="00A856B3" w:rsidRDefault="001B439E" w:rsidP="001B439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6"/>
                <w:szCs w:val="16"/>
                <w:lang w:eastAsia="en-GB"/>
              </w:rPr>
            </w:pPr>
            <w:r w:rsidRPr="00A856B3">
              <w:rPr>
                <w:rFonts w:cs="Arial"/>
                <w:color w:val="auto"/>
                <w:sz w:val="16"/>
                <w:szCs w:val="16"/>
                <w:lang w:eastAsia="en-GB"/>
              </w:rPr>
              <w:t>See ** below</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7E466A" w:rsidP="007E466A">
            <w:pPr>
              <w:widowControl w:val="0"/>
              <w:spacing w:after="0" w:line="240" w:lineRule="auto"/>
              <w:jc w:val="right"/>
              <w:rPr>
                <w:rFonts w:cs="Arial"/>
                <w:color w:val="auto"/>
                <w:sz w:val="20"/>
                <w:szCs w:val="20"/>
                <w:lang w:eastAsia="en-GB"/>
              </w:rPr>
            </w:pPr>
            <w:r>
              <w:rPr>
                <w:rFonts w:cs="Arial"/>
                <w:color w:val="auto"/>
                <w:sz w:val="20"/>
                <w:szCs w:val="20"/>
                <w:lang w:eastAsia="en-GB"/>
              </w:rPr>
              <w:t>0.9</w:t>
            </w:r>
          </w:p>
        </w:tc>
        <w:tc>
          <w:tcPr>
            <w:tcW w:w="1276" w:type="dxa"/>
            <w:noWrap/>
          </w:tcPr>
          <w:p w:rsidR="001B439E" w:rsidRPr="0040734D" w:rsidRDefault="00CC23B2" w:rsidP="007E466A">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40734D">
              <w:rPr>
                <w:rFonts w:cs="Arial"/>
                <w:color w:val="auto"/>
                <w:sz w:val="20"/>
                <w:szCs w:val="20"/>
                <w:lang w:eastAsia="en-GB"/>
              </w:rPr>
              <w:t>(1.</w:t>
            </w:r>
            <w:r w:rsidR="007E466A">
              <w:rPr>
                <w:rFonts w:cs="Arial"/>
                <w:color w:val="auto"/>
                <w:sz w:val="20"/>
                <w:szCs w:val="20"/>
                <w:lang w:eastAsia="en-GB"/>
              </w:rPr>
              <w:t>1</w:t>
            </w:r>
            <w:r w:rsidRPr="0040734D">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F74C1C" w:rsidRPr="0040734D" w:rsidRDefault="00F74C1C" w:rsidP="001B439E">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(0.</w:t>
            </w:r>
            <w:r w:rsidR="007E466A">
              <w:rPr>
                <w:rFonts w:cs="Arial"/>
                <w:b/>
                <w:color w:val="auto"/>
                <w:sz w:val="20"/>
                <w:szCs w:val="20"/>
                <w:lang w:eastAsia="en-GB"/>
              </w:rPr>
              <w:t>2</w:t>
            </w:r>
            <w:r w:rsidRPr="0040734D">
              <w:rPr>
                <w:rFonts w:cs="Arial"/>
                <w:b/>
                <w:color w:val="auto"/>
                <w:sz w:val="20"/>
                <w:szCs w:val="20"/>
                <w:lang w:eastAsia="en-GB"/>
              </w:rPr>
              <w:t>)</w:t>
            </w:r>
          </w:p>
          <w:p w:rsidR="00F74C1C" w:rsidRPr="0040734D" w:rsidRDefault="00F74C1C" w:rsidP="001B439E">
            <w:pPr>
              <w:widowControl w:val="0"/>
              <w:spacing w:after="0" w:line="240" w:lineRule="auto"/>
              <w:jc w:val="right"/>
              <w:rPr>
                <w:rFonts w:cs="Arial"/>
                <w:b/>
                <w:color w:val="auto"/>
                <w:sz w:val="20"/>
                <w:szCs w:val="20"/>
                <w:lang w:eastAsia="en-GB"/>
              </w:rPr>
            </w:pPr>
          </w:p>
        </w:tc>
      </w:tr>
      <w:tr w:rsidR="001B439E" w:rsidRPr="0005794A" w:rsidTr="00B113D5">
        <w:trPr>
          <w:trHeight w:val="255"/>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r w:rsidRPr="00CD2AD2">
              <w:rPr>
                <w:rFonts w:cs="Arial"/>
                <w:b w:val="0"/>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color w:val="auto"/>
                <w:sz w:val="20"/>
                <w:szCs w:val="20"/>
                <w:lang w:eastAsia="en-GB"/>
              </w:rPr>
            </w:pPr>
            <w:r w:rsidRPr="00CD2AD2">
              <w:rPr>
                <w:rFonts w:cs="Arial"/>
                <w:color w:val="auto"/>
                <w:sz w:val="20"/>
                <w:szCs w:val="20"/>
                <w:lang w:eastAsia="en-GB"/>
              </w:rPr>
              <w:t>0</w:t>
            </w:r>
          </w:p>
        </w:tc>
        <w:tc>
          <w:tcPr>
            <w:tcW w:w="850" w:type="dxa"/>
          </w:tcPr>
          <w:p w:rsidR="001B439E" w:rsidRPr="00CD2AD2"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color w:val="auto"/>
                <w:sz w:val="20"/>
                <w:szCs w:val="20"/>
                <w:lang w:eastAsia="en-GB"/>
              </w:rPr>
            </w:pPr>
            <w:r w:rsidRPr="00A856B3">
              <w:rPr>
                <w:rFonts w:cs="Arial"/>
                <w:color w:val="auto"/>
                <w:sz w:val="20"/>
                <w:szCs w:val="20"/>
                <w:lang w:eastAsia="en-GB"/>
              </w:rPr>
              <w:t xml:space="preserve">Transfer of schools to academies </w:t>
            </w:r>
          </w:p>
        </w:tc>
        <w:tc>
          <w:tcPr>
            <w:tcW w:w="680" w:type="dxa"/>
          </w:tcPr>
          <w:p w:rsidR="001B439E" w:rsidRPr="00A856B3" w:rsidRDefault="001B439E" w:rsidP="001B439E">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F74C1C" w:rsidP="001B439E">
            <w:pPr>
              <w:widowControl w:val="0"/>
              <w:spacing w:after="0" w:line="240" w:lineRule="auto"/>
              <w:jc w:val="right"/>
              <w:rPr>
                <w:rFonts w:cs="Arial"/>
                <w:color w:val="auto"/>
                <w:sz w:val="20"/>
                <w:szCs w:val="20"/>
                <w:lang w:eastAsia="en-GB"/>
              </w:rPr>
            </w:pPr>
            <w:r w:rsidRPr="0040734D">
              <w:rPr>
                <w:rFonts w:cs="Arial"/>
                <w:color w:val="auto"/>
                <w:sz w:val="20"/>
                <w:szCs w:val="20"/>
                <w:lang w:eastAsia="en-GB"/>
              </w:rPr>
              <w:t>7.1</w:t>
            </w:r>
          </w:p>
        </w:tc>
        <w:tc>
          <w:tcPr>
            <w:tcW w:w="1276" w:type="dxa"/>
            <w:noWrap/>
          </w:tcPr>
          <w:p w:rsidR="001B439E" w:rsidRPr="0040734D" w:rsidRDefault="00F74C1C"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40734D">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F74C1C" w:rsidP="001B439E">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7.1</w:t>
            </w:r>
          </w:p>
        </w:tc>
      </w:tr>
      <w:tr w:rsidR="001B439E" w:rsidRPr="0005794A" w:rsidTr="00B113D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r w:rsidRPr="00CD2AD2">
              <w:rPr>
                <w:rFonts w:cs="Arial"/>
                <w:b w:val="0"/>
                <w:color w:val="auto"/>
                <w:sz w:val="20"/>
                <w:szCs w:val="20"/>
                <w:lang w:eastAsia="en-GB"/>
              </w:rPr>
              <w:t>14.2</w:t>
            </w: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color w:val="auto"/>
                <w:sz w:val="20"/>
                <w:szCs w:val="20"/>
                <w:lang w:eastAsia="en-GB"/>
              </w:rPr>
            </w:pPr>
            <w:r w:rsidRPr="00CD2AD2">
              <w:rPr>
                <w:rFonts w:cs="Arial"/>
                <w:color w:val="auto"/>
                <w:sz w:val="20"/>
                <w:szCs w:val="20"/>
                <w:lang w:eastAsia="en-GB"/>
              </w:rPr>
              <w:t>(2.6)</w:t>
            </w:r>
          </w:p>
        </w:tc>
        <w:tc>
          <w:tcPr>
            <w:tcW w:w="850" w:type="dxa"/>
          </w:tcPr>
          <w:p w:rsidR="001B439E" w:rsidRPr="00CD2AD2" w:rsidRDefault="001B439E"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11.6</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color w:val="auto"/>
                <w:sz w:val="20"/>
                <w:szCs w:val="20"/>
                <w:lang w:eastAsia="en-GB"/>
              </w:rPr>
            </w:pPr>
            <w:r w:rsidRPr="00A856B3">
              <w:rPr>
                <w:rFonts w:cs="Arial"/>
                <w:color w:val="auto"/>
                <w:sz w:val="20"/>
                <w:szCs w:val="20"/>
                <w:lang w:eastAsia="en-GB"/>
              </w:rPr>
              <w:t xml:space="preserve">Financing and Investment Income and Expenditure </w:t>
            </w:r>
          </w:p>
        </w:tc>
        <w:tc>
          <w:tcPr>
            <w:tcW w:w="680" w:type="dxa"/>
          </w:tcPr>
          <w:p w:rsidR="001B439E" w:rsidRPr="00A856B3" w:rsidRDefault="001B439E" w:rsidP="001B439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A856B3">
              <w:rPr>
                <w:rFonts w:cs="Arial"/>
                <w:color w:val="auto"/>
                <w:sz w:val="18"/>
                <w:szCs w:val="18"/>
                <w:lang w:eastAsia="en-GB"/>
              </w:rPr>
              <w:t>11</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CC23B2" w:rsidP="001B439E">
            <w:pPr>
              <w:widowControl w:val="0"/>
              <w:spacing w:after="0" w:line="240" w:lineRule="auto"/>
              <w:jc w:val="right"/>
              <w:rPr>
                <w:rFonts w:cs="Arial"/>
                <w:color w:val="auto"/>
                <w:sz w:val="20"/>
                <w:szCs w:val="20"/>
                <w:lang w:eastAsia="en-GB"/>
              </w:rPr>
            </w:pPr>
            <w:r w:rsidRPr="0040734D">
              <w:rPr>
                <w:rFonts w:cs="Arial"/>
                <w:color w:val="auto"/>
                <w:sz w:val="20"/>
                <w:szCs w:val="20"/>
                <w:lang w:eastAsia="en-GB"/>
              </w:rPr>
              <w:t>21.2</w:t>
            </w:r>
          </w:p>
        </w:tc>
        <w:tc>
          <w:tcPr>
            <w:tcW w:w="1276" w:type="dxa"/>
            <w:noWrap/>
          </w:tcPr>
          <w:p w:rsidR="001B439E" w:rsidRPr="0040734D" w:rsidRDefault="00CC23B2"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40734D">
              <w:rPr>
                <w:rFonts w:cs="Arial"/>
                <w:color w:val="auto"/>
                <w:sz w:val="20"/>
                <w:szCs w:val="20"/>
                <w:lang w:eastAsia="en-GB"/>
              </w:rPr>
              <w:t>(8.1)</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1B439E">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13.1</w:t>
            </w:r>
          </w:p>
        </w:tc>
      </w:tr>
      <w:tr w:rsidR="001B439E" w:rsidRPr="0005794A" w:rsidTr="00B113D5">
        <w:trPr>
          <w:trHeight w:val="516"/>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r w:rsidRPr="00CD2AD2">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color w:val="auto"/>
                <w:sz w:val="20"/>
                <w:szCs w:val="20"/>
                <w:lang w:eastAsia="en-GB"/>
              </w:rPr>
            </w:pPr>
            <w:r w:rsidRPr="00CD2AD2">
              <w:rPr>
                <w:rFonts w:cs="Arial"/>
                <w:color w:val="auto"/>
                <w:sz w:val="20"/>
                <w:szCs w:val="20"/>
                <w:lang w:eastAsia="en-GB"/>
              </w:rPr>
              <w:t>(120.2)</w:t>
            </w:r>
          </w:p>
        </w:tc>
        <w:tc>
          <w:tcPr>
            <w:tcW w:w="850" w:type="dxa"/>
          </w:tcPr>
          <w:p w:rsidR="001B439E" w:rsidRPr="00CD2AD2"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(120.2)</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color w:val="auto"/>
                <w:sz w:val="20"/>
                <w:szCs w:val="20"/>
                <w:lang w:eastAsia="en-GB"/>
              </w:rPr>
            </w:pPr>
            <w:r w:rsidRPr="00A856B3">
              <w:rPr>
                <w:rFonts w:cs="Arial"/>
                <w:color w:val="auto"/>
                <w:sz w:val="20"/>
                <w:szCs w:val="20"/>
                <w:lang w:eastAsia="en-GB"/>
              </w:rPr>
              <w:t>Taxation and Non-Specific Grant Income and expenditure</w:t>
            </w:r>
          </w:p>
        </w:tc>
        <w:tc>
          <w:tcPr>
            <w:tcW w:w="680" w:type="dxa"/>
          </w:tcPr>
          <w:p w:rsidR="001B439E" w:rsidRPr="00A856B3" w:rsidRDefault="001B439E" w:rsidP="001B439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A856B3">
              <w:rPr>
                <w:rFonts w:cs="Arial"/>
                <w:color w:val="auto"/>
                <w:sz w:val="18"/>
                <w:szCs w:val="18"/>
                <w:lang w:eastAsia="en-GB"/>
              </w:rPr>
              <w:t>12</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836474" w:rsidP="00836474">
            <w:pPr>
              <w:widowControl w:val="0"/>
              <w:spacing w:after="0" w:line="240" w:lineRule="auto"/>
              <w:jc w:val="right"/>
              <w:rPr>
                <w:rFonts w:cs="Arial"/>
                <w:color w:val="auto"/>
                <w:sz w:val="20"/>
                <w:szCs w:val="20"/>
                <w:lang w:eastAsia="en-GB"/>
              </w:rPr>
            </w:pPr>
            <w:r w:rsidRPr="0040734D">
              <w:rPr>
                <w:rFonts w:cs="Arial"/>
                <w:color w:val="auto"/>
                <w:sz w:val="20"/>
                <w:szCs w:val="20"/>
                <w:lang w:eastAsia="en-GB"/>
              </w:rPr>
              <w:t>3.9</w:t>
            </w:r>
          </w:p>
        </w:tc>
        <w:tc>
          <w:tcPr>
            <w:tcW w:w="1276" w:type="dxa"/>
            <w:noWrap/>
          </w:tcPr>
          <w:p w:rsidR="001B439E" w:rsidRPr="0040734D" w:rsidRDefault="00836474"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40734D">
              <w:rPr>
                <w:rFonts w:cs="Arial"/>
                <w:color w:val="auto"/>
                <w:sz w:val="20"/>
                <w:szCs w:val="20"/>
                <w:lang w:eastAsia="en-GB"/>
              </w:rPr>
              <w:t>(122.3)</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1B439E">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(118.4)</w:t>
            </w:r>
          </w:p>
        </w:tc>
      </w:tr>
      <w:tr w:rsidR="001B439E" w:rsidRPr="0005794A" w:rsidTr="00B113D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r w:rsidRPr="00CD2AD2">
              <w:rPr>
                <w:rFonts w:cs="Arial"/>
                <w:b w:val="0"/>
                <w:color w:val="auto"/>
                <w:sz w:val="20"/>
                <w:szCs w:val="20"/>
                <w:lang w:eastAsia="en-GB"/>
              </w:rPr>
              <w:t>296.7</w:t>
            </w: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bCs/>
                <w:color w:val="auto"/>
                <w:sz w:val="20"/>
                <w:szCs w:val="20"/>
                <w:lang w:eastAsia="en-GB"/>
              </w:rPr>
            </w:pPr>
            <w:r w:rsidRPr="00CD2AD2">
              <w:rPr>
                <w:rFonts w:cs="Arial"/>
                <w:bCs/>
                <w:color w:val="auto"/>
                <w:sz w:val="20"/>
                <w:szCs w:val="20"/>
                <w:lang w:eastAsia="en-GB"/>
              </w:rPr>
              <w:t>(285.7)</w:t>
            </w:r>
          </w:p>
        </w:tc>
        <w:tc>
          <w:tcPr>
            <w:tcW w:w="850" w:type="dxa"/>
          </w:tcPr>
          <w:p w:rsidR="001B439E" w:rsidRPr="00CD2AD2" w:rsidRDefault="001B439E"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CD2AD2">
              <w:rPr>
                <w:rFonts w:cs="Arial"/>
                <w:bCs/>
                <w:color w:val="auto"/>
                <w:sz w:val="20"/>
                <w:szCs w:val="20"/>
                <w:lang w:eastAsia="en-GB"/>
              </w:rPr>
              <w:t>11.0</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b/>
                <w:bCs/>
                <w:color w:val="auto"/>
                <w:sz w:val="20"/>
                <w:szCs w:val="20"/>
                <w:lang w:eastAsia="en-GB"/>
              </w:rPr>
            </w:pPr>
            <w:r w:rsidRPr="00A856B3">
              <w:rPr>
                <w:rFonts w:cs="Arial"/>
                <w:b/>
                <w:bCs/>
                <w:color w:val="auto"/>
                <w:sz w:val="20"/>
                <w:szCs w:val="20"/>
                <w:lang w:eastAsia="en-GB"/>
              </w:rPr>
              <w:t>(Surplus)/Deficit on Provision of Services</w:t>
            </w:r>
          </w:p>
        </w:tc>
        <w:tc>
          <w:tcPr>
            <w:tcW w:w="680" w:type="dxa"/>
          </w:tcPr>
          <w:p w:rsidR="001B439E" w:rsidRPr="00A856B3" w:rsidRDefault="001B439E" w:rsidP="001B439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473A5F" w:rsidP="00836474">
            <w:pPr>
              <w:widowControl w:val="0"/>
              <w:spacing w:after="0" w:line="240" w:lineRule="auto"/>
              <w:jc w:val="right"/>
              <w:rPr>
                <w:rFonts w:cs="Arial"/>
                <w:b/>
                <w:color w:val="auto"/>
                <w:sz w:val="20"/>
                <w:szCs w:val="20"/>
                <w:lang w:eastAsia="en-GB"/>
              </w:rPr>
            </w:pPr>
            <w:r>
              <w:rPr>
                <w:rFonts w:cs="Arial"/>
                <w:b/>
                <w:color w:val="auto"/>
                <w:sz w:val="20"/>
                <w:szCs w:val="20"/>
                <w:lang w:eastAsia="en-GB"/>
              </w:rPr>
              <w:t>321.2</w:t>
            </w:r>
          </w:p>
        </w:tc>
        <w:tc>
          <w:tcPr>
            <w:tcW w:w="1276" w:type="dxa"/>
            <w:noWrap/>
          </w:tcPr>
          <w:p w:rsidR="001B439E" w:rsidRPr="0040734D" w:rsidRDefault="00836474" w:rsidP="007E466A">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40734D">
              <w:rPr>
                <w:rFonts w:cs="Arial"/>
                <w:b/>
                <w:bCs/>
                <w:color w:val="auto"/>
                <w:sz w:val="20"/>
                <w:szCs w:val="20"/>
                <w:lang w:eastAsia="en-GB"/>
              </w:rPr>
              <w:t>(295.</w:t>
            </w:r>
            <w:r w:rsidR="007E466A">
              <w:rPr>
                <w:rFonts w:cs="Arial"/>
                <w:b/>
                <w:bCs/>
                <w:color w:val="auto"/>
                <w:sz w:val="20"/>
                <w:szCs w:val="20"/>
                <w:lang w:eastAsia="en-GB"/>
              </w:rPr>
              <w:t>0</w:t>
            </w:r>
            <w:r w:rsidRPr="0040734D">
              <w:rPr>
                <w:rFonts w:cs="Arial"/>
                <w:b/>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473A5F" w:rsidP="007E466A">
            <w:pPr>
              <w:widowControl w:val="0"/>
              <w:spacing w:after="0" w:line="240" w:lineRule="auto"/>
              <w:jc w:val="right"/>
              <w:rPr>
                <w:rFonts w:cs="Arial"/>
                <w:b/>
                <w:bCs/>
                <w:color w:val="auto"/>
                <w:sz w:val="20"/>
                <w:szCs w:val="20"/>
                <w:lang w:eastAsia="en-GB"/>
              </w:rPr>
            </w:pPr>
            <w:r>
              <w:rPr>
                <w:rFonts w:cs="Arial"/>
                <w:b/>
                <w:bCs/>
                <w:color w:val="auto"/>
                <w:sz w:val="20"/>
                <w:szCs w:val="20"/>
                <w:lang w:eastAsia="en-GB"/>
              </w:rPr>
              <w:t>26.</w:t>
            </w:r>
            <w:r w:rsidR="007E466A">
              <w:rPr>
                <w:rFonts w:cs="Arial"/>
                <w:b/>
                <w:bCs/>
                <w:color w:val="auto"/>
                <w:sz w:val="20"/>
                <w:szCs w:val="20"/>
                <w:lang w:eastAsia="en-GB"/>
              </w:rPr>
              <w:t>2</w:t>
            </w:r>
          </w:p>
        </w:tc>
      </w:tr>
      <w:tr w:rsidR="001B439E" w:rsidRPr="0005794A" w:rsidTr="00B113D5">
        <w:trPr>
          <w:trHeight w:val="270"/>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bCs/>
                <w:color w:val="auto"/>
                <w:sz w:val="20"/>
                <w:szCs w:val="20"/>
                <w:lang w:eastAsia="en-GB"/>
              </w:rPr>
            </w:pPr>
          </w:p>
        </w:tc>
        <w:tc>
          <w:tcPr>
            <w:tcW w:w="850" w:type="dxa"/>
          </w:tcPr>
          <w:p w:rsidR="001B439E" w:rsidRPr="00CD2AD2"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(6.4)</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color w:val="auto"/>
                <w:sz w:val="20"/>
                <w:szCs w:val="20"/>
                <w:lang w:eastAsia="en-GB"/>
              </w:rPr>
            </w:pPr>
            <w:r w:rsidRPr="00A856B3">
              <w:rPr>
                <w:rFonts w:cs="Arial"/>
                <w:color w:val="auto"/>
                <w:sz w:val="20"/>
                <w:szCs w:val="20"/>
                <w:lang w:eastAsia="en-GB"/>
              </w:rPr>
              <w:t xml:space="preserve">(Surplus)/Deficit on revaluation on </w:t>
            </w:r>
            <w:proofErr w:type="spellStart"/>
            <w:r w:rsidRPr="00A856B3">
              <w:rPr>
                <w:rFonts w:cs="Arial"/>
                <w:color w:val="auto"/>
                <w:sz w:val="20"/>
                <w:szCs w:val="20"/>
                <w:lang w:eastAsia="en-GB"/>
              </w:rPr>
              <w:t>Non Current</w:t>
            </w:r>
            <w:proofErr w:type="spellEnd"/>
            <w:r w:rsidRPr="00A856B3">
              <w:rPr>
                <w:rFonts w:cs="Arial"/>
                <w:color w:val="auto"/>
                <w:sz w:val="20"/>
                <w:szCs w:val="20"/>
                <w:lang w:eastAsia="en-GB"/>
              </w:rPr>
              <w:t xml:space="preserve"> Assets  (PPE)</w:t>
            </w:r>
          </w:p>
        </w:tc>
        <w:tc>
          <w:tcPr>
            <w:tcW w:w="680" w:type="dxa"/>
          </w:tcPr>
          <w:p w:rsidR="001B439E" w:rsidRPr="00A856B3" w:rsidRDefault="001B439E" w:rsidP="001B439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A856B3">
              <w:rPr>
                <w:rFonts w:cs="Arial"/>
                <w:color w:val="auto"/>
                <w:sz w:val="18"/>
                <w:szCs w:val="18"/>
                <w:lang w:eastAsia="en-GB"/>
              </w:rPr>
              <w:t>26</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1B439E" w:rsidP="001B439E">
            <w:pPr>
              <w:widowControl w:val="0"/>
              <w:spacing w:after="0" w:line="240" w:lineRule="auto"/>
              <w:jc w:val="right"/>
              <w:rPr>
                <w:rFonts w:cs="Arial"/>
                <w:color w:val="auto"/>
                <w:sz w:val="20"/>
                <w:szCs w:val="20"/>
                <w:lang w:eastAsia="en-GB"/>
              </w:rPr>
            </w:pPr>
          </w:p>
        </w:tc>
        <w:tc>
          <w:tcPr>
            <w:tcW w:w="1276" w:type="dxa"/>
            <w:noWrap/>
          </w:tcPr>
          <w:p w:rsidR="001B439E" w:rsidRPr="0040734D"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473A5F">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w:t>
            </w:r>
            <w:r w:rsidR="00473A5F">
              <w:rPr>
                <w:rFonts w:cs="Arial"/>
                <w:b/>
                <w:color w:val="auto"/>
                <w:sz w:val="20"/>
                <w:szCs w:val="20"/>
                <w:lang w:eastAsia="en-GB"/>
              </w:rPr>
              <w:t>17.1</w:t>
            </w:r>
            <w:r w:rsidRPr="0040734D">
              <w:rPr>
                <w:rFonts w:cs="Arial"/>
                <w:b/>
                <w:color w:val="auto"/>
                <w:sz w:val="20"/>
                <w:szCs w:val="20"/>
                <w:lang w:eastAsia="en-GB"/>
              </w:rPr>
              <w:t>)</w:t>
            </w:r>
          </w:p>
        </w:tc>
      </w:tr>
      <w:tr w:rsidR="001B439E" w:rsidRPr="0005794A" w:rsidTr="00B113D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bCs/>
                <w:color w:val="auto"/>
                <w:sz w:val="20"/>
                <w:szCs w:val="20"/>
                <w:lang w:eastAsia="en-GB"/>
              </w:rPr>
            </w:pPr>
          </w:p>
        </w:tc>
        <w:tc>
          <w:tcPr>
            <w:tcW w:w="850" w:type="dxa"/>
          </w:tcPr>
          <w:p w:rsidR="001B439E" w:rsidRPr="00CD2AD2" w:rsidRDefault="001B439E"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3.8</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color w:val="auto"/>
                <w:sz w:val="20"/>
                <w:szCs w:val="20"/>
                <w:lang w:eastAsia="en-GB"/>
              </w:rPr>
            </w:pPr>
            <w:r w:rsidRPr="00A856B3">
              <w:rPr>
                <w:rFonts w:cs="Arial"/>
                <w:color w:val="auto"/>
                <w:sz w:val="20"/>
                <w:szCs w:val="20"/>
                <w:lang w:eastAsia="en-GB"/>
              </w:rPr>
              <w:t xml:space="preserve">Impairment losses on </w:t>
            </w:r>
            <w:proofErr w:type="spellStart"/>
            <w:r w:rsidRPr="00A856B3">
              <w:rPr>
                <w:rFonts w:cs="Arial"/>
                <w:color w:val="auto"/>
                <w:sz w:val="20"/>
                <w:szCs w:val="20"/>
                <w:lang w:eastAsia="en-GB"/>
              </w:rPr>
              <w:t>non current</w:t>
            </w:r>
            <w:proofErr w:type="spellEnd"/>
            <w:r w:rsidRPr="00A856B3">
              <w:rPr>
                <w:rFonts w:cs="Arial"/>
                <w:color w:val="auto"/>
                <w:sz w:val="20"/>
                <w:szCs w:val="20"/>
                <w:lang w:eastAsia="en-GB"/>
              </w:rPr>
              <w:t xml:space="preserve"> assets charged to the revaluation reserve</w:t>
            </w:r>
          </w:p>
        </w:tc>
        <w:tc>
          <w:tcPr>
            <w:tcW w:w="680" w:type="dxa"/>
          </w:tcPr>
          <w:p w:rsidR="001B439E" w:rsidRPr="00A856B3" w:rsidRDefault="001B439E" w:rsidP="001B439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A856B3">
              <w:rPr>
                <w:rFonts w:cs="Arial"/>
                <w:color w:val="auto"/>
                <w:sz w:val="18"/>
                <w:szCs w:val="18"/>
                <w:lang w:eastAsia="en-GB"/>
              </w:rPr>
              <w:t>26</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1B439E" w:rsidP="001B439E">
            <w:pPr>
              <w:widowControl w:val="0"/>
              <w:spacing w:after="0" w:line="240" w:lineRule="auto"/>
              <w:jc w:val="right"/>
              <w:rPr>
                <w:rFonts w:cs="Arial"/>
                <w:color w:val="auto"/>
                <w:sz w:val="20"/>
                <w:szCs w:val="20"/>
                <w:lang w:eastAsia="en-GB"/>
              </w:rPr>
            </w:pPr>
          </w:p>
        </w:tc>
        <w:tc>
          <w:tcPr>
            <w:tcW w:w="1276" w:type="dxa"/>
            <w:noWrap/>
          </w:tcPr>
          <w:p w:rsidR="001B439E" w:rsidRPr="0040734D" w:rsidRDefault="001B439E"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473A5F">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3.</w:t>
            </w:r>
            <w:r w:rsidR="00473A5F">
              <w:rPr>
                <w:rFonts w:cs="Arial"/>
                <w:b/>
                <w:color w:val="auto"/>
                <w:sz w:val="20"/>
                <w:szCs w:val="20"/>
                <w:lang w:eastAsia="en-GB"/>
              </w:rPr>
              <w:t>8</w:t>
            </w:r>
          </w:p>
        </w:tc>
      </w:tr>
      <w:tr w:rsidR="001B439E" w:rsidRPr="0005794A" w:rsidTr="00B113D5">
        <w:trPr>
          <w:trHeight w:val="270"/>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bCs/>
                <w:color w:val="auto"/>
                <w:sz w:val="20"/>
                <w:szCs w:val="20"/>
                <w:lang w:eastAsia="en-GB"/>
              </w:rPr>
            </w:pPr>
          </w:p>
        </w:tc>
        <w:tc>
          <w:tcPr>
            <w:tcW w:w="850" w:type="dxa"/>
          </w:tcPr>
          <w:p w:rsidR="001B439E" w:rsidRPr="00CD2AD2"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2.3</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color w:val="auto"/>
                <w:sz w:val="20"/>
                <w:szCs w:val="20"/>
                <w:lang w:eastAsia="en-GB"/>
              </w:rPr>
            </w:pPr>
            <w:r w:rsidRPr="00A856B3">
              <w:rPr>
                <w:rFonts w:cs="Arial"/>
                <w:color w:val="auto"/>
                <w:sz w:val="20"/>
                <w:szCs w:val="20"/>
                <w:lang w:eastAsia="en-GB"/>
              </w:rPr>
              <w:t xml:space="preserve">(Surplus)/Deficit on revaluation of available for sale financial assets </w:t>
            </w:r>
          </w:p>
        </w:tc>
        <w:tc>
          <w:tcPr>
            <w:tcW w:w="680" w:type="dxa"/>
          </w:tcPr>
          <w:p w:rsidR="001B439E" w:rsidRPr="00A856B3" w:rsidRDefault="001B439E" w:rsidP="001B439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6"/>
                <w:szCs w:val="16"/>
                <w:lang w:eastAsia="en-GB"/>
              </w:rPr>
            </w:pPr>
            <w:r w:rsidRPr="00A856B3">
              <w:rPr>
                <w:rFonts w:cs="Arial"/>
                <w:color w:val="auto"/>
                <w:sz w:val="16"/>
                <w:szCs w:val="16"/>
                <w:lang w:eastAsia="en-GB"/>
              </w:rPr>
              <w:t>See * below</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1B439E" w:rsidP="001B439E">
            <w:pPr>
              <w:widowControl w:val="0"/>
              <w:spacing w:after="0" w:line="240" w:lineRule="auto"/>
              <w:jc w:val="right"/>
              <w:rPr>
                <w:rFonts w:cs="Arial"/>
                <w:color w:val="auto"/>
                <w:sz w:val="20"/>
                <w:szCs w:val="20"/>
                <w:lang w:eastAsia="en-GB"/>
              </w:rPr>
            </w:pPr>
          </w:p>
        </w:tc>
        <w:tc>
          <w:tcPr>
            <w:tcW w:w="1276" w:type="dxa"/>
            <w:noWrap/>
          </w:tcPr>
          <w:p w:rsidR="001B439E" w:rsidRPr="0040734D"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1B439E">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0</w:t>
            </w:r>
          </w:p>
        </w:tc>
      </w:tr>
      <w:tr w:rsidR="001B439E" w:rsidRPr="0005794A" w:rsidTr="00B113D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bCs/>
                <w:color w:val="auto"/>
                <w:sz w:val="20"/>
                <w:szCs w:val="20"/>
                <w:lang w:eastAsia="en-GB"/>
              </w:rPr>
            </w:pPr>
          </w:p>
        </w:tc>
        <w:tc>
          <w:tcPr>
            <w:tcW w:w="850" w:type="dxa"/>
          </w:tcPr>
          <w:p w:rsidR="001B439E" w:rsidRPr="00CD2AD2" w:rsidRDefault="001B439E"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CD2AD2">
              <w:rPr>
                <w:rFonts w:cs="Arial"/>
                <w:color w:val="auto"/>
                <w:sz w:val="20"/>
                <w:szCs w:val="20"/>
                <w:lang w:eastAsia="en-GB"/>
              </w:rPr>
              <w:t>46.2</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color w:val="auto"/>
                <w:sz w:val="20"/>
                <w:szCs w:val="20"/>
                <w:lang w:eastAsia="en-GB"/>
              </w:rPr>
            </w:pPr>
            <w:proofErr w:type="spellStart"/>
            <w:r w:rsidRPr="00A856B3">
              <w:rPr>
                <w:rFonts w:cs="Arial"/>
                <w:color w:val="auto"/>
                <w:sz w:val="20"/>
                <w:szCs w:val="20"/>
                <w:lang w:eastAsia="en-GB"/>
              </w:rPr>
              <w:t>Remeasurement</w:t>
            </w:r>
            <w:proofErr w:type="spellEnd"/>
            <w:r w:rsidRPr="00A856B3">
              <w:rPr>
                <w:rFonts w:cs="Arial"/>
                <w:color w:val="auto"/>
                <w:sz w:val="20"/>
                <w:szCs w:val="20"/>
                <w:lang w:eastAsia="en-GB"/>
              </w:rPr>
              <w:t xml:space="preserve"> of net defined pension liabilities</w:t>
            </w:r>
          </w:p>
        </w:tc>
        <w:tc>
          <w:tcPr>
            <w:tcW w:w="680" w:type="dxa"/>
          </w:tcPr>
          <w:p w:rsidR="001B439E" w:rsidRPr="00A856B3" w:rsidRDefault="001B439E" w:rsidP="001B439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A856B3">
              <w:rPr>
                <w:rFonts w:cs="Arial"/>
                <w:color w:val="auto"/>
                <w:sz w:val="18"/>
                <w:szCs w:val="18"/>
                <w:lang w:eastAsia="en-GB"/>
              </w:rPr>
              <w:t>40</w:t>
            </w: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1B439E" w:rsidP="001B439E">
            <w:pPr>
              <w:widowControl w:val="0"/>
              <w:spacing w:after="0" w:line="240" w:lineRule="auto"/>
              <w:jc w:val="right"/>
              <w:rPr>
                <w:rFonts w:cs="Arial"/>
                <w:color w:val="auto"/>
                <w:sz w:val="20"/>
                <w:szCs w:val="20"/>
                <w:lang w:eastAsia="en-GB"/>
              </w:rPr>
            </w:pPr>
          </w:p>
        </w:tc>
        <w:tc>
          <w:tcPr>
            <w:tcW w:w="1276" w:type="dxa"/>
            <w:noWrap/>
          </w:tcPr>
          <w:p w:rsidR="001B439E" w:rsidRPr="0040734D" w:rsidRDefault="001B439E"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1F5B2E">
            <w:pPr>
              <w:widowControl w:val="0"/>
              <w:spacing w:after="0" w:line="240" w:lineRule="auto"/>
              <w:jc w:val="right"/>
              <w:rPr>
                <w:rFonts w:cs="Arial"/>
                <w:b/>
                <w:color w:val="auto"/>
                <w:sz w:val="20"/>
                <w:szCs w:val="20"/>
                <w:lang w:eastAsia="en-GB"/>
              </w:rPr>
            </w:pPr>
            <w:r w:rsidRPr="0040734D">
              <w:rPr>
                <w:rFonts w:cs="Arial"/>
                <w:b/>
                <w:color w:val="auto"/>
                <w:sz w:val="20"/>
                <w:szCs w:val="20"/>
                <w:lang w:eastAsia="en-GB"/>
              </w:rPr>
              <w:t>(26.</w:t>
            </w:r>
            <w:r w:rsidR="001F5B2E" w:rsidRPr="0040734D">
              <w:rPr>
                <w:rFonts w:cs="Arial"/>
                <w:b/>
                <w:color w:val="auto"/>
                <w:sz w:val="20"/>
                <w:szCs w:val="20"/>
                <w:lang w:eastAsia="en-GB"/>
              </w:rPr>
              <w:t>0</w:t>
            </w:r>
            <w:r w:rsidRPr="0040734D">
              <w:rPr>
                <w:rFonts w:cs="Arial"/>
                <w:b/>
                <w:color w:val="auto"/>
                <w:sz w:val="20"/>
                <w:szCs w:val="20"/>
                <w:lang w:eastAsia="en-GB"/>
              </w:rPr>
              <w:t>)</w:t>
            </w:r>
          </w:p>
        </w:tc>
      </w:tr>
      <w:tr w:rsidR="001B439E" w:rsidRPr="0005794A" w:rsidTr="00B113D5">
        <w:trPr>
          <w:trHeight w:val="413"/>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bCs/>
                <w:color w:val="auto"/>
                <w:sz w:val="20"/>
                <w:szCs w:val="20"/>
                <w:lang w:eastAsia="en-GB"/>
              </w:rPr>
            </w:pPr>
          </w:p>
        </w:tc>
        <w:tc>
          <w:tcPr>
            <w:tcW w:w="850" w:type="dxa"/>
          </w:tcPr>
          <w:p w:rsidR="001B439E" w:rsidRPr="00CD2AD2"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CD2AD2">
              <w:rPr>
                <w:rFonts w:cs="Arial"/>
                <w:bCs/>
                <w:color w:val="auto"/>
                <w:sz w:val="20"/>
                <w:szCs w:val="20"/>
                <w:lang w:eastAsia="en-GB"/>
              </w:rPr>
              <w:t>45.9</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b/>
                <w:bCs/>
                <w:color w:val="auto"/>
                <w:sz w:val="20"/>
                <w:szCs w:val="20"/>
                <w:lang w:eastAsia="en-GB"/>
              </w:rPr>
            </w:pPr>
            <w:r w:rsidRPr="00A856B3">
              <w:rPr>
                <w:rFonts w:cs="Arial"/>
                <w:b/>
                <w:bCs/>
                <w:color w:val="auto"/>
                <w:sz w:val="20"/>
                <w:szCs w:val="20"/>
                <w:lang w:eastAsia="en-GB"/>
              </w:rPr>
              <w:t>Other Comprehensive Income and Expenditure</w:t>
            </w:r>
          </w:p>
        </w:tc>
        <w:tc>
          <w:tcPr>
            <w:tcW w:w="680" w:type="dxa"/>
          </w:tcPr>
          <w:p w:rsidR="001B439E" w:rsidRPr="00A856B3" w:rsidRDefault="001B439E" w:rsidP="001B439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1B439E" w:rsidP="001B439E">
            <w:pPr>
              <w:widowControl w:val="0"/>
              <w:spacing w:after="0" w:line="240" w:lineRule="auto"/>
              <w:jc w:val="right"/>
              <w:rPr>
                <w:rFonts w:cs="Arial"/>
                <w:b/>
                <w:bCs/>
                <w:color w:val="auto"/>
                <w:sz w:val="20"/>
                <w:szCs w:val="20"/>
                <w:lang w:eastAsia="en-GB"/>
              </w:rPr>
            </w:pPr>
          </w:p>
        </w:tc>
        <w:tc>
          <w:tcPr>
            <w:tcW w:w="1276" w:type="dxa"/>
            <w:noWrap/>
          </w:tcPr>
          <w:p w:rsidR="001B439E" w:rsidRPr="0040734D" w:rsidRDefault="001B439E" w:rsidP="001B439E">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473A5F">
            <w:pPr>
              <w:widowControl w:val="0"/>
              <w:spacing w:after="0" w:line="240" w:lineRule="auto"/>
              <w:jc w:val="right"/>
              <w:rPr>
                <w:rFonts w:cs="Arial"/>
                <w:b/>
                <w:bCs/>
                <w:color w:val="auto"/>
                <w:sz w:val="20"/>
                <w:szCs w:val="20"/>
                <w:lang w:eastAsia="en-GB"/>
              </w:rPr>
            </w:pPr>
            <w:r w:rsidRPr="0040734D">
              <w:rPr>
                <w:rFonts w:cs="Arial"/>
                <w:b/>
                <w:bCs/>
                <w:color w:val="auto"/>
                <w:sz w:val="20"/>
                <w:szCs w:val="20"/>
                <w:lang w:eastAsia="en-GB"/>
              </w:rPr>
              <w:t>(</w:t>
            </w:r>
            <w:r w:rsidR="00473A5F">
              <w:rPr>
                <w:rFonts w:cs="Arial"/>
                <w:b/>
                <w:bCs/>
                <w:color w:val="auto"/>
                <w:sz w:val="20"/>
                <w:szCs w:val="20"/>
                <w:lang w:eastAsia="en-GB"/>
              </w:rPr>
              <w:t>39.3</w:t>
            </w:r>
            <w:r w:rsidRPr="0040734D">
              <w:rPr>
                <w:rFonts w:cs="Arial"/>
                <w:b/>
                <w:bCs/>
                <w:color w:val="auto"/>
                <w:sz w:val="20"/>
                <w:szCs w:val="20"/>
                <w:lang w:eastAsia="en-GB"/>
              </w:rPr>
              <w:t>)</w:t>
            </w:r>
          </w:p>
        </w:tc>
      </w:tr>
      <w:tr w:rsidR="001B439E" w:rsidRPr="0005794A" w:rsidTr="00B113D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7" w:type="dxa"/>
          </w:tcPr>
          <w:p w:rsidR="001B439E" w:rsidRPr="00CD2AD2" w:rsidRDefault="001B439E" w:rsidP="001B439E">
            <w:pPr>
              <w:widowControl w:val="0"/>
              <w:spacing w:after="0" w:line="240" w:lineRule="auto"/>
              <w:jc w:val="right"/>
              <w:rPr>
                <w:rFonts w:cs="Arial"/>
                <w:b w:val="0"/>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851" w:type="dxa"/>
          </w:tcPr>
          <w:p w:rsidR="001B439E" w:rsidRPr="00CD2AD2" w:rsidRDefault="001B439E" w:rsidP="001B439E">
            <w:pPr>
              <w:widowControl w:val="0"/>
              <w:spacing w:after="0" w:line="240" w:lineRule="auto"/>
              <w:jc w:val="right"/>
              <w:rPr>
                <w:rFonts w:cs="Arial"/>
                <w:bCs/>
                <w:color w:val="auto"/>
                <w:sz w:val="20"/>
                <w:szCs w:val="20"/>
                <w:lang w:eastAsia="en-GB"/>
              </w:rPr>
            </w:pPr>
          </w:p>
        </w:tc>
        <w:tc>
          <w:tcPr>
            <w:tcW w:w="850" w:type="dxa"/>
          </w:tcPr>
          <w:p w:rsidR="001B439E" w:rsidRPr="00CD2AD2" w:rsidRDefault="001B439E"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CD2AD2">
              <w:rPr>
                <w:rFonts w:cs="Arial"/>
                <w:bCs/>
                <w:color w:val="auto"/>
                <w:sz w:val="20"/>
                <w:szCs w:val="20"/>
                <w:lang w:eastAsia="en-GB"/>
              </w:rPr>
              <w:t>56.9</w:t>
            </w:r>
          </w:p>
        </w:tc>
        <w:tc>
          <w:tcPr>
            <w:cnfStyle w:val="000010000000" w:firstRow="0" w:lastRow="0" w:firstColumn="0" w:lastColumn="0" w:oddVBand="1" w:evenVBand="0" w:oddHBand="0" w:evenHBand="0" w:firstRowFirstColumn="0" w:firstRowLastColumn="0" w:lastRowFirstColumn="0" w:lastRowLastColumn="0"/>
            <w:tcW w:w="3289" w:type="dxa"/>
            <w:gridSpan w:val="2"/>
            <w:noWrap/>
          </w:tcPr>
          <w:p w:rsidR="001B439E" w:rsidRPr="00A856B3" w:rsidRDefault="001B439E" w:rsidP="001B439E">
            <w:pPr>
              <w:widowControl w:val="0"/>
              <w:spacing w:after="0" w:line="240" w:lineRule="auto"/>
              <w:rPr>
                <w:rFonts w:cs="Arial"/>
                <w:b/>
                <w:bCs/>
                <w:color w:val="auto"/>
                <w:sz w:val="20"/>
                <w:szCs w:val="20"/>
                <w:lang w:eastAsia="en-GB"/>
              </w:rPr>
            </w:pPr>
            <w:r w:rsidRPr="00A856B3">
              <w:rPr>
                <w:rFonts w:cs="Arial"/>
                <w:b/>
                <w:bCs/>
                <w:color w:val="auto"/>
                <w:sz w:val="20"/>
                <w:szCs w:val="20"/>
                <w:lang w:eastAsia="en-GB"/>
              </w:rPr>
              <w:t>Total (Surplus)/Deficit in Comprehensive Income and Expenditure</w:t>
            </w:r>
          </w:p>
        </w:tc>
        <w:tc>
          <w:tcPr>
            <w:tcW w:w="680" w:type="dxa"/>
          </w:tcPr>
          <w:p w:rsidR="001B439E" w:rsidRPr="00A856B3" w:rsidRDefault="001B439E" w:rsidP="001B439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1B439E" w:rsidP="001B439E">
            <w:pPr>
              <w:widowControl w:val="0"/>
              <w:spacing w:after="0" w:line="240" w:lineRule="auto"/>
              <w:jc w:val="right"/>
              <w:rPr>
                <w:rFonts w:cs="Arial"/>
                <w:b/>
                <w:bCs/>
                <w:color w:val="auto"/>
                <w:sz w:val="20"/>
                <w:szCs w:val="20"/>
                <w:lang w:eastAsia="en-GB"/>
              </w:rPr>
            </w:pPr>
          </w:p>
        </w:tc>
        <w:tc>
          <w:tcPr>
            <w:tcW w:w="1276" w:type="dxa"/>
            <w:noWrap/>
          </w:tcPr>
          <w:p w:rsidR="001B439E" w:rsidRPr="0040734D" w:rsidRDefault="001B439E" w:rsidP="001B439E">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noWrap/>
          </w:tcPr>
          <w:p w:rsidR="001B439E" w:rsidRPr="0040734D" w:rsidRDefault="00564B43" w:rsidP="007E466A">
            <w:pPr>
              <w:widowControl w:val="0"/>
              <w:spacing w:after="0" w:line="240" w:lineRule="auto"/>
              <w:jc w:val="right"/>
              <w:rPr>
                <w:rFonts w:cs="Arial"/>
                <w:b/>
                <w:bCs/>
                <w:color w:val="auto"/>
                <w:sz w:val="20"/>
                <w:szCs w:val="20"/>
                <w:lang w:eastAsia="en-GB"/>
              </w:rPr>
            </w:pPr>
            <w:r w:rsidRPr="0040734D">
              <w:rPr>
                <w:rFonts w:cs="Arial"/>
                <w:b/>
                <w:bCs/>
                <w:color w:val="auto"/>
                <w:sz w:val="20"/>
                <w:szCs w:val="20"/>
                <w:lang w:eastAsia="en-GB"/>
              </w:rPr>
              <w:t>(</w:t>
            </w:r>
            <w:r w:rsidR="00473A5F">
              <w:rPr>
                <w:rFonts w:cs="Arial"/>
                <w:b/>
                <w:bCs/>
                <w:color w:val="auto"/>
                <w:sz w:val="20"/>
                <w:szCs w:val="20"/>
                <w:lang w:eastAsia="en-GB"/>
              </w:rPr>
              <w:t>13.</w:t>
            </w:r>
            <w:r w:rsidR="007E466A">
              <w:rPr>
                <w:rFonts w:cs="Arial"/>
                <w:b/>
                <w:bCs/>
                <w:color w:val="auto"/>
                <w:sz w:val="20"/>
                <w:szCs w:val="20"/>
                <w:lang w:eastAsia="en-GB"/>
              </w:rPr>
              <w:t>1</w:t>
            </w:r>
            <w:r w:rsidRPr="0040734D">
              <w:rPr>
                <w:rFonts w:cs="Arial"/>
                <w:b/>
                <w:bCs/>
                <w:color w:val="auto"/>
                <w:sz w:val="20"/>
                <w:szCs w:val="20"/>
                <w:lang w:eastAsia="en-GB"/>
              </w:rPr>
              <w:t>)</w:t>
            </w:r>
          </w:p>
        </w:tc>
      </w:tr>
    </w:tbl>
    <w:p w:rsidR="00F113A6" w:rsidRPr="0005794A" w:rsidRDefault="00F113A6" w:rsidP="00F113A6">
      <w:pPr>
        <w:widowControl w:val="0"/>
        <w:rPr>
          <w:b/>
          <w:color w:val="548DD4" w:themeColor="text2" w:themeTint="99"/>
          <w:sz w:val="20"/>
          <w:szCs w:val="20"/>
        </w:rPr>
      </w:pPr>
    </w:p>
    <w:p w:rsidR="00F113A6" w:rsidRPr="00620BB7" w:rsidRDefault="00F113A6" w:rsidP="00F113A6">
      <w:pPr>
        <w:pStyle w:val="Default"/>
        <w:rPr>
          <w:rFonts w:ascii="Arial" w:eastAsia="Arial" w:hAnsi="Arial" w:cs="Arial"/>
          <w:color w:val="auto"/>
          <w:sz w:val="20"/>
          <w:szCs w:val="20"/>
        </w:rPr>
      </w:pPr>
      <w:r w:rsidRPr="00620BB7">
        <w:rPr>
          <w:rFonts w:ascii="Arial" w:eastAsia="Arial" w:hAnsi="Arial" w:cs="Arial"/>
          <w:color w:val="auto"/>
          <w:sz w:val="20"/>
          <w:szCs w:val="20"/>
        </w:rPr>
        <w:t>Note *: There is potential for this item within Other Comprehensive Income and Expenditure (OCIE) to also be within Surplus/Deficit on the Provision of Services in a subsequent year.</w:t>
      </w:r>
    </w:p>
    <w:p w:rsidR="00E5368C" w:rsidRPr="0005794A" w:rsidRDefault="00E5368C" w:rsidP="00F113A6">
      <w:pPr>
        <w:pStyle w:val="Default"/>
        <w:rPr>
          <w:rFonts w:ascii="Arial" w:eastAsia="Arial" w:hAnsi="Arial" w:cs="Arial"/>
          <w:color w:val="548DD4" w:themeColor="text2" w:themeTint="99"/>
          <w:sz w:val="20"/>
          <w:szCs w:val="20"/>
        </w:rPr>
      </w:pPr>
    </w:p>
    <w:p w:rsidR="00E5368C" w:rsidRDefault="00E5368C" w:rsidP="00F113A6">
      <w:pPr>
        <w:pStyle w:val="Default"/>
        <w:rPr>
          <w:rFonts w:ascii="Arial" w:eastAsia="Arial" w:hAnsi="Arial" w:cs="Arial"/>
          <w:color w:val="auto"/>
          <w:sz w:val="20"/>
          <w:szCs w:val="20"/>
        </w:rPr>
      </w:pPr>
      <w:r w:rsidRPr="00620BB7">
        <w:rPr>
          <w:rFonts w:ascii="Arial" w:eastAsia="Arial" w:hAnsi="Arial" w:cs="Arial"/>
          <w:color w:val="auto"/>
          <w:sz w:val="20"/>
          <w:szCs w:val="20"/>
        </w:rPr>
        <w:t xml:space="preserve">Note ** - includes </w:t>
      </w:r>
      <w:proofErr w:type="spellStart"/>
      <w:r w:rsidRPr="00620BB7">
        <w:rPr>
          <w:rFonts w:ascii="Arial" w:eastAsia="Arial" w:hAnsi="Arial" w:cs="Arial"/>
          <w:color w:val="auto"/>
          <w:sz w:val="20"/>
          <w:szCs w:val="20"/>
        </w:rPr>
        <w:t>Brixham</w:t>
      </w:r>
      <w:proofErr w:type="spellEnd"/>
      <w:r w:rsidRPr="00620BB7">
        <w:rPr>
          <w:rFonts w:ascii="Arial" w:eastAsia="Arial" w:hAnsi="Arial" w:cs="Arial"/>
          <w:color w:val="auto"/>
          <w:sz w:val="20"/>
          <w:szCs w:val="20"/>
        </w:rPr>
        <w:t xml:space="preserve"> Town Council precept of £2</w:t>
      </w:r>
      <w:r w:rsidR="00620BB7" w:rsidRPr="00620BB7">
        <w:rPr>
          <w:rFonts w:ascii="Arial" w:eastAsia="Arial" w:hAnsi="Arial" w:cs="Arial"/>
          <w:color w:val="auto"/>
          <w:sz w:val="20"/>
          <w:szCs w:val="20"/>
        </w:rPr>
        <w:t>53,972</w:t>
      </w:r>
      <w:r w:rsidRPr="00620BB7">
        <w:rPr>
          <w:rFonts w:ascii="Arial" w:eastAsia="Arial" w:hAnsi="Arial" w:cs="Arial"/>
          <w:color w:val="auto"/>
          <w:sz w:val="20"/>
          <w:szCs w:val="20"/>
        </w:rPr>
        <w:t>.</w:t>
      </w:r>
    </w:p>
    <w:p w:rsidR="00FC1EDD" w:rsidRDefault="00FC1EDD" w:rsidP="00F113A6">
      <w:pPr>
        <w:pStyle w:val="Default"/>
        <w:rPr>
          <w:rFonts w:ascii="Arial" w:eastAsia="Arial" w:hAnsi="Arial" w:cs="Arial"/>
          <w:color w:val="auto"/>
          <w:sz w:val="20"/>
          <w:szCs w:val="20"/>
        </w:rPr>
      </w:pPr>
    </w:p>
    <w:p w:rsidR="00FC1EDD" w:rsidRDefault="00FC1EDD" w:rsidP="00F113A6">
      <w:pPr>
        <w:pStyle w:val="Default"/>
        <w:rPr>
          <w:rFonts w:ascii="Arial" w:eastAsia="Arial" w:hAnsi="Arial" w:cs="Arial"/>
          <w:color w:val="auto"/>
          <w:sz w:val="20"/>
          <w:szCs w:val="20"/>
        </w:rPr>
      </w:pPr>
    </w:p>
    <w:p w:rsidR="00FC1EDD" w:rsidRPr="00620BB7" w:rsidRDefault="00FC1EDD" w:rsidP="00F113A6">
      <w:pPr>
        <w:pStyle w:val="Default"/>
        <w:rPr>
          <w:rFonts w:ascii="Arial" w:eastAsia="Arial" w:hAnsi="Arial" w:cs="Arial"/>
          <w:color w:val="auto"/>
          <w:sz w:val="20"/>
          <w:szCs w:val="20"/>
        </w:rPr>
        <w:sectPr w:rsidR="00FC1EDD" w:rsidRPr="00620BB7" w:rsidSect="00FC1EDD">
          <w:headerReference w:type="first" r:id="rId36"/>
          <w:pgSz w:w="11906" w:h="16838" w:code="9"/>
          <w:pgMar w:top="1440" w:right="1440" w:bottom="1440" w:left="1440" w:header="544" w:footer="544" w:gutter="0"/>
          <w:cols w:space="708"/>
          <w:titlePg/>
          <w:docGrid w:linePitch="360"/>
        </w:sectPr>
      </w:pPr>
      <w:r w:rsidRPr="009B3396">
        <w:rPr>
          <w:rFonts w:ascii="Arial" w:eastAsia="Arial" w:hAnsi="Arial" w:cs="Arial"/>
          <w:color w:val="auto"/>
          <w:sz w:val="20"/>
          <w:szCs w:val="20"/>
        </w:rPr>
        <w:t>Note **</w:t>
      </w:r>
      <w:proofErr w:type="gramStart"/>
      <w:r w:rsidRPr="009B3396">
        <w:rPr>
          <w:rFonts w:ascii="Arial" w:eastAsia="Arial" w:hAnsi="Arial" w:cs="Arial"/>
          <w:color w:val="auto"/>
          <w:sz w:val="20"/>
          <w:szCs w:val="20"/>
        </w:rPr>
        <w:t>*  Restated</w:t>
      </w:r>
      <w:proofErr w:type="gramEnd"/>
      <w:r w:rsidRPr="009B3396">
        <w:rPr>
          <w:rFonts w:ascii="Arial" w:eastAsia="Arial" w:hAnsi="Arial" w:cs="Arial"/>
          <w:color w:val="auto"/>
          <w:sz w:val="20"/>
          <w:szCs w:val="20"/>
        </w:rPr>
        <w:t xml:space="preserve"> for change in management structure</w:t>
      </w:r>
    </w:p>
    <w:p w:rsidR="00763E74" w:rsidRPr="00CD6BEE" w:rsidRDefault="00E51139" w:rsidP="008D0906">
      <w:pPr>
        <w:widowControl w:val="0"/>
        <w:outlineLvl w:val="0"/>
        <w:rPr>
          <w:b/>
          <w:color w:val="auto"/>
          <w:sz w:val="24"/>
          <w:szCs w:val="24"/>
        </w:rPr>
      </w:pPr>
      <w:r w:rsidRPr="00CD6BEE">
        <w:rPr>
          <w:b/>
          <w:color w:val="auto"/>
          <w:sz w:val="24"/>
          <w:szCs w:val="24"/>
        </w:rPr>
        <w:lastRenderedPageBreak/>
        <w:t>Movement in Reserves Statement</w:t>
      </w:r>
    </w:p>
    <w:p w:rsidR="00763E74" w:rsidRPr="00CD6BEE" w:rsidRDefault="00E51139" w:rsidP="000D3AFB">
      <w:pPr>
        <w:pStyle w:val="BodyText"/>
        <w:widowControl w:val="0"/>
        <w:ind w:right="-105"/>
        <w:rPr>
          <w:rFonts w:cs="Arial"/>
          <w:color w:val="auto"/>
          <w:sz w:val="20"/>
          <w:szCs w:val="20"/>
        </w:rPr>
      </w:pPr>
      <w:r w:rsidRPr="00CD6BEE">
        <w:rPr>
          <w:rFonts w:cs="Arial"/>
          <w:color w:val="auto"/>
          <w:sz w:val="20"/>
          <w:szCs w:val="20"/>
        </w:rPr>
        <w:t>This statement shows the movement in the year on the different reserves held by the Council, analysed into ‘usable reserves’ (i.e. those that can be applied to fund expenditure or reduce local taxation) and other ‘unusable’ reserves. The Surplus or (Deficit) on the Provision of Services line shows the true economic cost of providing the Council’s services, more details of which are shown in the Comprehensive Income and Expenditure Statement. These are different from the statutory amounts required to be charged to the General Fund Balance for council tax setting. The Net Increase /Decrease before Transfers to Earmarked Reserves line shows the statutory General Fund Balance before any discretionary transfers to or from earmarked reserves undertaken by the council</w:t>
      </w:r>
      <w:r w:rsidR="000D3AFB" w:rsidRPr="00CD6BEE">
        <w:rPr>
          <w:rFonts w:cs="Arial"/>
          <w:color w:val="auto"/>
          <w:sz w:val="20"/>
          <w:szCs w:val="20"/>
        </w:rPr>
        <w:t xml:space="preserve">. </w:t>
      </w:r>
    </w:p>
    <w:p w:rsidR="00763E74" w:rsidRPr="0005794A" w:rsidRDefault="00763E74" w:rsidP="000D3AFB">
      <w:pPr>
        <w:pStyle w:val="BodyText"/>
        <w:widowControl w:val="0"/>
        <w:ind w:right="-105"/>
        <w:rPr>
          <w:rFonts w:cs="Arial"/>
          <w:color w:val="548DD4" w:themeColor="text2" w:themeTint="99"/>
          <w:sz w:val="20"/>
          <w:szCs w:val="20"/>
        </w:rPr>
      </w:pPr>
    </w:p>
    <w:tbl>
      <w:tblPr>
        <w:tblStyle w:val="GridTable4-Accent51"/>
        <w:tblW w:w="15654" w:type="dxa"/>
        <w:tblInd w:w="-847" w:type="dxa"/>
        <w:tblLayout w:type="fixed"/>
        <w:tblLook w:val="00A0" w:firstRow="1" w:lastRow="0" w:firstColumn="1" w:lastColumn="0" w:noHBand="0" w:noVBand="0"/>
      </w:tblPr>
      <w:tblGrid>
        <w:gridCol w:w="4597"/>
        <w:gridCol w:w="1134"/>
        <w:gridCol w:w="1559"/>
        <w:gridCol w:w="1418"/>
        <w:gridCol w:w="1418"/>
        <w:gridCol w:w="1465"/>
        <w:gridCol w:w="1417"/>
        <w:gridCol w:w="1418"/>
        <w:gridCol w:w="1228"/>
      </w:tblGrid>
      <w:tr w:rsidR="00D1188F" w:rsidRPr="0005794A" w:rsidTr="00D1188F">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tcBorders>
              <w:bottom w:val="nil"/>
            </w:tcBorders>
            <w:noWrap/>
          </w:tcPr>
          <w:p w:rsidR="00D1188F" w:rsidRPr="00CD6BEE" w:rsidRDefault="00CD6BEE" w:rsidP="00BE0080">
            <w:pPr>
              <w:widowControl w:val="0"/>
              <w:spacing w:after="0" w:line="240" w:lineRule="auto"/>
              <w:rPr>
                <w:rFonts w:cs="Arial"/>
                <w:bCs w:val="0"/>
                <w:color w:val="auto"/>
                <w:sz w:val="24"/>
                <w:szCs w:val="24"/>
                <w:lang w:eastAsia="en-GB"/>
              </w:rPr>
            </w:pPr>
            <w:r w:rsidRPr="00CD6BEE">
              <w:rPr>
                <w:rFonts w:cs="Arial"/>
                <w:bCs w:val="0"/>
                <w:color w:val="auto"/>
                <w:sz w:val="24"/>
                <w:szCs w:val="24"/>
                <w:lang w:eastAsia="en-GB"/>
              </w:rPr>
              <w:t>2016/17</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noWrap/>
          </w:tcPr>
          <w:p w:rsidR="00D1188F" w:rsidRPr="00CD6BEE" w:rsidRDefault="00D1188F" w:rsidP="00A220C4">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General</w:t>
            </w:r>
          </w:p>
          <w:p w:rsidR="00D1188F" w:rsidRPr="00CD6BEE" w:rsidRDefault="00D1188F" w:rsidP="00A220C4">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Fund</w:t>
            </w:r>
          </w:p>
          <w:p w:rsidR="00D1188F" w:rsidRPr="00CD6BEE" w:rsidRDefault="00D1188F" w:rsidP="00E262B1">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Balance</w:t>
            </w:r>
          </w:p>
        </w:tc>
        <w:tc>
          <w:tcPr>
            <w:tcW w:w="1559" w:type="dxa"/>
            <w:tcBorders>
              <w:bottom w:val="nil"/>
            </w:tcBorders>
            <w:noWrap/>
          </w:tcPr>
          <w:p w:rsidR="00D1188F" w:rsidRPr="00CD6BEE"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Earmarked</w:t>
            </w:r>
          </w:p>
          <w:p w:rsidR="00D1188F" w:rsidRPr="00CD6BEE"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General Fund</w:t>
            </w:r>
          </w:p>
          <w:p w:rsidR="00D1188F" w:rsidRPr="00CD6BEE" w:rsidRDefault="00D1188F" w:rsidP="00E262B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Reserves</w:t>
            </w:r>
          </w:p>
        </w:tc>
        <w:tc>
          <w:tcPr>
            <w:cnfStyle w:val="000010000000" w:firstRow="0" w:lastRow="0" w:firstColumn="0" w:lastColumn="0" w:oddVBand="1" w:evenVBand="0" w:oddHBand="0" w:evenHBand="0" w:firstRowFirstColumn="0" w:firstRowLastColumn="0" w:lastRowFirstColumn="0" w:lastRowLastColumn="0"/>
            <w:tcW w:w="1418" w:type="dxa"/>
            <w:tcBorders>
              <w:bottom w:val="nil"/>
            </w:tcBorders>
          </w:tcPr>
          <w:p w:rsidR="00D1188F" w:rsidRPr="00CD6BEE" w:rsidRDefault="00FD0181" w:rsidP="00FD0181">
            <w:pPr>
              <w:widowControl w:val="0"/>
              <w:spacing w:after="0" w:line="240" w:lineRule="auto"/>
              <w:jc w:val="center"/>
              <w:rPr>
                <w:rFonts w:cs="Arial"/>
                <w:color w:val="auto"/>
                <w:sz w:val="18"/>
                <w:szCs w:val="18"/>
                <w:lang w:eastAsia="en-GB"/>
              </w:rPr>
            </w:pPr>
            <w:r w:rsidRPr="00CD6BEE">
              <w:rPr>
                <w:rFonts w:cs="Arial"/>
                <w:color w:val="auto"/>
                <w:sz w:val="18"/>
                <w:szCs w:val="18"/>
                <w:lang w:eastAsia="en-GB"/>
              </w:rPr>
              <w:t>Sub Total Revenue Reserves</w:t>
            </w:r>
          </w:p>
        </w:tc>
        <w:tc>
          <w:tcPr>
            <w:tcW w:w="1418" w:type="dxa"/>
            <w:tcBorders>
              <w:bottom w:val="nil"/>
            </w:tcBorders>
            <w:noWrap/>
          </w:tcPr>
          <w:p w:rsidR="00D1188F" w:rsidRPr="00CD6BEE"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Capital</w:t>
            </w:r>
          </w:p>
          <w:p w:rsidR="00D1188F" w:rsidRPr="00CD6BEE"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Receipts</w:t>
            </w:r>
          </w:p>
          <w:p w:rsidR="00D1188F" w:rsidRPr="00CD6BEE" w:rsidRDefault="00D1188F" w:rsidP="00E262B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Reserve</w:t>
            </w:r>
          </w:p>
        </w:tc>
        <w:tc>
          <w:tcPr>
            <w:cnfStyle w:val="000010000000" w:firstRow="0" w:lastRow="0" w:firstColumn="0" w:lastColumn="0" w:oddVBand="1" w:evenVBand="0" w:oddHBand="0" w:evenHBand="0" w:firstRowFirstColumn="0" w:firstRowLastColumn="0" w:lastRowFirstColumn="0" w:lastRowLastColumn="0"/>
            <w:tcW w:w="1465" w:type="dxa"/>
            <w:tcBorders>
              <w:bottom w:val="nil"/>
            </w:tcBorders>
          </w:tcPr>
          <w:p w:rsidR="00D1188F" w:rsidRPr="00CD6BEE" w:rsidRDefault="00D1188F" w:rsidP="00A220C4">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Capital Grants Unapplied Account</w:t>
            </w:r>
          </w:p>
          <w:p w:rsidR="00D1188F" w:rsidRPr="00CD6BEE" w:rsidRDefault="00D1188F" w:rsidP="00A220C4">
            <w:pPr>
              <w:widowControl w:val="0"/>
              <w:spacing w:after="0" w:line="240" w:lineRule="auto"/>
              <w:jc w:val="center"/>
              <w:rPr>
                <w:rFonts w:cs="Arial"/>
                <w:bCs w:val="0"/>
                <w:color w:val="auto"/>
                <w:sz w:val="18"/>
                <w:szCs w:val="18"/>
                <w:lang w:eastAsia="en-GB"/>
              </w:rPr>
            </w:pPr>
          </w:p>
        </w:tc>
        <w:tc>
          <w:tcPr>
            <w:tcW w:w="1417" w:type="dxa"/>
            <w:tcBorders>
              <w:bottom w:val="nil"/>
            </w:tcBorders>
            <w:noWrap/>
          </w:tcPr>
          <w:p w:rsidR="00D1188F" w:rsidRPr="00CD6BEE"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Total</w:t>
            </w:r>
          </w:p>
          <w:p w:rsidR="00D1188F" w:rsidRPr="00CD6BEE"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Usable</w:t>
            </w:r>
          </w:p>
          <w:p w:rsidR="00D1188F" w:rsidRPr="00CD6BEE" w:rsidRDefault="00D1188F" w:rsidP="00E262B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Reserves</w:t>
            </w:r>
          </w:p>
        </w:tc>
        <w:tc>
          <w:tcPr>
            <w:cnfStyle w:val="000010000000" w:firstRow="0" w:lastRow="0" w:firstColumn="0" w:lastColumn="0" w:oddVBand="1" w:evenVBand="0" w:oddHBand="0" w:evenHBand="0" w:firstRowFirstColumn="0" w:firstRowLastColumn="0" w:lastRowFirstColumn="0" w:lastRowLastColumn="0"/>
            <w:tcW w:w="1418" w:type="dxa"/>
            <w:tcBorders>
              <w:bottom w:val="nil"/>
            </w:tcBorders>
            <w:noWrap/>
          </w:tcPr>
          <w:p w:rsidR="00D1188F" w:rsidRPr="00CD6BEE" w:rsidRDefault="00D1188F" w:rsidP="00A220C4">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Unusable</w:t>
            </w:r>
          </w:p>
          <w:p w:rsidR="00D1188F" w:rsidRPr="00CD6BEE" w:rsidRDefault="00D1188F" w:rsidP="00A220C4">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Reserves</w:t>
            </w:r>
          </w:p>
          <w:p w:rsidR="00D1188F" w:rsidRPr="00CD6BEE" w:rsidRDefault="00D1188F" w:rsidP="00A220C4">
            <w:pPr>
              <w:widowControl w:val="0"/>
              <w:spacing w:after="0" w:line="240" w:lineRule="auto"/>
              <w:jc w:val="center"/>
              <w:rPr>
                <w:rFonts w:cs="Arial"/>
                <w:bCs w:val="0"/>
                <w:color w:val="auto"/>
                <w:sz w:val="18"/>
                <w:szCs w:val="18"/>
                <w:lang w:eastAsia="en-GB"/>
              </w:rPr>
            </w:pPr>
          </w:p>
        </w:tc>
        <w:tc>
          <w:tcPr>
            <w:tcW w:w="1228" w:type="dxa"/>
            <w:tcBorders>
              <w:bottom w:val="nil"/>
            </w:tcBorders>
            <w:noWrap/>
          </w:tcPr>
          <w:p w:rsidR="00D1188F" w:rsidRPr="00CD6BEE"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Total</w:t>
            </w:r>
          </w:p>
          <w:p w:rsidR="00D1188F" w:rsidRPr="00CD6BEE" w:rsidRDefault="00D1188F" w:rsidP="00A220C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Council</w:t>
            </w:r>
          </w:p>
          <w:p w:rsidR="00D1188F" w:rsidRPr="00CD6BEE" w:rsidRDefault="00D1188F" w:rsidP="00E262B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Reserves</w:t>
            </w:r>
          </w:p>
        </w:tc>
      </w:tr>
      <w:tr w:rsidR="00D1188F" w:rsidRPr="0005794A"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tcBorders>
              <w:top w:val="nil"/>
              <w:left w:val="nil"/>
              <w:bottom w:val="nil"/>
              <w:right w:val="nil"/>
            </w:tcBorders>
            <w:shd w:val="clear" w:color="auto" w:fill="4BACC6" w:themeFill="accent5"/>
            <w:noWrap/>
          </w:tcPr>
          <w:p w:rsidR="00D1188F" w:rsidRPr="00CD6BEE" w:rsidRDefault="00D1188F" w:rsidP="00A220C4">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nil"/>
              <w:right w:val="nil"/>
            </w:tcBorders>
            <w:shd w:val="clear" w:color="auto" w:fill="4BACC6" w:themeFill="accent5"/>
            <w:noWrap/>
          </w:tcPr>
          <w:p w:rsidR="00D1188F" w:rsidRPr="00CD6BEE" w:rsidRDefault="00D1188F" w:rsidP="00A220C4">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£m</w:t>
            </w:r>
          </w:p>
        </w:tc>
        <w:tc>
          <w:tcPr>
            <w:tcW w:w="1559" w:type="dxa"/>
            <w:tcBorders>
              <w:top w:val="nil"/>
              <w:left w:val="nil"/>
              <w:bottom w:val="nil"/>
              <w:right w:val="nil"/>
            </w:tcBorders>
            <w:shd w:val="clear" w:color="auto" w:fill="4BACC6" w:themeFill="accent5"/>
            <w:noWrap/>
          </w:tcPr>
          <w:p w:rsidR="00D1188F" w:rsidRPr="00CD6BEE" w:rsidRDefault="00D1188F" w:rsidP="00A220C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CD6BEE">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tcPr>
          <w:p w:rsidR="00D1188F" w:rsidRPr="00CD6BEE" w:rsidRDefault="00D1188F" w:rsidP="008C7006">
            <w:pPr>
              <w:widowControl w:val="0"/>
              <w:spacing w:after="0" w:line="240" w:lineRule="auto"/>
              <w:jc w:val="center"/>
              <w:rPr>
                <w:rFonts w:cs="Arial"/>
                <w:color w:val="auto"/>
                <w:sz w:val="18"/>
                <w:szCs w:val="18"/>
                <w:lang w:eastAsia="en-GB"/>
              </w:rPr>
            </w:pPr>
            <w:r w:rsidRPr="00CD6BEE">
              <w:rPr>
                <w:rFonts w:cs="Arial"/>
                <w:color w:val="auto"/>
                <w:sz w:val="18"/>
                <w:szCs w:val="18"/>
                <w:lang w:eastAsia="en-GB"/>
              </w:rPr>
              <w:t>£m</w:t>
            </w:r>
          </w:p>
        </w:tc>
        <w:tc>
          <w:tcPr>
            <w:tcW w:w="1418" w:type="dxa"/>
            <w:tcBorders>
              <w:top w:val="nil"/>
              <w:left w:val="nil"/>
              <w:bottom w:val="nil"/>
              <w:right w:val="nil"/>
            </w:tcBorders>
            <w:shd w:val="clear" w:color="auto" w:fill="4BACC6" w:themeFill="accent5"/>
            <w:noWrap/>
          </w:tcPr>
          <w:p w:rsidR="00D1188F" w:rsidRPr="00CD6BEE" w:rsidRDefault="00D1188F" w:rsidP="008C700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CD6BEE">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65" w:type="dxa"/>
            <w:tcBorders>
              <w:top w:val="nil"/>
              <w:left w:val="nil"/>
              <w:bottom w:val="nil"/>
              <w:right w:val="nil"/>
            </w:tcBorders>
            <w:shd w:val="clear" w:color="auto" w:fill="4BACC6" w:themeFill="accent5"/>
          </w:tcPr>
          <w:p w:rsidR="00D1188F" w:rsidRPr="00CD6BEE" w:rsidRDefault="00D1188F" w:rsidP="008C7006">
            <w:pPr>
              <w:widowControl w:val="0"/>
              <w:spacing w:after="0" w:line="240" w:lineRule="auto"/>
              <w:jc w:val="center"/>
              <w:rPr>
                <w:rFonts w:cs="Arial"/>
                <w:bCs/>
                <w:color w:val="auto"/>
                <w:sz w:val="18"/>
                <w:szCs w:val="18"/>
                <w:lang w:eastAsia="en-GB"/>
              </w:rPr>
            </w:pPr>
            <w:r w:rsidRPr="00CD6BEE">
              <w:rPr>
                <w:rFonts w:cs="Arial"/>
                <w:bCs/>
                <w:color w:val="auto"/>
                <w:sz w:val="18"/>
                <w:szCs w:val="18"/>
                <w:lang w:eastAsia="en-GB"/>
              </w:rPr>
              <w:t>£m</w:t>
            </w:r>
          </w:p>
        </w:tc>
        <w:tc>
          <w:tcPr>
            <w:tcW w:w="1417" w:type="dxa"/>
            <w:tcBorders>
              <w:top w:val="nil"/>
              <w:left w:val="nil"/>
              <w:bottom w:val="nil"/>
              <w:right w:val="nil"/>
            </w:tcBorders>
            <w:shd w:val="clear" w:color="auto" w:fill="4BACC6" w:themeFill="accent5"/>
            <w:noWrap/>
          </w:tcPr>
          <w:p w:rsidR="00D1188F" w:rsidRPr="00CD6BEE" w:rsidRDefault="00D1188F" w:rsidP="008C700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eastAsia="en-GB"/>
              </w:rPr>
            </w:pPr>
            <w:r w:rsidRPr="00CD6BEE">
              <w:rPr>
                <w:rFonts w:cs="Arial"/>
                <w:bCs/>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noWrap/>
          </w:tcPr>
          <w:p w:rsidR="00D1188F" w:rsidRPr="00CD6BEE" w:rsidRDefault="00D1188F" w:rsidP="00E17024">
            <w:pPr>
              <w:widowControl w:val="0"/>
              <w:spacing w:after="0" w:line="240" w:lineRule="auto"/>
              <w:jc w:val="center"/>
              <w:rPr>
                <w:rFonts w:cs="Arial"/>
                <w:color w:val="auto"/>
                <w:sz w:val="18"/>
                <w:szCs w:val="18"/>
                <w:lang w:eastAsia="en-GB"/>
              </w:rPr>
            </w:pPr>
            <w:r w:rsidRPr="00CD6BEE">
              <w:rPr>
                <w:rFonts w:cs="Arial"/>
                <w:color w:val="auto"/>
                <w:sz w:val="18"/>
                <w:szCs w:val="18"/>
                <w:lang w:eastAsia="en-GB"/>
              </w:rPr>
              <w:t>£m</w:t>
            </w:r>
          </w:p>
        </w:tc>
        <w:tc>
          <w:tcPr>
            <w:tcW w:w="1228" w:type="dxa"/>
            <w:tcBorders>
              <w:top w:val="nil"/>
              <w:left w:val="nil"/>
              <w:bottom w:val="nil"/>
              <w:right w:val="nil"/>
            </w:tcBorders>
            <w:shd w:val="clear" w:color="auto" w:fill="4BACC6" w:themeFill="accent5"/>
            <w:noWrap/>
          </w:tcPr>
          <w:p w:rsidR="00D1188F" w:rsidRPr="00CD6BEE" w:rsidRDefault="00D1188F" w:rsidP="00E1702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CD6BEE">
              <w:rPr>
                <w:rFonts w:cs="Arial"/>
                <w:bCs/>
                <w:color w:val="auto"/>
                <w:sz w:val="20"/>
                <w:szCs w:val="20"/>
                <w:lang w:eastAsia="en-GB"/>
              </w:rPr>
              <w:t>£m</w:t>
            </w:r>
          </w:p>
        </w:tc>
      </w:tr>
      <w:tr w:rsidR="00D1188F" w:rsidRPr="0005794A"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tcBorders>
              <w:top w:val="nil"/>
              <w:left w:val="nil"/>
              <w:bottom w:val="nil"/>
              <w:right w:val="nil"/>
            </w:tcBorders>
            <w:shd w:val="clear" w:color="auto" w:fill="4BACC6" w:themeFill="accent5"/>
            <w:noWrap/>
          </w:tcPr>
          <w:p w:rsidR="00D1188F" w:rsidRPr="00CD6BEE" w:rsidRDefault="00D1188F" w:rsidP="00A220C4">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nil"/>
              <w:right w:val="nil"/>
            </w:tcBorders>
            <w:shd w:val="clear" w:color="auto" w:fill="4BACC6" w:themeFill="accent5"/>
            <w:noWrap/>
          </w:tcPr>
          <w:p w:rsidR="00D1188F" w:rsidRPr="00CD6BEE" w:rsidRDefault="00D1188F" w:rsidP="00A220C4">
            <w:pPr>
              <w:widowControl w:val="0"/>
              <w:spacing w:after="0" w:line="240" w:lineRule="auto"/>
              <w:jc w:val="center"/>
              <w:rPr>
                <w:rFonts w:cs="Arial"/>
                <w:color w:val="auto"/>
                <w:sz w:val="20"/>
                <w:szCs w:val="20"/>
                <w:lang w:eastAsia="en-GB"/>
              </w:rPr>
            </w:pPr>
          </w:p>
        </w:tc>
        <w:tc>
          <w:tcPr>
            <w:tcW w:w="1559" w:type="dxa"/>
            <w:tcBorders>
              <w:top w:val="nil"/>
              <w:left w:val="nil"/>
              <w:bottom w:val="nil"/>
              <w:right w:val="nil"/>
            </w:tcBorders>
            <w:shd w:val="clear" w:color="auto" w:fill="4BACC6" w:themeFill="accent5"/>
            <w:noWrap/>
          </w:tcPr>
          <w:p w:rsidR="00D1188F" w:rsidRPr="00CD6BEE" w:rsidRDefault="00D1188F" w:rsidP="00145E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CD6BEE">
              <w:rPr>
                <w:rFonts w:cs="Arial"/>
                <w:color w:val="auto"/>
                <w:sz w:val="18"/>
                <w:szCs w:val="18"/>
                <w:lang w:eastAsia="en-GB"/>
              </w:rPr>
              <w:t xml:space="preserve">Note </w:t>
            </w:r>
            <w:r w:rsidR="00145EB9" w:rsidRPr="00CD6BEE">
              <w:rPr>
                <w:rFonts w:cs="Arial"/>
                <w:color w:val="auto"/>
                <w:sz w:val="18"/>
                <w:szCs w:val="18"/>
                <w:lang w:eastAsia="en-GB"/>
              </w:rPr>
              <w:t>10</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tcPr>
          <w:p w:rsidR="00D1188F" w:rsidRPr="00CD6BEE" w:rsidRDefault="00D1188F" w:rsidP="008C7006">
            <w:pPr>
              <w:widowControl w:val="0"/>
              <w:spacing w:after="0" w:line="240" w:lineRule="auto"/>
              <w:jc w:val="center"/>
              <w:rPr>
                <w:rFonts w:cs="Arial"/>
                <w:color w:val="auto"/>
                <w:sz w:val="18"/>
                <w:szCs w:val="18"/>
                <w:lang w:eastAsia="en-GB"/>
              </w:rPr>
            </w:pPr>
          </w:p>
        </w:tc>
        <w:tc>
          <w:tcPr>
            <w:tcW w:w="1418" w:type="dxa"/>
            <w:tcBorders>
              <w:top w:val="nil"/>
              <w:left w:val="nil"/>
              <w:bottom w:val="nil"/>
              <w:right w:val="nil"/>
            </w:tcBorders>
            <w:shd w:val="clear" w:color="auto" w:fill="4BACC6" w:themeFill="accent5"/>
            <w:noWrap/>
          </w:tcPr>
          <w:p w:rsidR="00D1188F" w:rsidRPr="00CD6BEE" w:rsidRDefault="00D1188F" w:rsidP="00145E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CD6BEE">
              <w:rPr>
                <w:rFonts w:cs="Arial"/>
                <w:color w:val="auto"/>
                <w:sz w:val="18"/>
                <w:szCs w:val="18"/>
                <w:lang w:eastAsia="en-GB"/>
              </w:rPr>
              <w:t xml:space="preserve">Note </w:t>
            </w:r>
            <w:r w:rsidR="00145EB9" w:rsidRPr="00CD6BEE">
              <w:rPr>
                <w:rFonts w:cs="Arial"/>
                <w:color w:val="auto"/>
                <w:sz w:val="18"/>
                <w:szCs w:val="18"/>
                <w:lang w:eastAsia="en-GB"/>
              </w:rPr>
              <w:t>9</w:t>
            </w:r>
          </w:p>
        </w:tc>
        <w:tc>
          <w:tcPr>
            <w:cnfStyle w:val="000010000000" w:firstRow="0" w:lastRow="0" w:firstColumn="0" w:lastColumn="0" w:oddVBand="1" w:evenVBand="0" w:oddHBand="0" w:evenHBand="0" w:firstRowFirstColumn="0" w:firstRowLastColumn="0" w:lastRowFirstColumn="0" w:lastRowLastColumn="0"/>
            <w:tcW w:w="1465" w:type="dxa"/>
            <w:tcBorders>
              <w:top w:val="nil"/>
              <w:left w:val="nil"/>
              <w:bottom w:val="nil"/>
              <w:right w:val="nil"/>
            </w:tcBorders>
            <w:shd w:val="clear" w:color="auto" w:fill="4BACC6" w:themeFill="accent5"/>
          </w:tcPr>
          <w:p w:rsidR="00D1188F" w:rsidRPr="00CD6BEE" w:rsidRDefault="00D1188F" w:rsidP="00145EB9">
            <w:pPr>
              <w:widowControl w:val="0"/>
              <w:spacing w:after="0" w:line="240" w:lineRule="auto"/>
              <w:jc w:val="center"/>
              <w:rPr>
                <w:rFonts w:cs="Arial"/>
                <w:bCs/>
                <w:color w:val="auto"/>
                <w:sz w:val="18"/>
                <w:szCs w:val="18"/>
                <w:lang w:eastAsia="en-GB"/>
              </w:rPr>
            </w:pPr>
            <w:r w:rsidRPr="00CD6BEE">
              <w:rPr>
                <w:rFonts w:cs="Arial"/>
                <w:bCs/>
                <w:color w:val="auto"/>
                <w:sz w:val="18"/>
                <w:szCs w:val="18"/>
                <w:lang w:eastAsia="en-GB"/>
              </w:rPr>
              <w:t xml:space="preserve">Note </w:t>
            </w:r>
            <w:r w:rsidR="00145EB9" w:rsidRPr="00CD6BEE">
              <w:rPr>
                <w:rFonts w:cs="Arial"/>
                <w:bCs/>
                <w:color w:val="auto"/>
                <w:sz w:val="18"/>
                <w:szCs w:val="18"/>
                <w:lang w:eastAsia="en-GB"/>
              </w:rPr>
              <w:t>9</w:t>
            </w:r>
          </w:p>
        </w:tc>
        <w:tc>
          <w:tcPr>
            <w:tcW w:w="1417" w:type="dxa"/>
            <w:tcBorders>
              <w:top w:val="nil"/>
              <w:left w:val="nil"/>
              <w:bottom w:val="nil"/>
              <w:right w:val="nil"/>
            </w:tcBorders>
            <w:shd w:val="clear" w:color="auto" w:fill="4BACC6" w:themeFill="accent5"/>
            <w:noWrap/>
          </w:tcPr>
          <w:p w:rsidR="00D1188F" w:rsidRPr="00CD6BEE" w:rsidRDefault="00D1188F" w:rsidP="00EA12A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18"/>
                <w:szCs w:val="18"/>
                <w:lang w:eastAsia="en-GB"/>
              </w:rPr>
            </w:pPr>
            <w:r w:rsidRPr="00CD6BEE">
              <w:rPr>
                <w:rFonts w:cs="Arial"/>
                <w:bCs/>
                <w:color w:val="auto"/>
                <w:sz w:val="18"/>
                <w:szCs w:val="18"/>
                <w:lang w:eastAsia="en-GB"/>
              </w:rPr>
              <w:t>Note 2</w:t>
            </w:r>
            <w:r w:rsidR="00EA12AA" w:rsidRPr="00CD6BEE">
              <w:rPr>
                <w:rFonts w:cs="Arial"/>
                <w:bCs/>
                <w:color w:val="auto"/>
                <w:sz w:val="18"/>
                <w:szCs w:val="18"/>
                <w:lang w:eastAsia="en-GB"/>
              </w:rPr>
              <w:t>5</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noWrap/>
          </w:tcPr>
          <w:p w:rsidR="00D1188F" w:rsidRPr="00CD6BEE" w:rsidRDefault="00D1188F" w:rsidP="00EA12AA">
            <w:pPr>
              <w:widowControl w:val="0"/>
              <w:spacing w:after="0" w:line="240" w:lineRule="auto"/>
              <w:jc w:val="center"/>
              <w:rPr>
                <w:rFonts w:cs="Arial"/>
                <w:color w:val="auto"/>
                <w:sz w:val="18"/>
                <w:szCs w:val="18"/>
                <w:lang w:eastAsia="en-GB"/>
              </w:rPr>
            </w:pPr>
            <w:r w:rsidRPr="00CD6BEE">
              <w:rPr>
                <w:rFonts w:cs="Arial"/>
                <w:color w:val="auto"/>
                <w:sz w:val="18"/>
                <w:szCs w:val="18"/>
                <w:lang w:eastAsia="en-GB"/>
              </w:rPr>
              <w:t xml:space="preserve">Note </w:t>
            </w:r>
            <w:r w:rsidR="00145EB9" w:rsidRPr="00CD6BEE">
              <w:rPr>
                <w:rFonts w:cs="Arial"/>
                <w:color w:val="auto"/>
                <w:sz w:val="18"/>
                <w:szCs w:val="18"/>
                <w:lang w:eastAsia="en-GB"/>
              </w:rPr>
              <w:t>2</w:t>
            </w:r>
            <w:r w:rsidR="00EA12AA" w:rsidRPr="00CD6BEE">
              <w:rPr>
                <w:rFonts w:cs="Arial"/>
                <w:color w:val="auto"/>
                <w:sz w:val="18"/>
                <w:szCs w:val="18"/>
                <w:lang w:eastAsia="en-GB"/>
              </w:rPr>
              <w:t>6</w:t>
            </w:r>
          </w:p>
        </w:tc>
        <w:tc>
          <w:tcPr>
            <w:tcW w:w="1228" w:type="dxa"/>
            <w:tcBorders>
              <w:top w:val="nil"/>
              <w:left w:val="nil"/>
              <w:bottom w:val="nil"/>
              <w:right w:val="nil"/>
            </w:tcBorders>
            <w:shd w:val="clear" w:color="auto" w:fill="4BACC6" w:themeFill="accent5"/>
            <w:noWrap/>
          </w:tcPr>
          <w:p w:rsidR="00D1188F" w:rsidRPr="00CD6BEE" w:rsidRDefault="00D1188F" w:rsidP="00A220C4">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r>
      <w:tr w:rsidR="00CD6BEE" w:rsidRPr="0005794A" w:rsidTr="00D1188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CD6BEE" w:rsidRPr="00CD6BEE" w:rsidRDefault="00CD6BEE" w:rsidP="00CD6BEE">
            <w:pPr>
              <w:widowControl w:val="0"/>
              <w:spacing w:after="0" w:line="240" w:lineRule="auto"/>
              <w:rPr>
                <w:rFonts w:cs="Arial"/>
                <w:bCs w:val="0"/>
                <w:color w:val="auto"/>
                <w:sz w:val="20"/>
                <w:szCs w:val="20"/>
                <w:lang w:eastAsia="en-GB"/>
              </w:rPr>
            </w:pPr>
            <w:r w:rsidRPr="00CD6BEE">
              <w:rPr>
                <w:rFonts w:cs="Arial"/>
                <w:bCs w:val="0"/>
                <w:color w:val="auto"/>
                <w:sz w:val="20"/>
                <w:szCs w:val="20"/>
                <w:lang w:eastAsia="en-GB"/>
              </w:rPr>
              <w:t>Balance at 31st March 2016 brought forward</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CD6BEE" w:rsidRPr="00CD6BEE" w:rsidRDefault="00CD6BEE" w:rsidP="00CD6BEE">
            <w:pPr>
              <w:widowControl w:val="0"/>
              <w:spacing w:after="0" w:line="240" w:lineRule="auto"/>
              <w:jc w:val="center"/>
              <w:rPr>
                <w:rFonts w:cs="Arial"/>
                <w:b/>
                <w:color w:val="auto"/>
                <w:sz w:val="20"/>
                <w:szCs w:val="20"/>
                <w:lang w:eastAsia="en-GB"/>
              </w:rPr>
            </w:pPr>
            <w:r w:rsidRPr="00CD6BEE">
              <w:rPr>
                <w:rFonts w:cs="Arial"/>
                <w:b/>
                <w:color w:val="auto"/>
                <w:sz w:val="20"/>
                <w:szCs w:val="20"/>
                <w:lang w:eastAsia="en-GB"/>
              </w:rPr>
              <w:t>4.4</w:t>
            </w:r>
          </w:p>
        </w:tc>
        <w:tc>
          <w:tcPr>
            <w:tcW w:w="1559"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CD6BEE">
              <w:rPr>
                <w:rFonts w:cs="Arial"/>
                <w:b/>
                <w:color w:val="auto"/>
                <w:sz w:val="20"/>
                <w:szCs w:val="20"/>
                <w:lang w:eastAsia="en-GB"/>
              </w:rPr>
              <w:t>25.3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CD6BEE" w:rsidRPr="00CD6BEE" w:rsidRDefault="00CD6BEE" w:rsidP="00CD6BEE">
            <w:pPr>
              <w:widowControl w:val="0"/>
              <w:spacing w:after="0" w:line="240" w:lineRule="auto"/>
              <w:jc w:val="center"/>
              <w:rPr>
                <w:rFonts w:cs="Arial"/>
                <w:b/>
                <w:color w:val="auto"/>
                <w:sz w:val="20"/>
                <w:szCs w:val="20"/>
                <w:lang w:eastAsia="en-GB"/>
              </w:rPr>
            </w:pPr>
            <w:r w:rsidRPr="00CD6BEE">
              <w:rPr>
                <w:rFonts w:cs="Arial"/>
                <w:b/>
                <w:color w:val="auto"/>
                <w:sz w:val="20"/>
                <w:szCs w:val="20"/>
                <w:lang w:eastAsia="en-GB"/>
              </w:rPr>
              <w:t>29.7</w:t>
            </w:r>
          </w:p>
        </w:tc>
        <w:tc>
          <w:tcPr>
            <w:tcW w:w="1418"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CD6BEE">
              <w:rPr>
                <w:rFonts w:cs="Arial"/>
                <w:b/>
                <w:color w:val="auto"/>
                <w:sz w:val="20"/>
                <w:szCs w:val="20"/>
                <w:lang w:eastAsia="en-GB"/>
              </w:rPr>
              <w:t>1.4</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4.2</w:t>
            </w:r>
          </w:p>
        </w:tc>
        <w:tc>
          <w:tcPr>
            <w:tcW w:w="1417"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CD6BEE">
              <w:rPr>
                <w:rFonts w:cs="Arial"/>
                <w:b/>
                <w:bCs/>
                <w:color w:val="auto"/>
                <w:sz w:val="20"/>
                <w:szCs w:val="20"/>
                <w:lang w:eastAsia="en-GB"/>
              </w:rPr>
              <w:t>35.3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12.0</w:t>
            </w:r>
          </w:p>
        </w:tc>
        <w:tc>
          <w:tcPr>
            <w:tcW w:w="1228"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CD6BEE">
              <w:rPr>
                <w:rFonts w:cs="Arial"/>
                <w:b/>
                <w:color w:val="auto"/>
                <w:sz w:val="20"/>
                <w:szCs w:val="20"/>
                <w:lang w:eastAsia="en-GB"/>
              </w:rPr>
              <w:t>47.3</w:t>
            </w:r>
          </w:p>
        </w:tc>
      </w:tr>
      <w:tr w:rsidR="00CD6BEE" w:rsidRPr="0005794A" w:rsidTr="00D1188F">
        <w:trPr>
          <w:trHeight w:val="319"/>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CD6BEE" w:rsidRPr="00CD6BEE" w:rsidRDefault="00CD6BEE" w:rsidP="00CD6BEE">
            <w:pPr>
              <w:widowControl w:val="0"/>
              <w:spacing w:after="0" w:line="240" w:lineRule="auto"/>
              <w:rPr>
                <w:rFonts w:cs="Arial"/>
                <w:bCs w:val="0"/>
                <w:color w:val="auto"/>
                <w:sz w:val="20"/>
                <w:szCs w:val="20"/>
                <w:lang w:eastAsia="en-GB"/>
              </w:rPr>
            </w:pPr>
            <w:r w:rsidRPr="00CD6BEE">
              <w:rPr>
                <w:rFonts w:cs="Arial"/>
                <w:bCs w:val="0"/>
                <w:color w:val="auto"/>
                <w:sz w:val="20"/>
                <w:szCs w:val="20"/>
                <w:lang w:eastAsia="en-GB"/>
              </w:rPr>
              <w:t>Movement in Reserves during 2016/17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CD6BEE" w:rsidRPr="00CD6BEE" w:rsidRDefault="00CD6BEE" w:rsidP="00CD6BEE">
            <w:pPr>
              <w:widowControl w:val="0"/>
              <w:spacing w:after="0" w:line="240" w:lineRule="auto"/>
              <w:jc w:val="center"/>
              <w:rPr>
                <w:rFonts w:cs="Arial"/>
                <w:color w:val="auto"/>
                <w:sz w:val="20"/>
                <w:szCs w:val="20"/>
                <w:lang w:eastAsia="en-GB"/>
              </w:rPr>
            </w:pPr>
          </w:p>
        </w:tc>
        <w:tc>
          <w:tcPr>
            <w:tcW w:w="1559"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CD6BEE" w:rsidRPr="00CD6BEE" w:rsidRDefault="00CD6BEE" w:rsidP="00CD6BEE">
            <w:pPr>
              <w:widowControl w:val="0"/>
              <w:spacing w:after="0" w:line="240" w:lineRule="auto"/>
              <w:jc w:val="center"/>
              <w:rPr>
                <w:rFonts w:cs="Arial"/>
                <w:color w:val="auto"/>
                <w:sz w:val="20"/>
                <w:szCs w:val="20"/>
                <w:lang w:eastAsia="en-GB"/>
              </w:rPr>
            </w:pPr>
          </w:p>
        </w:tc>
        <w:tc>
          <w:tcPr>
            <w:tcW w:w="1418"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CD6BEE" w:rsidRPr="00CD6BEE" w:rsidRDefault="00CD6BEE" w:rsidP="00CD6BEE">
            <w:pPr>
              <w:widowControl w:val="0"/>
              <w:spacing w:after="0" w:line="240" w:lineRule="auto"/>
              <w:jc w:val="center"/>
              <w:rPr>
                <w:rFonts w:cs="Arial"/>
                <w:bCs/>
                <w:color w:val="auto"/>
                <w:sz w:val="20"/>
                <w:szCs w:val="20"/>
                <w:lang w:eastAsia="en-GB"/>
              </w:rPr>
            </w:pPr>
          </w:p>
        </w:tc>
        <w:tc>
          <w:tcPr>
            <w:tcW w:w="1417"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CD6BEE" w:rsidRPr="00CD6BEE" w:rsidRDefault="00CD6BEE" w:rsidP="00CD6BEE">
            <w:pPr>
              <w:widowControl w:val="0"/>
              <w:spacing w:after="0" w:line="240" w:lineRule="auto"/>
              <w:jc w:val="center"/>
              <w:rPr>
                <w:rFonts w:cs="Arial"/>
                <w:color w:val="auto"/>
                <w:sz w:val="20"/>
                <w:szCs w:val="20"/>
                <w:lang w:eastAsia="en-GB"/>
              </w:rPr>
            </w:pPr>
          </w:p>
        </w:tc>
        <w:tc>
          <w:tcPr>
            <w:tcW w:w="1228"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r>
      <w:tr w:rsidR="00CD6BEE" w:rsidRPr="0005794A" w:rsidTr="00D118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CD6BEE" w:rsidRPr="00CD6BEE" w:rsidRDefault="00CD6BEE" w:rsidP="00CD6BEE">
            <w:pPr>
              <w:widowControl w:val="0"/>
              <w:spacing w:after="0" w:line="240" w:lineRule="auto"/>
              <w:rPr>
                <w:rFonts w:cs="Arial"/>
                <w:b w:val="0"/>
                <w:color w:val="auto"/>
                <w:sz w:val="20"/>
                <w:szCs w:val="20"/>
                <w:lang w:eastAsia="en-GB"/>
              </w:rPr>
            </w:pPr>
            <w:r w:rsidRPr="00CD6BEE">
              <w:rPr>
                <w:rFonts w:cs="Arial"/>
                <w:b w:val="0"/>
                <w:color w:val="auto"/>
                <w:sz w:val="20"/>
                <w:szCs w:val="20"/>
                <w:lang w:eastAsia="en-GB"/>
              </w:rPr>
              <w:t>Surplus or (deficit) on provision of services (accounting basis)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CD6BEE" w:rsidRPr="00CD6BEE" w:rsidRDefault="00CD6BEE" w:rsidP="00487E56">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w:t>
            </w:r>
            <w:r w:rsidR="00487E56">
              <w:rPr>
                <w:rFonts w:cs="Arial"/>
                <w:color w:val="auto"/>
                <w:sz w:val="20"/>
                <w:szCs w:val="20"/>
                <w:lang w:eastAsia="en-GB"/>
              </w:rPr>
              <w:t>11.0</w:t>
            </w:r>
            <w:r w:rsidRPr="00CD6BEE">
              <w:rPr>
                <w:rFonts w:cs="Arial"/>
                <w:color w:val="auto"/>
                <w:sz w:val="20"/>
                <w:szCs w:val="20"/>
                <w:lang w:eastAsia="en-GB"/>
              </w:rPr>
              <w:t>)</w:t>
            </w:r>
          </w:p>
        </w:tc>
        <w:tc>
          <w:tcPr>
            <w:tcW w:w="1559"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CD6BEE" w:rsidRPr="00CD6BEE" w:rsidRDefault="00CD6BEE" w:rsidP="00487E56">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w:t>
            </w:r>
            <w:r w:rsidR="00487E56">
              <w:rPr>
                <w:rFonts w:cs="Arial"/>
                <w:color w:val="auto"/>
                <w:sz w:val="20"/>
                <w:szCs w:val="20"/>
                <w:lang w:eastAsia="en-GB"/>
              </w:rPr>
              <w:t>11.0</w:t>
            </w:r>
            <w:r w:rsidRPr="00CD6BEE">
              <w:rPr>
                <w:rFonts w:cs="Arial"/>
                <w:color w:val="auto"/>
                <w:sz w:val="20"/>
                <w:szCs w:val="20"/>
                <w:lang w:eastAsia="en-GB"/>
              </w:rPr>
              <w:t>)</w:t>
            </w:r>
          </w:p>
        </w:tc>
        <w:tc>
          <w:tcPr>
            <w:tcW w:w="1418"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CD6BEE" w:rsidRPr="00CD6BEE" w:rsidRDefault="00CD6BEE" w:rsidP="00CD6BEE">
            <w:pPr>
              <w:widowControl w:val="0"/>
              <w:spacing w:after="0" w:line="240" w:lineRule="auto"/>
              <w:jc w:val="center"/>
              <w:rPr>
                <w:rFonts w:cs="Arial"/>
                <w:bCs/>
                <w:color w:val="auto"/>
                <w:sz w:val="20"/>
                <w:szCs w:val="20"/>
                <w:lang w:eastAsia="en-GB"/>
              </w:rPr>
            </w:pPr>
            <w:r w:rsidRPr="00CD6BEE">
              <w:rPr>
                <w:rFonts w:cs="Arial"/>
                <w:bCs/>
                <w:color w:val="auto"/>
                <w:sz w:val="20"/>
                <w:szCs w:val="20"/>
                <w:lang w:eastAsia="en-GB"/>
              </w:rPr>
              <w:t>-</w:t>
            </w:r>
          </w:p>
        </w:tc>
        <w:tc>
          <w:tcPr>
            <w:tcW w:w="1417" w:type="dxa"/>
            <w:shd w:val="clear" w:color="auto" w:fill="auto"/>
            <w:noWrap/>
          </w:tcPr>
          <w:p w:rsidR="00CD6BEE" w:rsidRPr="00CD6BEE" w:rsidRDefault="00CD6BEE" w:rsidP="00487E5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CD6BEE">
              <w:rPr>
                <w:rFonts w:cs="Arial"/>
                <w:bCs/>
                <w:color w:val="auto"/>
                <w:sz w:val="20"/>
                <w:szCs w:val="20"/>
                <w:lang w:eastAsia="en-GB"/>
              </w:rPr>
              <w:t>(</w:t>
            </w:r>
            <w:r w:rsidR="00487E56">
              <w:rPr>
                <w:rFonts w:cs="Arial"/>
                <w:bCs/>
                <w:color w:val="auto"/>
                <w:sz w:val="20"/>
                <w:szCs w:val="20"/>
                <w:lang w:eastAsia="en-GB"/>
              </w:rPr>
              <w:t>11.0</w:t>
            </w:r>
            <w:r w:rsidRPr="00CD6BEE">
              <w:rPr>
                <w:rFonts w:cs="Arial"/>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CD6BEE" w:rsidRPr="00CD6BEE" w:rsidRDefault="00CD6BEE" w:rsidP="00CD6BEE">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w:t>
            </w:r>
          </w:p>
        </w:tc>
        <w:tc>
          <w:tcPr>
            <w:tcW w:w="1228" w:type="dxa"/>
            <w:shd w:val="clear" w:color="auto" w:fill="auto"/>
            <w:noWrap/>
          </w:tcPr>
          <w:p w:rsidR="00CD6BEE" w:rsidRPr="00CD6BEE" w:rsidRDefault="00CD6BEE" w:rsidP="00487E5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CD6BEE">
              <w:rPr>
                <w:rFonts w:cs="Arial"/>
                <w:bCs/>
                <w:color w:val="auto"/>
                <w:sz w:val="20"/>
                <w:szCs w:val="20"/>
                <w:lang w:eastAsia="en-GB"/>
              </w:rPr>
              <w:t>(</w:t>
            </w:r>
            <w:r w:rsidR="00487E56">
              <w:rPr>
                <w:rFonts w:cs="Arial"/>
                <w:bCs/>
                <w:color w:val="auto"/>
                <w:sz w:val="20"/>
                <w:szCs w:val="20"/>
                <w:lang w:eastAsia="en-GB"/>
              </w:rPr>
              <w:t>11.0</w:t>
            </w:r>
            <w:r w:rsidRPr="00CD6BEE">
              <w:rPr>
                <w:rFonts w:cs="Arial"/>
                <w:bCs/>
                <w:color w:val="auto"/>
                <w:sz w:val="20"/>
                <w:szCs w:val="20"/>
                <w:lang w:eastAsia="en-GB"/>
              </w:rPr>
              <w:t>)</w:t>
            </w:r>
          </w:p>
        </w:tc>
      </w:tr>
      <w:tr w:rsidR="00CD6BEE" w:rsidRPr="0005794A"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CD6BEE" w:rsidRPr="00CD6BEE" w:rsidRDefault="00CD6BEE" w:rsidP="00CD6BEE">
            <w:pPr>
              <w:widowControl w:val="0"/>
              <w:spacing w:after="0" w:line="240" w:lineRule="auto"/>
              <w:rPr>
                <w:rFonts w:cs="Arial"/>
                <w:b w:val="0"/>
                <w:color w:val="auto"/>
                <w:sz w:val="20"/>
                <w:szCs w:val="20"/>
                <w:lang w:eastAsia="en-GB"/>
              </w:rPr>
            </w:pPr>
            <w:r w:rsidRPr="00CD6BEE">
              <w:rPr>
                <w:rFonts w:cs="Arial"/>
                <w:b w:val="0"/>
                <w:color w:val="auto"/>
                <w:sz w:val="20"/>
                <w:szCs w:val="20"/>
                <w:lang w:eastAsia="en-GB"/>
              </w:rPr>
              <w:t>Other Comprehensive Expenditure and Income</w:t>
            </w:r>
          </w:p>
          <w:p w:rsidR="00CD6BEE" w:rsidRPr="00CD6BEE" w:rsidRDefault="00CD6BEE" w:rsidP="00CD6BEE">
            <w:pPr>
              <w:widowControl w:val="0"/>
              <w:spacing w:after="0" w:line="240" w:lineRule="auto"/>
              <w:rPr>
                <w:rFonts w:cs="Arial"/>
                <w:b w:val="0"/>
                <w:color w:val="auto"/>
                <w:sz w:val="20"/>
                <w:szCs w:val="20"/>
                <w:lang w:eastAsia="en-GB"/>
              </w:rPr>
            </w:pPr>
            <w:r w:rsidRPr="00CD6BEE">
              <w:rPr>
                <w:rFonts w:cs="Arial"/>
                <w:b w:val="0"/>
                <w:color w:val="auto"/>
                <w:sz w:val="20"/>
                <w:szCs w:val="20"/>
                <w:lang w:eastAsia="en-GB"/>
              </w:rPr>
              <w:t>(see C I&amp;E Statement)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CD6BEE" w:rsidRPr="00CD6BEE" w:rsidRDefault="00CD6BEE" w:rsidP="00CD6BEE">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w:t>
            </w:r>
          </w:p>
        </w:tc>
        <w:tc>
          <w:tcPr>
            <w:tcW w:w="1559"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CD6BEE" w:rsidRPr="00CD6BEE" w:rsidRDefault="00CD6BEE" w:rsidP="00CD6BEE">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w:t>
            </w:r>
          </w:p>
        </w:tc>
        <w:tc>
          <w:tcPr>
            <w:tcW w:w="1418"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CD6BEE" w:rsidRPr="00CD6BEE" w:rsidRDefault="00CD6BEE" w:rsidP="00CD6BEE">
            <w:pPr>
              <w:widowControl w:val="0"/>
              <w:spacing w:after="0" w:line="240" w:lineRule="auto"/>
              <w:jc w:val="center"/>
              <w:rPr>
                <w:rFonts w:cs="Arial"/>
                <w:bCs/>
                <w:color w:val="auto"/>
                <w:sz w:val="20"/>
                <w:szCs w:val="20"/>
                <w:lang w:eastAsia="en-GB"/>
              </w:rPr>
            </w:pPr>
            <w:r w:rsidRPr="00CD6BEE">
              <w:rPr>
                <w:rFonts w:cs="Arial"/>
                <w:bCs/>
                <w:color w:val="auto"/>
                <w:sz w:val="20"/>
                <w:szCs w:val="20"/>
                <w:lang w:eastAsia="en-GB"/>
              </w:rPr>
              <w:t>-</w:t>
            </w:r>
          </w:p>
        </w:tc>
        <w:tc>
          <w:tcPr>
            <w:tcW w:w="1417"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CD6BEE">
              <w:rPr>
                <w:rFonts w:cs="Arial"/>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CD6BEE" w:rsidRPr="00CD6BEE" w:rsidRDefault="00CD6BEE" w:rsidP="00CD6BEE">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(45.9)</w:t>
            </w:r>
          </w:p>
        </w:tc>
        <w:tc>
          <w:tcPr>
            <w:tcW w:w="1228"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CD6BEE">
              <w:rPr>
                <w:rFonts w:cs="Arial"/>
                <w:bCs/>
                <w:color w:val="auto"/>
                <w:sz w:val="20"/>
                <w:szCs w:val="20"/>
                <w:lang w:eastAsia="en-GB"/>
              </w:rPr>
              <w:t>(45.9)</w:t>
            </w:r>
          </w:p>
        </w:tc>
      </w:tr>
      <w:tr w:rsidR="00CD6BEE" w:rsidRPr="0005794A"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CD6BEE" w:rsidRPr="00CD6BEE" w:rsidRDefault="00CD6BEE" w:rsidP="00CD6BEE">
            <w:pPr>
              <w:widowControl w:val="0"/>
              <w:spacing w:after="0" w:line="240" w:lineRule="auto"/>
              <w:rPr>
                <w:rFonts w:cs="Arial"/>
                <w:bCs w:val="0"/>
                <w:color w:val="auto"/>
                <w:sz w:val="20"/>
                <w:szCs w:val="20"/>
                <w:lang w:eastAsia="en-GB"/>
              </w:rPr>
            </w:pPr>
            <w:r w:rsidRPr="00CD6BEE">
              <w:rPr>
                <w:rFonts w:cs="Arial"/>
                <w:bCs w:val="0"/>
                <w:color w:val="auto"/>
                <w:sz w:val="20"/>
                <w:szCs w:val="20"/>
                <w:lang w:eastAsia="en-GB"/>
              </w:rPr>
              <w:t>Total Comprehensive Expenditure and Income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CD6BEE" w:rsidRPr="00CD6BEE" w:rsidRDefault="00CD6BEE" w:rsidP="00CD6BEE">
            <w:pPr>
              <w:widowControl w:val="0"/>
              <w:spacing w:after="0" w:line="240" w:lineRule="auto"/>
              <w:jc w:val="center"/>
              <w:rPr>
                <w:rFonts w:cs="Arial"/>
                <w:b/>
                <w:color w:val="auto"/>
                <w:sz w:val="20"/>
                <w:szCs w:val="20"/>
                <w:lang w:eastAsia="en-GB"/>
              </w:rPr>
            </w:pPr>
            <w:r w:rsidRPr="00CD6BEE">
              <w:rPr>
                <w:rFonts w:cs="Arial"/>
                <w:b/>
                <w:color w:val="auto"/>
                <w:sz w:val="20"/>
                <w:szCs w:val="20"/>
                <w:lang w:eastAsia="en-GB"/>
              </w:rPr>
              <w:t>(11.0)</w:t>
            </w:r>
          </w:p>
        </w:tc>
        <w:tc>
          <w:tcPr>
            <w:tcW w:w="1559"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CD6BEE">
              <w:rPr>
                <w:rFonts w:cs="Arial"/>
                <w:b/>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CD6BEE" w:rsidRPr="00CD6BEE" w:rsidRDefault="00CD6BEE" w:rsidP="00CD6BEE">
            <w:pPr>
              <w:widowControl w:val="0"/>
              <w:spacing w:after="0" w:line="240" w:lineRule="auto"/>
              <w:jc w:val="center"/>
              <w:rPr>
                <w:rFonts w:cs="Arial"/>
                <w:b/>
                <w:color w:val="auto"/>
                <w:sz w:val="20"/>
                <w:szCs w:val="20"/>
                <w:lang w:eastAsia="en-GB"/>
              </w:rPr>
            </w:pPr>
            <w:r w:rsidRPr="00CD6BEE">
              <w:rPr>
                <w:rFonts w:cs="Arial"/>
                <w:b/>
                <w:color w:val="auto"/>
                <w:sz w:val="20"/>
                <w:szCs w:val="20"/>
                <w:lang w:eastAsia="en-GB"/>
              </w:rPr>
              <w:t>(11.0)</w:t>
            </w:r>
          </w:p>
        </w:tc>
        <w:tc>
          <w:tcPr>
            <w:tcW w:w="1418"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CD6BEE">
              <w:rPr>
                <w:rFonts w:cs="Arial"/>
                <w:b/>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w:t>
            </w:r>
          </w:p>
        </w:tc>
        <w:tc>
          <w:tcPr>
            <w:tcW w:w="1417"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CD6BEE">
              <w:rPr>
                <w:rFonts w:cs="Arial"/>
                <w:b/>
                <w:bCs/>
                <w:color w:val="auto"/>
                <w:sz w:val="20"/>
                <w:szCs w:val="20"/>
                <w:lang w:eastAsia="en-GB"/>
              </w:rPr>
              <w:t>(11.0)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(45.9)</w:t>
            </w:r>
          </w:p>
        </w:tc>
        <w:tc>
          <w:tcPr>
            <w:tcW w:w="1228"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CD6BEE">
              <w:rPr>
                <w:rFonts w:cs="Arial"/>
                <w:b/>
                <w:bCs/>
                <w:color w:val="auto"/>
                <w:sz w:val="20"/>
                <w:szCs w:val="20"/>
                <w:lang w:eastAsia="en-GB"/>
              </w:rPr>
              <w:t>(56.9)</w:t>
            </w:r>
          </w:p>
        </w:tc>
      </w:tr>
      <w:tr w:rsidR="00CD6BEE" w:rsidRPr="0005794A"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CD6BEE" w:rsidRPr="00CD6BEE" w:rsidRDefault="00CD6BEE" w:rsidP="00CD6BEE">
            <w:pPr>
              <w:widowControl w:val="0"/>
              <w:spacing w:after="0" w:line="240" w:lineRule="auto"/>
              <w:rPr>
                <w:rFonts w:cs="Arial"/>
                <w:b w:val="0"/>
                <w:color w:val="auto"/>
                <w:sz w:val="20"/>
                <w:szCs w:val="20"/>
                <w:lang w:eastAsia="en-GB"/>
              </w:rPr>
            </w:pPr>
            <w:r w:rsidRPr="00CD6BEE">
              <w:rPr>
                <w:rFonts w:cs="Arial"/>
                <w:b w:val="0"/>
                <w:color w:val="auto"/>
                <w:sz w:val="20"/>
                <w:szCs w:val="20"/>
                <w:lang w:eastAsia="en-GB"/>
              </w:rPr>
              <w:t>Adjustments between accounting basis &amp; funding basis under regulations (Note 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CD6BEE" w:rsidRPr="00CD6BEE" w:rsidRDefault="00CD6BEE" w:rsidP="00CD6BEE">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8.9</w:t>
            </w:r>
          </w:p>
        </w:tc>
        <w:tc>
          <w:tcPr>
            <w:tcW w:w="1559"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CD6BEE" w:rsidRPr="00CD6BEE" w:rsidRDefault="00CD6BEE" w:rsidP="00CD6BEE">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8.9</w:t>
            </w:r>
          </w:p>
        </w:tc>
        <w:tc>
          <w:tcPr>
            <w:tcW w:w="1418"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CD6BEE" w:rsidRPr="00CD6BEE" w:rsidRDefault="00CD6BEE" w:rsidP="00CD6BEE">
            <w:pPr>
              <w:widowControl w:val="0"/>
              <w:spacing w:after="0" w:line="240" w:lineRule="auto"/>
              <w:jc w:val="center"/>
              <w:rPr>
                <w:rFonts w:cs="Arial"/>
                <w:bCs/>
                <w:color w:val="auto"/>
                <w:sz w:val="20"/>
                <w:szCs w:val="20"/>
                <w:lang w:eastAsia="en-GB"/>
              </w:rPr>
            </w:pPr>
            <w:r w:rsidRPr="00CD6BEE">
              <w:rPr>
                <w:rFonts w:cs="Arial"/>
                <w:bCs/>
                <w:color w:val="auto"/>
                <w:sz w:val="20"/>
                <w:szCs w:val="20"/>
                <w:lang w:eastAsia="en-GB"/>
              </w:rPr>
              <w:t>3.0</w:t>
            </w:r>
          </w:p>
        </w:tc>
        <w:tc>
          <w:tcPr>
            <w:tcW w:w="1417"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CD6BEE">
              <w:rPr>
                <w:rFonts w:cs="Arial"/>
                <w:bCs/>
                <w:color w:val="auto"/>
                <w:sz w:val="20"/>
                <w:szCs w:val="20"/>
                <w:lang w:eastAsia="en-GB"/>
              </w:rPr>
              <w:t>12.6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CD6BEE" w:rsidRPr="00CD6BEE" w:rsidRDefault="00CD6BEE" w:rsidP="00CD6BEE">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(12.6)</w:t>
            </w:r>
          </w:p>
        </w:tc>
        <w:tc>
          <w:tcPr>
            <w:tcW w:w="1228"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CD6BEE">
              <w:rPr>
                <w:rFonts w:cs="Arial"/>
                <w:bCs/>
                <w:color w:val="auto"/>
                <w:sz w:val="20"/>
                <w:szCs w:val="20"/>
                <w:lang w:eastAsia="en-GB"/>
              </w:rPr>
              <w:t>0</w:t>
            </w:r>
          </w:p>
        </w:tc>
      </w:tr>
      <w:tr w:rsidR="00CD6BEE" w:rsidRPr="0005794A"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CD6BEE" w:rsidRPr="00CD6BEE" w:rsidRDefault="00CD6BEE" w:rsidP="00CD6BEE">
            <w:pPr>
              <w:widowControl w:val="0"/>
              <w:spacing w:after="0" w:line="240" w:lineRule="auto"/>
              <w:rPr>
                <w:rFonts w:cs="Arial"/>
                <w:bCs w:val="0"/>
                <w:color w:val="auto"/>
                <w:sz w:val="20"/>
                <w:szCs w:val="20"/>
                <w:lang w:eastAsia="en-GB"/>
              </w:rPr>
            </w:pPr>
            <w:r w:rsidRPr="00CD6BEE">
              <w:rPr>
                <w:rFonts w:cs="Arial"/>
                <w:bCs w:val="0"/>
                <w:color w:val="auto"/>
                <w:sz w:val="20"/>
                <w:szCs w:val="20"/>
                <w:lang w:eastAsia="en-GB"/>
              </w:rPr>
              <w:t>Net Increase/Decrease before Transfers to Earmarked Reserves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(2.1)</w:t>
            </w:r>
          </w:p>
        </w:tc>
        <w:tc>
          <w:tcPr>
            <w:tcW w:w="1559"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CD6BEE">
              <w:rPr>
                <w:rFonts w:cs="Arial"/>
                <w:b/>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(2.1)</w:t>
            </w:r>
          </w:p>
        </w:tc>
        <w:tc>
          <w:tcPr>
            <w:tcW w:w="1418"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CD6BEE">
              <w:rPr>
                <w:rFonts w:cs="Arial"/>
                <w:b/>
                <w:bCs/>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3.0</w:t>
            </w:r>
          </w:p>
        </w:tc>
        <w:tc>
          <w:tcPr>
            <w:tcW w:w="1417"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CD6BEE">
              <w:rPr>
                <w:rFonts w:cs="Arial"/>
                <w:b/>
                <w:bCs/>
                <w:color w:val="auto"/>
                <w:sz w:val="20"/>
                <w:szCs w:val="20"/>
                <w:lang w:eastAsia="en-GB"/>
              </w:rPr>
              <w:t>1.6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(58.5)</w:t>
            </w:r>
          </w:p>
        </w:tc>
        <w:tc>
          <w:tcPr>
            <w:tcW w:w="1228"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CD6BEE">
              <w:rPr>
                <w:rFonts w:cs="Arial"/>
                <w:b/>
                <w:bCs/>
                <w:color w:val="auto"/>
                <w:sz w:val="20"/>
                <w:szCs w:val="20"/>
                <w:lang w:eastAsia="en-GB"/>
              </w:rPr>
              <w:t>(56.9)</w:t>
            </w:r>
          </w:p>
        </w:tc>
      </w:tr>
      <w:tr w:rsidR="00CD6BEE" w:rsidRPr="0005794A"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CD6BEE" w:rsidRPr="00CD6BEE" w:rsidRDefault="00CD6BEE" w:rsidP="00CD6BEE">
            <w:pPr>
              <w:widowControl w:val="0"/>
              <w:spacing w:after="0" w:line="240" w:lineRule="auto"/>
              <w:rPr>
                <w:rFonts w:cs="Arial"/>
                <w:b w:val="0"/>
                <w:color w:val="auto"/>
                <w:sz w:val="20"/>
                <w:szCs w:val="20"/>
                <w:lang w:eastAsia="en-GB"/>
              </w:rPr>
            </w:pPr>
            <w:r w:rsidRPr="00CD6BEE">
              <w:rPr>
                <w:rFonts w:cs="Arial"/>
                <w:b w:val="0"/>
                <w:color w:val="auto"/>
                <w:sz w:val="20"/>
                <w:szCs w:val="20"/>
                <w:lang w:eastAsia="en-GB"/>
              </w:rPr>
              <w:t>Transfers to/from Earmarked Reserves (Note 10)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CD6BEE" w:rsidRPr="00CD6BEE" w:rsidRDefault="00CD6BEE" w:rsidP="00CD6BEE">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2.3</w:t>
            </w:r>
          </w:p>
        </w:tc>
        <w:tc>
          <w:tcPr>
            <w:tcW w:w="1559"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(2.3)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CD6BEE" w:rsidRPr="00CD6BEE" w:rsidRDefault="00CD6BEE" w:rsidP="00CD6BEE">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0</w:t>
            </w:r>
          </w:p>
        </w:tc>
        <w:tc>
          <w:tcPr>
            <w:tcW w:w="1418"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CD6BEE" w:rsidRPr="00CD6BEE" w:rsidRDefault="00CD6BEE" w:rsidP="00CD6BEE">
            <w:pPr>
              <w:widowControl w:val="0"/>
              <w:spacing w:after="0" w:line="240" w:lineRule="auto"/>
              <w:jc w:val="center"/>
              <w:rPr>
                <w:rFonts w:cs="Arial"/>
                <w:bCs/>
                <w:color w:val="auto"/>
                <w:sz w:val="20"/>
                <w:szCs w:val="20"/>
                <w:lang w:eastAsia="en-GB"/>
              </w:rPr>
            </w:pPr>
            <w:r w:rsidRPr="00CD6BEE">
              <w:rPr>
                <w:rFonts w:cs="Arial"/>
                <w:bCs/>
                <w:color w:val="auto"/>
                <w:sz w:val="20"/>
                <w:szCs w:val="20"/>
                <w:lang w:eastAsia="en-GB"/>
              </w:rPr>
              <w:t>-</w:t>
            </w:r>
          </w:p>
        </w:tc>
        <w:tc>
          <w:tcPr>
            <w:tcW w:w="1417"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CD6BEE">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CD6BEE" w:rsidRPr="00CD6BEE" w:rsidRDefault="00CD6BEE" w:rsidP="00CD6BEE">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0</w:t>
            </w:r>
          </w:p>
        </w:tc>
        <w:tc>
          <w:tcPr>
            <w:tcW w:w="1228"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CD6BEE">
              <w:rPr>
                <w:rFonts w:cs="Arial"/>
                <w:bCs/>
                <w:color w:val="auto"/>
                <w:sz w:val="20"/>
                <w:szCs w:val="20"/>
                <w:lang w:eastAsia="en-GB"/>
              </w:rPr>
              <w:t>0</w:t>
            </w:r>
          </w:p>
        </w:tc>
      </w:tr>
      <w:tr w:rsidR="00CD6BEE" w:rsidRPr="0005794A" w:rsidTr="00D1188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CD6BEE" w:rsidRPr="00CD6BEE" w:rsidRDefault="00CD6BEE" w:rsidP="00CD6BEE">
            <w:pPr>
              <w:widowControl w:val="0"/>
              <w:spacing w:after="0" w:line="240" w:lineRule="auto"/>
              <w:rPr>
                <w:rFonts w:cs="Arial"/>
                <w:bCs w:val="0"/>
                <w:color w:val="auto"/>
                <w:sz w:val="20"/>
                <w:szCs w:val="20"/>
                <w:lang w:eastAsia="en-GB"/>
              </w:rPr>
            </w:pPr>
            <w:r w:rsidRPr="00CD6BEE">
              <w:rPr>
                <w:rFonts w:cs="Arial"/>
                <w:bCs w:val="0"/>
                <w:color w:val="auto"/>
                <w:sz w:val="20"/>
                <w:szCs w:val="20"/>
                <w:lang w:eastAsia="en-GB"/>
              </w:rPr>
              <w:t>Increase/(Decrease) in Year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CD6BEE" w:rsidRPr="00CD6BEE" w:rsidRDefault="00CD6BEE" w:rsidP="00CD6BEE">
            <w:pPr>
              <w:widowControl w:val="0"/>
              <w:spacing w:after="0" w:line="240" w:lineRule="auto"/>
              <w:jc w:val="center"/>
              <w:rPr>
                <w:rFonts w:cs="Arial"/>
                <w:b/>
                <w:color w:val="auto"/>
                <w:sz w:val="20"/>
                <w:szCs w:val="20"/>
                <w:lang w:eastAsia="en-GB"/>
              </w:rPr>
            </w:pPr>
            <w:r w:rsidRPr="00CD6BEE">
              <w:rPr>
                <w:rFonts w:cs="Arial"/>
                <w:b/>
                <w:color w:val="auto"/>
                <w:sz w:val="20"/>
                <w:szCs w:val="20"/>
                <w:lang w:eastAsia="en-GB"/>
              </w:rPr>
              <w:t>0.2</w:t>
            </w:r>
          </w:p>
        </w:tc>
        <w:tc>
          <w:tcPr>
            <w:tcW w:w="1559"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CD6BEE">
              <w:rPr>
                <w:rFonts w:cs="Arial"/>
                <w:b/>
                <w:color w:val="auto"/>
                <w:sz w:val="20"/>
                <w:szCs w:val="20"/>
                <w:lang w:eastAsia="en-GB"/>
              </w:rPr>
              <w:t>(2.3)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CD6BEE" w:rsidRPr="00CD6BEE" w:rsidRDefault="00CD6BEE" w:rsidP="00CD6BEE">
            <w:pPr>
              <w:widowControl w:val="0"/>
              <w:spacing w:after="0" w:line="240" w:lineRule="auto"/>
              <w:jc w:val="center"/>
              <w:rPr>
                <w:rFonts w:cs="Arial"/>
                <w:b/>
                <w:color w:val="auto"/>
                <w:sz w:val="20"/>
                <w:szCs w:val="20"/>
                <w:lang w:eastAsia="en-GB"/>
              </w:rPr>
            </w:pPr>
            <w:r w:rsidRPr="00CD6BEE">
              <w:rPr>
                <w:rFonts w:cs="Arial"/>
                <w:b/>
                <w:color w:val="auto"/>
                <w:sz w:val="20"/>
                <w:szCs w:val="20"/>
                <w:lang w:eastAsia="en-GB"/>
              </w:rPr>
              <w:t>(2.1)</w:t>
            </w:r>
          </w:p>
        </w:tc>
        <w:tc>
          <w:tcPr>
            <w:tcW w:w="1418"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CD6BEE">
              <w:rPr>
                <w:rFonts w:cs="Arial"/>
                <w:b/>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3.0</w:t>
            </w:r>
          </w:p>
        </w:tc>
        <w:tc>
          <w:tcPr>
            <w:tcW w:w="1417"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CD6BEE">
              <w:rPr>
                <w:rFonts w:cs="Arial"/>
                <w:b/>
                <w:bCs/>
                <w:color w:val="auto"/>
                <w:sz w:val="20"/>
                <w:szCs w:val="20"/>
                <w:lang w:eastAsia="en-GB"/>
              </w:rPr>
              <w:t>1.6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CD6BEE" w:rsidRPr="00CD6BEE" w:rsidRDefault="00CD6BEE" w:rsidP="00CD6BEE">
            <w:pPr>
              <w:widowControl w:val="0"/>
              <w:spacing w:after="0" w:line="240" w:lineRule="auto"/>
              <w:jc w:val="center"/>
              <w:rPr>
                <w:rFonts w:cs="Arial"/>
                <w:b/>
                <w:color w:val="auto"/>
                <w:sz w:val="20"/>
                <w:szCs w:val="20"/>
                <w:lang w:eastAsia="en-GB"/>
              </w:rPr>
            </w:pPr>
            <w:r w:rsidRPr="00CD6BEE">
              <w:rPr>
                <w:rFonts w:cs="Arial"/>
                <w:b/>
                <w:color w:val="auto"/>
                <w:sz w:val="20"/>
                <w:szCs w:val="20"/>
                <w:lang w:eastAsia="en-GB"/>
              </w:rPr>
              <w:t>(58.5)</w:t>
            </w:r>
          </w:p>
        </w:tc>
        <w:tc>
          <w:tcPr>
            <w:tcW w:w="1228" w:type="dxa"/>
            <w:shd w:val="clear" w:color="auto" w:fill="auto"/>
            <w:noWrap/>
          </w:tcPr>
          <w:p w:rsidR="00CD6BEE" w:rsidRPr="00CD6BEE" w:rsidRDefault="00CD6BEE" w:rsidP="00CD6B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CD6BEE">
              <w:rPr>
                <w:rFonts w:cs="Arial"/>
                <w:b/>
                <w:bCs/>
                <w:color w:val="auto"/>
                <w:sz w:val="20"/>
                <w:szCs w:val="20"/>
                <w:lang w:eastAsia="en-GB"/>
              </w:rPr>
              <w:t>(56.9)</w:t>
            </w:r>
          </w:p>
        </w:tc>
      </w:tr>
      <w:tr w:rsidR="00CD6BEE" w:rsidRPr="0005794A" w:rsidTr="00D1188F">
        <w:trPr>
          <w:trHeight w:val="261"/>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CD6BEE" w:rsidRPr="00CD6BEE" w:rsidRDefault="00CD6BEE" w:rsidP="00CD6BEE">
            <w:pPr>
              <w:widowControl w:val="0"/>
              <w:spacing w:after="0" w:line="240" w:lineRule="auto"/>
              <w:rPr>
                <w:rFonts w:cs="Arial"/>
                <w:bCs w:val="0"/>
                <w:color w:val="auto"/>
                <w:sz w:val="20"/>
                <w:szCs w:val="20"/>
                <w:lang w:eastAsia="en-GB"/>
              </w:rPr>
            </w:pPr>
            <w:r w:rsidRPr="00CD6BEE">
              <w:rPr>
                <w:rFonts w:cs="Arial"/>
                <w:bCs w:val="0"/>
                <w:color w:val="auto"/>
                <w:sz w:val="20"/>
                <w:szCs w:val="20"/>
                <w:lang w:eastAsia="en-GB"/>
              </w:rPr>
              <w:t>Balance at 31st March 2017 carried forward</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CD6BEE" w:rsidRPr="00CD6BEE" w:rsidRDefault="00CD6BEE" w:rsidP="00CD6BEE">
            <w:pPr>
              <w:widowControl w:val="0"/>
              <w:spacing w:after="0" w:line="240" w:lineRule="auto"/>
              <w:jc w:val="center"/>
              <w:rPr>
                <w:rFonts w:cs="Arial"/>
                <w:b/>
                <w:color w:val="auto"/>
                <w:sz w:val="20"/>
                <w:szCs w:val="20"/>
                <w:lang w:eastAsia="en-GB"/>
              </w:rPr>
            </w:pPr>
            <w:r w:rsidRPr="00CD6BEE">
              <w:rPr>
                <w:rFonts w:cs="Arial"/>
                <w:b/>
                <w:color w:val="auto"/>
                <w:sz w:val="20"/>
                <w:szCs w:val="20"/>
                <w:lang w:eastAsia="en-GB"/>
              </w:rPr>
              <w:t>4.6</w:t>
            </w:r>
          </w:p>
        </w:tc>
        <w:tc>
          <w:tcPr>
            <w:tcW w:w="1559"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CD6BEE">
              <w:rPr>
                <w:rFonts w:cs="Arial"/>
                <w:b/>
                <w:color w:val="auto"/>
                <w:sz w:val="20"/>
                <w:szCs w:val="20"/>
                <w:lang w:eastAsia="en-GB"/>
              </w:rPr>
              <w:t>23.0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CD6BEE" w:rsidRPr="00CD6BEE" w:rsidRDefault="00CD6BEE" w:rsidP="00CD6BEE">
            <w:pPr>
              <w:widowControl w:val="0"/>
              <w:spacing w:after="0" w:line="240" w:lineRule="auto"/>
              <w:jc w:val="center"/>
              <w:rPr>
                <w:rFonts w:cs="Arial"/>
                <w:b/>
                <w:color w:val="auto"/>
                <w:sz w:val="20"/>
                <w:szCs w:val="20"/>
                <w:lang w:eastAsia="en-GB"/>
              </w:rPr>
            </w:pPr>
            <w:r w:rsidRPr="00CD6BEE">
              <w:rPr>
                <w:rFonts w:cs="Arial"/>
                <w:b/>
                <w:color w:val="auto"/>
                <w:sz w:val="20"/>
                <w:szCs w:val="20"/>
                <w:lang w:eastAsia="en-GB"/>
              </w:rPr>
              <w:t>27.6</w:t>
            </w:r>
          </w:p>
        </w:tc>
        <w:tc>
          <w:tcPr>
            <w:tcW w:w="1418"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CD6BEE">
              <w:rPr>
                <w:rFonts w:cs="Arial"/>
                <w:b/>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7.2</w:t>
            </w:r>
          </w:p>
        </w:tc>
        <w:tc>
          <w:tcPr>
            <w:tcW w:w="1417"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CD6BEE">
              <w:rPr>
                <w:rFonts w:cs="Arial"/>
                <w:b/>
                <w:bCs/>
                <w:color w:val="auto"/>
                <w:sz w:val="20"/>
                <w:szCs w:val="20"/>
                <w:lang w:eastAsia="en-GB"/>
              </w:rPr>
              <w:t>36.9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CD6BEE" w:rsidRPr="00CD6BEE" w:rsidRDefault="00CD6BEE" w:rsidP="00CD6BEE">
            <w:pPr>
              <w:widowControl w:val="0"/>
              <w:spacing w:after="0" w:line="240" w:lineRule="auto"/>
              <w:jc w:val="center"/>
              <w:rPr>
                <w:rFonts w:cs="Arial"/>
                <w:b/>
                <w:bCs/>
                <w:color w:val="auto"/>
                <w:sz w:val="20"/>
                <w:szCs w:val="20"/>
                <w:lang w:eastAsia="en-GB"/>
              </w:rPr>
            </w:pPr>
            <w:r w:rsidRPr="00CD6BEE">
              <w:rPr>
                <w:rFonts w:cs="Arial"/>
                <w:b/>
                <w:bCs/>
                <w:color w:val="auto"/>
                <w:sz w:val="20"/>
                <w:szCs w:val="20"/>
                <w:lang w:eastAsia="en-GB"/>
              </w:rPr>
              <w:t>(46.5)</w:t>
            </w:r>
          </w:p>
        </w:tc>
        <w:tc>
          <w:tcPr>
            <w:tcW w:w="1228" w:type="dxa"/>
            <w:shd w:val="clear" w:color="auto" w:fill="auto"/>
            <w:noWrap/>
          </w:tcPr>
          <w:p w:rsidR="00CD6BEE" w:rsidRPr="00CD6BEE" w:rsidRDefault="00CD6BEE" w:rsidP="00CD6B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CD6BEE">
              <w:rPr>
                <w:rFonts w:cs="Arial"/>
                <w:b/>
                <w:color w:val="auto"/>
                <w:sz w:val="20"/>
                <w:szCs w:val="20"/>
                <w:lang w:eastAsia="en-GB"/>
              </w:rPr>
              <w:t>(9.6)</w:t>
            </w:r>
          </w:p>
        </w:tc>
      </w:tr>
    </w:tbl>
    <w:p w:rsidR="00763E74" w:rsidRPr="0005794A" w:rsidRDefault="00763E74" w:rsidP="00763E74">
      <w:pPr>
        <w:widowControl w:val="0"/>
        <w:rPr>
          <w:b/>
          <w:color w:val="548DD4" w:themeColor="text2" w:themeTint="99"/>
          <w:sz w:val="24"/>
          <w:szCs w:val="24"/>
        </w:rPr>
      </w:pPr>
    </w:p>
    <w:p w:rsidR="00F113A6" w:rsidRPr="0005794A" w:rsidRDefault="00F113A6" w:rsidP="00763E74">
      <w:pPr>
        <w:widowControl w:val="0"/>
        <w:rPr>
          <w:b/>
          <w:color w:val="548DD4" w:themeColor="text2" w:themeTint="99"/>
          <w:sz w:val="24"/>
          <w:szCs w:val="24"/>
        </w:rPr>
      </w:pPr>
    </w:p>
    <w:p w:rsidR="00763E74" w:rsidRPr="00CD6BEE" w:rsidRDefault="00763E74" w:rsidP="008D0906">
      <w:pPr>
        <w:widowControl w:val="0"/>
        <w:outlineLvl w:val="0"/>
        <w:rPr>
          <w:b/>
          <w:color w:val="auto"/>
          <w:sz w:val="24"/>
          <w:szCs w:val="24"/>
        </w:rPr>
      </w:pPr>
      <w:r w:rsidRPr="00CD6BEE">
        <w:rPr>
          <w:b/>
          <w:color w:val="auto"/>
          <w:sz w:val="24"/>
          <w:szCs w:val="24"/>
        </w:rPr>
        <w:lastRenderedPageBreak/>
        <w:t>Movement in Reserves Statement</w:t>
      </w:r>
    </w:p>
    <w:p w:rsidR="00763E74" w:rsidRPr="00CD6BEE" w:rsidRDefault="00763E74" w:rsidP="000D3AFB">
      <w:pPr>
        <w:rPr>
          <w:b/>
          <w:color w:val="auto"/>
        </w:rPr>
      </w:pPr>
    </w:p>
    <w:tbl>
      <w:tblPr>
        <w:tblStyle w:val="GridTable4-Accent51"/>
        <w:tblW w:w="15654" w:type="dxa"/>
        <w:tblInd w:w="-847" w:type="dxa"/>
        <w:tblLayout w:type="fixed"/>
        <w:tblLook w:val="00A0" w:firstRow="1" w:lastRow="0" w:firstColumn="1" w:lastColumn="0" w:noHBand="0" w:noVBand="0"/>
      </w:tblPr>
      <w:tblGrid>
        <w:gridCol w:w="4597"/>
        <w:gridCol w:w="1134"/>
        <w:gridCol w:w="1559"/>
        <w:gridCol w:w="1418"/>
        <w:gridCol w:w="1418"/>
        <w:gridCol w:w="1465"/>
        <w:gridCol w:w="1417"/>
        <w:gridCol w:w="1418"/>
        <w:gridCol w:w="1228"/>
      </w:tblGrid>
      <w:tr w:rsidR="00D1188F" w:rsidRPr="0005794A" w:rsidTr="00D1188F">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tcBorders>
              <w:bottom w:val="nil"/>
            </w:tcBorders>
            <w:noWrap/>
          </w:tcPr>
          <w:p w:rsidR="00D1188F" w:rsidRPr="00CD6BEE" w:rsidRDefault="00CD6BEE" w:rsidP="0035086E">
            <w:pPr>
              <w:widowControl w:val="0"/>
              <w:spacing w:after="0" w:line="240" w:lineRule="auto"/>
              <w:rPr>
                <w:rFonts w:cs="Arial"/>
                <w:bCs w:val="0"/>
                <w:color w:val="auto"/>
                <w:sz w:val="24"/>
                <w:szCs w:val="24"/>
                <w:lang w:eastAsia="en-GB"/>
              </w:rPr>
            </w:pPr>
            <w:r w:rsidRPr="00CD6BEE">
              <w:rPr>
                <w:rFonts w:cs="Arial"/>
                <w:bCs w:val="0"/>
                <w:color w:val="auto"/>
                <w:sz w:val="24"/>
                <w:szCs w:val="24"/>
                <w:lang w:eastAsia="en-GB"/>
              </w:rPr>
              <w:t>2017/18</w:t>
            </w:r>
          </w:p>
        </w:tc>
        <w:tc>
          <w:tcPr>
            <w:cnfStyle w:val="000010000000" w:firstRow="0" w:lastRow="0" w:firstColumn="0" w:lastColumn="0" w:oddVBand="1" w:evenVBand="0" w:oddHBand="0" w:evenHBand="0" w:firstRowFirstColumn="0" w:firstRowLastColumn="0" w:lastRowFirstColumn="0" w:lastRowLastColumn="0"/>
            <w:tcW w:w="1134" w:type="dxa"/>
            <w:tcBorders>
              <w:bottom w:val="nil"/>
            </w:tcBorders>
            <w:noWrap/>
          </w:tcPr>
          <w:p w:rsidR="00D1188F" w:rsidRPr="00CD6BEE" w:rsidRDefault="00D1188F" w:rsidP="001742A7">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General</w:t>
            </w:r>
          </w:p>
          <w:p w:rsidR="00D1188F" w:rsidRPr="00CD6BEE" w:rsidRDefault="00D1188F" w:rsidP="001742A7">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Fund</w:t>
            </w:r>
          </w:p>
          <w:p w:rsidR="00D1188F" w:rsidRPr="00CD6BEE" w:rsidRDefault="00D1188F" w:rsidP="001742A7">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Balance</w:t>
            </w:r>
          </w:p>
        </w:tc>
        <w:tc>
          <w:tcPr>
            <w:tcW w:w="1559" w:type="dxa"/>
            <w:tcBorders>
              <w:bottom w:val="nil"/>
            </w:tcBorders>
            <w:noWrap/>
          </w:tcPr>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Earmarked</w:t>
            </w:r>
          </w:p>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General Fund</w:t>
            </w:r>
          </w:p>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Reserves</w:t>
            </w:r>
          </w:p>
        </w:tc>
        <w:tc>
          <w:tcPr>
            <w:cnfStyle w:val="000010000000" w:firstRow="0" w:lastRow="0" w:firstColumn="0" w:lastColumn="0" w:oddVBand="1" w:evenVBand="0" w:oddHBand="0" w:evenHBand="0" w:firstRowFirstColumn="0" w:firstRowLastColumn="0" w:lastRowFirstColumn="0" w:lastRowLastColumn="0"/>
            <w:tcW w:w="1418" w:type="dxa"/>
            <w:tcBorders>
              <w:bottom w:val="nil"/>
            </w:tcBorders>
          </w:tcPr>
          <w:p w:rsidR="00D1188F" w:rsidRPr="00CD6BEE" w:rsidRDefault="00D22B37" w:rsidP="001742A7">
            <w:pPr>
              <w:widowControl w:val="0"/>
              <w:spacing w:after="0" w:line="240" w:lineRule="auto"/>
              <w:jc w:val="center"/>
              <w:rPr>
                <w:rFonts w:cs="Arial"/>
                <w:color w:val="auto"/>
                <w:sz w:val="18"/>
                <w:szCs w:val="18"/>
                <w:lang w:eastAsia="en-GB"/>
              </w:rPr>
            </w:pPr>
            <w:r w:rsidRPr="00CD6BEE">
              <w:rPr>
                <w:rFonts w:cs="Arial"/>
                <w:color w:val="auto"/>
                <w:sz w:val="18"/>
                <w:szCs w:val="18"/>
                <w:lang w:eastAsia="en-GB"/>
              </w:rPr>
              <w:t>Sub Total Revenue Reserves</w:t>
            </w:r>
          </w:p>
        </w:tc>
        <w:tc>
          <w:tcPr>
            <w:tcW w:w="1418" w:type="dxa"/>
            <w:tcBorders>
              <w:bottom w:val="nil"/>
            </w:tcBorders>
            <w:noWrap/>
          </w:tcPr>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Capital</w:t>
            </w:r>
          </w:p>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Receipts</w:t>
            </w:r>
          </w:p>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Reserve</w:t>
            </w:r>
          </w:p>
        </w:tc>
        <w:tc>
          <w:tcPr>
            <w:cnfStyle w:val="000010000000" w:firstRow="0" w:lastRow="0" w:firstColumn="0" w:lastColumn="0" w:oddVBand="1" w:evenVBand="0" w:oddHBand="0" w:evenHBand="0" w:firstRowFirstColumn="0" w:firstRowLastColumn="0" w:lastRowFirstColumn="0" w:lastRowLastColumn="0"/>
            <w:tcW w:w="1465" w:type="dxa"/>
            <w:tcBorders>
              <w:bottom w:val="nil"/>
            </w:tcBorders>
          </w:tcPr>
          <w:p w:rsidR="00D1188F" w:rsidRPr="00CD6BEE" w:rsidRDefault="00D1188F" w:rsidP="001742A7">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Capital Grants Unapplied Account</w:t>
            </w:r>
          </w:p>
          <w:p w:rsidR="00D1188F" w:rsidRPr="00CD6BEE" w:rsidRDefault="00D1188F" w:rsidP="001742A7">
            <w:pPr>
              <w:widowControl w:val="0"/>
              <w:spacing w:after="0" w:line="240" w:lineRule="auto"/>
              <w:jc w:val="center"/>
              <w:rPr>
                <w:rFonts w:cs="Arial"/>
                <w:bCs w:val="0"/>
                <w:color w:val="auto"/>
                <w:sz w:val="18"/>
                <w:szCs w:val="18"/>
                <w:lang w:eastAsia="en-GB"/>
              </w:rPr>
            </w:pPr>
          </w:p>
        </w:tc>
        <w:tc>
          <w:tcPr>
            <w:tcW w:w="1417" w:type="dxa"/>
            <w:tcBorders>
              <w:bottom w:val="nil"/>
            </w:tcBorders>
            <w:noWrap/>
          </w:tcPr>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Total</w:t>
            </w:r>
          </w:p>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Usable</w:t>
            </w:r>
          </w:p>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Reserves</w:t>
            </w:r>
          </w:p>
        </w:tc>
        <w:tc>
          <w:tcPr>
            <w:cnfStyle w:val="000010000000" w:firstRow="0" w:lastRow="0" w:firstColumn="0" w:lastColumn="0" w:oddVBand="1" w:evenVBand="0" w:oddHBand="0" w:evenHBand="0" w:firstRowFirstColumn="0" w:firstRowLastColumn="0" w:lastRowFirstColumn="0" w:lastRowLastColumn="0"/>
            <w:tcW w:w="1418" w:type="dxa"/>
            <w:tcBorders>
              <w:bottom w:val="nil"/>
            </w:tcBorders>
            <w:noWrap/>
          </w:tcPr>
          <w:p w:rsidR="00D1188F" w:rsidRPr="00CD6BEE" w:rsidRDefault="00D1188F" w:rsidP="001742A7">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Unusable</w:t>
            </w:r>
          </w:p>
          <w:p w:rsidR="00D1188F" w:rsidRPr="00CD6BEE" w:rsidRDefault="00D1188F" w:rsidP="001742A7">
            <w:pPr>
              <w:widowControl w:val="0"/>
              <w:spacing w:after="0" w:line="240" w:lineRule="auto"/>
              <w:jc w:val="center"/>
              <w:rPr>
                <w:rFonts w:cs="Arial"/>
                <w:bCs w:val="0"/>
                <w:color w:val="auto"/>
                <w:sz w:val="18"/>
                <w:szCs w:val="18"/>
                <w:lang w:eastAsia="en-GB"/>
              </w:rPr>
            </w:pPr>
            <w:r w:rsidRPr="00CD6BEE">
              <w:rPr>
                <w:rFonts w:cs="Arial"/>
                <w:bCs w:val="0"/>
                <w:color w:val="auto"/>
                <w:sz w:val="18"/>
                <w:szCs w:val="18"/>
                <w:lang w:eastAsia="en-GB"/>
              </w:rPr>
              <w:t>Reserves</w:t>
            </w:r>
          </w:p>
          <w:p w:rsidR="00D1188F" w:rsidRPr="00CD6BEE" w:rsidRDefault="00D1188F" w:rsidP="001742A7">
            <w:pPr>
              <w:widowControl w:val="0"/>
              <w:spacing w:after="0" w:line="240" w:lineRule="auto"/>
              <w:jc w:val="center"/>
              <w:rPr>
                <w:rFonts w:cs="Arial"/>
                <w:bCs w:val="0"/>
                <w:color w:val="auto"/>
                <w:sz w:val="18"/>
                <w:szCs w:val="18"/>
                <w:lang w:eastAsia="en-GB"/>
              </w:rPr>
            </w:pPr>
          </w:p>
        </w:tc>
        <w:tc>
          <w:tcPr>
            <w:tcW w:w="1228" w:type="dxa"/>
            <w:tcBorders>
              <w:bottom w:val="nil"/>
            </w:tcBorders>
            <w:noWrap/>
          </w:tcPr>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Total</w:t>
            </w:r>
          </w:p>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Council</w:t>
            </w:r>
          </w:p>
          <w:p w:rsidR="00D1188F" w:rsidRPr="00CD6BEE" w:rsidRDefault="00D1188F" w:rsidP="001742A7">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CD6BEE">
              <w:rPr>
                <w:rFonts w:cs="Arial"/>
                <w:bCs w:val="0"/>
                <w:color w:val="auto"/>
                <w:sz w:val="18"/>
                <w:szCs w:val="18"/>
                <w:lang w:eastAsia="en-GB"/>
              </w:rPr>
              <w:t>Reserves</w:t>
            </w:r>
          </w:p>
        </w:tc>
      </w:tr>
      <w:tr w:rsidR="00D1188F" w:rsidRPr="0005794A"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tcBorders>
              <w:top w:val="nil"/>
              <w:left w:val="nil"/>
              <w:bottom w:val="nil"/>
              <w:right w:val="nil"/>
            </w:tcBorders>
            <w:shd w:val="clear" w:color="auto" w:fill="4BACC6" w:themeFill="accent5"/>
            <w:noWrap/>
          </w:tcPr>
          <w:p w:rsidR="00D1188F" w:rsidRPr="00CD6BEE" w:rsidRDefault="00D1188F" w:rsidP="001742A7">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nil"/>
              <w:right w:val="nil"/>
            </w:tcBorders>
            <w:shd w:val="clear" w:color="auto" w:fill="4BACC6" w:themeFill="accent5"/>
            <w:noWrap/>
          </w:tcPr>
          <w:p w:rsidR="00D1188F" w:rsidRPr="00CD6BEE" w:rsidRDefault="00D1188F" w:rsidP="001742A7">
            <w:pPr>
              <w:widowControl w:val="0"/>
              <w:spacing w:after="0" w:line="240" w:lineRule="auto"/>
              <w:jc w:val="center"/>
              <w:rPr>
                <w:rFonts w:cs="Arial"/>
                <w:color w:val="auto"/>
                <w:sz w:val="20"/>
                <w:szCs w:val="20"/>
                <w:lang w:eastAsia="en-GB"/>
              </w:rPr>
            </w:pPr>
            <w:r w:rsidRPr="00CD6BEE">
              <w:rPr>
                <w:rFonts w:cs="Arial"/>
                <w:color w:val="auto"/>
                <w:sz w:val="20"/>
                <w:szCs w:val="20"/>
                <w:lang w:eastAsia="en-GB"/>
              </w:rPr>
              <w:t>£m</w:t>
            </w:r>
          </w:p>
        </w:tc>
        <w:tc>
          <w:tcPr>
            <w:tcW w:w="1559" w:type="dxa"/>
            <w:tcBorders>
              <w:top w:val="nil"/>
              <w:left w:val="nil"/>
              <w:bottom w:val="nil"/>
              <w:right w:val="nil"/>
            </w:tcBorders>
            <w:shd w:val="clear" w:color="auto" w:fill="4BACC6" w:themeFill="accent5"/>
            <w:noWrap/>
          </w:tcPr>
          <w:p w:rsidR="00D1188F" w:rsidRPr="00CD6BEE" w:rsidRDefault="00D1188F"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CD6BEE">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tcPr>
          <w:p w:rsidR="00D1188F" w:rsidRPr="00CD6BEE" w:rsidRDefault="00D22B37" w:rsidP="001742A7">
            <w:pPr>
              <w:widowControl w:val="0"/>
              <w:spacing w:after="0" w:line="240" w:lineRule="auto"/>
              <w:jc w:val="center"/>
              <w:rPr>
                <w:rFonts w:cs="Arial"/>
                <w:color w:val="auto"/>
                <w:sz w:val="18"/>
                <w:szCs w:val="18"/>
                <w:lang w:eastAsia="en-GB"/>
              </w:rPr>
            </w:pPr>
            <w:r w:rsidRPr="00CD6BEE">
              <w:rPr>
                <w:rFonts w:cs="Arial"/>
                <w:color w:val="auto"/>
                <w:sz w:val="18"/>
                <w:szCs w:val="18"/>
                <w:lang w:eastAsia="en-GB"/>
              </w:rPr>
              <w:t>£m</w:t>
            </w:r>
          </w:p>
        </w:tc>
        <w:tc>
          <w:tcPr>
            <w:tcW w:w="1418" w:type="dxa"/>
            <w:tcBorders>
              <w:top w:val="nil"/>
              <w:left w:val="nil"/>
              <w:bottom w:val="nil"/>
              <w:right w:val="nil"/>
            </w:tcBorders>
            <w:shd w:val="clear" w:color="auto" w:fill="4BACC6" w:themeFill="accent5"/>
            <w:noWrap/>
          </w:tcPr>
          <w:p w:rsidR="00D1188F" w:rsidRPr="00CD6BEE" w:rsidRDefault="00D1188F"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r w:rsidRPr="00CD6BEE">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65" w:type="dxa"/>
            <w:tcBorders>
              <w:top w:val="nil"/>
              <w:left w:val="nil"/>
              <w:bottom w:val="nil"/>
              <w:right w:val="nil"/>
            </w:tcBorders>
            <w:shd w:val="clear" w:color="auto" w:fill="4BACC6" w:themeFill="accent5"/>
          </w:tcPr>
          <w:p w:rsidR="00D1188F" w:rsidRPr="00CD6BEE" w:rsidRDefault="00D1188F" w:rsidP="001742A7">
            <w:pPr>
              <w:widowControl w:val="0"/>
              <w:spacing w:after="0" w:line="240" w:lineRule="auto"/>
              <w:jc w:val="center"/>
              <w:rPr>
                <w:rFonts w:cs="Arial"/>
                <w:bCs/>
                <w:color w:val="auto"/>
                <w:sz w:val="18"/>
                <w:szCs w:val="18"/>
                <w:lang w:eastAsia="en-GB"/>
              </w:rPr>
            </w:pPr>
            <w:r w:rsidRPr="00CD6BEE">
              <w:rPr>
                <w:rFonts w:cs="Arial"/>
                <w:bCs/>
                <w:color w:val="auto"/>
                <w:sz w:val="18"/>
                <w:szCs w:val="18"/>
                <w:lang w:eastAsia="en-GB"/>
              </w:rPr>
              <w:t>£m</w:t>
            </w:r>
          </w:p>
        </w:tc>
        <w:tc>
          <w:tcPr>
            <w:tcW w:w="1417" w:type="dxa"/>
            <w:tcBorders>
              <w:top w:val="nil"/>
              <w:left w:val="nil"/>
              <w:bottom w:val="nil"/>
              <w:right w:val="nil"/>
            </w:tcBorders>
            <w:shd w:val="clear" w:color="auto" w:fill="4BACC6" w:themeFill="accent5"/>
            <w:noWrap/>
          </w:tcPr>
          <w:p w:rsidR="00D1188F" w:rsidRPr="00CD6BEE" w:rsidRDefault="00D1188F"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eastAsia="en-GB"/>
              </w:rPr>
            </w:pPr>
            <w:r w:rsidRPr="00CD6BEE">
              <w:rPr>
                <w:rFonts w:cs="Arial"/>
                <w:bCs/>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noWrap/>
          </w:tcPr>
          <w:p w:rsidR="00D1188F" w:rsidRPr="00CD6BEE" w:rsidRDefault="00D1188F" w:rsidP="001742A7">
            <w:pPr>
              <w:widowControl w:val="0"/>
              <w:spacing w:after="0" w:line="240" w:lineRule="auto"/>
              <w:jc w:val="center"/>
              <w:rPr>
                <w:rFonts w:cs="Arial"/>
                <w:color w:val="auto"/>
                <w:sz w:val="18"/>
                <w:szCs w:val="18"/>
                <w:lang w:eastAsia="en-GB"/>
              </w:rPr>
            </w:pPr>
            <w:r w:rsidRPr="00CD6BEE">
              <w:rPr>
                <w:rFonts w:cs="Arial"/>
                <w:color w:val="auto"/>
                <w:sz w:val="18"/>
                <w:szCs w:val="18"/>
                <w:lang w:eastAsia="en-GB"/>
              </w:rPr>
              <w:t>£m</w:t>
            </w:r>
          </w:p>
        </w:tc>
        <w:tc>
          <w:tcPr>
            <w:tcW w:w="1228" w:type="dxa"/>
            <w:tcBorders>
              <w:top w:val="nil"/>
              <w:left w:val="nil"/>
              <w:bottom w:val="nil"/>
              <w:right w:val="nil"/>
            </w:tcBorders>
            <w:shd w:val="clear" w:color="auto" w:fill="4BACC6" w:themeFill="accent5"/>
            <w:noWrap/>
          </w:tcPr>
          <w:p w:rsidR="00D1188F" w:rsidRPr="00CD6BEE" w:rsidRDefault="00D1188F"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CD6BEE">
              <w:rPr>
                <w:rFonts w:cs="Arial"/>
                <w:bCs/>
                <w:color w:val="auto"/>
                <w:sz w:val="20"/>
                <w:szCs w:val="20"/>
                <w:lang w:eastAsia="en-GB"/>
              </w:rPr>
              <w:t>£m</w:t>
            </w:r>
          </w:p>
        </w:tc>
      </w:tr>
      <w:tr w:rsidR="00D1188F" w:rsidRPr="0005794A"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tcBorders>
              <w:top w:val="nil"/>
              <w:left w:val="nil"/>
              <w:bottom w:val="nil"/>
              <w:right w:val="nil"/>
            </w:tcBorders>
            <w:shd w:val="clear" w:color="auto" w:fill="4BACC6" w:themeFill="accent5"/>
            <w:noWrap/>
          </w:tcPr>
          <w:p w:rsidR="00D1188F" w:rsidRPr="00CD6BEE" w:rsidRDefault="00D1188F" w:rsidP="001742A7">
            <w:pPr>
              <w:widowControl w:val="0"/>
              <w:spacing w:after="0" w:line="240" w:lineRule="auto"/>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nil"/>
              <w:bottom w:val="nil"/>
              <w:right w:val="nil"/>
            </w:tcBorders>
            <w:shd w:val="clear" w:color="auto" w:fill="4BACC6" w:themeFill="accent5"/>
            <w:noWrap/>
          </w:tcPr>
          <w:p w:rsidR="00D1188F" w:rsidRPr="00CD6BEE" w:rsidRDefault="00D1188F" w:rsidP="001742A7">
            <w:pPr>
              <w:widowControl w:val="0"/>
              <w:spacing w:after="0" w:line="240" w:lineRule="auto"/>
              <w:jc w:val="center"/>
              <w:rPr>
                <w:rFonts w:cs="Arial"/>
                <w:color w:val="auto"/>
                <w:sz w:val="20"/>
                <w:szCs w:val="20"/>
                <w:lang w:eastAsia="en-GB"/>
              </w:rPr>
            </w:pPr>
          </w:p>
        </w:tc>
        <w:tc>
          <w:tcPr>
            <w:tcW w:w="1559" w:type="dxa"/>
            <w:tcBorders>
              <w:top w:val="nil"/>
              <w:left w:val="nil"/>
              <w:bottom w:val="nil"/>
              <w:right w:val="nil"/>
            </w:tcBorders>
            <w:shd w:val="clear" w:color="auto" w:fill="4BACC6" w:themeFill="accent5"/>
            <w:noWrap/>
          </w:tcPr>
          <w:p w:rsidR="00D1188F" w:rsidRPr="00CD6BEE" w:rsidRDefault="00D1188F" w:rsidP="00145E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CD6BEE">
              <w:rPr>
                <w:rFonts w:cs="Arial"/>
                <w:color w:val="auto"/>
                <w:sz w:val="18"/>
                <w:szCs w:val="18"/>
                <w:lang w:eastAsia="en-GB"/>
              </w:rPr>
              <w:t>Note</w:t>
            </w:r>
            <w:r w:rsidR="00145EB9" w:rsidRPr="00CD6BEE">
              <w:rPr>
                <w:rFonts w:cs="Arial"/>
                <w:color w:val="auto"/>
                <w:sz w:val="18"/>
                <w:szCs w:val="18"/>
                <w:lang w:eastAsia="en-GB"/>
              </w:rPr>
              <w:t>10</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tcPr>
          <w:p w:rsidR="00D1188F" w:rsidRPr="00CD6BEE" w:rsidRDefault="00D1188F" w:rsidP="001742A7">
            <w:pPr>
              <w:widowControl w:val="0"/>
              <w:spacing w:after="0" w:line="240" w:lineRule="auto"/>
              <w:jc w:val="center"/>
              <w:rPr>
                <w:rFonts w:cs="Arial"/>
                <w:color w:val="auto"/>
                <w:sz w:val="18"/>
                <w:szCs w:val="18"/>
                <w:lang w:eastAsia="en-GB"/>
              </w:rPr>
            </w:pPr>
          </w:p>
        </w:tc>
        <w:tc>
          <w:tcPr>
            <w:tcW w:w="1418" w:type="dxa"/>
            <w:tcBorders>
              <w:top w:val="nil"/>
              <w:left w:val="nil"/>
              <w:bottom w:val="nil"/>
              <w:right w:val="nil"/>
            </w:tcBorders>
            <w:shd w:val="clear" w:color="auto" w:fill="4BACC6" w:themeFill="accent5"/>
            <w:noWrap/>
          </w:tcPr>
          <w:p w:rsidR="00D1188F" w:rsidRPr="00CD6BEE" w:rsidRDefault="00D1188F" w:rsidP="00145E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CD6BEE">
              <w:rPr>
                <w:rFonts w:cs="Arial"/>
                <w:color w:val="auto"/>
                <w:sz w:val="18"/>
                <w:szCs w:val="18"/>
                <w:lang w:eastAsia="en-GB"/>
              </w:rPr>
              <w:t xml:space="preserve">Note </w:t>
            </w:r>
            <w:r w:rsidR="00145EB9" w:rsidRPr="00CD6BEE">
              <w:rPr>
                <w:rFonts w:cs="Arial"/>
                <w:color w:val="auto"/>
                <w:sz w:val="18"/>
                <w:szCs w:val="18"/>
                <w:lang w:eastAsia="en-GB"/>
              </w:rPr>
              <w:t>9</w:t>
            </w:r>
          </w:p>
        </w:tc>
        <w:tc>
          <w:tcPr>
            <w:cnfStyle w:val="000010000000" w:firstRow="0" w:lastRow="0" w:firstColumn="0" w:lastColumn="0" w:oddVBand="1" w:evenVBand="0" w:oddHBand="0" w:evenHBand="0" w:firstRowFirstColumn="0" w:firstRowLastColumn="0" w:lastRowFirstColumn="0" w:lastRowLastColumn="0"/>
            <w:tcW w:w="1465" w:type="dxa"/>
            <w:tcBorders>
              <w:top w:val="nil"/>
              <w:left w:val="nil"/>
              <w:bottom w:val="nil"/>
              <w:right w:val="nil"/>
            </w:tcBorders>
            <w:shd w:val="clear" w:color="auto" w:fill="4BACC6" w:themeFill="accent5"/>
          </w:tcPr>
          <w:p w:rsidR="00D1188F" w:rsidRPr="00CD6BEE" w:rsidRDefault="00D1188F" w:rsidP="00145EB9">
            <w:pPr>
              <w:widowControl w:val="0"/>
              <w:spacing w:after="0" w:line="240" w:lineRule="auto"/>
              <w:jc w:val="center"/>
              <w:rPr>
                <w:rFonts w:cs="Arial"/>
                <w:bCs/>
                <w:color w:val="auto"/>
                <w:sz w:val="18"/>
                <w:szCs w:val="18"/>
                <w:lang w:eastAsia="en-GB"/>
              </w:rPr>
            </w:pPr>
            <w:r w:rsidRPr="00CD6BEE">
              <w:rPr>
                <w:rFonts w:cs="Arial"/>
                <w:bCs/>
                <w:color w:val="auto"/>
                <w:sz w:val="18"/>
                <w:szCs w:val="18"/>
                <w:lang w:eastAsia="en-GB"/>
              </w:rPr>
              <w:t xml:space="preserve">Note </w:t>
            </w:r>
            <w:r w:rsidR="00145EB9" w:rsidRPr="00CD6BEE">
              <w:rPr>
                <w:rFonts w:cs="Arial"/>
                <w:bCs/>
                <w:color w:val="auto"/>
                <w:sz w:val="18"/>
                <w:szCs w:val="18"/>
                <w:lang w:eastAsia="en-GB"/>
              </w:rPr>
              <w:t>9</w:t>
            </w:r>
          </w:p>
        </w:tc>
        <w:tc>
          <w:tcPr>
            <w:tcW w:w="1417" w:type="dxa"/>
            <w:tcBorders>
              <w:top w:val="nil"/>
              <w:left w:val="nil"/>
              <w:bottom w:val="nil"/>
              <w:right w:val="nil"/>
            </w:tcBorders>
            <w:shd w:val="clear" w:color="auto" w:fill="4BACC6" w:themeFill="accent5"/>
            <w:noWrap/>
          </w:tcPr>
          <w:p w:rsidR="00D1188F" w:rsidRPr="00CD6BEE" w:rsidRDefault="00D1188F" w:rsidP="00EA12A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18"/>
                <w:szCs w:val="18"/>
                <w:lang w:eastAsia="en-GB"/>
              </w:rPr>
            </w:pPr>
            <w:r w:rsidRPr="00CD6BEE">
              <w:rPr>
                <w:rFonts w:cs="Arial"/>
                <w:bCs/>
                <w:color w:val="auto"/>
                <w:sz w:val="18"/>
                <w:szCs w:val="18"/>
                <w:lang w:eastAsia="en-GB"/>
              </w:rPr>
              <w:t>Note 2</w:t>
            </w:r>
            <w:r w:rsidR="00EA12AA" w:rsidRPr="00CD6BEE">
              <w:rPr>
                <w:rFonts w:cs="Arial"/>
                <w:bCs/>
                <w:color w:val="auto"/>
                <w:sz w:val="18"/>
                <w:szCs w:val="18"/>
                <w:lang w:eastAsia="en-GB"/>
              </w:rPr>
              <w:t>5</w:t>
            </w:r>
          </w:p>
        </w:tc>
        <w:tc>
          <w:tcPr>
            <w:cnfStyle w:val="000010000000" w:firstRow="0" w:lastRow="0" w:firstColumn="0" w:lastColumn="0" w:oddVBand="1" w:evenVBand="0" w:oddHBand="0" w:evenHBand="0" w:firstRowFirstColumn="0" w:firstRowLastColumn="0" w:lastRowFirstColumn="0" w:lastRowLastColumn="0"/>
            <w:tcW w:w="1418" w:type="dxa"/>
            <w:tcBorders>
              <w:top w:val="nil"/>
              <w:left w:val="nil"/>
              <w:bottom w:val="nil"/>
              <w:right w:val="nil"/>
            </w:tcBorders>
            <w:shd w:val="clear" w:color="auto" w:fill="4BACC6" w:themeFill="accent5"/>
            <w:noWrap/>
          </w:tcPr>
          <w:p w:rsidR="00D1188F" w:rsidRPr="00CD6BEE" w:rsidRDefault="00D1188F" w:rsidP="00EA12AA">
            <w:pPr>
              <w:widowControl w:val="0"/>
              <w:spacing w:after="0" w:line="240" w:lineRule="auto"/>
              <w:jc w:val="center"/>
              <w:rPr>
                <w:rFonts w:cs="Arial"/>
                <w:color w:val="auto"/>
                <w:sz w:val="18"/>
                <w:szCs w:val="18"/>
                <w:lang w:eastAsia="en-GB"/>
              </w:rPr>
            </w:pPr>
            <w:r w:rsidRPr="00CD6BEE">
              <w:rPr>
                <w:rFonts w:cs="Arial"/>
                <w:color w:val="auto"/>
                <w:sz w:val="18"/>
                <w:szCs w:val="18"/>
                <w:lang w:eastAsia="en-GB"/>
              </w:rPr>
              <w:t xml:space="preserve">Note </w:t>
            </w:r>
            <w:r w:rsidR="00145EB9" w:rsidRPr="00CD6BEE">
              <w:rPr>
                <w:rFonts w:cs="Arial"/>
                <w:color w:val="auto"/>
                <w:sz w:val="18"/>
                <w:szCs w:val="18"/>
                <w:lang w:eastAsia="en-GB"/>
              </w:rPr>
              <w:t>2</w:t>
            </w:r>
            <w:r w:rsidR="00EA12AA" w:rsidRPr="00CD6BEE">
              <w:rPr>
                <w:rFonts w:cs="Arial"/>
                <w:color w:val="auto"/>
                <w:sz w:val="18"/>
                <w:szCs w:val="18"/>
                <w:lang w:eastAsia="en-GB"/>
              </w:rPr>
              <w:t>6</w:t>
            </w:r>
          </w:p>
        </w:tc>
        <w:tc>
          <w:tcPr>
            <w:tcW w:w="1228" w:type="dxa"/>
            <w:tcBorders>
              <w:top w:val="nil"/>
              <w:left w:val="nil"/>
              <w:bottom w:val="nil"/>
              <w:right w:val="nil"/>
            </w:tcBorders>
            <w:shd w:val="clear" w:color="auto" w:fill="4BACC6" w:themeFill="accent5"/>
            <w:noWrap/>
          </w:tcPr>
          <w:p w:rsidR="00D1188F" w:rsidRPr="00CD6BEE" w:rsidRDefault="00D1188F" w:rsidP="001742A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p>
        </w:tc>
      </w:tr>
      <w:tr w:rsidR="00D1188F" w:rsidRPr="0005794A" w:rsidTr="00D1188F">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D1188F" w:rsidRPr="00C22AA6" w:rsidRDefault="00D1188F" w:rsidP="00C22AA6">
            <w:pPr>
              <w:widowControl w:val="0"/>
              <w:spacing w:after="0" w:line="240" w:lineRule="auto"/>
              <w:rPr>
                <w:rFonts w:cs="Arial"/>
                <w:bCs w:val="0"/>
                <w:color w:val="auto"/>
                <w:sz w:val="20"/>
                <w:szCs w:val="20"/>
                <w:lang w:eastAsia="en-GB"/>
              </w:rPr>
            </w:pPr>
            <w:r w:rsidRPr="00C22AA6">
              <w:rPr>
                <w:rFonts w:cs="Arial"/>
                <w:bCs w:val="0"/>
                <w:color w:val="auto"/>
                <w:sz w:val="20"/>
                <w:szCs w:val="20"/>
                <w:lang w:eastAsia="en-GB"/>
              </w:rPr>
              <w:t>Balance at 31st March 201</w:t>
            </w:r>
            <w:r w:rsidR="00C22AA6" w:rsidRPr="00C22AA6">
              <w:rPr>
                <w:rFonts w:cs="Arial"/>
                <w:bCs w:val="0"/>
                <w:color w:val="auto"/>
                <w:sz w:val="20"/>
                <w:szCs w:val="20"/>
                <w:lang w:eastAsia="en-GB"/>
              </w:rPr>
              <w:t>7</w:t>
            </w:r>
            <w:r w:rsidRPr="00C22AA6">
              <w:rPr>
                <w:rFonts w:cs="Arial"/>
                <w:bCs w:val="0"/>
                <w:color w:val="auto"/>
                <w:sz w:val="20"/>
                <w:szCs w:val="20"/>
                <w:lang w:eastAsia="en-GB"/>
              </w:rPr>
              <w:t xml:space="preserve"> brought forward</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D1188F" w:rsidRPr="00C22AA6" w:rsidRDefault="00C22AA6" w:rsidP="004F0545">
            <w:pPr>
              <w:widowControl w:val="0"/>
              <w:spacing w:after="0" w:line="240" w:lineRule="auto"/>
              <w:jc w:val="center"/>
              <w:rPr>
                <w:rFonts w:cs="Arial"/>
                <w:b/>
                <w:color w:val="auto"/>
                <w:sz w:val="20"/>
                <w:szCs w:val="20"/>
                <w:lang w:eastAsia="en-GB"/>
              </w:rPr>
            </w:pPr>
            <w:r w:rsidRPr="00C22AA6">
              <w:rPr>
                <w:rFonts w:cs="Arial"/>
                <w:b/>
                <w:color w:val="auto"/>
                <w:sz w:val="20"/>
                <w:szCs w:val="20"/>
                <w:lang w:eastAsia="en-GB"/>
              </w:rPr>
              <w:t>4.6</w:t>
            </w:r>
          </w:p>
        </w:tc>
        <w:tc>
          <w:tcPr>
            <w:tcW w:w="1559" w:type="dxa"/>
            <w:shd w:val="clear" w:color="auto" w:fill="auto"/>
            <w:noWrap/>
          </w:tcPr>
          <w:p w:rsidR="00D1188F" w:rsidRPr="00C22AA6" w:rsidRDefault="00D1188F" w:rsidP="00C22AA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C22AA6">
              <w:rPr>
                <w:rFonts w:cs="Arial"/>
                <w:b/>
                <w:color w:val="auto"/>
                <w:sz w:val="20"/>
                <w:szCs w:val="20"/>
                <w:lang w:eastAsia="en-GB"/>
              </w:rPr>
              <w:t>2</w:t>
            </w:r>
            <w:r w:rsidR="00C22AA6" w:rsidRPr="00C22AA6">
              <w:rPr>
                <w:rFonts w:cs="Arial"/>
                <w:b/>
                <w:color w:val="auto"/>
                <w:sz w:val="20"/>
                <w:szCs w:val="20"/>
                <w:lang w:eastAsia="en-GB"/>
              </w:rPr>
              <w:t>3.0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D1188F" w:rsidRPr="00C22AA6" w:rsidRDefault="00D22B37" w:rsidP="00C22AA6">
            <w:pPr>
              <w:widowControl w:val="0"/>
              <w:spacing w:after="0" w:line="240" w:lineRule="auto"/>
              <w:jc w:val="center"/>
              <w:rPr>
                <w:rFonts w:cs="Arial"/>
                <w:b/>
                <w:color w:val="auto"/>
                <w:sz w:val="20"/>
                <w:szCs w:val="20"/>
                <w:lang w:eastAsia="en-GB"/>
              </w:rPr>
            </w:pPr>
            <w:r w:rsidRPr="00C22AA6">
              <w:rPr>
                <w:rFonts w:cs="Arial"/>
                <w:b/>
                <w:color w:val="auto"/>
                <w:sz w:val="20"/>
                <w:szCs w:val="20"/>
                <w:lang w:eastAsia="en-GB"/>
              </w:rPr>
              <w:t>2</w:t>
            </w:r>
            <w:r w:rsidR="00C22AA6" w:rsidRPr="00C22AA6">
              <w:rPr>
                <w:rFonts w:cs="Arial"/>
                <w:b/>
                <w:color w:val="auto"/>
                <w:sz w:val="20"/>
                <w:szCs w:val="20"/>
                <w:lang w:eastAsia="en-GB"/>
              </w:rPr>
              <w:t>7.6</w:t>
            </w:r>
          </w:p>
        </w:tc>
        <w:tc>
          <w:tcPr>
            <w:tcW w:w="1418" w:type="dxa"/>
            <w:shd w:val="clear" w:color="auto" w:fill="auto"/>
            <w:noWrap/>
          </w:tcPr>
          <w:p w:rsidR="00D1188F" w:rsidRPr="00C22AA6" w:rsidRDefault="00C22AA6" w:rsidP="00C22AA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C22AA6">
              <w:rPr>
                <w:rFonts w:cs="Arial"/>
                <w:b/>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D1188F" w:rsidRPr="00C22AA6" w:rsidRDefault="00C22AA6" w:rsidP="00C22AA6">
            <w:pPr>
              <w:widowControl w:val="0"/>
              <w:spacing w:after="0" w:line="240" w:lineRule="auto"/>
              <w:jc w:val="center"/>
              <w:rPr>
                <w:rFonts w:cs="Arial"/>
                <w:b/>
                <w:bCs/>
                <w:color w:val="auto"/>
                <w:sz w:val="20"/>
                <w:szCs w:val="20"/>
                <w:lang w:eastAsia="en-GB"/>
              </w:rPr>
            </w:pPr>
            <w:r w:rsidRPr="00C22AA6">
              <w:rPr>
                <w:rFonts w:cs="Arial"/>
                <w:b/>
                <w:bCs/>
                <w:color w:val="auto"/>
                <w:sz w:val="20"/>
                <w:szCs w:val="20"/>
                <w:lang w:eastAsia="en-GB"/>
              </w:rPr>
              <w:t>7</w:t>
            </w:r>
            <w:r w:rsidR="00D1188F" w:rsidRPr="00C22AA6">
              <w:rPr>
                <w:rFonts w:cs="Arial"/>
                <w:b/>
                <w:bCs/>
                <w:color w:val="auto"/>
                <w:sz w:val="20"/>
                <w:szCs w:val="20"/>
                <w:lang w:eastAsia="en-GB"/>
              </w:rPr>
              <w:t>.2</w:t>
            </w:r>
          </w:p>
        </w:tc>
        <w:tc>
          <w:tcPr>
            <w:tcW w:w="1417" w:type="dxa"/>
            <w:shd w:val="clear" w:color="auto" w:fill="auto"/>
            <w:noWrap/>
          </w:tcPr>
          <w:p w:rsidR="00D1188F" w:rsidRPr="00C22AA6" w:rsidRDefault="00D1188F" w:rsidP="00C22AA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C22AA6">
              <w:rPr>
                <w:rFonts w:cs="Arial"/>
                <w:b/>
                <w:bCs/>
                <w:color w:val="auto"/>
                <w:sz w:val="20"/>
                <w:szCs w:val="20"/>
                <w:lang w:eastAsia="en-GB"/>
              </w:rPr>
              <w:t>3</w:t>
            </w:r>
            <w:r w:rsidR="00C22AA6" w:rsidRPr="00C22AA6">
              <w:rPr>
                <w:rFonts w:cs="Arial"/>
                <w:b/>
                <w:bCs/>
                <w:color w:val="auto"/>
                <w:sz w:val="20"/>
                <w:szCs w:val="20"/>
                <w:lang w:eastAsia="en-GB"/>
              </w:rPr>
              <w:t>6.9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D1188F" w:rsidRPr="00C22AA6" w:rsidRDefault="00C22AA6" w:rsidP="004F0545">
            <w:pPr>
              <w:widowControl w:val="0"/>
              <w:spacing w:after="0" w:line="240" w:lineRule="auto"/>
              <w:jc w:val="center"/>
              <w:rPr>
                <w:rFonts w:cs="Arial"/>
                <w:b/>
                <w:bCs/>
                <w:color w:val="auto"/>
                <w:sz w:val="20"/>
                <w:szCs w:val="20"/>
                <w:lang w:eastAsia="en-GB"/>
              </w:rPr>
            </w:pPr>
            <w:r w:rsidRPr="00C22AA6">
              <w:rPr>
                <w:rFonts w:cs="Arial"/>
                <w:b/>
                <w:bCs/>
                <w:color w:val="auto"/>
                <w:sz w:val="20"/>
                <w:szCs w:val="20"/>
                <w:lang w:eastAsia="en-GB"/>
              </w:rPr>
              <w:t>(46.5)</w:t>
            </w:r>
          </w:p>
        </w:tc>
        <w:tc>
          <w:tcPr>
            <w:tcW w:w="1228" w:type="dxa"/>
            <w:shd w:val="clear" w:color="auto" w:fill="auto"/>
            <w:noWrap/>
          </w:tcPr>
          <w:p w:rsidR="00D1188F" w:rsidRPr="00C22AA6" w:rsidRDefault="00C22AA6" w:rsidP="004F05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C22AA6">
              <w:rPr>
                <w:rFonts w:cs="Arial"/>
                <w:b/>
                <w:color w:val="auto"/>
                <w:sz w:val="20"/>
                <w:szCs w:val="20"/>
                <w:lang w:eastAsia="en-GB"/>
              </w:rPr>
              <w:t>(9.6)</w:t>
            </w:r>
          </w:p>
        </w:tc>
      </w:tr>
      <w:tr w:rsidR="00D1188F" w:rsidRPr="0005794A" w:rsidTr="00D1188F">
        <w:trPr>
          <w:trHeight w:val="319"/>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D1188F" w:rsidRPr="00C22AA6" w:rsidRDefault="00D1188F" w:rsidP="00C22AA6">
            <w:pPr>
              <w:widowControl w:val="0"/>
              <w:spacing w:after="0" w:line="240" w:lineRule="auto"/>
              <w:rPr>
                <w:rFonts w:cs="Arial"/>
                <w:bCs w:val="0"/>
                <w:color w:val="auto"/>
                <w:sz w:val="20"/>
                <w:szCs w:val="20"/>
                <w:lang w:eastAsia="en-GB"/>
              </w:rPr>
            </w:pPr>
            <w:r w:rsidRPr="00C22AA6">
              <w:rPr>
                <w:rFonts w:cs="Arial"/>
                <w:bCs w:val="0"/>
                <w:color w:val="auto"/>
                <w:sz w:val="20"/>
                <w:szCs w:val="20"/>
                <w:lang w:eastAsia="en-GB"/>
              </w:rPr>
              <w:t>Movement in Reserves during 201</w:t>
            </w:r>
            <w:r w:rsidR="00C22AA6" w:rsidRPr="00C22AA6">
              <w:rPr>
                <w:rFonts w:cs="Arial"/>
                <w:bCs w:val="0"/>
                <w:color w:val="auto"/>
                <w:sz w:val="20"/>
                <w:szCs w:val="20"/>
                <w:lang w:eastAsia="en-GB"/>
              </w:rPr>
              <w:t>7</w:t>
            </w:r>
            <w:r w:rsidRPr="00C22AA6">
              <w:rPr>
                <w:rFonts w:cs="Arial"/>
                <w:bCs w:val="0"/>
                <w:color w:val="auto"/>
                <w:sz w:val="20"/>
                <w:szCs w:val="20"/>
                <w:lang w:eastAsia="en-GB"/>
              </w:rPr>
              <w:t>/1</w:t>
            </w:r>
            <w:r w:rsidR="00C22AA6" w:rsidRPr="00C22AA6">
              <w:rPr>
                <w:rFonts w:cs="Arial"/>
                <w:bCs w:val="0"/>
                <w:color w:val="auto"/>
                <w:sz w:val="20"/>
                <w:szCs w:val="20"/>
                <w:lang w:eastAsia="en-GB"/>
              </w:rPr>
              <w:t>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D1188F" w:rsidRPr="0005794A" w:rsidRDefault="00D1188F" w:rsidP="001742A7">
            <w:pPr>
              <w:widowControl w:val="0"/>
              <w:spacing w:after="0" w:line="240" w:lineRule="auto"/>
              <w:jc w:val="center"/>
              <w:rPr>
                <w:rFonts w:cs="Arial"/>
                <w:color w:val="548DD4" w:themeColor="text2" w:themeTint="99"/>
                <w:sz w:val="20"/>
                <w:szCs w:val="20"/>
                <w:lang w:eastAsia="en-GB"/>
              </w:rPr>
            </w:pPr>
          </w:p>
        </w:tc>
        <w:tc>
          <w:tcPr>
            <w:tcW w:w="1559" w:type="dxa"/>
            <w:shd w:val="clear" w:color="auto" w:fill="auto"/>
            <w:noWrap/>
          </w:tcPr>
          <w:p w:rsidR="00D1188F" w:rsidRPr="0005794A" w:rsidRDefault="00D1188F"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D1188F" w:rsidRPr="0005794A" w:rsidRDefault="00D1188F" w:rsidP="001742A7">
            <w:pPr>
              <w:widowControl w:val="0"/>
              <w:spacing w:after="0" w:line="240" w:lineRule="auto"/>
              <w:jc w:val="center"/>
              <w:rPr>
                <w:rFonts w:cs="Arial"/>
                <w:color w:val="548DD4" w:themeColor="text2" w:themeTint="99"/>
                <w:sz w:val="20"/>
                <w:szCs w:val="20"/>
                <w:lang w:eastAsia="en-GB"/>
              </w:rPr>
            </w:pPr>
          </w:p>
        </w:tc>
        <w:tc>
          <w:tcPr>
            <w:tcW w:w="1418" w:type="dxa"/>
            <w:shd w:val="clear" w:color="auto" w:fill="auto"/>
            <w:noWrap/>
          </w:tcPr>
          <w:p w:rsidR="00D1188F" w:rsidRPr="0005794A" w:rsidRDefault="00D1188F"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D1188F" w:rsidRPr="0005794A" w:rsidRDefault="00D1188F" w:rsidP="001742A7">
            <w:pPr>
              <w:widowControl w:val="0"/>
              <w:spacing w:after="0" w:line="240" w:lineRule="auto"/>
              <w:jc w:val="center"/>
              <w:rPr>
                <w:rFonts w:cs="Arial"/>
                <w:bCs/>
                <w:color w:val="548DD4" w:themeColor="text2" w:themeTint="99"/>
                <w:sz w:val="20"/>
                <w:szCs w:val="20"/>
                <w:lang w:eastAsia="en-GB"/>
              </w:rPr>
            </w:pPr>
          </w:p>
        </w:tc>
        <w:tc>
          <w:tcPr>
            <w:tcW w:w="1417" w:type="dxa"/>
            <w:shd w:val="clear" w:color="auto" w:fill="auto"/>
            <w:noWrap/>
          </w:tcPr>
          <w:p w:rsidR="00D1188F" w:rsidRPr="0005794A" w:rsidRDefault="00D1188F"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548DD4" w:themeColor="text2" w:themeTint="99"/>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D1188F" w:rsidRPr="0005794A" w:rsidRDefault="00D1188F" w:rsidP="001742A7">
            <w:pPr>
              <w:widowControl w:val="0"/>
              <w:spacing w:after="0" w:line="240" w:lineRule="auto"/>
              <w:jc w:val="center"/>
              <w:rPr>
                <w:rFonts w:cs="Arial"/>
                <w:color w:val="548DD4" w:themeColor="text2" w:themeTint="99"/>
                <w:sz w:val="20"/>
                <w:szCs w:val="20"/>
                <w:lang w:eastAsia="en-GB"/>
              </w:rPr>
            </w:pPr>
          </w:p>
        </w:tc>
        <w:tc>
          <w:tcPr>
            <w:tcW w:w="1228" w:type="dxa"/>
            <w:shd w:val="clear" w:color="auto" w:fill="auto"/>
            <w:noWrap/>
          </w:tcPr>
          <w:p w:rsidR="00D1188F" w:rsidRPr="0005794A" w:rsidRDefault="00D1188F"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548DD4" w:themeColor="text2" w:themeTint="99"/>
                <w:sz w:val="20"/>
                <w:szCs w:val="20"/>
                <w:lang w:eastAsia="en-GB"/>
              </w:rPr>
            </w:pPr>
          </w:p>
        </w:tc>
      </w:tr>
      <w:tr w:rsidR="00D1188F" w:rsidRPr="0005794A" w:rsidTr="00D118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D1188F" w:rsidRPr="00C22AA6" w:rsidRDefault="00D1188F" w:rsidP="001742A7">
            <w:pPr>
              <w:widowControl w:val="0"/>
              <w:spacing w:after="0" w:line="240" w:lineRule="auto"/>
              <w:rPr>
                <w:rFonts w:cs="Arial"/>
                <w:b w:val="0"/>
                <w:color w:val="auto"/>
                <w:sz w:val="20"/>
                <w:szCs w:val="20"/>
                <w:lang w:eastAsia="en-GB"/>
              </w:rPr>
            </w:pPr>
            <w:r w:rsidRPr="00C22AA6">
              <w:rPr>
                <w:rFonts w:cs="Arial"/>
                <w:b w:val="0"/>
                <w:color w:val="auto"/>
                <w:sz w:val="20"/>
                <w:szCs w:val="20"/>
                <w:lang w:eastAsia="en-GB"/>
              </w:rPr>
              <w:t>Surplus or (deficit) on provision of services (accounting basis)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D1188F" w:rsidRPr="00564B43" w:rsidRDefault="00564B43" w:rsidP="007E466A">
            <w:pPr>
              <w:widowControl w:val="0"/>
              <w:spacing w:after="0" w:line="240" w:lineRule="auto"/>
              <w:jc w:val="center"/>
              <w:rPr>
                <w:rFonts w:cs="Arial"/>
                <w:color w:val="auto"/>
                <w:sz w:val="20"/>
                <w:szCs w:val="20"/>
                <w:lang w:eastAsia="en-GB"/>
              </w:rPr>
            </w:pPr>
            <w:r w:rsidRPr="00564B43">
              <w:rPr>
                <w:rFonts w:cs="Arial"/>
                <w:color w:val="auto"/>
                <w:sz w:val="20"/>
                <w:szCs w:val="20"/>
                <w:lang w:eastAsia="en-GB"/>
              </w:rPr>
              <w:t>(</w:t>
            </w:r>
            <w:r w:rsidR="005B3CBA">
              <w:rPr>
                <w:rFonts w:cs="Arial"/>
                <w:color w:val="auto"/>
                <w:sz w:val="20"/>
                <w:szCs w:val="20"/>
                <w:lang w:eastAsia="en-GB"/>
              </w:rPr>
              <w:t>26.</w:t>
            </w:r>
            <w:r w:rsidR="007E466A">
              <w:rPr>
                <w:rFonts w:cs="Arial"/>
                <w:color w:val="auto"/>
                <w:sz w:val="20"/>
                <w:szCs w:val="20"/>
                <w:lang w:eastAsia="en-GB"/>
              </w:rPr>
              <w:t>2</w:t>
            </w:r>
            <w:r w:rsidRPr="00564B43">
              <w:rPr>
                <w:rFonts w:cs="Arial"/>
                <w:color w:val="auto"/>
                <w:sz w:val="20"/>
                <w:szCs w:val="20"/>
                <w:lang w:eastAsia="en-GB"/>
              </w:rPr>
              <w:t>)</w:t>
            </w:r>
          </w:p>
        </w:tc>
        <w:tc>
          <w:tcPr>
            <w:tcW w:w="1559" w:type="dxa"/>
            <w:shd w:val="clear" w:color="auto" w:fill="auto"/>
            <w:noWrap/>
          </w:tcPr>
          <w:p w:rsidR="00D1188F" w:rsidRPr="00564B43" w:rsidRDefault="00D22B37"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64B43">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D1188F" w:rsidRPr="00564B43" w:rsidRDefault="00564B43" w:rsidP="007E466A">
            <w:pPr>
              <w:widowControl w:val="0"/>
              <w:spacing w:after="0" w:line="240" w:lineRule="auto"/>
              <w:jc w:val="center"/>
              <w:rPr>
                <w:rFonts w:cs="Arial"/>
                <w:color w:val="auto"/>
                <w:sz w:val="20"/>
                <w:szCs w:val="20"/>
                <w:lang w:eastAsia="en-GB"/>
              </w:rPr>
            </w:pPr>
            <w:r w:rsidRPr="00564B43">
              <w:rPr>
                <w:rFonts w:cs="Arial"/>
                <w:color w:val="auto"/>
                <w:sz w:val="20"/>
                <w:szCs w:val="20"/>
                <w:lang w:eastAsia="en-GB"/>
              </w:rPr>
              <w:t>(</w:t>
            </w:r>
            <w:r w:rsidR="005B3CBA">
              <w:rPr>
                <w:rFonts w:cs="Arial"/>
                <w:color w:val="auto"/>
                <w:sz w:val="20"/>
                <w:szCs w:val="20"/>
                <w:lang w:eastAsia="en-GB"/>
              </w:rPr>
              <w:t>26.</w:t>
            </w:r>
            <w:r w:rsidR="007E466A">
              <w:rPr>
                <w:rFonts w:cs="Arial"/>
                <w:color w:val="auto"/>
                <w:sz w:val="20"/>
                <w:szCs w:val="20"/>
                <w:lang w:eastAsia="en-GB"/>
              </w:rPr>
              <w:t>2</w:t>
            </w:r>
            <w:r w:rsidRPr="00564B43">
              <w:rPr>
                <w:rFonts w:cs="Arial"/>
                <w:color w:val="auto"/>
                <w:sz w:val="20"/>
                <w:szCs w:val="20"/>
                <w:lang w:eastAsia="en-GB"/>
              </w:rPr>
              <w:t>)</w:t>
            </w:r>
          </w:p>
        </w:tc>
        <w:tc>
          <w:tcPr>
            <w:tcW w:w="1418" w:type="dxa"/>
            <w:shd w:val="clear" w:color="auto" w:fill="auto"/>
            <w:noWrap/>
          </w:tcPr>
          <w:p w:rsidR="00D1188F" w:rsidRPr="00564B43" w:rsidRDefault="00D22B37"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64B43">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D1188F" w:rsidRPr="00564B43" w:rsidRDefault="00D22B37" w:rsidP="001742A7">
            <w:pPr>
              <w:widowControl w:val="0"/>
              <w:spacing w:after="0" w:line="240" w:lineRule="auto"/>
              <w:jc w:val="center"/>
              <w:rPr>
                <w:rFonts w:cs="Arial"/>
                <w:bCs/>
                <w:color w:val="auto"/>
                <w:sz w:val="20"/>
                <w:szCs w:val="20"/>
                <w:lang w:eastAsia="en-GB"/>
              </w:rPr>
            </w:pPr>
            <w:r w:rsidRPr="00564B43">
              <w:rPr>
                <w:rFonts w:cs="Arial"/>
                <w:bCs/>
                <w:color w:val="auto"/>
                <w:sz w:val="20"/>
                <w:szCs w:val="20"/>
                <w:lang w:eastAsia="en-GB"/>
              </w:rPr>
              <w:t>-</w:t>
            </w:r>
          </w:p>
        </w:tc>
        <w:tc>
          <w:tcPr>
            <w:tcW w:w="1417" w:type="dxa"/>
            <w:shd w:val="clear" w:color="auto" w:fill="auto"/>
            <w:noWrap/>
          </w:tcPr>
          <w:p w:rsidR="00D1188F" w:rsidRPr="00564B43" w:rsidRDefault="00564B43" w:rsidP="007E466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564B43">
              <w:rPr>
                <w:rFonts w:cs="Arial"/>
                <w:bCs/>
                <w:color w:val="auto"/>
                <w:sz w:val="20"/>
                <w:szCs w:val="20"/>
                <w:lang w:eastAsia="en-GB"/>
              </w:rPr>
              <w:t>(</w:t>
            </w:r>
            <w:r w:rsidR="005B3CBA">
              <w:rPr>
                <w:rFonts w:cs="Arial"/>
                <w:bCs/>
                <w:color w:val="auto"/>
                <w:sz w:val="20"/>
                <w:szCs w:val="20"/>
                <w:lang w:eastAsia="en-GB"/>
              </w:rPr>
              <w:t>26.</w:t>
            </w:r>
            <w:r w:rsidR="007E466A">
              <w:rPr>
                <w:rFonts w:cs="Arial"/>
                <w:bCs/>
                <w:color w:val="auto"/>
                <w:sz w:val="20"/>
                <w:szCs w:val="20"/>
                <w:lang w:eastAsia="en-GB"/>
              </w:rPr>
              <w:t>2</w:t>
            </w:r>
            <w:r w:rsidRPr="00564B43">
              <w:rPr>
                <w:rFonts w:cs="Arial"/>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D1188F" w:rsidRPr="00A67323" w:rsidRDefault="00D22B37" w:rsidP="001742A7">
            <w:pPr>
              <w:widowControl w:val="0"/>
              <w:spacing w:after="0" w:line="240" w:lineRule="auto"/>
              <w:jc w:val="center"/>
              <w:rPr>
                <w:rFonts w:cs="Arial"/>
                <w:color w:val="auto"/>
                <w:sz w:val="20"/>
                <w:szCs w:val="20"/>
                <w:lang w:eastAsia="en-GB"/>
              </w:rPr>
            </w:pPr>
            <w:r w:rsidRPr="00A67323">
              <w:rPr>
                <w:rFonts w:cs="Arial"/>
                <w:color w:val="auto"/>
                <w:sz w:val="20"/>
                <w:szCs w:val="20"/>
                <w:lang w:eastAsia="en-GB"/>
              </w:rPr>
              <w:t>-</w:t>
            </w:r>
          </w:p>
        </w:tc>
        <w:tc>
          <w:tcPr>
            <w:tcW w:w="1228" w:type="dxa"/>
            <w:shd w:val="clear" w:color="auto" w:fill="auto"/>
            <w:noWrap/>
          </w:tcPr>
          <w:p w:rsidR="00D1188F" w:rsidRPr="00A67323" w:rsidRDefault="00564B43" w:rsidP="007E466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eastAsia="en-GB"/>
              </w:rPr>
            </w:pPr>
            <w:r w:rsidRPr="00A67323">
              <w:rPr>
                <w:rFonts w:cs="Arial"/>
                <w:bCs/>
                <w:color w:val="auto"/>
                <w:sz w:val="20"/>
                <w:szCs w:val="20"/>
                <w:lang w:eastAsia="en-GB"/>
              </w:rPr>
              <w:t>(</w:t>
            </w:r>
            <w:r w:rsidR="005B3CBA">
              <w:rPr>
                <w:rFonts w:cs="Arial"/>
                <w:bCs/>
                <w:color w:val="auto"/>
                <w:sz w:val="20"/>
                <w:szCs w:val="20"/>
                <w:lang w:eastAsia="en-GB"/>
              </w:rPr>
              <w:t>26.</w:t>
            </w:r>
            <w:r w:rsidR="007E466A">
              <w:rPr>
                <w:rFonts w:cs="Arial"/>
                <w:bCs/>
                <w:color w:val="auto"/>
                <w:sz w:val="20"/>
                <w:szCs w:val="20"/>
                <w:lang w:eastAsia="en-GB"/>
              </w:rPr>
              <w:t>2</w:t>
            </w:r>
            <w:r w:rsidRPr="00A67323">
              <w:rPr>
                <w:rFonts w:cs="Arial"/>
                <w:bCs/>
                <w:color w:val="auto"/>
                <w:sz w:val="20"/>
                <w:szCs w:val="20"/>
                <w:lang w:eastAsia="en-GB"/>
              </w:rPr>
              <w:t>)</w:t>
            </w:r>
          </w:p>
        </w:tc>
      </w:tr>
      <w:tr w:rsidR="00D1188F" w:rsidRPr="0005794A"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D1188F" w:rsidRPr="00C22AA6" w:rsidRDefault="00D1188F" w:rsidP="001742A7">
            <w:pPr>
              <w:widowControl w:val="0"/>
              <w:spacing w:after="0" w:line="240" w:lineRule="auto"/>
              <w:rPr>
                <w:rFonts w:cs="Arial"/>
                <w:b w:val="0"/>
                <w:color w:val="auto"/>
                <w:sz w:val="20"/>
                <w:szCs w:val="20"/>
                <w:lang w:eastAsia="en-GB"/>
              </w:rPr>
            </w:pPr>
            <w:r w:rsidRPr="00C22AA6">
              <w:rPr>
                <w:rFonts w:cs="Arial"/>
                <w:b w:val="0"/>
                <w:color w:val="auto"/>
                <w:sz w:val="20"/>
                <w:szCs w:val="20"/>
                <w:lang w:eastAsia="en-GB"/>
              </w:rPr>
              <w:t>Other Comprehensive Expenditure and Income</w:t>
            </w:r>
          </w:p>
          <w:p w:rsidR="00D1188F" w:rsidRPr="00C22AA6" w:rsidRDefault="00D1188F" w:rsidP="001742A7">
            <w:pPr>
              <w:widowControl w:val="0"/>
              <w:spacing w:after="0" w:line="240" w:lineRule="auto"/>
              <w:rPr>
                <w:rFonts w:cs="Arial"/>
                <w:b w:val="0"/>
                <w:color w:val="auto"/>
                <w:sz w:val="20"/>
                <w:szCs w:val="20"/>
                <w:lang w:eastAsia="en-GB"/>
              </w:rPr>
            </w:pPr>
            <w:r w:rsidRPr="00C22AA6">
              <w:rPr>
                <w:rFonts w:cs="Arial"/>
                <w:b w:val="0"/>
                <w:color w:val="auto"/>
                <w:sz w:val="20"/>
                <w:szCs w:val="20"/>
                <w:lang w:eastAsia="en-GB"/>
              </w:rPr>
              <w:t>(see C I&amp;E Statement)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D1188F" w:rsidRPr="00564B43" w:rsidRDefault="00D22B37" w:rsidP="001742A7">
            <w:pPr>
              <w:widowControl w:val="0"/>
              <w:spacing w:after="0" w:line="240" w:lineRule="auto"/>
              <w:jc w:val="center"/>
              <w:rPr>
                <w:rFonts w:cs="Arial"/>
                <w:color w:val="auto"/>
                <w:sz w:val="20"/>
                <w:szCs w:val="20"/>
                <w:lang w:eastAsia="en-GB"/>
              </w:rPr>
            </w:pPr>
            <w:r w:rsidRPr="00564B43">
              <w:rPr>
                <w:rFonts w:cs="Arial"/>
                <w:color w:val="auto"/>
                <w:sz w:val="20"/>
                <w:szCs w:val="20"/>
                <w:lang w:eastAsia="en-GB"/>
              </w:rPr>
              <w:t>-</w:t>
            </w:r>
          </w:p>
        </w:tc>
        <w:tc>
          <w:tcPr>
            <w:tcW w:w="1559" w:type="dxa"/>
            <w:shd w:val="clear" w:color="auto" w:fill="auto"/>
            <w:noWrap/>
          </w:tcPr>
          <w:p w:rsidR="00D1188F" w:rsidRPr="00564B43" w:rsidRDefault="00D22B37"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64B43">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D1188F" w:rsidRPr="00564B43" w:rsidRDefault="00D22B37" w:rsidP="001742A7">
            <w:pPr>
              <w:widowControl w:val="0"/>
              <w:spacing w:after="0" w:line="240" w:lineRule="auto"/>
              <w:jc w:val="center"/>
              <w:rPr>
                <w:rFonts w:cs="Arial"/>
                <w:color w:val="auto"/>
                <w:sz w:val="20"/>
                <w:szCs w:val="20"/>
                <w:lang w:eastAsia="en-GB"/>
              </w:rPr>
            </w:pPr>
            <w:r w:rsidRPr="00564B43">
              <w:rPr>
                <w:rFonts w:cs="Arial"/>
                <w:color w:val="auto"/>
                <w:sz w:val="20"/>
                <w:szCs w:val="20"/>
                <w:lang w:eastAsia="en-GB"/>
              </w:rPr>
              <w:t>-</w:t>
            </w:r>
          </w:p>
        </w:tc>
        <w:tc>
          <w:tcPr>
            <w:tcW w:w="1418" w:type="dxa"/>
            <w:shd w:val="clear" w:color="auto" w:fill="auto"/>
            <w:noWrap/>
          </w:tcPr>
          <w:p w:rsidR="00D1188F" w:rsidRPr="00564B43" w:rsidRDefault="00D22B37"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64B43">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D1188F" w:rsidRPr="00564B43" w:rsidRDefault="00D22B37" w:rsidP="001742A7">
            <w:pPr>
              <w:widowControl w:val="0"/>
              <w:spacing w:after="0" w:line="240" w:lineRule="auto"/>
              <w:jc w:val="center"/>
              <w:rPr>
                <w:rFonts w:cs="Arial"/>
                <w:bCs/>
                <w:color w:val="auto"/>
                <w:sz w:val="20"/>
                <w:szCs w:val="20"/>
                <w:lang w:eastAsia="en-GB"/>
              </w:rPr>
            </w:pPr>
            <w:r w:rsidRPr="00564B43">
              <w:rPr>
                <w:rFonts w:cs="Arial"/>
                <w:bCs/>
                <w:color w:val="auto"/>
                <w:sz w:val="20"/>
                <w:szCs w:val="20"/>
                <w:lang w:eastAsia="en-GB"/>
              </w:rPr>
              <w:t>-</w:t>
            </w:r>
          </w:p>
        </w:tc>
        <w:tc>
          <w:tcPr>
            <w:tcW w:w="1417" w:type="dxa"/>
            <w:shd w:val="clear" w:color="auto" w:fill="auto"/>
            <w:noWrap/>
          </w:tcPr>
          <w:p w:rsidR="00D1188F" w:rsidRPr="00564B43" w:rsidRDefault="00D22B37"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564B43">
              <w:rPr>
                <w:rFonts w:cs="Arial"/>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D1188F" w:rsidRPr="00A67323" w:rsidRDefault="005B3CBA" w:rsidP="007E466A">
            <w:pPr>
              <w:widowControl w:val="0"/>
              <w:spacing w:after="0" w:line="240" w:lineRule="auto"/>
              <w:jc w:val="center"/>
              <w:rPr>
                <w:rFonts w:cs="Arial"/>
                <w:color w:val="auto"/>
                <w:sz w:val="20"/>
                <w:szCs w:val="20"/>
                <w:lang w:eastAsia="en-GB"/>
              </w:rPr>
            </w:pPr>
            <w:r>
              <w:rPr>
                <w:rFonts w:cs="Arial"/>
                <w:color w:val="auto"/>
                <w:sz w:val="20"/>
                <w:szCs w:val="20"/>
                <w:lang w:eastAsia="en-GB"/>
              </w:rPr>
              <w:t>39.</w:t>
            </w:r>
            <w:r w:rsidR="007E466A">
              <w:rPr>
                <w:rFonts w:cs="Arial"/>
                <w:color w:val="auto"/>
                <w:sz w:val="20"/>
                <w:szCs w:val="20"/>
                <w:lang w:eastAsia="en-GB"/>
              </w:rPr>
              <w:t>3</w:t>
            </w:r>
          </w:p>
        </w:tc>
        <w:tc>
          <w:tcPr>
            <w:tcW w:w="1228" w:type="dxa"/>
            <w:shd w:val="clear" w:color="auto" w:fill="auto"/>
            <w:noWrap/>
          </w:tcPr>
          <w:p w:rsidR="00D1188F" w:rsidRPr="00A67323" w:rsidRDefault="005B3CBA" w:rsidP="00A05BD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Pr>
                <w:rFonts w:cs="Arial"/>
                <w:bCs/>
                <w:color w:val="auto"/>
                <w:sz w:val="20"/>
                <w:szCs w:val="20"/>
                <w:lang w:eastAsia="en-GB"/>
              </w:rPr>
              <w:t>39.</w:t>
            </w:r>
            <w:r w:rsidR="007E466A">
              <w:rPr>
                <w:rFonts w:cs="Arial"/>
                <w:bCs/>
                <w:color w:val="auto"/>
                <w:sz w:val="20"/>
                <w:szCs w:val="20"/>
                <w:lang w:eastAsia="en-GB"/>
              </w:rPr>
              <w:t>3</w:t>
            </w:r>
          </w:p>
        </w:tc>
      </w:tr>
      <w:tr w:rsidR="00D1188F" w:rsidRPr="0005794A"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D1188F" w:rsidRPr="00C22AA6" w:rsidRDefault="00D1188F" w:rsidP="001742A7">
            <w:pPr>
              <w:widowControl w:val="0"/>
              <w:spacing w:after="0" w:line="240" w:lineRule="auto"/>
              <w:rPr>
                <w:rFonts w:cs="Arial"/>
                <w:bCs w:val="0"/>
                <w:color w:val="auto"/>
                <w:sz w:val="20"/>
                <w:szCs w:val="20"/>
                <w:lang w:eastAsia="en-GB"/>
              </w:rPr>
            </w:pPr>
            <w:r w:rsidRPr="00C22AA6">
              <w:rPr>
                <w:rFonts w:cs="Arial"/>
                <w:bCs w:val="0"/>
                <w:color w:val="auto"/>
                <w:sz w:val="20"/>
                <w:szCs w:val="20"/>
                <w:lang w:eastAsia="en-GB"/>
              </w:rPr>
              <w:t>Total Comprehensive Expenditure and Income</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D1188F" w:rsidRPr="00564B43" w:rsidRDefault="00564B43" w:rsidP="007E466A">
            <w:pPr>
              <w:widowControl w:val="0"/>
              <w:spacing w:after="0" w:line="240" w:lineRule="auto"/>
              <w:jc w:val="center"/>
              <w:rPr>
                <w:rFonts w:cs="Arial"/>
                <w:b/>
                <w:color w:val="auto"/>
                <w:sz w:val="20"/>
                <w:szCs w:val="20"/>
                <w:lang w:eastAsia="en-GB"/>
              </w:rPr>
            </w:pPr>
            <w:r w:rsidRPr="00564B43">
              <w:rPr>
                <w:rFonts w:cs="Arial"/>
                <w:b/>
                <w:color w:val="auto"/>
                <w:sz w:val="20"/>
                <w:szCs w:val="20"/>
                <w:lang w:eastAsia="en-GB"/>
              </w:rPr>
              <w:t>(</w:t>
            </w:r>
            <w:r w:rsidR="00553CB8">
              <w:rPr>
                <w:rFonts w:cs="Arial"/>
                <w:b/>
                <w:color w:val="auto"/>
                <w:sz w:val="20"/>
                <w:szCs w:val="20"/>
                <w:lang w:eastAsia="en-GB"/>
              </w:rPr>
              <w:t>26.</w:t>
            </w:r>
            <w:r w:rsidR="007E466A">
              <w:rPr>
                <w:rFonts w:cs="Arial"/>
                <w:b/>
                <w:color w:val="auto"/>
                <w:sz w:val="20"/>
                <w:szCs w:val="20"/>
                <w:lang w:eastAsia="en-GB"/>
              </w:rPr>
              <w:t>2</w:t>
            </w:r>
            <w:r w:rsidRPr="00564B43">
              <w:rPr>
                <w:rFonts w:cs="Arial"/>
                <w:b/>
                <w:color w:val="auto"/>
                <w:sz w:val="20"/>
                <w:szCs w:val="20"/>
                <w:lang w:eastAsia="en-GB"/>
              </w:rPr>
              <w:t>)</w:t>
            </w:r>
          </w:p>
        </w:tc>
        <w:tc>
          <w:tcPr>
            <w:tcW w:w="1559" w:type="dxa"/>
            <w:shd w:val="clear" w:color="auto" w:fill="auto"/>
            <w:noWrap/>
          </w:tcPr>
          <w:p w:rsidR="00D1188F" w:rsidRPr="00564B43" w:rsidRDefault="00D22B37"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564B43">
              <w:rPr>
                <w:rFonts w:cs="Arial"/>
                <w:b/>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D1188F" w:rsidRPr="00564B43" w:rsidRDefault="00564B43" w:rsidP="00B113D5">
            <w:pPr>
              <w:widowControl w:val="0"/>
              <w:spacing w:after="0" w:line="240" w:lineRule="auto"/>
              <w:jc w:val="center"/>
              <w:rPr>
                <w:rFonts w:cs="Arial"/>
                <w:b/>
                <w:color w:val="auto"/>
                <w:sz w:val="20"/>
                <w:szCs w:val="20"/>
                <w:lang w:eastAsia="en-GB"/>
              </w:rPr>
            </w:pPr>
            <w:r w:rsidRPr="00564B43">
              <w:rPr>
                <w:rFonts w:cs="Arial"/>
                <w:b/>
                <w:color w:val="auto"/>
                <w:sz w:val="20"/>
                <w:szCs w:val="20"/>
                <w:lang w:eastAsia="en-GB"/>
              </w:rPr>
              <w:t>(</w:t>
            </w:r>
            <w:r w:rsidR="00553CB8">
              <w:rPr>
                <w:rFonts w:cs="Arial"/>
                <w:b/>
                <w:color w:val="auto"/>
                <w:sz w:val="20"/>
                <w:szCs w:val="20"/>
                <w:lang w:eastAsia="en-GB"/>
              </w:rPr>
              <w:t>26.</w:t>
            </w:r>
            <w:r w:rsidR="00B113D5">
              <w:rPr>
                <w:rFonts w:cs="Arial"/>
                <w:b/>
                <w:color w:val="auto"/>
                <w:sz w:val="20"/>
                <w:szCs w:val="20"/>
                <w:lang w:eastAsia="en-GB"/>
              </w:rPr>
              <w:t>2</w:t>
            </w:r>
            <w:r w:rsidRPr="00564B43">
              <w:rPr>
                <w:rFonts w:cs="Arial"/>
                <w:b/>
                <w:color w:val="auto"/>
                <w:sz w:val="20"/>
                <w:szCs w:val="20"/>
                <w:lang w:eastAsia="en-GB"/>
              </w:rPr>
              <w:t>)</w:t>
            </w:r>
          </w:p>
        </w:tc>
        <w:tc>
          <w:tcPr>
            <w:tcW w:w="1418" w:type="dxa"/>
            <w:shd w:val="clear" w:color="auto" w:fill="auto"/>
            <w:noWrap/>
          </w:tcPr>
          <w:p w:rsidR="00D1188F" w:rsidRPr="00564B43" w:rsidRDefault="00D22B37" w:rsidP="001742A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564B43">
              <w:rPr>
                <w:rFonts w:cs="Arial"/>
                <w:b/>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D1188F" w:rsidRPr="00564B43" w:rsidRDefault="00D22B37" w:rsidP="001742A7">
            <w:pPr>
              <w:widowControl w:val="0"/>
              <w:spacing w:after="0" w:line="240" w:lineRule="auto"/>
              <w:jc w:val="center"/>
              <w:rPr>
                <w:rFonts w:cs="Arial"/>
                <w:b/>
                <w:bCs/>
                <w:color w:val="auto"/>
                <w:sz w:val="20"/>
                <w:szCs w:val="20"/>
                <w:lang w:eastAsia="en-GB"/>
              </w:rPr>
            </w:pPr>
            <w:r w:rsidRPr="00564B43">
              <w:rPr>
                <w:rFonts w:cs="Arial"/>
                <w:b/>
                <w:bCs/>
                <w:color w:val="auto"/>
                <w:sz w:val="20"/>
                <w:szCs w:val="20"/>
                <w:lang w:eastAsia="en-GB"/>
              </w:rPr>
              <w:t>-</w:t>
            </w:r>
          </w:p>
        </w:tc>
        <w:tc>
          <w:tcPr>
            <w:tcW w:w="1417" w:type="dxa"/>
            <w:shd w:val="clear" w:color="auto" w:fill="auto"/>
            <w:noWrap/>
          </w:tcPr>
          <w:p w:rsidR="00D1188F" w:rsidRPr="00564B43" w:rsidRDefault="00564B43" w:rsidP="00B113D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564B43">
              <w:rPr>
                <w:rFonts w:cs="Arial"/>
                <w:b/>
                <w:bCs/>
                <w:color w:val="auto"/>
                <w:sz w:val="20"/>
                <w:szCs w:val="20"/>
                <w:lang w:eastAsia="en-GB"/>
              </w:rPr>
              <w:t>(</w:t>
            </w:r>
            <w:r w:rsidR="00553CB8">
              <w:rPr>
                <w:rFonts w:cs="Arial"/>
                <w:b/>
                <w:bCs/>
                <w:color w:val="auto"/>
                <w:sz w:val="20"/>
                <w:szCs w:val="20"/>
                <w:lang w:eastAsia="en-GB"/>
              </w:rPr>
              <w:t>26.</w:t>
            </w:r>
            <w:r w:rsidR="00B113D5">
              <w:rPr>
                <w:rFonts w:cs="Arial"/>
                <w:b/>
                <w:bCs/>
                <w:color w:val="auto"/>
                <w:sz w:val="20"/>
                <w:szCs w:val="20"/>
                <w:lang w:eastAsia="en-GB"/>
              </w:rPr>
              <w:t>2</w:t>
            </w:r>
            <w:r w:rsidRPr="00564B43">
              <w:rPr>
                <w:rFonts w:cs="Arial"/>
                <w:b/>
                <w:bCs/>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D1188F" w:rsidRPr="00A67323" w:rsidRDefault="00553CB8" w:rsidP="00553CB8">
            <w:pPr>
              <w:widowControl w:val="0"/>
              <w:spacing w:after="0" w:line="240" w:lineRule="auto"/>
              <w:jc w:val="center"/>
              <w:rPr>
                <w:rFonts w:cs="Arial"/>
                <w:b/>
                <w:bCs/>
                <w:color w:val="auto"/>
                <w:sz w:val="20"/>
                <w:szCs w:val="20"/>
                <w:lang w:eastAsia="en-GB"/>
              </w:rPr>
            </w:pPr>
            <w:r>
              <w:rPr>
                <w:rFonts w:cs="Arial"/>
                <w:b/>
                <w:bCs/>
                <w:color w:val="auto"/>
                <w:sz w:val="20"/>
                <w:szCs w:val="20"/>
                <w:lang w:eastAsia="en-GB"/>
              </w:rPr>
              <w:t>39.3</w:t>
            </w:r>
          </w:p>
        </w:tc>
        <w:tc>
          <w:tcPr>
            <w:tcW w:w="1228" w:type="dxa"/>
            <w:shd w:val="clear" w:color="auto" w:fill="auto"/>
            <w:noWrap/>
          </w:tcPr>
          <w:p w:rsidR="00D1188F" w:rsidRPr="00A67323" w:rsidRDefault="00553CB8" w:rsidP="00A05BD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Pr>
                <w:rFonts w:cs="Arial"/>
                <w:b/>
                <w:bCs/>
                <w:color w:val="auto"/>
                <w:sz w:val="20"/>
                <w:szCs w:val="20"/>
                <w:lang w:eastAsia="en-GB"/>
              </w:rPr>
              <w:t>13.</w:t>
            </w:r>
            <w:r w:rsidR="00A05BD7">
              <w:rPr>
                <w:rFonts w:cs="Arial"/>
                <w:b/>
                <w:bCs/>
                <w:color w:val="auto"/>
                <w:sz w:val="20"/>
                <w:szCs w:val="20"/>
                <w:lang w:eastAsia="en-GB"/>
              </w:rPr>
              <w:t>1</w:t>
            </w:r>
          </w:p>
        </w:tc>
      </w:tr>
      <w:tr w:rsidR="00D1188F" w:rsidRPr="0005794A"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D1188F" w:rsidRPr="00553CB8" w:rsidRDefault="00D1188F" w:rsidP="00184D56">
            <w:pPr>
              <w:widowControl w:val="0"/>
              <w:spacing w:after="0" w:line="240" w:lineRule="auto"/>
              <w:rPr>
                <w:rFonts w:cs="Arial"/>
                <w:b w:val="0"/>
                <w:color w:val="auto"/>
                <w:sz w:val="20"/>
                <w:szCs w:val="20"/>
                <w:lang w:eastAsia="en-GB"/>
              </w:rPr>
            </w:pPr>
            <w:r w:rsidRPr="00553CB8">
              <w:rPr>
                <w:rFonts w:cs="Arial"/>
                <w:b w:val="0"/>
                <w:color w:val="auto"/>
                <w:sz w:val="20"/>
                <w:szCs w:val="20"/>
                <w:lang w:eastAsia="en-GB"/>
              </w:rPr>
              <w:t xml:space="preserve">Adjustments between accounting basis &amp; funding basis under regulations (Note </w:t>
            </w:r>
            <w:r w:rsidR="00184D56" w:rsidRPr="00553CB8">
              <w:rPr>
                <w:rFonts w:cs="Arial"/>
                <w:b w:val="0"/>
                <w:color w:val="auto"/>
                <w:sz w:val="20"/>
                <w:szCs w:val="20"/>
                <w:lang w:eastAsia="en-GB"/>
              </w:rPr>
              <w:t>9</w:t>
            </w:r>
            <w:r w:rsidRPr="00553CB8">
              <w:rPr>
                <w:rFonts w:cs="Arial"/>
                <w:b w:val="0"/>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D1188F" w:rsidRPr="00564B43" w:rsidRDefault="00564B43" w:rsidP="007E466A">
            <w:pPr>
              <w:widowControl w:val="0"/>
              <w:spacing w:after="0" w:line="240" w:lineRule="auto"/>
              <w:jc w:val="center"/>
              <w:rPr>
                <w:rFonts w:cs="Arial"/>
                <w:color w:val="auto"/>
                <w:sz w:val="20"/>
                <w:szCs w:val="20"/>
                <w:lang w:eastAsia="en-GB"/>
              </w:rPr>
            </w:pPr>
            <w:r w:rsidRPr="00564B43">
              <w:rPr>
                <w:rFonts w:cs="Arial"/>
                <w:color w:val="auto"/>
                <w:sz w:val="20"/>
                <w:szCs w:val="20"/>
                <w:lang w:eastAsia="en-GB"/>
              </w:rPr>
              <w:t>2</w:t>
            </w:r>
            <w:r w:rsidR="00553CB8">
              <w:rPr>
                <w:rFonts w:cs="Arial"/>
                <w:color w:val="auto"/>
                <w:sz w:val="20"/>
                <w:szCs w:val="20"/>
                <w:lang w:eastAsia="en-GB"/>
              </w:rPr>
              <w:t>8.</w:t>
            </w:r>
            <w:r w:rsidR="007E466A">
              <w:rPr>
                <w:rFonts w:cs="Arial"/>
                <w:color w:val="auto"/>
                <w:sz w:val="20"/>
                <w:szCs w:val="20"/>
                <w:lang w:eastAsia="en-GB"/>
              </w:rPr>
              <w:t>3</w:t>
            </w:r>
          </w:p>
        </w:tc>
        <w:tc>
          <w:tcPr>
            <w:tcW w:w="1559" w:type="dxa"/>
            <w:shd w:val="clear" w:color="auto" w:fill="auto"/>
            <w:noWrap/>
          </w:tcPr>
          <w:p w:rsidR="00D1188F" w:rsidRPr="00564B43" w:rsidRDefault="00631778"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64B43">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631778" w:rsidRPr="00564B43" w:rsidRDefault="00564B43" w:rsidP="007E466A">
            <w:pPr>
              <w:widowControl w:val="0"/>
              <w:spacing w:after="0" w:line="240" w:lineRule="auto"/>
              <w:jc w:val="center"/>
              <w:rPr>
                <w:rFonts w:cs="Arial"/>
                <w:color w:val="auto"/>
                <w:sz w:val="20"/>
                <w:szCs w:val="20"/>
                <w:lang w:eastAsia="en-GB"/>
              </w:rPr>
            </w:pPr>
            <w:r w:rsidRPr="00564B43">
              <w:rPr>
                <w:rFonts w:cs="Arial"/>
                <w:color w:val="auto"/>
                <w:sz w:val="20"/>
                <w:szCs w:val="20"/>
                <w:lang w:eastAsia="en-GB"/>
              </w:rPr>
              <w:t>2</w:t>
            </w:r>
            <w:r w:rsidR="00553CB8">
              <w:rPr>
                <w:rFonts w:cs="Arial"/>
                <w:color w:val="auto"/>
                <w:sz w:val="20"/>
                <w:szCs w:val="20"/>
                <w:lang w:eastAsia="en-GB"/>
              </w:rPr>
              <w:t>8.</w:t>
            </w:r>
            <w:r w:rsidR="007E466A">
              <w:rPr>
                <w:rFonts w:cs="Arial"/>
                <w:color w:val="auto"/>
                <w:sz w:val="20"/>
                <w:szCs w:val="20"/>
                <w:lang w:eastAsia="en-GB"/>
              </w:rPr>
              <w:t>3</w:t>
            </w:r>
          </w:p>
        </w:tc>
        <w:tc>
          <w:tcPr>
            <w:tcW w:w="1418" w:type="dxa"/>
            <w:shd w:val="clear" w:color="auto" w:fill="auto"/>
            <w:noWrap/>
          </w:tcPr>
          <w:p w:rsidR="00D1188F" w:rsidRPr="00564B43" w:rsidRDefault="00564B43" w:rsidP="00B113D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64B43">
              <w:rPr>
                <w:rFonts w:cs="Arial"/>
                <w:color w:val="auto"/>
                <w:sz w:val="20"/>
                <w:szCs w:val="20"/>
                <w:lang w:eastAsia="en-GB"/>
              </w:rPr>
              <w:t>0.</w:t>
            </w:r>
            <w:r w:rsidR="00B113D5">
              <w:rPr>
                <w:rFonts w:cs="Arial"/>
                <w:color w:val="auto"/>
                <w:sz w:val="20"/>
                <w:szCs w:val="20"/>
                <w:lang w:eastAsia="en-GB"/>
              </w:rPr>
              <w:t>7</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D1188F" w:rsidRPr="00564B43" w:rsidRDefault="00564B43" w:rsidP="001742A7">
            <w:pPr>
              <w:widowControl w:val="0"/>
              <w:spacing w:after="0" w:line="240" w:lineRule="auto"/>
              <w:jc w:val="center"/>
              <w:rPr>
                <w:rFonts w:cs="Arial"/>
                <w:bCs/>
                <w:color w:val="auto"/>
                <w:sz w:val="20"/>
                <w:szCs w:val="20"/>
                <w:lang w:eastAsia="en-GB"/>
              </w:rPr>
            </w:pPr>
            <w:r w:rsidRPr="00564B43">
              <w:rPr>
                <w:rFonts w:cs="Arial"/>
                <w:bCs/>
                <w:color w:val="auto"/>
                <w:sz w:val="20"/>
                <w:szCs w:val="20"/>
                <w:lang w:eastAsia="en-GB"/>
              </w:rPr>
              <w:t>1.9</w:t>
            </w:r>
          </w:p>
        </w:tc>
        <w:tc>
          <w:tcPr>
            <w:tcW w:w="1417" w:type="dxa"/>
            <w:shd w:val="clear" w:color="auto" w:fill="auto"/>
            <w:noWrap/>
          </w:tcPr>
          <w:p w:rsidR="00D1188F" w:rsidRPr="00564B43" w:rsidRDefault="00553CB8" w:rsidP="00B113D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Pr>
                <w:rFonts w:cs="Arial"/>
                <w:bCs/>
                <w:color w:val="auto"/>
                <w:sz w:val="20"/>
                <w:szCs w:val="20"/>
                <w:lang w:eastAsia="en-GB"/>
              </w:rPr>
              <w:t>30.</w:t>
            </w:r>
            <w:r w:rsidR="00B113D5">
              <w:rPr>
                <w:rFonts w:cs="Arial"/>
                <w:bCs/>
                <w:color w:val="auto"/>
                <w:sz w:val="20"/>
                <w:szCs w:val="20"/>
                <w:lang w:eastAsia="en-GB"/>
              </w:rPr>
              <w:t>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D1188F" w:rsidRPr="00A67323" w:rsidRDefault="00E0074D" w:rsidP="00B113D5">
            <w:pPr>
              <w:widowControl w:val="0"/>
              <w:spacing w:after="0" w:line="240" w:lineRule="auto"/>
              <w:jc w:val="center"/>
              <w:rPr>
                <w:rFonts w:cs="Arial"/>
                <w:color w:val="auto"/>
                <w:sz w:val="20"/>
                <w:szCs w:val="20"/>
                <w:lang w:eastAsia="en-GB"/>
              </w:rPr>
            </w:pPr>
            <w:r>
              <w:rPr>
                <w:rFonts w:cs="Arial"/>
                <w:color w:val="auto"/>
                <w:sz w:val="20"/>
                <w:szCs w:val="20"/>
                <w:lang w:eastAsia="en-GB"/>
              </w:rPr>
              <w:t>(</w:t>
            </w:r>
            <w:r w:rsidR="00553CB8">
              <w:rPr>
                <w:rFonts w:cs="Arial"/>
                <w:color w:val="auto"/>
                <w:sz w:val="20"/>
                <w:szCs w:val="20"/>
                <w:lang w:eastAsia="en-GB"/>
              </w:rPr>
              <w:t>30.</w:t>
            </w:r>
            <w:r w:rsidR="00B113D5">
              <w:rPr>
                <w:rFonts w:cs="Arial"/>
                <w:color w:val="auto"/>
                <w:sz w:val="20"/>
                <w:szCs w:val="20"/>
                <w:lang w:eastAsia="en-GB"/>
              </w:rPr>
              <w:t>9</w:t>
            </w:r>
            <w:r>
              <w:rPr>
                <w:rFonts w:cs="Arial"/>
                <w:color w:val="auto"/>
                <w:sz w:val="20"/>
                <w:szCs w:val="20"/>
                <w:lang w:eastAsia="en-GB"/>
              </w:rPr>
              <w:t>)</w:t>
            </w:r>
          </w:p>
        </w:tc>
        <w:tc>
          <w:tcPr>
            <w:tcW w:w="1228" w:type="dxa"/>
            <w:shd w:val="clear" w:color="auto" w:fill="auto"/>
            <w:noWrap/>
          </w:tcPr>
          <w:p w:rsidR="00D1188F" w:rsidRPr="00A67323" w:rsidRDefault="004D13DB" w:rsidP="004D13DB">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Pr>
                <w:rFonts w:cs="Arial"/>
                <w:bCs/>
                <w:color w:val="auto"/>
                <w:sz w:val="20"/>
                <w:szCs w:val="20"/>
                <w:lang w:eastAsia="en-GB"/>
              </w:rPr>
              <w:t>0</w:t>
            </w:r>
          </w:p>
        </w:tc>
      </w:tr>
      <w:tr w:rsidR="00D1188F" w:rsidRPr="0005794A" w:rsidTr="00D118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D1188F" w:rsidRPr="00553CB8" w:rsidRDefault="00D1188F" w:rsidP="001742A7">
            <w:pPr>
              <w:widowControl w:val="0"/>
              <w:spacing w:after="0" w:line="240" w:lineRule="auto"/>
              <w:rPr>
                <w:rFonts w:cs="Arial"/>
                <w:bCs w:val="0"/>
                <w:color w:val="auto"/>
                <w:sz w:val="20"/>
                <w:szCs w:val="20"/>
                <w:lang w:eastAsia="en-GB"/>
              </w:rPr>
            </w:pPr>
            <w:r w:rsidRPr="00553CB8">
              <w:rPr>
                <w:rFonts w:cs="Arial"/>
                <w:bCs w:val="0"/>
                <w:color w:val="auto"/>
                <w:sz w:val="20"/>
                <w:szCs w:val="20"/>
                <w:lang w:eastAsia="en-GB"/>
              </w:rPr>
              <w:t>Net Increase/Decrease before Transfers to Earmarked Reserves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D1188F" w:rsidRPr="00564B43" w:rsidRDefault="000059BE" w:rsidP="00C74644">
            <w:pPr>
              <w:widowControl w:val="0"/>
              <w:spacing w:after="0" w:line="240" w:lineRule="auto"/>
              <w:jc w:val="center"/>
              <w:rPr>
                <w:rFonts w:cs="Arial"/>
                <w:b/>
                <w:bCs/>
                <w:color w:val="auto"/>
                <w:sz w:val="20"/>
                <w:szCs w:val="20"/>
                <w:lang w:eastAsia="en-GB"/>
              </w:rPr>
            </w:pPr>
            <w:r w:rsidRPr="00564B43">
              <w:rPr>
                <w:rFonts w:cs="Arial"/>
                <w:b/>
                <w:bCs/>
                <w:color w:val="auto"/>
                <w:sz w:val="20"/>
                <w:szCs w:val="20"/>
                <w:lang w:eastAsia="en-GB"/>
              </w:rPr>
              <w:t>2.1</w:t>
            </w:r>
          </w:p>
        </w:tc>
        <w:tc>
          <w:tcPr>
            <w:tcW w:w="1559" w:type="dxa"/>
            <w:shd w:val="clear" w:color="auto" w:fill="auto"/>
            <w:noWrap/>
          </w:tcPr>
          <w:p w:rsidR="00D1188F" w:rsidRPr="00564B43" w:rsidRDefault="005E6E2C" w:rsidP="005E6E2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564B43">
              <w:rPr>
                <w:rFonts w:cs="Arial"/>
                <w:b/>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D1188F" w:rsidRPr="00564B43" w:rsidRDefault="005E6E2C" w:rsidP="001742A7">
            <w:pPr>
              <w:widowControl w:val="0"/>
              <w:spacing w:after="0" w:line="240" w:lineRule="auto"/>
              <w:jc w:val="center"/>
              <w:rPr>
                <w:rFonts w:cs="Arial"/>
                <w:b/>
                <w:bCs/>
                <w:color w:val="auto"/>
                <w:sz w:val="20"/>
                <w:szCs w:val="20"/>
                <w:lang w:eastAsia="en-GB"/>
              </w:rPr>
            </w:pPr>
            <w:r w:rsidRPr="00564B43">
              <w:rPr>
                <w:rFonts w:cs="Arial"/>
                <w:b/>
                <w:bCs/>
                <w:color w:val="auto"/>
                <w:sz w:val="20"/>
                <w:szCs w:val="20"/>
                <w:lang w:eastAsia="en-GB"/>
              </w:rPr>
              <w:t>2.1</w:t>
            </w:r>
          </w:p>
        </w:tc>
        <w:tc>
          <w:tcPr>
            <w:tcW w:w="1418" w:type="dxa"/>
            <w:shd w:val="clear" w:color="auto" w:fill="auto"/>
            <w:noWrap/>
          </w:tcPr>
          <w:p w:rsidR="00D1188F" w:rsidRPr="00564B43" w:rsidRDefault="00326E0B" w:rsidP="00B113D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564B43">
              <w:rPr>
                <w:rFonts w:cs="Arial"/>
                <w:b/>
                <w:bCs/>
                <w:color w:val="auto"/>
                <w:sz w:val="20"/>
                <w:szCs w:val="20"/>
                <w:lang w:eastAsia="en-GB"/>
              </w:rPr>
              <w:t>0.</w:t>
            </w:r>
            <w:r w:rsidR="00B113D5">
              <w:rPr>
                <w:rFonts w:cs="Arial"/>
                <w:b/>
                <w:bCs/>
                <w:color w:val="auto"/>
                <w:sz w:val="20"/>
                <w:szCs w:val="20"/>
                <w:lang w:eastAsia="en-GB"/>
              </w:rPr>
              <w:t>7</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D1188F" w:rsidRPr="00564B43" w:rsidRDefault="000059BE" w:rsidP="001742A7">
            <w:pPr>
              <w:widowControl w:val="0"/>
              <w:spacing w:after="0" w:line="240" w:lineRule="auto"/>
              <w:jc w:val="center"/>
              <w:rPr>
                <w:rFonts w:cs="Arial"/>
                <w:b/>
                <w:bCs/>
                <w:color w:val="auto"/>
                <w:sz w:val="20"/>
                <w:szCs w:val="20"/>
                <w:lang w:eastAsia="en-GB"/>
              </w:rPr>
            </w:pPr>
            <w:r w:rsidRPr="00564B43">
              <w:rPr>
                <w:rFonts w:cs="Arial"/>
                <w:b/>
                <w:bCs/>
                <w:color w:val="auto"/>
                <w:sz w:val="20"/>
                <w:szCs w:val="20"/>
                <w:lang w:eastAsia="en-GB"/>
              </w:rPr>
              <w:t>1.9</w:t>
            </w:r>
          </w:p>
        </w:tc>
        <w:tc>
          <w:tcPr>
            <w:tcW w:w="1417" w:type="dxa"/>
            <w:shd w:val="clear" w:color="auto" w:fill="auto"/>
            <w:noWrap/>
          </w:tcPr>
          <w:p w:rsidR="00D1188F" w:rsidRPr="00564B43" w:rsidRDefault="00326E0B" w:rsidP="00B113D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564B43">
              <w:rPr>
                <w:rFonts w:cs="Arial"/>
                <w:b/>
                <w:bCs/>
                <w:color w:val="auto"/>
                <w:sz w:val="20"/>
                <w:szCs w:val="20"/>
                <w:lang w:eastAsia="en-GB"/>
              </w:rPr>
              <w:t>4.</w:t>
            </w:r>
            <w:r w:rsidR="00B113D5">
              <w:rPr>
                <w:rFonts w:cs="Arial"/>
                <w:b/>
                <w:bCs/>
                <w:color w:val="auto"/>
                <w:sz w:val="20"/>
                <w:szCs w:val="20"/>
                <w:lang w:eastAsia="en-GB"/>
              </w:rPr>
              <w:t>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D1188F" w:rsidRPr="00A67323" w:rsidRDefault="00553CB8" w:rsidP="00B113D5">
            <w:pPr>
              <w:widowControl w:val="0"/>
              <w:spacing w:after="0" w:line="240" w:lineRule="auto"/>
              <w:jc w:val="center"/>
              <w:rPr>
                <w:rFonts w:cs="Arial"/>
                <w:b/>
                <w:bCs/>
                <w:color w:val="auto"/>
                <w:sz w:val="20"/>
                <w:szCs w:val="20"/>
                <w:lang w:eastAsia="en-GB"/>
              </w:rPr>
            </w:pPr>
            <w:r>
              <w:rPr>
                <w:rFonts w:cs="Arial"/>
                <w:b/>
                <w:bCs/>
                <w:color w:val="auto"/>
                <w:sz w:val="20"/>
                <w:szCs w:val="20"/>
                <w:lang w:eastAsia="en-GB"/>
              </w:rPr>
              <w:t>8.</w:t>
            </w:r>
            <w:r w:rsidR="00B113D5">
              <w:rPr>
                <w:rFonts w:cs="Arial"/>
                <w:b/>
                <w:bCs/>
                <w:color w:val="auto"/>
                <w:sz w:val="20"/>
                <w:szCs w:val="20"/>
                <w:lang w:eastAsia="en-GB"/>
              </w:rPr>
              <w:t>4</w:t>
            </w:r>
          </w:p>
        </w:tc>
        <w:tc>
          <w:tcPr>
            <w:tcW w:w="1228" w:type="dxa"/>
            <w:shd w:val="clear" w:color="auto" w:fill="auto"/>
            <w:noWrap/>
          </w:tcPr>
          <w:p w:rsidR="00D1188F" w:rsidRPr="00A67323" w:rsidRDefault="00553CB8" w:rsidP="00A05BD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Pr>
                <w:rFonts w:cs="Arial"/>
                <w:b/>
                <w:bCs/>
                <w:color w:val="auto"/>
                <w:sz w:val="20"/>
                <w:szCs w:val="20"/>
                <w:lang w:eastAsia="en-GB"/>
              </w:rPr>
              <w:t>13.</w:t>
            </w:r>
            <w:r w:rsidR="00A05BD7">
              <w:rPr>
                <w:rFonts w:cs="Arial"/>
                <w:b/>
                <w:bCs/>
                <w:color w:val="auto"/>
                <w:sz w:val="20"/>
                <w:szCs w:val="20"/>
                <w:lang w:eastAsia="en-GB"/>
              </w:rPr>
              <w:t>1</w:t>
            </w:r>
          </w:p>
        </w:tc>
      </w:tr>
      <w:tr w:rsidR="00D1188F" w:rsidRPr="0005794A" w:rsidTr="00D1188F">
        <w:trPr>
          <w:trHeight w:val="246"/>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D1188F" w:rsidRPr="00553CB8" w:rsidRDefault="00D1188F" w:rsidP="000059BE">
            <w:pPr>
              <w:widowControl w:val="0"/>
              <w:spacing w:after="0" w:line="240" w:lineRule="auto"/>
              <w:rPr>
                <w:rFonts w:cs="Arial"/>
                <w:b w:val="0"/>
                <w:color w:val="auto"/>
                <w:sz w:val="20"/>
                <w:szCs w:val="20"/>
                <w:lang w:eastAsia="en-GB"/>
              </w:rPr>
            </w:pPr>
            <w:r w:rsidRPr="00553CB8">
              <w:rPr>
                <w:rFonts w:cs="Arial"/>
                <w:b w:val="0"/>
                <w:color w:val="auto"/>
                <w:sz w:val="20"/>
                <w:szCs w:val="20"/>
                <w:lang w:eastAsia="en-GB"/>
              </w:rPr>
              <w:t xml:space="preserve">Transfers </w:t>
            </w:r>
            <w:r w:rsidR="000059BE" w:rsidRPr="00553CB8">
              <w:rPr>
                <w:rFonts w:cs="Arial"/>
                <w:b w:val="0"/>
                <w:color w:val="auto"/>
                <w:sz w:val="20"/>
                <w:szCs w:val="20"/>
                <w:lang w:eastAsia="en-GB"/>
              </w:rPr>
              <w:t>(</w:t>
            </w:r>
            <w:r w:rsidRPr="00553CB8">
              <w:rPr>
                <w:rFonts w:cs="Arial"/>
                <w:b w:val="0"/>
                <w:color w:val="auto"/>
                <w:sz w:val="20"/>
                <w:szCs w:val="20"/>
                <w:lang w:eastAsia="en-GB"/>
              </w:rPr>
              <w:t>to</w:t>
            </w:r>
            <w:r w:rsidR="000059BE" w:rsidRPr="00553CB8">
              <w:rPr>
                <w:rFonts w:cs="Arial"/>
                <w:b w:val="0"/>
                <w:color w:val="auto"/>
                <w:sz w:val="20"/>
                <w:szCs w:val="20"/>
                <w:lang w:eastAsia="en-GB"/>
              </w:rPr>
              <w:t>)</w:t>
            </w:r>
            <w:r w:rsidRPr="00553CB8">
              <w:rPr>
                <w:rFonts w:cs="Arial"/>
                <w:b w:val="0"/>
                <w:color w:val="auto"/>
                <w:sz w:val="20"/>
                <w:szCs w:val="20"/>
                <w:lang w:eastAsia="en-GB"/>
              </w:rPr>
              <w:t xml:space="preserve">from Earmarked Reserves </w:t>
            </w:r>
            <w:r w:rsidRPr="00553CB8">
              <w:rPr>
                <w:rFonts w:cs="Arial"/>
                <w:b w:val="0"/>
                <w:color w:val="auto"/>
                <w:sz w:val="18"/>
                <w:szCs w:val="18"/>
                <w:lang w:eastAsia="en-GB"/>
              </w:rPr>
              <w:t>(Note</w:t>
            </w:r>
            <w:r w:rsidR="000059BE" w:rsidRPr="00553CB8">
              <w:rPr>
                <w:rFonts w:cs="Arial"/>
                <w:b w:val="0"/>
                <w:color w:val="auto"/>
                <w:sz w:val="18"/>
                <w:szCs w:val="18"/>
                <w:lang w:eastAsia="en-GB"/>
              </w:rPr>
              <w:t xml:space="preserve"> </w:t>
            </w:r>
            <w:r w:rsidR="00184D56" w:rsidRPr="00553CB8">
              <w:rPr>
                <w:rFonts w:cs="Arial"/>
                <w:b w:val="0"/>
                <w:color w:val="auto"/>
                <w:sz w:val="18"/>
                <w:szCs w:val="18"/>
                <w:lang w:eastAsia="en-GB"/>
              </w:rPr>
              <w:t>10</w:t>
            </w:r>
            <w:r w:rsidRPr="00553CB8">
              <w:rPr>
                <w:rFonts w:cs="Arial"/>
                <w:b w:val="0"/>
                <w:color w:val="auto"/>
                <w:sz w:val="18"/>
                <w:szCs w:val="18"/>
                <w:lang w:eastAsia="en-GB"/>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D1188F" w:rsidRPr="00564B43" w:rsidRDefault="00326E0B" w:rsidP="000059BE">
            <w:pPr>
              <w:widowControl w:val="0"/>
              <w:spacing w:after="0" w:line="240" w:lineRule="auto"/>
              <w:jc w:val="center"/>
              <w:rPr>
                <w:rFonts w:cs="Arial"/>
                <w:color w:val="auto"/>
                <w:sz w:val="20"/>
                <w:szCs w:val="20"/>
                <w:lang w:eastAsia="en-GB"/>
              </w:rPr>
            </w:pPr>
            <w:r w:rsidRPr="00564B43">
              <w:rPr>
                <w:rFonts w:cs="Arial"/>
                <w:color w:val="auto"/>
                <w:sz w:val="20"/>
                <w:szCs w:val="20"/>
                <w:lang w:eastAsia="en-GB"/>
              </w:rPr>
              <w:t>(</w:t>
            </w:r>
            <w:r w:rsidR="000059BE" w:rsidRPr="00564B43">
              <w:rPr>
                <w:rFonts w:cs="Arial"/>
                <w:color w:val="auto"/>
                <w:sz w:val="20"/>
                <w:szCs w:val="20"/>
                <w:lang w:eastAsia="en-GB"/>
              </w:rPr>
              <w:t>2.1</w:t>
            </w:r>
            <w:r w:rsidRPr="00564B43">
              <w:rPr>
                <w:rFonts w:cs="Arial"/>
                <w:color w:val="auto"/>
                <w:sz w:val="20"/>
                <w:szCs w:val="20"/>
                <w:lang w:eastAsia="en-GB"/>
              </w:rPr>
              <w:t>)</w:t>
            </w:r>
          </w:p>
        </w:tc>
        <w:tc>
          <w:tcPr>
            <w:tcW w:w="1559" w:type="dxa"/>
            <w:shd w:val="clear" w:color="auto" w:fill="auto"/>
            <w:noWrap/>
          </w:tcPr>
          <w:p w:rsidR="00D1188F" w:rsidRPr="00564B43" w:rsidRDefault="000059BE" w:rsidP="000059B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64B43">
              <w:rPr>
                <w:rFonts w:cs="Arial"/>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D1188F" w:rsidRPr="00564B43" w:rsidRDefault="00326E0B" w:rsidP="00326E0B">
            <w:pPr>
              <w:widowControl w:val="0"/>
              <w:spacing w:after="0" w:line="240" w:lineRule="auto"/>
              <w:jc w:val="center"/>
              <w:rPr>
                <w:rFonts w:cs="Arial"/>
                <w:color w:val="auto"/>
                <w:sz w:val="20"/>
                <w:szCs w:val="20"/>
                <w:lang w:eastAsia="en-GB"/>
              </w:rPr>
            </w:pPr>
            <w:r w:rsidRPr="00564B43">
              <w:rPr>
                <w:rFonts w:cs="Arial"/>
                <w:color w:val="auto"/>
                <w:sz w:val="20"/>
                <w:szCs w:val="20"/>
                <w:lang w:eastAsia="en-GB"/>
              </w:rPr>
              <w:t>0</w:t>
            </w:r>
          </w:p>
        </w:tc>
        <w:tc>
          <w:tcPr>
            <w:tcW w:w="1418" w:type="dxa"/>
            <w:shd w:val="clear" w:color="auto" w:fill="auto"/>
            <w:noWrap/>
          </w:tcPr>
          <w:p w:rsidR="00D1188F" w:rsidRPr="00564B43" w:rsidRDefault="00631778"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64B43">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D1188F" w:rsidRPr="00564B43" w:rsidRDefault="00631778" w:rsidP="001742A7">
            <w:pPr>
              <w:widowControl w:val="0"/>
              <w:spacing w:after="0" w:line="240" w:lineRule="auto"/>
              <w:jc w:val="center"/>
              <w:rPr>
                <w:rFonts w:cs="Arial"/>
                <w:bCs/>
                <w:color w:val="auto"/>
                <w:sz w:val="20"/>
                <w:szCs w:val="20"/>
                <w:lang w:eastAsia="en-GB"/>
              </w:rPr>
            </w:pPr>
            <w:r w:rsidRPr="00564B43">
              <w:rPr>
                <w:rFonts w:cs="Arial"/>
                <w:bCs/>
                <w:color w:val="auto"/>
                <w:sz w:val="20"/>
                <w:szCs w:val="20"/>
                <w:lang w:eastAsia="en-GB"/>
              </w:rPr>
              <w:t>-</w:t>
            </w:r>
          </w:p>
        </w:tc>
        <w:tc>
          <w:tcPr>
            <w:tcW w:w="1417" w:type="dxa"/>
            <w:shd w:val="clear" w:color="auto" w:fill="auto"/>
            <w:noWrap/>
          </w:tcPr>
          <w:p w:rsidR="00D1188F" w:rsidRPr="00564B43" w:rsidRDefault="00631778"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564B43">
              <w:rPr>
                <w:rFonts w:cs="Arial"/>
                <w:bCs/>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D1188F" w:rsidRPr="00A67323" w:rsidRDefault="00326E0B" w:rsidP="001742A7">
            <w:pPr>
              <w:widowControl w:val="0"/>
              <w:spacing w:after="0" w:line="240" w:lineRule="auto"/>
              <w:jc w:val="center"/>
              <w:rPr>
                <w:rFonts w:cs="Arial"/>
                <w:color w:val="auto"/>
                <w:sz w:val="20"/>
                <w:szCs w:val="20"/>
                <w:lang w:eastAsia="en-GB"/>
              </w:rPr>
            </w:pPr>
            <w:r w:rsidRPr="00A67323">
              <w:rPr>
                <w:rFonts w:cs="Arial"/>
                <w:color w:val="auto"/>
                <w:sz w:val="20"/>
                <w:szCs w:val="20"/>
                <w:lang w:eastAsia="en-GB"/>
              </w:rPr>
              <w:t>-</w:t>
            </w:r>
          </w:p>
        </w:tc>
        <w:tc>
          <w:tcPr>
            <w:tcW w:w="1228" w:type="dxa"/>
            <w:shd w:val="clear" w:color="auto" w:fill="auto"/>
            <w:noWrap/>
          </w:tcPr>
          <w:p w:rsidR="00D1188F" w:rsidRPr="00A67323" w:rsidRDefault="00631778" w:rsidP="001742A7">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lang w:eastAsia="en-GB"/>
              </w:rPr>
            </w:pPr>
            <w:r w:rsidRPr="00A67323">
              <w:rPr>
                <w:rFonts w:cs="Arial"/>
                <w:bCs/>
                <w:color w:val="auto"/>
                <w:sz w:val="20"/>
                <w:szCs w:val="20"/>
                <w:lang w:eastAsia="en-GB"/>
              </w:rPr>
              <w:t>0</w:t>
            </w:r>
          </w:p>
        </w:tc>
      </w:tr>
      <w:tr w:rsidR="00D1188F" w:rsidRPr="0005794A" w:rsidTr="00D1188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D1188F" w:rsidRPr="00C22AA6" w:rsidRDefault="00D1188F" w:rsidP="001742A7">
            <w:pPr>
              <w:widowControl w:val="0"/>
              <w:spacing w:after="0" w:line="240" w:lineRule="auto"/>
              <w:rPr>
                <w:rFonts w:cs="Arial"/>
                <w:bCs w:val="0"/>
                <w:color w:val="auto"/>
                <w:sz w:val="20"/>
                <w:szCs w:val="20"/>
                <w:lang w:eastAsia="en-GB"/>
              </w:rPr>
            </w:pPr>
            <w:r w:rsidRPr="00C22AA6">
              <w:rPr>
                <w:rFonts w:cs="Arial"/>
                <w:bCs w:val="0"/>
                <w:color w:val="auto"/>
                <w:sz w:val="20"/>
                <w:szCs w:val="20"/>
                <w:lang w:eastAsia="en-GB"/>
              </w:rPr>
              <w:t>Increase/(Decrease) in Year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D1188F" w:rsidRPr="00564B43" w:rsidRDefault="00326E0B" w:rsidP="001742A7">
            <w:pPr>
              <w:widowControl w:val="0"/>
              <w:spacing w:after="0" w:line="240" w:lineRule="auto"/>
              <w:jc w:val="center"/>
              <w:rPr>
                <w:rFonts w:cs="Arial"/>
                <w:b/>
                <w:color w:val="auto"/>
                <w:sz w:val="20"/>
                <w:szCs w:val="20"/>
                <w:lang w:eastAsia="en-GB"/>
              </w:rPr>
            </w:pPr>
            <w:r w:rsidRPr="00564B43">
              <w:rPr>
                <w:rFonts w:cs="Arial"/>
                <w:b/>
                <w:color w:val="auto"/>
                <w:sz w:val="20"/>
                <w:szCs w:val="20"/>
                <w:lang w:eastAsia="en-GB"/>
              </w:rPr>
              <w:t>0</w:t>
            </w:r>
          </w:p>
        </w:tc>
        <w:tc>
          <w:tcPr>
            <w:tcW w:w="1559" w:type="dxa"/>
            <w:shd w:val="clear" w:color="auto" w:fill="auto"/>
            <w:noWrap/>
          </w:tcPr>
          <w:p w:rsidR="00D1188F" w:rsidRPr="00564B43" w:rsidRDefault="000059BE" w:rsidP="000059B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564B43">
              <w:rPr>
                <w:rFonts w:cs="Arial"/>
                <w:b/>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D1188F" w:rsidRPr="00564B43" w:rsidRDefault="000059BE" w:rsidP="000059BE">
            <w:pPr>
              <w:widowControl w:val="0"/>
              <w:spacing w:after="0" w:line="240" w:lineRule="auto"/>
              <w:jc w:val="center"/>
              <w:rPr>
                <w:rFonts w:cs="Arial"/>
                <w:b/>
                <w:color w:val="auto"/>
                <w:sz w:val="20"/>
                <w:szCs w:val="20"/>
                <w:lang w:eastAsia="en-GB"/>
              </w:rPr>
            </w:pPr>
            <w:r w:rsidRPr="00564B43">
              <w:rPr>
                <w:rFonts w:cs="Arial"/>
                <w:b/>
                <w:color w:val="auto"/>
                <w:sz w:val="20"/>
                <w:szCs w:val="20"/>
                <w:lang w:eastAsia="en-GB"/>
              </w:rPr>
              <w:t>2.1</w:t>
            </w:r>
          </w:p>
        </w:tc>
        <w:tc>
          <w:tcPr>
            <w:tcW w:w="1418" w:type="dxa"/>
            <w:shd w:val="clear" w:color="auto" w:fill="auto"/>
            <w:noWrap/>
          </w:tcPr>
          <w:p w:rsidR="00D1188F" w:rsidRPr="00564B43" w:rsidRDefault="00326E0B" w:rsidP="00B113D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564B43">
              <w:rPr>
                <w:rFonts w:cs="Arial"/>
                <w:b/>
                <w:color w:val="auto"/>
                <w:sz w:val="20"/>
                <w:szCs w:val="20"/>
                <w:lang w:eastAsia="en-GB"/>
              </w:rPr>
              <w:t>0.</w:t>
            </w:r>
            <w:r w:rsidR="00B113D5">
              <w:rPr>
                <w:rFonts w:cs="Arial"/>
                <w:b/>
                <w:color w:val="auto"/>
                <w:sz w:val="20"/>
                <w:szCs w:val="20"/>
                <w:lang w:eastAsia="en-GB"/>
              </w:rPr>
              <w:t>7</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D1188F" w:rsidRPr="00564B43" w:rsidRDefault="000059BE" w:rsidP="001742A7">
            <w:pPr>
              <w:widowControl w:val="0"/>
              <w:spacing w:after="0" w:line="240" w:lineRule="auto"/>
              <w:jc w:val="center"/>
              <w:rPr>
                <w:rFonts w:cs="Arial"/>
                <w:b/>
                <w:bCs/>
                <w:color w:val="auto"/>
                <w:sz w:val="20"/>
                <w:szCs w:val="20"/>
                <w:lang w:eastAsia="en-GB"/>
              </w:rPr>
            </w:pPr>
            <w:r w:rsidRPr="00564B43">
              <w:rPr>
                <w:rFonts w:cs="Arial"/>
                <w:b/>
                <w:bCs/>
                <w:color w:val="auto"/>
                <w:sz w:val="20"/>
                <w:szCs w:val="20"/>
                <w:lang w:eastAsia="en-GB"/>
              </w:rPr>
              <w:t>1.9</w:t>
            </w:r>
          </w:p>
        </w:tc>
        <w:tc>
          <w:tcPr>
            <w:tcW w:w="1417" w:type="dxa"/>
            <w:shd w:val="clear" w:color="auto" w:fill="auto"/>
            <w:noWrap/>
          </w:tcPr>
          <w:p w:rsidR="00D1188F" w:rsidRPr="00564B43" w:rsidRDefault="00326E0B" w:rsidP="00B113D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sidRPr="00564B43">
              <w:rPr>
                <w:rFonts w:cs="Arial"/>
                <w:b/>
                <w:bCs/>
                <w:color w:val="auto"/>
                <w:sz w:val="20"/>
                <w:szCs w:val="20"/>
                <w:lang w:eastAsia="en-GB"/>
              </w:rPr>
              <w:t>4.</w:t>
            </w:r>
            <w:r w:rsidR="00B113D5">
              <w:rPr>
                <w:rFonts w:cs="Arial"/>
                <w:b/>
                <w:bCs/>
                <w:color w:val="auto"/>
                <w:sz w:val="20"/>
                <w:szCs w:val="20"/>
                <w:lang w:eastAsia="en-GB"/>
              </w:rPr>
              <w:t>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D1188F" w:rsidRPr="00A67323" w:rsidRDefault="007E466A" w:rsidP="00B113D5">
            <w:pPr>
              <w:widowControl w:val="0"/>
              <w:spacing w:after="0" w:line="240" w:lineRule="auto"/>
              <w:jc w:val="center"/>
              <w:rPr>
                <w:rFonts w:cs="Arial"/>
                <w:b/>
                <w:color w:val="auto"/>
                <w:sz w:val="20"/>
                <w:szCs w:val="20"/>
                <w:lang w:eastAsia="en-GB"/>
              </w:rPr>
            </w:pPr>
            <w:r>
              <w:rPr>
                <w:rFonts w:cs="Arial"/>
                <w:b/>
                <w:color w:val="auto"/>
                <w:sz w:val="20"/>
                <w:szCs w:val="20"/>
                <w:lang w:eastAsia="en-GB"/>
              </w:rPr>
              <w:t>8.</w:t>
            </w:r>
            <w:r w:rsidR="00B113D5">
              <w:rPr>
                <w:rFonts w:cs="Arial"/>
                <w:b/>
                <w:color w:val="auto"/>
                <w:sz w:val="20"/>
                <w:szCs w:val="20"/>
                <w:lang w:eastAsia="en-GB"/>
              </w:rPr>
              <w:t>4</w:t>
            </w:r>
          </w:p>
        </w:tc>
        <w:tc>
          <w:tcPr>
            <w:tcW w:w="1228" w:type="dxa"/>
            <w:shd w:val="clear" w:color="auto" w:fill="auto"/>
            <w:noWrap/>
          </w:tcPr>
          <w:p w:rsidR="00D1188F" w:rsidRPr="00A67323" w:rsidRDefault="00553CB8" w:rsidP="00A05BD7">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lang w:eastAsia="en-GB"/>
              </w:rPr>
            </w:pPr>
            <w:r>
              <w:rPr>
                <w:rFonts w:cs="Arial"/>
                <w:b/>
                <w:bCs/>
                <w:color w:val="auto"/>
                <w:sz w:val="20"/>
                <w:szCs w:val="20"/>
                <w:lang w:eastAsia="en-GB"/>
              </w:rPr>
              <w:t>13.</w:t>
            </w:r>
            <w:r w:rsidR="00A05BD7">
              <w:rPr>
                <w:rFonts w:cs="Arial"/>
                <w:b/>
                <w:bCs/>
                <w:color w:val="auto"/>
                <w:sz w:val="20"/>
                <w:szCs w:val="20"/>
                <w:lang w:eastAsia="en-GB"/>
              </w:rPr>
              <w:t>1</w:t>
            </w:r>
          </w:p>
        </w:tc>
      </w:tr>
      <w:tr w:rsidR="00D1188F" w:rsidRPr="0005794A" w:rsidTr="00D1188F">
        <w:trPr>
          <w:trHeight w:val="261"/>
        </w:trPr>
        <w:tc>
          <w:tcPr>
            <w:cnfStyle w:val="001000000000" w:firstRow="0" w:lastRow="0" w:firstColumn="1" w:lastColumn="0" w:oddVBand="0" w:evenVBand="0" w:oddHBand="0" w:evenHBand="0" w:firstRowFirstColumn="0" w:firstRowLastColumn="0" w:lastRowFirstColumn="0" w:lastRowLastColumn="0"/>
            <w:tcW w:w="4597" w:type="dxa"/>
            <w:shd w:val="clear" w:color="auto" w:fill="auto"/>
            <w:noWrap/>
          </w:tcPr>
          <w:p w:rsidR="00D1188F" w:rsidRPr="00C22AA6" w:rsidRDefault="00D1188F" w:rsidP="00C22AA6">
            <w:pPr>
              <w:widowControl w:val="0"/>
              <w:spacing w:after="0" w:line="240" w:lineRule="auto"/>
              <w:rPr>
                <w:rFonts w:cs="Arial"/>
                <w:bCs w:val="0"/>
                <w:color w:val="auto"/>
                <w:sz w:val="20"/>
                <w:szCs w:val="20"/>
                <w:lang w:eastAsia="en-GB"/>
              </w:rPr>
            </w:pPr>
            <w:r w:rsidRPr="00C22AA6">
              <w:rPr>
                <w:rFonts w:cs="Arial"/>
                <w:bCs w:val="0"/>
                <w:color w:val="auto"/>
                <w:sz w:val="20"/>
                <w:szCs w:val="20"/>
                <w:lang w:eastAsia="en-GB"/>
              </w:rPr>
              <w:t>Balance at 31st March 201</w:t>
            </w:r>
            <w:r w:rsidR="00C22AA6" w:rsidRPr="00C22AA6">
              <w:rPr>
                <w:rFonts w:cs="Arial"/>
                <w:bCs w:val="0"/>
                <w:color w:val="auto"/>
                <w:sz w:val="20"/>
                <w:szCs w:val="20"/>
                <w:lang w:eastAsia="en-GB"/>
              </w:rPr>
              <w:t>8</w:t>
            </w:r>
            <w:r w:rsidRPr="00C22AA6">
              <w:rPr>
                <w:rFonts w:cs="Arial"/>
                <w:bCs w:val="0"/>
                <w:color w:val="auto"/>
                <w:sz w:val="20"/>
                <w:szCs w:val="20"/>
                <w:lang w:eastAsia="en-GB"/>
              </w:rPr>
              <w:t xml:space="preserve"> carried forward</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noWrap/>
          </w:tcPr>
          <w:p w:rsidR="00D1188F" w:rsidRPr="00564B43" w:rsidRDefault="00DC6CB5" w:rsidP="001742A7">
            <w:pPr>
              <w:widowControl w:val="0"/>
              <w:spacing w:after="0" w:line="240" w:lineRule="auto"/>
              <w:jc w:val="center"/>
              <w:rPr>
                <w:rFonts w:cs="Arial"/>
                <w:b/>
                <w:color w:val="auto"/>
                <w:sz w:val="20"/>
                <w:szCs w:val="20"/>
                <w:lang w:eastAsia="en-GB"/>
              </w:rPr>
            </w:pPr>
            <w:r w:rsidRPr="00564B43">
              <w:rPr>
                <w:rFonts w:cs="Arial"/>
                <w:b/>
                <w:color w:val="auto"/>
                <w:sz w:val="20"/>
                <w:szCs w:val="20"/>
                <w:lang w:eastAsia="en-GB"/>
              </w:rPr>
              <w:t>4.6</w:t>
            </w:r>
          </w:p>
        </w:tc>
        <w:tc>
          <w:tcPr>
            <w:tcW w:w="1559" w:type="dxa"/>
            <w:shd w:val="clear" w:color="auto" w:fill="auto"/>
            <w:noWrap/>
          </w:tcPr>
          <w:p w:rsidR="00D1188F" w:rsidRPr="00564B43" w:rsidRDefault="00DC6CB5" w:rsidP="000059B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564B43">
              <w:rPr>
                <w:rFonts w:cs="Arial"/>
                <w:b/>
                <w:color w:val="auto"/>
                <w:sz w:val="20"/>
                <w:szCs w:val="20"/>
                <w:lang w:eastAsia="en-GB"/>
              </w:rPr>
              <w:t>2</w:t>
            </w:r>
            <w:r w:rsidR="000059BE" w:rsidRPr="00564B43">
              <w:rPr>
                <w:rFonts w:cs="Arial"/>
                <w:b/>
                <w:color w:val="auto"/>
                <w:sz w:val="20"/>
                <w:szCs w:val="20"/>
                <w:lang w:eastAsia="en-GB"/>
              </w:rPr>
              <w:t>5.1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rsidR="00D1188F" w:rsidRPr="00564B43" w:rsidRDefault="00DC6CB5" w:rsidP="000059BE">
            <w:pPr>
              <w:widowControl w:val="0"/>
              <w:spacing w:after="0" w:line="240" w:lineRule="auto"/>
              <w:jc w:val="center"/>
              <w:rPr>
                <w:rFonts w:cs="Arial"/>
                <w:b/>
                <w:color w:val="auto"/>
                <w:sz w:val="20"/>
                <w:szCs w:val="20"/>
                <w:lang w:eastAsia="en-GB"/>
              </w:rPr>
            </w:pPr>
            <w:r w:rsidRPr="00564B43">
              <w:rPr>
                <w:rFonts w:cs="Arial"/>
                <w:b/>
                <w:color w:val="auto"/>
                <w:sz w:val="20"/>
                <w:szCs w:val="20"/>
                <w:lang w:eastAsia="en-GB"/>
              </w:rPr>
              <w:t>29.</w:t>
            </w:r>
            <w:r w:rsidR="000059BE" w:rsidRPr="00564B43">
              <w:rPr>
                <w:rFonts w:cs="Arial"/>
                <w:b/>
                <w:color w:val="auto"/>
                <w:sz w:val="20"/>
                <w:szCs w:val="20"/>
                <w:lang w:eastAsia="en-GB"/>
              </w:rPr>
              <w:t>7</w:t>
            </w:r>
          </w:p>
        </w:tc>
        <w:tc>
          <w:tcPr>
            <w:tcW w:w="1418" w:type="dxa"/>
            <w:shd w:val="clear" w:color="auto" w:fill="auto"/>
            <w:noWrap/>
          </w:tcPr>
          <w:p w:rsidR="00D1188F" w:rsidRPr="00564B43" w:rsidRDefault="00DC6CB5" w:rsidP="00B113D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564B43">
              <w:rPr>
                <w:rFonts w:cs="Arial"/>
                <w:b/>
                <w:color w:val="auto"/>
                <w:sz w:val="20"/>
                <w:szCs w:val="20"/>
                <w:lang w:eastAsia="en-GB"/>
              </w:rPr>
              <w:t>2.</w:t>
            </w:r>
            <w:r w:rsidR="00B113D5">
              <w:rPr>
                <w:rFonts w:cs="Arial"/>
                <w:b/>
                <w:color w:val="auto"/>
                <w:sz w:val="20"/>
                <w:szCs w:val="20"/>
                <w:lang w:eastAsia="en-GB"/>
              </w:rPr>
              <w:t>8</w:t>
            </w:r>
          </w:p>
        </w:tc>
        <w:tc>
          <w:tcPr>
            <w:cnfStyle w:val="000010000000" w:firstRow="0" w:lastRow="0" w:firstColumn="0" w:lastColumn="0" w:oddVBand="1" w:evenVBand="0" w:oddHBand="0" w:evenHBand="0" w:firstRowFirstColumn="0" w:firstRowLastColumn="0" w:lastRowFirstColumn="0" w:lastRowLastColumn="0"/>
            <w:tcW w:w="1465" w:type="dxa"/>
            <w:shd w:val="clear" w:color="auto" w:fill="auto"/>
          </w:tcPr>
          <w:p w:rsidR="00D1188F" w:rsidRPr="00564B43" w:rsidRDefault="00326E0B" w:rsidP="000059BE">
            <w:pPr>
              <w:widowControl w:val="0"/>
              <w:spacing w:after="0" w:line="240" w:lineRule="auto"/>
              <w:jc w:val="center"/>
              <w:rPr>
                <w:rFonts w:cs="Arial"/>
                <w:b/>
                <w:bCs/>
                <w:color w:val="auto"/>
                <w:sz w:val="20"/>
                <w:szCs w:val="20"/>
                <w:lang w:eastAsia="en-GB"/>
              </w:rPr>
            </w:pPr>
            <w:r w:rsidRPr="00564B43">
              <w:rPr>
                <w:rFonts w:cs="Arial"/>
                <w:b/>
                <w:bCs/>
                <w:color w:val="auto"/>
                <w:sz w:val="20"/>
                <w:szCs w:val="20"/>
                <w:lang w:eastAsia="en-GB"/>
              </w:rPr>
              <w:t>9.</w:t>
            </w:r>
            <w:r w:rsidR="000059BE" w:rsidRPr="00564B43">
              <w:rPr>
                <w:rFonts w:cs="Arial"/>
                <w:b/>
                <w:bCs/>
                <w:color w:val="auto"/>
                <w:sz w:val="20"/>
                <w:szCs w:val="20"/>
                <w:lang w:eastAsia="en-GB"/>
              </w:rPr>
              <w:t>1</w:t>
            </w:r>
          </w:p>
        </w:tc>
        <w:tc>
          <w:tcPr>
            <w:tcW w:w="1417" w:type="dxa"/>
            <w:shd w:val="clear" w:color="auto" w:fill="auto"/>
            <w:noWrap/>
          </w:tcPr>
          <w:p w:rsidR="00D1188F" w:rsidRPr="00564B43" w:rsidRDefault="00DC6CB5" w:rsidP="00B113D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564B43">
              <w:rPr>
                <w:rFonts w:cs="Arial"/>
                <w:b/>
                <w:bCs/>
                <w:color w:val="auto"/>
                <w:sz w:val="20"/>
                <w:szCs w:val="20"/>
                <w:lang w:eastAsia="en-GB"/>
              </w:rPr>
              <w:t>41.</w:t>
            </w:r>
            <w:r w:rsidR="00B113D5">
              <w:rPr>
                <w:rFonts w:cs="Arial"/>
                <w:b/>
                <w:bCs/>
                <w:color w:val="auto"/>
                <w:sz w:val="20"/>
                <w:szCs w:val="20"/>
                <w:lang w:eastAsia="en-GB"/>
              </w:rPr>
              <w:t>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noWrap/>
          </w:tcPr>
          <w:p w:rsidR="00D1188F" w:rsidRPr="00564B43" w:rsidRDefault="00DC6CB5" w:rsidP="00B113D5">
            <w:pPr>
              <w:widowControl w:val="0"/>
              <w:spacing w:after="0" w:line="240" w:lineRule="auto"/>
              <w:jc w:val="center"/>
              <w:rPr>
                <w:rFonts w:cs="Arial"/>
                <w:b/>
                <w:bCs/>
                <w:color w:val="auto"/>
                <w:sz w:val="20"/>
                <w:szCs w:val="20"/>
                <w:lang w:eastAsia="en-GB"/>
              </w:rPr>
            </w:pPr>
            <w:r w:rsidRPr="00564B43">
              <w:rPr>
                <w:rFonts w:cs="Arial"/>
                <w:b/>
                <w:bCs/>
                <w:color w:val="auto"/>
                <w:sz w:val="20"/>
                <w:szCs w:val="20"/>
                <w:lang w:eastAsia="en-GB"/>
              </w:rPr>
              <w:t>(</w:t>
            </w:r>
            <w:r w:rsidR="00A05BD7">
              <w:rPr>
                <w:rFonts w:cs="Arial"/>
                <w:b/>
                <w:bCs/>
                <w:color w:val="auto"/>
                <w:sz w:val="20"/>
                <w:szCs w:val="20"/>
                <w:lang w:eastAsia="en-GB"/>
              </w:rPr>
              <w:t>3</w:t>
            </w:r>
            <w:r w:rsidR="00B113D5">
              <w:rPr>
                <w:rFonts w:cs="Arial"/>
                <w:b/>
                <w:bCs/>
                <w:color w:val="auto"/>
                <w:sz w:val="20"/>
                <w:szCs w:val="20"/>
                <w:lang w:eastAsia="en-GB"/>
              </w:rPr>
              <w:t>8</w:t>
            </w:r>
            <w:r w:rsidR="00A05BD7">
              <w:rPr>
                <w:rFonts w:cs="Arial"/>
                <w:b/>
                <w:bCs/>
                <w:color w:val="auto"/>
                <w:sz w:val="20"/>
                <w:szCs w:val="20"/>
                <w:lang w:eastAsia="en-GB"/>
              </w:rPr>
              <w:t>.</w:t>
            </w:r>
            <w:r w:rsidR="00B113D5">
              <w:rPr>
                <w:rFonts w:cs="Arial"/>
                <w:b/>
                <w:bCs/>
                <w:color w:val="auto"/>
                <w:sz w:val="20"/>
                <w:szCs w:val="20"/>
                <w:lang w:eastAsia="en-GB"/>
              </w:rPr>
              <w:t>1</w:t>
            </w:r>
            <w:r w:rsidRPr="00564B43">
              <w:rPr>
                <w:rFonts w:cs="Arial"/>
                <w:b/>
                <w:bCs/>
                <w:color w:val="auto"/>
                <w:sz w:val="20"/>
                <w:szCs w:val="20"/>
                <w:lang w:eastAsia="en-GB"/>
              </w:rPr>
              <w:t>)</w:t>
            </w:r>
          </w:p>
        </w:tc>
        <w:tc>
          <w:tcPr>
            <w:tcW w:w="1228" w:type="dxa"/>
            <w:shd w:val="clear" w:color="auto" w:fill="auto"/>
            <w:noWrap/>
          </w:tcPr>
          <w:p w:rsidR="00D1188F" w:rsidRPr="00564B43" w:rsidRDefault="00553CB8" w:rsidP="000059B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3.5</w:t>
            </w:r>
          </w:p>
        </w:tc>
      </w:tr>
    </w:tbl>
    <w:p w:rsidR="00D21986" w:rsidRPr="0005794A" w:rsidRDefault="00D21986" w:rsidP="000D3AFB">
      <w:pPr>
        <w:rPr>
          <w:b/>
          <w:color w:val="548DD4" w:themeColor="text2" w:themeTint="99"/>
        </w:rPr>
        <w:sectPr w:rsidR="00D21986" w:rsidRPr="0005794A" w:rsidSect="00FE4082">
          <w:headerReference w:type="default" r:id="rId37"/>
          <w:headerReference w:type="first" r:id="rId38"/>
          <w:pgSz w:w="16838" w:h="11906" w:orient="landscape" w:code="9"/>
          <w:pgMar w:top="1440" w:right="1440" w:bottom="1440" w:left="1440" w:header="544" w:footer="544" w:gutter="0"/>
          <w:cols w:space="708"/>
          <w:titlePg/>
          <w:docGrid w:linePitch="360"/>
        </w:sectPr>
      </w:pPr>
    </w:p>
    <w:p w:rsidR="00E51139" w:rsidRPr="00CD6BEE" w:rsidRDefault="00754C03" w:rsidP="008D0906">
      <w:pPr>
        <w:widowControl w:val="0"/>
        <w:outlineLvl w:val="0"/>
        <w:rPr>
          <w:b/>
          <w:color w:val="auto"/>
        </w:rPr>
      </w:pPr>
      <w:r w:rsidRPr="00CD6BEE">
        <w:rPr>
          <w:b/>
          <w:color w:val="auto"/>
        </w:rPr>
        <w:lastRenderedPageBreak/>
        <w:t>B</w:t>
      </w:r>
      <w:r w:rsidR="00E51139" w:rsidRPr="00CD6BEE">
        <w:rPr>
          <w:b/>
          <w:color w:val="auto"/>
        </w:rPr>
        <w:t>alance Sheet</w:t>
      </w:r>
    </w:p>
    <w:p w:rsidR="00E51139" w:rsidRPr="00CD6BEE" w:rsidRDefault="00E51139" w:rsidP="005D1523">
      <w:pPr>
        <w:pStyle w:val="BodyText"/>
        <w:widowControl w:val="0"/>
        <w:ind w:right="-143"/>
        <w:rPr>
          <w:rFonts w:cs="Arial"/>
          <w:color w:val="auto"/>
          <w:sz w:val="20"/>
          <w:szCs w:val="20"/>
        </w:rPr>
      </w:pPr>
      <w:r w:rsidRPr="00CD6BEE">
        <w:rPr>
          <w:rFonts w:cs="Arial"/>
          <w:color w:val="auto"/>
          <w:sz w:val="20"/>
          <w:szCs w:val="20"/>
        </w:rPr>
        <w:t xml:space="preserve">The Balance Sheet shows the value as at the Balance Sheet date of the assets and liabilities recognised by the Council. The Net Assets of the Council, (assets less liabilities), are matched by the reserves held by the Council. </w:t>
      </w:r>
    </w:p>
    <w:p w:rsidR="007E0FBD" w:rsidRPr="00CD6BEE" w:rsidRDefault="00E51139" w:rsidP="005D1523">
      <w:pPr>
        <w:pStyle w:val="BodyText"/>
        <w:widowControl w:val="0"/>
        <w:ind w:right="-143"/>
        <w:rPr>
          <w:rFonts w:cs="Arial"/>
          <w:color w:val="auto"/>
          <w:sz w:val="20"/>
          <w:szCs w:val="20"/>
        </w:rPr>
      </w:pPr>
      <w:r w:rsidRPr="00CD6BEE">
        <w:rPr>
          <w:rFonts w:cs="Arial"/>
          <w:color w:val="auto"/>
          <w:sz w:val="20"/>
          <w:szCs w:val="20"/>
        </w:rPr>
        <w:t>Reserves are reported in two categories. The first category of reserves are usable reserves, i.e. those reserves that the  Council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Council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w:t>
      </w:r>
      <w:r w:rsidR="00FD69E5" w:rsidRPr="00CD6BEE">
        <w:rPr>
          <w:rFonts w:cs="Arial"/>
          <w:color w:val="auto"/>
          <w:sz w:val="20"/>
          <w:szCs w:val="20"/>
        </w:rPr>
        <w:t>t</w:t>
      </w:r>
      <w:r w:rsidRPr="00CD6BEE">
        <w:rPr>
          <w:rFonts w:cs="Arial"/>
          <w:color w:val="auto"/>
          <w:sz w:val="20"/>
          <w:szCs w:val="20"/>
        </w:rPr>
        <w:t>atement line ‘Adjustments between accounting basis and funding basis under regulations’.</w:t>
      </w:r>
    </w:p>
    <w:tbl>
      <w:tblPr>
        <w:tblStyle w:val="GridTable4-Accent51"/>
        <w:tblW w:w="8931" w:type="dxa"/>
        <w:tblInd w:w="108" w:type="dxa"/>
        <w:tblLayout w:type="fixed"/>
        <w:tblLook w:val="00A0" w:firstRow="1" w:lastRow="0" w:firstColumn="1" w:lastColumn="0" w:noHBand="0" w:noVBand="0"/>
      </w:tblPr>
      <w:tblGrid>
        <w:gridCol w:w="1701"/>
        <w:gridCol w:w="4395"/>
        <w:gridCol w:w="992"/>
        <w:gridCol w:w="1843"/>
      </w:tblGrid>
      <w:tr w:rsidR="006B666B" w:rsidRPr="0005794A" w:rsidTr="0035317D">
        <w:trPr>
          <w:cnfStyle w:val="100000000000" w:firstRow="1" w:lastRow="0" w:firstColumn="0" w:lastColumn="0" w:oddVBand="0" w:evenVBand="0" w:oddHBand="0"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rsidR="006B666B" w:rsidRPr="00CD6BEE" w:rsidRDefault="006B666B" w:rsidP="00D6308D">
            <w:pPr>
              <w:jc w:val="center"/>
              <w:rPr>
                <w:b w:val="0"/>
                <w:bCs w:val="0"/>
                <w:color w:val="auto"/>
              </w:rPr>
            </w:pPr>
            <w:r w:rsidRPr="00CD6BEE">
              <w:rPr>
                <w:rFonts w:cs="Arial"/>
                <w:b w:val="0"/>
                <w:bCs w:val="0"/>
                <w:color w:val="auto"/>
                <w:sz w:val="20"/>
                <w:szCs w:val="20"/>
              </w:rPr>
              <w:t>31st March 201</w:t>
            </w:r>
            <w:r w:rsidR="00CD6BEE" w:rsidRPr="00CD6BEE">
              <w:rPr>
                <w:rFonts w:cs="Arial"/>
                <w:b w:val="0"/>
                <w:bCs w:val="0"/>
                <w:color w:val="auto"/>
                <w:sz w:val="20"/>
                <w:szCs w:val="20"/>
              </w:rPr>
              <w:t>7</w:t>
            </w:r>
            <w:r w:rsidRPr="00CD6BEE">
              <w:rPr>
                <w:rFonts w:cs="Arial"/>
                <w:b w:val="0"/>
                <w:bCs w:val="0"/>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4395" w:type="dxa"/>
            <w:tcBorders>
              <w:top w:val="nil"/>
              <w:bottom w:val="nil"/>
            </w:tcBorders>
          </w:tcPr>
          <w:p w:rsidR="006B666B" w:rsidRPr="00CD6BEE" w:rsidRDefault="006B666B" w:rsidP="001742A7">
            <w:pPr>
              <w:rPr>
                <w:b w:val="0"/>
                <w:color w:val="auto"/>
              </w:rPr>
            </w:pPr>
          </w:p>
        </w:tc>
        <w:tc>
          <w:tcPr>
            <w:tcW w:w="992" w:type="dxa"/>
            <w:tcBorders>
              <w:top w:val="nil"/>
              <w:bottom w:val="nil"/>
            </w:tcBorders>
            <w:noWrap/>
          </w:tcPr>
          <w:p w:rsidR="006B666B" w:rsidRPr="00CD6BEE" w:rsidRDefault="006B666B" w:rsidP="00C87AF0">
            <w:pPr>
              <w:widowControl w:val="0"/>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right w:val="nil"/>
            </w:tcBorders>
            <w:noWrap/>
          </w:tcPr>
          <w:p w:rsidR="006B666B" w:rsidRPr="00CD6BEE" w:rsidRDefault="006B666B" w:rsidP="006B666B">
            <w:pPr>
              <w:widowControl w:val="0"/>
              <w:jc w:val="center"/>
              <w:rPr>
                <w:rFonts w:cs="Arial"/>
                <w:bCs w:val="0"/>
                <w:color w:val="auto"/>
                <w:sz w:val="20"/>
                <w:szCs w:val="20"/>
              </w:rPr>
            </w:pPr>
            <w:r w:rsidRPr="00CD6BEE">
              <w:rPr>
                <w:rFonts w:cs="Arial"/>
                <w:bCs w:val="0"/>
                <w:color w:val="auto"/>
                <w:sz w:val="20"/>
                <w:szCs w:val="20"/>
              </w:rPr>
              <w:t>31</w:t>
            </w:r>
            <w:r w:rsidRPr="00CD6BEE">
              <w:rPr>
                <w:rFonts w:cs="Arial"/>
                <w:bCs w:val="0"/>
                <w:color w:val="auto"/>
                <w:sz w:val="20"/>
                <w:szCs w:val="20"/>
                <w:vertAlign w:val="superscript"/>
              </w:rPr>
              <w:t>st</w:t>
            </w:r>
            <w:r w:rsidRPr="00CD6BEE">
              <w:rPr>
                <w:rFonts w:cs="Arial"/>
                <w:bCs w:val="0"/>
                <w:color w:val="auto"/>
                <w:sz w:val="20"/>
                <w:szCs w:val="20"/>
              </w:rPr>
              <w:t xml:space="preserve"> March 201</w:t>
            </w:r>
            <w:r w:rsidR="00CD6BEE" w:rsidRPr="00CD6BEE">
              <w:rPr>
                <w:rFonts w:cs="Arial"/>
                <w:bCs w:val="0"/>
                <w:color w:val="auto"/>
                <w:sz w:val="20"/>
                <w:szCs w:val="20"/>
              </w:rPr>
              <w:t>8</w:t>
            </w:r>
          </w:p>
          <w:p w:rsidR="006B666B" w:rsidRPr="00CD6BEE" w:rsidRDefault="006B666B" w:rsidP="003C5E34">
            <w:pPr>
              <w:widowControl w:val="0"/>
              <w:jc w:val="center"/>
              <w:rPr>
                <w:rFonts w:cs="Arial"/>
                <w:bCs w:val="0"/>
                <w:color w:val="auto"/>
                <w:sz w:val="20"/>
                <w:szCs w:val="20"/>
              </w:rPr>
            </w:pPr>
          </w:p>
        </w:tc>
      </w:tr>
      <w:tr w:rsidR="006B666B" w:rsidRPr="0005794A" w:rsidTr="006B666B">
        <w:trPr>
          <w:cnfStyle w:val="000000100000" w:firstRow="0" w:lastRow="0" w:firstColumn="0" w:lastColumn="0" w:oddVBand="0" w:evenVBand="0" w:oddHBand="1" w:evenHBand="0" w:firstRowFirstColumn="0" w:firstRowLastColumn="0" w:lastRowFirstColumn="0" w:lastRowLastColumn="0"/>
          <w:trHeight w:hRule="exact" w:val="274"/>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4BACC6" w:themeFill="accent5"/>
          </w:tcPr>
          <w:p w:rsidR="006B666B" w:rsidRPr="00CD6BEE" w:rsidRDefault="006B666B" w:rsidP="00BE000B">
            <w:pPr>
              <w:widowControl w:val="0"/>
              <w:jc w:val="center"/>
              <w:rPr>
                <w:rFonts w:cs="Arial"/>
                <w:b w:val="0"/>
                <w:bCs w:val="0"/>
                <w:color w:val="auto"/>
                <w:sz w:val="20"/>
                <w:szCs w:val="20"/>
              </w:rPr>
            </w:pPr>
            <w:r w:rsidRPr="00CD6BEE">
              <w:rPr>
                <w:rFonts w:cs="Arial"/>
                <w:b w:val="0"/>
                <w:bCs w:val="0"/>
                <w:color w:val="auto"/>
                <w:sz w:val="20"/>
                <w:szCs w:val="20"/>
              </w:rPr>
              <w:t xml:space="preserve">£m </w:t>
            </w:r>
          </w:p>
        </w:tc>
        <w:tc>
          <w:tcPr>
            <w:cnfStyle w:val="000010000000" w:firstRow="0" w:lastRow="0" w:firstColumn="0" w:lastColumn="0" w:oddVBand="1" w:evenVBand="0" w:oddHBand="0" w:evenHBand="0" w:firstRowFirstColumn="0" w:firstRowLastColumn="0" w:lastRowFirstColumn="0" w:lastRowLastColumn="0"/>
            <w:tcW w:w="4395" w:type="dxa"/>
            <w:tcBorders>
              <w:top w:val="nil"/>
              <w:left w:val="nil"/>
              <w:bottom w:val="nil"/>
              <w:right w:val="nil"/>
            </w:tcBorders>
            <w:shd w:val="clear" w:color="auto" w:fill="4BACC6" w:themeFill="accent5"/>
            <w:noWrap/>
          </w:tcPr>
          <w:p w:rsidR="006B666B" w:rsidRPr="00CD6BEE" w:rsidRDefault="006B666B" w:rsidP="003C5E34">
            <w:pPr>
              <w:widowControl w:val="0"/>
              <w:ind w:left="80"/>
              <w:rPr>
                <w:rFonts w:cs="Arial"/>
                <w:b/>
                <w:bCs/>
                <w:color w:val="auto"/>
                <w:sz w:val="20"/>
                <w:szCs w:val="20"/>
              </w:rPr>
            </w:pPr>
          </w:p>
        </w:tc>
        <w:tc>
          <w:tcPr>
            <w:tcW w:w="992" w:type="dxa"/>
            <w:tcBorders>
              <w:top w:val="nil"/>
              <w:left w:val="nil"/>
              <w:bottom w:val="nil"/>
              <w:right w:val="nil"/>
            </w:tcBorders>
            <w:shd w:val="clear" w:color="auto" w:fill="4BACC6" w:themeFill="accent5"/>
            <w:noWrap/>
          </w:tcPr>
          <w:p w:rsidR="006B666B" w:rsidRPr="00CD6BEE" w:rsidRDefault="006B666B" w:rsidP="00C87AF0">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CD6BEE">
              <w:rPr>
                <w:rFonts w:cs="Arial"/>
                <w:bCs/>
                <w:color w:val="auto"/>
                <w:sz w:val="20"/>
                <w:szCs w:val="20"/>
              </w:rPr>
              <w:t>Note</w:t>
            </w:r>
          </w:p>
        </w:tc>
        <w:tc>
          <w:tcPr>
            <w:cnfStyle w:val="000010000000" w:firstRow="0" w:lastRow="0" w:firstColumn="0" w:lastColumn="0" w:oddVBand="1" w:evenVBand="0" w:oddHBand="0" w:evenHBand="0" w:firstRowFirstColumn="0" w:firstRowLastColumn="0" w:lastRowFirstColumn="0" w:lastRowLastColumn="0"/>
            <w:tcW w:w="1843" w:type="dxa"/>
            <w:tcBorders>
              <w:top w:val="nil"/>
              <w:left w:val="nil"/>
              <w:bottom w:val="nil"/>
              <w:right w:val="nil"/>
            </w:tcBorders>
            <w:shd w:val="clear" w:color="auto" w:fill="4BACC6" w:themeFill="accent5"/>
            <w:noWrap/>
          </w:tcPr>
          <w:p w:rsidR="006B666B" w:rsidRPr="00CD6BEE" w:rsidRDefault="006B666B" w:rsidP="003C5E34">
            <w:pPr>
              <w:widowControl w:val="0"/>
              <w:jc w:val="center"/>
              <w:rPr>
                <w:rFonts w:cs="Arial"/>
                <w:b/>
                <w:bCs/>
                <w:color w:val="auto"/>
                <w:sz w:val="20"/>
                <w:szCs w:val="20"/>
              </w:rPr>
            </w:pPr>
            <w:r w:rsidRPr="00CD6BEE">
              <w:rPr>
                <w:rFonts w:cs="Arial"/>
                <w:b/>
                <w:bCs/>
                <w:color w:val="auto"/>
                <w:sz w:val="20"/>
                <w:szCs w:val="20"/>
              </w:rPr>
              <w:t>£m</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Borders>
              <w:top w:val="nil"/>
            </w:tcBorders>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297.9</w:t>
            </w:r>
          </w:p>
        </w:tc>
        <w:tc>
          <w:tcPr>
            <w:cnfStyle w:val="000010000000" w:firstRow="0" w:lastRow="0" w:firstColumn="0" w:lastColumn="0" w:oddVBand="1" w:evenVBand="0" w:oddHBand="0" w:evenHBand="0" w:firstRowFirstColumn="0" w:firstRowLastColumn="0" w:lastRowFirstColumn="0" w:lastRowLastColumn="0"/>
            <w:tcW w:w="4395" w:type="dxa"/>
            <w:tcBorders>
              <w:top w:val="nil"/>
            </w:tcBorders>
            <w:shd w:val="clear" w:color="auto" w:fill="auto"/>
            <w:noWrap/>
          </w:tcPr>
          <w:p w:rsidR="00CD6BEE" w:rsidRPr="00CD6BEE" w:rsidRDefault="00CD6BEE" w:rsidP="00C917D5">
            <w:pPr>
              <w:widowControl w:val="0"/>
              <w:tabs>
                <w:tab w:val="left" w:pos="3396"/>
              </w:tabs>
              <w:ind w:left="80"/>
              <w:rPr>
                <w:rFonts w:cs="Arial"/>
                <w:color w:val="auto"/>
                <w:sz w:val="20"/>
                <w:szCs w:val="20"/>
              </w:rPr>
            </w:pPr>
            <w:r w:rsidRPr="00CD6BEE">
              <w:rPr>
                <w:rFonts w:cs="Arial"/>
                <w:color w:val="auto"/>
                <w:sz w:val="20"/>
                <w:szCs w:val="20"/>
              </w:rPr>
              <w:t>Property, Plant &amp; Equipment</w:t>
            </w:r>
            <w:r w:rsidRPr="00CD6BEE">
              <w:rPr>
                <w:rFonts w:cs="Arial"/>
                <w:color w:val="auto"/>
                <w:sz w:val="20"/>
                <w:szCs w:val="20"/>
              </w:rPr>
              <w:tab/>
            </w:r>
          </w:p>
        </w:tc>
        <w:tc>
          <w:tcPr>
            <w:tcW w:w="992" w:type="dxa"/>
            <w:tcBorders>
              <w:top w:val="nil"/>
            </w:tcBorders>
            <w:shd w:val="clear" w:color="auto" w:fill="auto"/>
            <w:noWrap/>
          </w:tcPr>
          <w:p w:rsidR="00CD6BEE" w:rsidRPr="00CD6BEE" w:rsidRDefault="00CD6BEE" w:rsidP="00C87AF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highlight w:val="yellow"/>
              </w:rPr>
            </w:pPr>
            <w:r w:rsidRPr="00CD6BEE">
              <w:rPr>
                <w:rFonts w:cs="Arial"/>
                <w:bCs/>
                <w:color w:val="auto"/>
                <w:sz w:val="20"/>
                <w:szCs w:val="20"/>
              </w:rPr>
              <w:t>13</w:t>
            </w:r>
          </w:p>
        </w:tc>
        <w:tc>
          <w:tcPr>
            <w:cnfStyle w:val="000010000000" w:firstRow="0" w:lastRow="0" w:firstColumn="0" w:lastColumn="0" w:oddVBand="1" w:evenVBand="0" w:oddHBand="0" w:evenHBand="0" w:firstRowFirstColumn="0" w:firstRowLastColumn="0" w:lastRowFirstColumn="0" w:lastRowLastColumn="0"/>
            <w:tcW w:w="1843" w:type="dxa"/>
            <w:tcBorders>
              <w:top w:val="nil"/>
            </w:tcBorders>
            <w:shd w:val="clear" w:color="auto" w:fill="auto"/>
            <w:noWrap/>
          </w:tcPr>
          <w:p w:rsidR="00CD6BEE" w:rsidRPr="00CD6BEE" w:rsidRDefault="005713A3" w:rsidP="005713A3">
            <w:pPr>
              <w:widowControl w:val="0"/>
              <w:jc w:val="center"/>
              <w:rPr>
                <w:rFonts w:cs="Arial"/>
                <w:b/>
                <w:color w:val="auto"/>
                <w:sz w:val="20"/>
                <w:szCs w:val="20"/>
              </w:rPr>
            </w:pPr>
            <w:r>
              <w:rPr>
                <w:rFonts w:cs="Arial"/>
                <w:b/>
                <w:color w:val="auto"/>
                <w:sz w:val="20"/>
                <w:szCs w:val="20"/>
              </w:rPr>
              <w:t>296.7</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30.6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Heritage Assets</w:t>
            </w:r>
          </w:p>
        </w:tc>
        <w:tc>
          <w:tcPr>
            <w:tcW w:w="992" w:type="dxa"/>
            <w:shd w:val="clear" w:color="auto" w:fill="auto"/>
            <w:noWrap/>
          </w:tcPr>
          <w:p w:rsidR="00CD6BEE" w:rsidRPr="00CD6BEE" w:rsidRDefault="00CD6BEE" w:rsidP="00C87AF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14</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836CB8" w:rsidP="001D622D">
            <w:pPr>
              <w:widowControl w:val="0"/>
              <w:jc w:val="center"/>
              <w:rPr>
                <w:rFonts w:cs="Arial"/>
                <w:b/>
                <w:color w:val="auto"/>
                <w:sz w:val="20"/>
                <w:szCs w:val="20"/>
              </w:rPr>
            </w:pPr>
            <w:r>
              <w:rPr>
                <w:rFonts w:cs="Arial"/>
                <w:b/>
                <w:color w:val="auto"/>
                <w:sz w:val="20"/>
                <w:szCs w:val="20"/>
              </w:rPr>
              <w:t>32.3</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25.0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Investment Property</w:t>
            </w:r>
          </w:p>
        </w:tc>
        <w:tc>
          <w:tcPr>
            <w:tcW w:w="992" w:type="dxa"/>
            <w:shd w:val="clear" w:color="auto" w:fill="auto"/>
            <w:noWrap/>
          </w:tcPr>
          <w:p w:rsidR="00CD6BEE" w:rsidRPr="00CD6BEE" w:rsidRDefault="00CD6BEE" w:rsidP="00834323">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color w:val="auto"/>
                <w:sz w:val="20"/>
                <w:szCs w:val="20"/>
              </w:rPr>
              <w:t>15</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836CB8" w:rsidP="00572008">
            <w:pPr>
              <w:widowControl w:val="0"/>
              <w:jc w:val="center"/>
              <w:rPr>
                <w:rFonts w:cs="Arial"/>
                <w:b/>
                <w:color w:val="auto"/>
                <w:sz w:val="20"/>
                <w:szCs w:val="20"/>
              </w:rPr>
            </w:pPr>
            <w:r>
              <w:rPr>
                <w:rFonts w:cs="Arial"/>
                <w:b/>
                <w:color w:val="auto"/>
                <w:sz w:val="20"/>
                <w:szCs w:val="20"/>
              </w:rPr>
              <w:t>115.4</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0.3</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Intangible Assets</w:t>
            </w:r>
          </w:p>
        </w:tc>
        <w:tc>
          <w:tcPr>
            <w:tcW w:w="992" w:type="dxa"/>
            <w:shd w:val="clear" w:color="auto" w:fill="auto"/>
            <w:noWrap/>
          </w:tcPr>
          <w:p w:rsidR="00CD6BEE" w:rsidRPr="00CD6BEE" w:rsidRDefault="00CD6BEE" w:rsidP="00C87AF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836CB8" w:rsidP="00864504">
            <w:pPr>
              <w:widowControl w:val="0"/>
              <w:jc w:val="center"/>
              <w:rPr>
                <w:rFonts w:cs="Arial"/>
                <w:b/>
                <w:color w:val="auto"/>
                <w:sz w:val="20"/>
                <w:szCs w:val="20"/>
              </w:rPr>
            </w:pPr>
            <w:r>
              <w:rPr>
                <w:rFonts w:cs="Arial"/>
                <w:b/>
                <w:color w:val="auto"/>
                <w:sz w:val="20"/>
                <w:szCs w:val="20"/>
              </w:rPr>
              <w:t>0.5</w:t>
            </w:r>
          </w:p>
        </w:tc>
      </w:tr>
      <w:tr w:rsidR="00CD6BEE" w:rsidRPr="0005794A" w:rsidTr="00306CF1">
        <w:trPr>
          <w:trHeight w:hRule="exact" w:val="383"/>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15.0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Long Term Investments</w:t>
            </w:r>
          </w:p>
          <w:p w:rsidR="00CD6BEE" w:rsidRPr="00CD6BEE" w:rsidRDefault="00CD6BEE" w:rsidP="00306CF1">
            <w:pPr>
              <w:widowControl w:val="0"/>
              <w:rPr>
                <w:rFonts w:cs="Arial"/>
                <w:color w:val="auto"/>
                <w:sz w:val="20"/>
                <w:szCs w:val="20"/>
              </w:rPr>
            </w:pPr>
          </w:p>
        </w:tc>
        <w:tc>
          <w:tcPr>
            <w:tcW w:w="992" w:type="dxa"/>
            <w:shd w:val="clear" w:color="auto" w:fill="auto"/>
            <w:noWrap/>
          </w:tcPr>
          <w:p w:rsidR="00CD6BEE" w:rsidRPr="00CD6BEE" w:rsidRDefault="00CD6BEE" w:rsidP="007D0A1F">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3815BA">
            <w:pPr>
              <w:widowControl w:val="0"/>
              <w:jc w:val="center"/>
              <w:rPr>
                <w:rFonts w:cs="Arial"/>
                <w:b/>
                <w:color w:val="auto"/>
                <w:sz w:val="20"/>
                <w:szCs w:val="20"/>
              </w:rPr>
            </w:pPr>
            <w:r>
              <w:rPr>
                <w:rFonts w:cs="Arial"/>
                <w:b/>
                <w:color w:val="auto"/>
                <w:sz w:val="20"/>
                <w:szCs w:val="20"/>
              </w:rPr>
              <w:t>5.0</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6.5</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06CF1">
            <w:pPr>
              <w:widowControl w:val="0"/>
              <w:ind w:left="80"/>
              <w:rPr>
                <w:rFonts w:cs="Arial"/>
                <w:color w:val="auto"/>
                <w:sz w:val="20"/>
                <w:szCs w:val="20"/>
              </w:rPr>
            </w:pPr>
            <w:r w:rsidRPr="00CD6BEE">
              <w:rPr>
                <w:rFonts w:cs="Arial"/>
                <w:color w:val="auto"/>
                <w:sz w:val="20"/>
                <w:szCs w:val="20"/>
              </w:rPr>
              <w:t xml:space="preserve">Long Term Debtors </w:t>
            </w:r>
          </w:p>
        </w:tc>
        <w:tc>
          <w:tcPr>
            <w:tcW w:w="992" w:type="dxa"/>
            <w:shd w:val="clear" w:color="auto" w:fill="auto"/>
            <w:noWrap/>
          </w:tcPr>
          <w:p w:rsidR="00CD6BEE" w:rsidRPr="00CD6BEE" w:rsidRDefault="00CD6BEE" w:rsidP="007D0A1F">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19</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725BF8">
            <w:pPr>
              <w:widowControl w:val="0"/>
              <w:jc w:val="center"/>
              <w:rPr>
                <w:rFonts w:cs="Arial"/>
                <w:b/>
                <w:color w:val="auto"/>
                <w:sz w:val="20"/>
                <w:szCs w:val="20"/>
              </w:rPr>
            </w:pPr>
            <w:r>
              <w:rPr>
                <w:rFonts w:cs="Arial"/>
                <w:b/>
                <w:color w:val="auto"/>
                <w:sz w:val="20"/>
                <w:szCs w:val="20"/>
              </w:rPr>
              <w:t>12.0</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bCs w:val="0"/>
                <w:color w:val="auto"/>
                <w:sz w:val="20"/>
                <w:szCs w:val="20"/>
              </w:rPr>
            </w:pPr>
            <w:r w:rsidRPr="00CD6BEE">
              <w:rPr>
                <w:rFonts w:cs="Arial"/>
                <w:b w:val="0"/>
                <w:bCs w:val="0"/>
                <w:color w:val="auto"/>
                <w:sz w:val="20"/>
                <w:szCs w:val="20"/>
              </w:rPr>
              <w:t>375.3</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06CF1">
            <w:pPr>
              <w:widowControl w:val="0"/>
              <w:ind w:left="80"/>
              <w:rPr>
                <w:rFonts w:cs="Arial"/>
                <w:b/>
                <w:bCs/>
                <w:color w:val="auto"/>
                <w:sz w:val="20"/>
                <w:szCs w:val="20"/>
              </w:rPr>
            </w:pPr>
            <w:r w:rsidRPr="00CD6BEE">
              <w:rPr>
                <w:rFonts w:cs="Arial"/>
                <w:b/>
                <w:bCs/>
                <w:color w:val="auto"/>
                <w:sz w:val="20"/>
                <w:szCs w:val="20"/>
              </w:rPr>
              <w:t>Long Term (</w:t>
            </w:r>
            <w:proofErr w:type="spellStart"/>
            <w:r w:rsidRPr="00CD6BEE">
              <w:rPr>
                <w:rFonts w:cs="Arial"/>
                <w:b/>
                <w:bCs/>
                <w:color w:val="auto"/>
                <w:sz w:val="20"/>
                <w:szCs w:val="20"/>
              </w:rPr>
              <w:t>Non Current</w:t>
            </w:r>
            <w:proofErr w:type="spellEnd"/>
            <w:r w:rsidRPr="00CD6BEE">
              <w:rPr>
                <w:rFonts w:cs="Arial"/>
                <w:b/>
                <w:bCs/>
                <w:color w:val="auto"/>
                <w:sz w:val="20"/>
                <w:szCs w:val="20"/>
              </w:rPr>
              <w:t>) Assets</w:t>
            </w:r>
          </w:p>
        </w:tc>
        <w:tc>
          <w:tcPr>
            <w:tcW w:w="992" w:type="dxa"/>
            <w:shd w:val="clear" w:color="auto" w:fill="auto"/>
            <w:noWrap/>
          </w:tcPr>
          <w:p w:rsidR="00CD6BEE" w:rsidRPr="00CD6BEE" w:rsidRDefault="00CD6BEE" w:rsidP="00C87AF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836CB8" w:rsidP="005713A3">
            <w:pPr>
              <w:widowControl w:val="0"/>
              <w:jc w:val="center"/>
              <w:rPr>
                <w:rFonts w:cs="Arial"/>
                <w:b/>
                <w:bCs/>
                <w:color w:val="auto"/>
                <w:sz w:val="20"/>
                <w:szCs w:val="20"/>
              </w:rPr>
            </w:pPr>
            <w:r>
              <w:rPr>
                <w:rFonts w:cs="Arial"/>
                <w:b/>
                <w:bCs/>
                <w:color w:val="auto"/>
                <w:sz w:val="20"/>
                <w:szCs w:val="20"/>
              </w:rPr>
              <w:t>4</w:t>
            </w:r>
            <w:r w:rsidR="005713A3">
              <w:rPr>
                <w:rFonts w:cs="Arial"/>
                <w:b/>
                <w:bCs/>
                <w:color w:val="auto"/>
                <w:sz w:val="20"/>
                <w:szCs w:val="20"/>
              </w:rPr>
              <w:t>61.9</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26.6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102D86">
            <w:pPr>
              <w:widowControl w:val="0"/>
              <w:ind w:left="80"/>
              <w:rPr>
                <w:rFonts w:cs="Arial"/>
                <w:color w:val="auto"/>
                <w:sz w:val="20"/>
                <w:szCs w:val="20"/>
              </w:rPr>
            </w:pPr>
            <w:r w:rsidRPr="00CD6BEE">
              <w:rPr>
                <w:rFonts w:cs="Arial"/>
                <w:color w:val="auto"/>
                <w:sz w:val="20"/>
                <w:szCs w:val="20"/>
              </w:rPr>
              <w:t>Short Term Investments</w:t>
            </w:r>
          </w:p>
        </w:tc>
        <w:tc>
          <w:tcPr>
            <w:tcW w:w="992" w:type="dxa"/>
            <w:shd w:val="clear" w:color="auto" w:fill="auto"/>
            <w:noWrap/>
          </w:tcPr>
          <w:p w:rsidR="00CD6BEE" w:rsidRPr="00CD6BEE" w:rsidRDefault="00CD6BEE" w:rsidP="00B44021">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5F1F9C">
            <w:pPr>
              <w:widowControl w:val="0"/>
              <w:jc w:val="center"/>
              <w:rPr>
                <w:rFonts w:cs="Arial"/>
                <w:b/>
                <w:color w:val="auto"/>
                <w:sz w:val="20"/>
                <w:szCs w:val="20"/>
              </w:rPr>
            </w:pPr>
            <w:r>
              <w:rPr>
                <w:rFonts w:cs="Arial"/>
                <w:b/>
                <w:color w:val="auto"/>
                <w:sz w:val="20"/>
                <w:szCs w:val="20"/>
              </w:rPr>
              <w:t>53.8</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0.4</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54659B">
            <w:pPr>
              <w:widowControl w:val="0"/>
              <w:ind w:left="80"/>
              <w:rPr>
                <w:rFonts w:cs="Arial"/>
                <w:color w:val="auto"/>
                <w:sz w:val="20"/>
                <w:szCs w:val="20"/>
              </w:rPr>
            </w:pPr>
            <w:r w:rsidRPr="00CD6BEE">
              <w:rPr>
                <w:rFonts w:cs="Arial"/>
                <w:color w:val="auto"/>
                <w:sz w:val="20"/>
                <w:szCs w:val="20"/>
              </w:rPr>
              <w:t>Assets Held for Sale</w:t>
            </w:r>
          </w:p>
        </w:tc>
        <w:tc>
          <w:tcPr>
            <w:tcW w:w="992" w:type="dxa"/>
            <w:shd w:val="clear" w:color="auto" w:fill="auto"/>
            <w:noWrap/>
          </w:tcPr>
          <w:p w:rsidR="00CD6BEE" w:rsidRPr="00CD6BEE" w:rsidRDefault="00CD6BEE" w:rsidP="0054659B">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67323" w:rsidP="005F1F9C">
            <w:pPr>
              <w:widowControl w:val="0"/>
              <w:jc w:val="center"/>
              <w:rPr>
                <w:rFonts w:cs="Arial"/>
                <w:b/>
                <w:color w:val="auto"/>
                <w:sz w:val="20"/>
                <w:szCs w:val="20"/>
              </w:rPr>
            </w:pPr>
            <w:r w:rsidRPr="00A67323">
              <w:rPr>
                <w:rFonts w:cs="Arial"/>
                <w:b/>
                <w:color w:val="auto"/>
                <w:sz w:val="20"/>
                <w:szCs w:val="20"/>
              </w:rPr>
              <w:t>0.4</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54659B">
            <w:pPr>
              <w:widowControl w:val="0"/>
              <w:ind w:left="80"/>
              <w:rPr>
                <w:rFonts w:cs="Arial"/>
                <w:color w:val="auto"/>
                <w:sz w:val="20"/>
                <w:szCs w:val="20"/>
              </w:rPr>
            </w:pPr>
            <w:r w:rsidRPr="00CD6BEE">
              <w:rPr>
                <w:rFonts w:cs="Arial"/>
                <w:color w:val="auto"/>
                <w:sz w:val="20"/>
                <w:szCs w:val="20"/>
              </w:rPr>
              <w:t>Inventories</w:t>
            </w:r>
          </w:p>
        </w:tc>
        <w:tc>
          <w:tcPr>
            <w:tcW w:w="992" w:type="dxa"/>
            <w:shd w:val="clear" w:color="auto" w:fill="auto"/>
            <w:noWrap/>
          </w:tcPr>
          <w:p w:rsidR="00CD6BEE" w:rsidRPr="00CD6BEE" w:rsidRDefault="00CD6BEE" w:rsidP="00C87AF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872BB8">
            <w:pPr>
              <w:widowControl w:val="0"/>
              <w:jc w:val="center"/>
              <w:rPr>
                <w:rFonts w:cs="Arial"/>
                <w:b/>
                <w:color w:val="auto"/>
                <w:sz w:val="20"/>
                <w:szCs w:val="20"/>
              </w:rPr>
            </w:pPr>
            <w:r>
              <w:rPr>
                <w:rFonts w:cs="Arial"/>
                <w:b/>
                <w:color w:val="auto"/>
                <w:sz w:val="20"/>
                <w:szCs w:val="20"/>
              </w:rPr>
              <w:t>0.1</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23.9</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102D86">
            <w:pPr>
              <w:widowControl w:val="0"/>
              <w:ind w:left="80"/>
              <w:rPr>
                <w:rFonts w:cs="Arial"/>
                <w:color w:val="auto"/>
                <w:sz w:val="20"/>
                <w:szCs w:val="20"/>
              </w:rPr>
            </w:pPr>
            <w:r w:rsidRPr="00CD6BEE">
              <w:rPr>
                <w:rFonts w:cs="Arial"/>
                <w:color w:val="auto"/>
                <w:sz w:val="20"/>
                <w:szCs w:val="20"/>
              </w:rPr>
              <w:t>Short Term Debtors</w:t>
            </w:r>
          </w:p>
        </w:tc>
        <w:tc>
          <w:tcPr>
            <w:tcW w:w="992" w:type="dxa"/>
            <w:shd w:val="clear" w:color="auto" w:fill="auto"/>
            <w:noWrap/>
          </w:tcPr>
          <w:p w:rsidR="00CD6BEE" w:rsidRPr="00CD6BEE" w:rsidRDefault="00CD6BEE" w:rsidP="00755A7F">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color w:val="auto"/>
                <w:sz w:val="20"/>
                <w:szCs w:val="20"/>
              </w:rPr>
              <w:t>19</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286DE2">
            <w:pPr>
              <w:widowControl w:val="0"/>
              <w:jc w:val="center"/>
              <w:rPr>
                <w:rFonts w:cs="Arial"/>
                <w:b/>
                <w:color w:val="auto"/>
                <w:sz w:val="20"/>
                <w:szCs w:val="20"/>
              </w:rPr>
            </w:pPr>
            <w:r>
              <w:rPr>
                <w:rFonts w:cs="Arial"/>
                <w:b/>
                <w:color w:val="auto"/>
                <w:sz w:val="20"/>
                <w:szCs w:val="20"/>
              </w:rPr>
              <w:t>24</w:t>
            </w:r>
            <w:r w:rsidR="006F5D3D">
              <w:rPr>
                <w:rFonts w:cs="Arial"/>
                <w:b/>
                <w:color w:val="auto"/>
                <w:sz w:val="20"/>
                <w:szCs w:val="20"/>
              </w:rPr>
              <w:t>.8</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1.0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54659B">
            <w:pPr>
              <w:widowControl w:val="0"/>
              <w:ind w:left="80"/>
              <w:rPr>
                <w:rFonts w:cs="Arial"/>
                <w:color w:val="auto"/>
                <w:sz w:val="20"/>
                <w:szCs w:val="20"/>
              </w:rPr>
            </w:pPr>
            <w:r w:rsidRPr="00CD6BEE">
              <w:rPr>
                <w:rFonts w:cs="Arial"/>
                <w:color w:val="auto"/>
                <w:sz w:val="20"/>
                <w:szCs w:val="20"/>
              </w:rPr>
              <w:t>Cash and Cash Equivalents</w:t>
            </w:r>
          </w:p>
        </w:tc>
        <w:tc>
          <w:tcPr>
            <w:tcW w:w="992" w:type="dxa"/>
            <w:shd w:val="clear" w:color="auto" w:fill="auto"/>
            <w:noWrap/>
          </w:tcPr>
          <w:p w:rsidR="00CD6BEE" w:rsidRPr="00CD6BEE" w:rsidRDefault="00CD6BEE" w:rsidP="00B44021">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20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9B4060" w:rsidP="0083716A">
            <w:pPr>
              <w:widowControl w:val="0"/>
              <w:jc w:val="center"/>
              <w:rPr>
                <w:rFonts w:cs="Arial"/>
                <w:b/>
                <w:color w:val="auto"/>
                <w:sz w:val="20"/>
                <w:szCs w:val="20"/>
              </w:rPr>
            </w:pPr>
            <w:r>
              <w:rPr>
                <w:rFonts w:cs="Arial"/>
                <w:b/>
                <w:color w:val="auto"/>
                <w:sz w:val="20"/>
                <w:szCs w:val="20"/>
              </w:rPr>
              <w:t>7.</w:t>
            </w:r>
            <w:r w:rsidR="0083716A">
              <w:rPr>
                <w:rFonts w:cs="Arial"/>
                <w:b/>
                <w:color w:val="auto"/>
                <w:sz w:val="20"/>
                <w:szCs w:val="20"/>
              </w:rPr>
              <w:t>3</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bCs w:val="0"/>
                <w:color w:val="auto"/>
                <w:sz w:val="20"/>
                <w:szCs w:val="20"/>
              </w:rPr>
            </w:pPr>
            <w:r w:rsidRPr="00CD6BEE">
              <w:rPr>
                <w:rFonts w:cs="Arial"/>
                <w:b w:val="0"/>
                <w:bCs w:val="0"/>
                <w:color w:val="auto"/>
                <w:sz w:val="20"/>
                <w:szCs w:val="20"/>
              </w:rPr>
              <w:t>52.0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102D86">
            <w:pPr>
              <w:widowControl w:val="0"/>
              <w:ind w:left="80"/>
              <w:rPr>
                <w:rFonts w:cs="Arial"/>
                <w:b/>
                <w:bCs/>
                <w:color w:val="auto"/>
                <w:sz w:val="20"/>
                <w:szCs w:val="20"/>
              </w:rPr>
            </w:pPr>
            <w:r w:rsidRPr="00CD6BEE">
              <w:rPr>
                <w:rFonts w:cs="Arial"/>
                <w:b/>
                <w:bCs/>
                <w:color w:val="auto"/>
                <w:sz w:val="20"/>
                <w:szCs w:val="20"/>
              </w:rPr>
              <w:t>Current Assets</w:t>
            </w:r>
          </w:p>
        </w:tc>
        <w:tc>
          <w:tcPr>
            <w:tcW w:w="992" w:type="dxa"/>
            <w:shd w:val="clear" w:color="auto" w:fill="auto"/>
            <w:noWrap/>
          </w:tcPr>
          <w:p w:rsidR="00CD6BEE" w:rsidRPr="00CD6BEE" w:rsidRDefault="00CD6BEE" w:rsidP="00C87AF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2D434D" w:rsidP="0083716A">
            <w:pPr>
              <w:widowControl w:val="0"/>
              <w:jc w:val="center"/>
              <w:rPr>
                <w:rFonts w:cs="Arial"/>
                <w:b/>
                <w:bCs/>
                <w:color w:val="auto"/>
                <w:sz w:val="20"/>
                <w:szCs w:val="20"/>
              </w:rPr>
            </w:pPr>
            <w:r>
              <w:rPr>
                <w:rFonts w:cs="Arial"/>
                <w:b/>
                <w:bCs/>
                <w:color w:val="auto"/>
                <w:sz w:val="20"/>
                <w:szCs w:val="20"/>
              </w:rPr>
              <w:t>8</w:t>
            </w:r>
            <w:r w:rsidR="00A67323">
              <w:rPr>
                <w:rFonts w:cs="Arial"/>
                <w:b/>
                <w:bCs/>
                <w:color w:val="auto"/>
                <w:sz w:val="20"/>
                <w:szCs w:val="20"/>
              </w:rPr>
              <w:t>6.</w:t>
            </w:r>
            <w:r w:rsidR="0083716A">
              <w:rPr>
                <w:rFonts w:cs="Arial"/>
                <w:b/>
                <w:bCs/>
                <w:color w:val="auto"/>
                <w:sz w:val="20"/>
                <w:szCs w:val="20"/>
              </w:rPr>
              <w:t>4</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(5.8)</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102D86">
            <w:pPr>
              <w:widowControl w:val="0"/>
              <w:ind w:left="80"/>
              <w:rPr>
                <w:rFonts w:cs="Arial"/>
                <w:color w:val="auto"/>
                <w:sz w:val="20"/>
                <w:szCs w:val="20"/>
              </w:rPr>
            </w:pPr>
            <w:r w:rsidRPr="00CD6BEE">
              <w:rPr>
                <w:rFonts w:cs="Arial"/>
                <w:color w:val="auto"/>
                <w:sz w:val="20"/>
                <w:szCs w:val="20"/>
              </w:rPr>
              <w:t>Short Term Borrowing</w:t>
            </w:r>
          </w:p>
        </w:tc>
        <w:tc>
          <w:tcPr>
            <w:tcW w:w="992" w:type="dxa"/>
            <w:shd w:val="clear" w:color="auto" w:fill="auto"/>
            <w:noWrap/>
          </w:tcPr>
          <w:p w:rsidR="00CD6BEE" w:rsidRPr="00CD6BEE" w:rsidRDefault="00CD6BEE" w:rsidP="00B44021">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23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9F501D">
            <w:pPr>
              <w:widowControl w:val="0"/>
              <w:jc w:val="center"/>
              <w:rPr>
                <w:rFonts w:cs="Arial"/>
                <w:b/>
                <w:color w:val="auto"/>
                <w:sz w:val="20"/>
                <w:szCs w:val="20"/>
              </w:rPr>
            </w:pPr>
            <w:r>
              <w:rPr>
                <w:rFonts w:cs="Arial"/>
                <w:b/>
                <w:color w:val="auto"/>
                <w:sz w:val="20"/>
                <w:szCs w:val="20"/>
              </w:rPr>
              <w:t>(5.6)</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(2.4)</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102D86">
            <w:pPr>
              <w:widowControl w:val="0"/>
              <w:ind w:left="80"/>
              <w:rPr>
                <w:rFonts w:cs="Arial"/>
                <w:color w:val="auto"/>
                <w:sz w:val="20"/>
                <w:szCs w:val="20"/>
              </w:rPr>
            </w:pPr>
            <w:r w:rsidRPr="00CD6BEE">
              <w:rPr>
                <w:rFonts w:cs="Arial"/>
                <w:color w:val="auto"/>
                <w:sz w:val="20"/>
                <w:szCs w:val="20"/>
              </w:rPr>
              <w:t>Other Short Term Liabilities</w:t>
            </w:r>
          </w:p>
        </w:tc>
        <w:tc>
          <w:tcPr>
            <w:tcW w:w="992" w:type="dxa"/>
            <w:shd w:val="clear" w:color="auto" w:fill="auto"/>
            <w:noWrap/>
          </w:tcPr>
          <w:p w:rsidR="00CD6BEE" w:rsidRPr="00CD6BEE" w:rsidRDefault="00CD6BEE" w:rsidP="00755A7F">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color w:val="auto"/>
                <w:sz w:val="20"/>
                <w:szCs w:val="20"/>
              </w:rPr>
              <w:t>24</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070FA5">
            <w:pPr>
              <w:widowControl w:val="0"/>
              <w:jc w:val="center"/>
              <w:rPr>
                <w:rFonts w:cs="Arial"/>
                <w:b/>
                <w:color w:val="auto"/>
                <w:sz w:val="20"/>
                <w:szCs w:val="20"/>
              </w:rPr>
            </w:pPr>
            <w:r>
              <w:rPr>
                <w:rFonts w:cs="Arial"/>
                <w:b/>
                <w:color w:val="auto"/>
                <w:sz w:val="20"/>
                <w:szCs w:val="20"/>
              </w:rPr>
              <w:t>(2.3)</w:t>
            </w:r>
          </w:p>
        </w:tc>
      </w:tr>
      <w:tr w:rsidR="00CD6BEE" w:rsidRPr="0005794A" w:rsidTr="00306CF1">
        <w:trPr>
          <w:cnfStyle w:val="000000100000" w:firstRow="0" w:lastRow="0" w:firstColumn="0" w:lastColumn="0" w:oddVBand="0" w:evenVBand="0" w:oddHBand="1" w:evenHBand="0" w:firstRowFirstColumn="0" w:firstRowLastColumn="0" w:lastRowFirstColumn="0" w:lastRowLastColumn="0"/>
          <w:trHeight w:hRule="exact" w:val="592"/>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(22.9)</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102D86">
            <w:pPr>
              <w:widowControl w:val="0"/>
              <w:ind w:left="80"/>
              <w:rPr>
                <w:rFonts w:cs="Arial"/>
                <w:color w:val="auto"/>
                <w:sz w:val="20"/>
                <w:szCs w:val="20"/>
              </w:rPr>
            </w:pPr>
            <w:r w:rsidRPr="00CD6BEE">
              <w:rPr>
                <w:rFonts w:cs="Arial"/>
                <w:color w:val="auto"/>
                <w:sz w:val="20"/>
                <w:szCs w:val="20"/>
              </w:rPr>
              <w:t>Short Term Creditors (</w:t>
            </w:r>
            <w:proofErr w:type="spellStart"/>
            <w:r w:rsidRPr="00CD6BEE">
              <w:rPr>
                <w:rFonts w:cs="Arial"/>
                <w:color w:val="auto"/>
                <w:sz w:val="20"/>
                <w:szCs w:val="20"/>
              </w:rPr>
              <w:t>inc</w:t>
            </w:r>
            <w:proofErr w:type="spellEnd"/>
            <w:r w:rsidRPr="00CD6BEE">
              <w:rPr>
                <w:rFonts w:cs="Arial"/>
                <w:color w:val="auto"/>
                <w:sz w:val="20"/>
                <w:szCs w:val="20"/>
              </w:rPr>
              <w:t xml:space="preserve"> Receipts in Advance)</w:t>
            </w:r>
          </w:p>
        </w:tc>
        <w:tc>
          <w:tcPr>
            <w:tcW w:w="992" w:type="dxa"/>
            <w:shd w:val="clear" w:color="auto" w:fill="auto"/>
            <w:noWrap/>
          </w:tcPr>
          <w:p w:rsidR="00CD6BEE" w:rsidRPr="00CD6BEE" w:rsidRDefault="00CD6BEE" w:rsidP="00B44021">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21</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590D98">
            <w:pPr>
              <w:widowControl w:val="0"/>
              <w:jc w:val="center"/>
              <w:rPr>
                <w:rFonts w:cs="Arial"/>
                <w:b/>
                <w:color w:val="auto"/>
                <w:sz w:val="20"/>
                <w:szCs w:val="20"/>
              </w:rPr>
            </w:pPr>
            <w:r>
              <w:rPr>
                <w:rFonts w:cs="Arial"/>
                <w:b/>
                <w:color w:val="auto"/>
                <w:sz w:val="20"/>
                <w:szCs w:val="20"/>
              </w:rPr>
              <w:t>(2</w:t>
            </w:r>
            <w:r w:rsidR="00625A05">
              <w:rPr>
                <w:rFonts w:cs="Arial"/>
                <w:b/>
                <w:color w:val="auto"/>
                <w:sz w:val="20"/>
                <w:szCs w:val="20"/>
              </w:rPr>
              <w:t>7.</w:t>
            </w:r>
            <w:r w:rsidR="00590D98">
              <w:rPr>
                <w:rFonts w:cs="Arial"/>
                <w:b/>
                <w:color w:val="auto"/>
                <w:sz w:val="20"/>
                <w:szCs w:val="20"/>
              </w:rPr>
              <w:t>6</w:t>
            </w:r>
            <w:r>
              <w:rPr>
                <w:rFonts w:cs="Arial"/>
                <w:b/>
                <w:color w:val="auto"/>
                <w:sz w:val="20"/>
                <w:szCs w:val="20"/>
              </w:rPr>
              <w:t>)</w:t>
            </w:r>
          </w:p>
        </w:tc>
      </w:tr>
      <w:tr w:rsidR="00CD6BEE" w:rsidRPr="0005794A" w:rsidTr="00306CF1">
        <w:trPr>
          <w:trHeight w:hRule="exact" w:val="592"/>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(1.1)</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957739">
            <w:pPr>
              <w:widowControl w:val="0"/>
              <w:ind w:left="80"/>
              <w:rPr>
                <w:rFonts w:cs="Arial"/>
                <w:color w:val="auto"/>
                <w:sz w:val="20"/>
                <w:szCs w:val="20"/>
              </w:rPr>
            </w:pPr>
            <w:r w:rsidRPr="00CD6BEE">
              <w:rPr>
                <w:rFonts w:cs="Arial"/>
                <w:color w:val="auto"/>
                <w:sz w:val="20"/>
                <w:szCs w:val="20"/>
              </w:rPr>
              <w:t>Capital Grants/Contributions: Receipts in Advance</w:t>
            </w:r>
          </w:p>
        </w:tc>
        <w:tc>
          <w:tcPr>
            <w:tcW w:w="992" w:type="dxa"/>
            <w:shd w:val="clear" w:color="auto" w:fill="auto"/>
            <w:noWrap/>
          </w:tcPr>
          <w:p w:rsidR="00CD6BEE" w:rsidRPr="00CD6BEE" w:rsidRDefault="00CD6BEE" w:rsidP="00957739">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2D434D">
            <w:pPr>
              <w:widowControl w:val="0"/>
              <w:jc w:val="center"/>
              <w:rPr>
                <w:rFonts w:cs="Arial"/>
                <w:b/>
                <w:color w:val="auto"/>
                <w:sz w:val="20"/>
                <w:szCs w:val="20"/>
              </w:rPr>
            </w:pPr>
            <w:r>
              <w:rPr>
                <w:rFonts w:cs="Arial"/>
                <w:b/>
                <w:color w:val="auto"/>
                <w:sz w:val="20"/>
                <w:szCs w:val="20"/>
              </w:rPr>
              <w:t>(</w:t>
            </w:r>
            <w:r w:rsidR="002D434D">
              <w:rPr>
                <w:rFonts w:cs="Arial"/>
                <w:b/>
                <w:color w:val="auto"/>
                <w:sz w:val="20"/>
                <w:szCs w:val="20"/>
              </w:rPr>
              <w:t>1.2</w:t>
            </w:r>
            <w:r>
              <w:rPr>
                <w:rFonts w:cs="Arial"/>
                <w:b/>
                <w:color w:val="auto"/>
                <w:sz w:val="20"/>
                <w:szCs w:val="20"/>
              </w:rPr>
              <w:t>)</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bCs w:val="0"/>
                <w:color w:val="auto"/>
                <w:sz w:val="20"/>
                <w:szCs w:val="20"/>
              </w:rPr>
            </w:pPr>
            <w:r w:rsidRPr="00CD6BEE">
              <w:rPr>
                <w:rFonts w:cs="Arial"/>
                <w:b w:val="0"/>
                <w:bCs w:val="0"/>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102D86">
            <w:pPr>
              <w:widowControl w:val="0"/>
              <w:ind w:left="80"/>
              <w:rPr>
                <w:rFonts w:cs="Arial"/>
                <w:b/>
                <w:bCs/>
                <w:color w:val="auto"/>
                <w:sz w:val="20"/>
                <w:szCs w:val="20"/>
              </w:rPr>
            </w:pPr>
            <w:r w:rsidRPr="00CD6BEE">
              <w:rPr>
                <w:rFonts w:cs="Arial"/>
                <w:color w:val="auto"/>
                <w:sz w:val="20"/>
                <w:szCs w:val="20"/>
              </w:rPr>
              <w:t xml:space="preserve">Provisions </w:t>
            </w:r>
          </w:p>
        </w:tc>
        <w:tc>
          <w:tcPr>
            <w:tcW w:w="992" w:type="dxa"/>
            <w:shd w:val="clear" w:color="auto" w:fill="auto"/>
            <w:noWrap/>
          </w:tcPr>
          <w:p w:rsidR="00CD6BEE" w:rsidRPr="00CD6BEE" w:rsidRDefault="00CD6BEE" w:rsidP="00B44021">
            <w:pPr>
              <w:widowControl w:val="0"/>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CD6BEE">
              <w:rPr>
                <w:rFonts w:cs="Arial"/>
                <w:color w:val="auto"/>
                <w:sz w:val="20"/>
                <w:szCs w:val="20"/>
              </w:rPr>
              <w:t>22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593A2D">
            <w:pPr>
              <w:widowControl w:val="0"/>
              <w:jc w:val="center"/>
              <w:rPr>
                <w:rFonts w:cs="Arial"/>
                <w:b/>
                <w:bCs/>
                <w:color w:val="auto"/>
                <w:sz w:val="20"/>
                <w:szCs w:val="20"/>
              </w:rPr>
            </w:pPr>
            <w:r>
              <w:rPr>
                <w:rFonts w:cs="Arial"/>
                <w:b/>
                <w:bCs/>
                <w:color w:val="auto"/>
                <w:sz w:val="20"/>
                <w:szCs w:val="20"/>
              </w:rPr>
              <w:t>(2.0)</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92CDDC" w:themeColor="accent5" w:themeTint="99"/>
            </w:tcBorders>
            <w:shd w:val="clear" w:color="auto" w:fill="auto"/>
          </w:tcPr>
          <w:p w:rsidR="00CD6BEE" w:rsidRPr="00CD6BEE" w:rsidRDefault="00CD6BEE" w:rsidP="00CD6BEE">
            <w:pPr>
              <w:widowControl w:val="0"/>
              <w:jc w:val="center"/>
              <w:rPr>
                <w:rFonts w:cs="Arial"/>
                <w:b w:val="0"/>
                <w:bCs w:val="0"/>
                <w:color w:val="auto"/>
                <w:sz w:val="20"/>
                <w:szCs w:val="20"/>
              </w:rPr>
            </w:pPr>
            <w:r w:rsidRPr="00CD6BEE">
              <w:rPr>
                <w:rFonts w:cs="Arial"/>
                <w:b w:val="0"/>
                <w:bCs w:val="0"/>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4395" w:type="dxa"/>
            <w:tcBorders>
              <w:bottom w:val="single" w:sz="4" w:space="0" w:color="92CDDC" w:themeColor="accent5" w:themeTint="99"/>
            </w:tcBorders>
            <w:shd w:val="clear" w:color="auto" w:fill="auto"/>
            <w:noWrap/>
          </w:tcPr>
          <w:p w:rsidR="00CD6BEE" w:rsidRPr="00CD6BEE" w:rsidRDefault="00CD6BEE" w:rsidP="00481485">
            <w:pPr>
              <w:widowControl w:val="0"/>
              <w:ind w:left="80"/>
              <w:rPr>
                <w:rFonts w:cs="Arial"/>
                <w:bCs/>
                <w:color w:val="auto"/>
                <w:sz w:val="20"/>
                <w:szCs w:val="20"/>
              </w:rPr>
            </w:pPr>
            <w:r w:rsidRPr="00CD6BEE">
              <w:rPr>
                <w:rFonts w:cs="Arial"/>
                <w:bCs/>
                <w:color w:val="auto"/>
                <w:sz w:val="20"/>
                <w:szCs w:val="20"/>
              </w:rPr>
              <w:t>Cash and Cash Equivalents</w:t>
            </w:r>
          </w:p>
        </w:tc>
        <w:tc>
          <w:tcPr>
            <w:tcW w:w="992" w:type="dxa"/>
            <w:tcBorders>
              <w:bottom w:val="single" w:sz="4" w:space="0" w:color="92CDDC" w:themeColor="accent5" w:themeTint="99"/>
            </w:tcBorders>
            <w:shd w:val="clear" w:color="auto" w:fill="auto"/>
            <w:noWrap/>
          </w:tcPr>
          <w:p w:rsidR="00CD6BEE" w:rsidRPr="00CD6BEE" w:rsidRDefault="00CD6BEE" w:rsidP="00B44021">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CD6BEE">
              <w:rPr>
                <w:rFonts w:cs="Arial"/>
                <w:bCs/>
                <w:color w:val="auto"/>
                <w:sz w:val="20"/>
                <w:szCs w:val="20"/>
              </w:rPr>
              <w:t>20</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92CDDC" w:themeColor="accent5" w:themeTint="99"/>
            </w:tcBorders>
            <w:shd w:val="clear" w:color="auto" w:fill="auto"/>
            <w:noWrap/>
          </w:tcPr>
          <w:p w:rsidR="00CD6BEE" w:rsidRPr="00CD6BEE" w:rsidRDefault="009B4060" w:rsidP="0083716A">
            <w:pPr>
              <w:widowControl w:val="0"/>
              <w:jc w:val="center"/>
              <w:rPr>
                <w:rFonts w:cs="Arial"/>
                <w:b/>
                <w:bCs/>
                <w:color w:val="auto"/>
                <w:sz w:val="20"/>
                <w:szCs w:val="20"/>
              </w:rPr>
            </w:pPr>
            <w:r>
              <w:rPr>
                <w:rFonts w:cs="Arial"/>
                <w:b/>
                <w:bCs/>
                <w:color w:val="auto"/>
                <w:sz w:val="20"/>
                <w:szCs w:val="20"/>
              </w:rPr>
              <w:t>(0.</w:t>
            </w:r>
            <w:r w:rsidR="0083716A">
              <w:rPr>
                <w:rFonts w:cs="Arial"/>
                <w:b/>
                <w:bCs/>
                <w:color w:val="auto"/>
                <w:sz w:val="20"/>
                <w:szCs w:val="20"/>
              </w:rPr>
              <w:t>9</w:t>
            </w:r>
            <w:r>
              <w:rPr>
                <w:rFonts w:cs="Arial"/>
                <w:b/>
                <w:bCs/>
                <w:color w:val="auto"/>
                <w:sz w:val="20"/>
                <w:szCs w:val="20"/>
              </w:rPr>
              <w:t>)</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466"/>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92CDDC" w:themeColor="accent5" w:themeTint="99"/>
            </w:tcBorders>
            <w:shd w:val="clear" w:color="auto" w:fill="auto"/>
          </w:tcPr>
          <w:p w:rsidR="00CD6BEE" w:rsidRPr="00CD6BEE" w:rsidRDefault="00CD6BEE" w:rsidP="00CD6BEE">
            <w:pPr>
              <w:widowControl w:val="0"/>
              <w:jc w:val="center"/>
              <w:rPr>
                <w:rFonts w:cs="Arial"/>
                <w:b w:val="0"/>
                <w:bCs w:val="0"/>
                <w:color w:val="auto"/>
                <w:sz w:val="20"/>
                <w:szCs w:val="20"/>
              </w:rPr>
            </w:pPr>
            <w:r w:rsidRPr="00CD6BEE">
              <w:rPr>
                <w:rFonts w:cs="Arial"/>
                <w:b w:val="0"/>
                <w:bCs w:val="0"/>
                <w:color w:val="auto"/>
                <w:sz w:val="20"/>
                <w:szCs w:val="20"/>
              </w:rPr>
              <w:t>(34.5)</w:t>
            </w:r>
          </w:p>
        </w:tc>
        <w:tc>
          <w:tcPr>
            <w:cnfStyle w:val="000010000000" w:firstRow="0" w:lastRow="0" w:firstColumn="0" w:lastColumn="0" w:oddVBand="1" w:evenVBand="0" w:oddHBand="0" w:evenHBand="0" w:firstRowFirstColumn="0" w:firstRowLastColumn="0" w:lastRowFirstColumn="0" w:lastRowLastColumn="0"/>
            <w:tcW w:w="4395" w:type="dxa"/>
            <w:tcBorders>
              <w:bottom w:val="single" w:sz="4" w:space="0" w:color="92CDDC" w:themeColor="accent5" w:themeTint="99"/>
            </w:tcBorders>
            <w:shd w:val="clear" w:color="auto" w:fill="auto"/>
            <w:noWrap/>
          </w:tcPr>
          <w:p w:rsidR="00CD6BEE" w:rsidRPr="00CD6BEE" w:rsidRDefault="00CD6BEE" w:rsidP="0008137E">
            <w:pPr>
              <w:widowControl w:val="0"/>
              <w:ind w:left="80"/>
              <w:rPr>
                <w:rFonts w:cs="Arial"/>
                <w:b/>
                <w:bCs/>
                <w:color w:val="auto"/>
                <w:sz w:val="20"/>
                <w:szCs w:val="20"/>
              </w:rPr>
            </w:pPr>
            <w:r w:rsidRPr="00CD6BEE">
              <w:rPr>
                <w:rFonts w:cs="Arial"/>
                <w:b/>
                <w:bCs/>
                <w:color w:val="auto"/>
                <w:sz w:val="20"/>
                <w:szCs w:val="20"/>
              </w:rPr>
              <w:t>Current Liabilities</w:t>
            </w:r>
          </w:p>
          <w:p w:rsidR="00CD6BEE" w:rsidRPr="00CD6BEE" w:rsidRDefault="00CD6BEE" w:rsidP="003C5E34">
            <w:pPr>
              <w:widowControl w:val="0"/>
              <w:ind w:left="80"/>
              <w:rPr>
                <w:rFonts w:cs="Arial"/>
                <w:b/>
                <w:bCs/>
                <w:color w:val="auto"/>
                <w:sz w:val="20"/>
                <w:szCs w:val="20"/>
              </w:rPr>
            </w:pPr>
          </w:p>
        </w:tc>
        <w:tc>
          <w:tcPr>
            <w:tcW w:w="992" w:type="dxa"/>
            <w:tcBorders>
              <w:bottom w:val="single" w:sz="4" w:space="0" w:color="92CDDC" w:themeColor="accent5" w:themeTint="99"/>
            </w:tcBorders>
            <w:shd w:val="clear" w:color="auto" w:fill="auto"/>
            <w:noWrap/>
          </w:tcPr>
          <w:p w:rsidR="00CD6BEE" w:rsidRPr="00CD6BEE" w:rsidRDefault="00CD6BEE" w:rsidP="0008137E">
            <w:pPr>
              <w:widowControl w:val="0"/>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92CDDC" w:themeColor="accent5" w:themeTint="99"/>
            </w:tcBorders>
            <w:shd w:val="clear" w:color="auto" w:fill="auto"/>
            <w:noWrap/>
          </w:tcPr>
          <w:p w:rsidR="00CD6BEE" w:rsidRPr="00CD6BEE" w:rsidRDefault="002D434D" w:rsidP="005713A3">
            <w:pPr>
              <w:widowControl w:val="0"/>
              <w:jc w:val="center"/>
              <w:rPr>
                <w:rFonts w:cs="Arial"/>
                <w:b/>
                <w:bCs/>
                <w:color w:val="auto"/>
                <w:sz w:val="20"/>
                <w:szCs w:val="20"/>
              </w:rPr>
            </w:pPr>
            <w:r>
              <w:rPr>
                <w:rFonts w:cs="Arial"/>
                <w:b/>
                <w:bCs/>
                <w:color w:val="auto"/>
                <w:sz w:val="20"/>
                <w:szCs w:val="20"/>
              </w:rPr>
              <w:t>(39.</w:t>
            </w:r>
            <w:r w:rsidR="005713A3">
              <w:rPr>
                <w:rFonts w:cs="Arial"/>
                <w:b/>
                <w:bCs/>
                <w:color w:val="auto"/>
                <w:sz w:val="20"/>
                <w:szCs w:val="20"/>
              </w:rPr>
              <w:t>6</w:t>
            </w:r>
            <w:r>
              <w:rPr>
                <w:rFonts w:cs="Arial"/>
                <w:b/>
                <w:bCs/>
                <w:color w:val="auto"/>
                <w:sz w:val="20"/>
                <w:szCs w:val="20"/>
              </w:rPr>
              <w:t>)</w:t>
            </w:r>
          </w:p>
        </w:tc>
      </w:tr>
      <w:tr w:rsidR="00CD6BEE" w:rsidRPr="0005794A" w:rsidTr="0035317D">
        <w:trPr>
          <w:trHeight w:hRule="exact" w:val="466"/>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92CDDC" w:themeColor="accent5" w:themeTint="99"/>
            </w:tcBorders>
            <w:shd w:val="clear" w:color="auto" w:fill="auto"/>
          </w:tcPr>
          <w:p w:rsidR="00CD6BEE" w:rsidRPr="00CD6BEE" w:rsidRDefault="00CD6BEE" w:rsidP="00F30237">
            <w:pPr>
              <w:widowControl w:val="0"/>
              <w:jc w:val="center"/>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tcBorders>
              <w:bottom w:val="single" w:sz="4" w:space="0" w:color="92CDDC" w:themeColor="accent5" w:themeTint="99"/>
            </w:tcBorders>
            <w:shd w:val="clear" w:color="auto" w:fill="auto"/>
            <w:noWrap/>
          </w:tcPr>
          <w:p w:rsidR="00CD6BEE" w:rsidRPr="00CD6BEE" w:rsidRDefault="00CD6BEE" w:rsidP="0008137E">
            <w:pPr>
              <w:widowControl w:val="0"/>
              <w:ind w:left="80"/>
              <w:rPr>
                <w:rFonts w:cs="Arial"/>
                <w:b/>
                <w:bCs/>
                <w:color w:val="auto"/>
                <w:sz w:val="20"/>
                <w:szCs w:val="20"/>
              </w:rPr>
            </w:pPr>
          </w:p>
        </w:tc>
        <w:tc>
          <w:tcPr>
            <w:tcW w:w="992" w:type="dxa"/>
            <w:tcBorders>
              <w:bottom w:val="single" w:sz="4" w:space="0" w:color="92CDDC" w:themeColor="accent5" w:themeTint="99"/>
            </w:tcBorders>
            <w:shd w:val="clear" w:color="auto" w:fill="auto"/>
            <w:noWrap/>
          </w:tcPr>
          <w:p w:rsidR="00CD6BEE" w:rsidRPr="00CD6BEE" w:rsidRDefault="00CD6BEE" w:rsidP="0008137E">
            <w:pPr>
              <w:widowControl w:val="0"/>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92CDDC" w:themeColor="accent5" w:themeTint="99"/>
            </w:tcBorders>
            <w:shd w:val="clear" w:color="auto" w:fill="auto"/>
            <w:noWrap/>
          </w:tcPr>
          <w:p w:rsidR="00CD6BEE" w:rsidRPr="00CD6BEE" w:rsidRDefault="00CD6BEE" w:rsidP="001219FF">
            <w:pPr>
              <w:widowControl w:val="0"/>
              <w:jc w:val="center"/>
              <w:rPr>
                <w:rFonts w:cs="Arial"/>
                <w:b/>
                <w:bCs/>
                <w:color w:val="auto"/>
                <w:sz w:val="20"/>
                <w:szCs w:val="20"/>
              </w:rPr>
            </w:pP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92CDDC" w:themeColor="accent5" w:themeTint="99"/>
            </w:tcBorders>
            <w:shd w:val="clear" w:color="auto" w:fill="auto"/>
          </w:tcPr>
          <w:p w:rsidR="00CD6BEE" w:rsidRPr="00CD6BEE" w:rsidRDefault="00CD6BEE" w:rsidP="0035317D">
            <w:pPr>
              <w:jc w:val="center"/>
              <w:rPr>
                <w:rFonts w:cs="Arial"/>
                <w:b w:val="0"/>
                <w:bCs w:val="0"/>
                <w:color w:val="auto"/>
                <w:sz w:val="20"/>
                <w:szCs w:val="20"/>
              </w:rPr>
            </w:pPr>
            <w:r w:rsidRPr="00CD6BEE">
              <w:rPr>
                <w:rFonts w:cs="Arial"/>
                <w:b w:val="0"/>
                <w:bCs w:val="0"/>
                <w:color w:val="auto"/>
                <w:sz w:val="20"/>
                <w:szCs w:val="20"/>
              </w:rPr>
              <w:lastRenderedPageBreak/>
              <w:t xml:space="preserve"> 31st March 2017</w:t>
            </w:r>
          </w:p>
          <w:p w:rsidR="00CD6BEE" w:rsidRPr="00CD6BEE" w:rsidRDefault="00CD6BEE" w:rsidP="0035317D">
            <w:pPr>
              <w:jc w:val="center"/>
              <w:rPr>
                <w:rFonts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tcBorders>
              <w:top w:val="single" w:sz="4" w:space="0" w:color="92CDDC" w:themeColor="accent5" w:themeTint="99"/>
            </w:tcBorders>
            <w:shd w:val="clear" w:color="auto" w:fill="auto"/>
            <w:noWrap/>
          </w:tcPr>
          <w:p w:rsidR="00CD6BEE" w:rsidRPr="00CD6BEE" w:rsidRDefault="00CD6BEE" w:rsidP="0035317D">
            <w:pPr>
              <w:ind w:left="80"/>
              <w:jc w:val="right"/>
              <w:rPr>
                <w:rFonts w:cs="Arial"/>
                <w:b/>
                <w:bCs/>
                <w:color w:val="auto"/>
                <w:sz w:val="20"/>
                <w:szCs w:val="20"/>
              </w:rPr>
            </w:pPr>
          </w:p>
        </w:tc>
        <w:tc>
          <w:tcPr>
            <w:tcW w:w="992" w:type="dxa"/>
            <w:tcBorders>
              <w:top w:val="single" w:sz="4" w:space="0" w:color="92CDDC" w:themeColor="accent5" w:themeTint="99"/>
            </w:tcBorders>
            <w:shd w:val="clear" w:color="auto" w:fill="auto"/>
            <w:noWrap/>
          </w:tcPr>
          <w:p w:rsidR="00CD6BEE" w:rsidRPr="00CD6BEE" w:rsidRDefault="00CD6BEE" w:rsidP="0035317D">
            <w:pPr>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CD6BEE">
              <w:rPr>
                <w:rFonts w:cs="Arial"/>
                <w:b/>
                <w:bCs/>
                <w:color w:val="auto"/>
                <w:sz w:val="20"/>
                <w:szCs w:val="20"/>
              </w:rPr>
              <w:t>Notes</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92CDDC" w:themeColor="accent5" w:themeTint="99"/>
            </w:tcBorders>
            <w:shd w:val="clear" w:color="auto" w:fill="auto"/>
            <w:noWrap/>
          </w:tcPr>
          <w:p w:rsidR="00CD6BEE" w:rsidRPr="00CD6BEE" w:rsidRDefault="00CD6BEE" w:rsidP="00D6308D">
            <w:pPr>
              <w:jc w:val="center"/>
              <w:rPr>
                <w:rFonts w:cs="Arial"/>
                <w:b/>
                <w:bCs/>
                <w:color w:val="auto"/>
                <w:sz w:val="20"/>
                <w:szCs w:val="20"/>
              </w:rPr>
            </w:pPr>
            <w:r w:rsidRPr="00CD6BEE">
              <w:rPr>
                <w:rFonts w:cs="Arial"/>
                <w:b/>
                <w:bCs/>
                <w:color w:val="auto"/>
                <w:sz w:val="20"/>
                <w:szCs w:val="20"/>
              </w:rPr>
              <w:t>31st March 2018</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8078A4">
            <w:pPr>
              <w:widowControl w:val="0"/>
              <w:ind w:right="204"/>
              <w:jc w:val="center"/>
              <w:rPr>
                <w:rFonts w:cs="Arial"/>
                <w:b w:val="0"/>
                <w:bCs w:val="0"/>
                <w:color w:val="auto"/>
                <w:sz w:val="20"/>
                <w:szCs w:val="20"/>
              </w:rPr>
            </w:pPr>
            <w:r w:rsidRPr="00CD6BEE">
              <w:rPr>
                <w:rFonts w:cs="Arial"/>
                <w:b w:val="0"/>
                <w:bCs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8078A4">
            <w:pPr>
              <w:widowControl w:val="0"/>
              <w:ind w:left="80"/>
              <w:rPr>
                <w:rFonts w:cs="Arial"/>
                <w:b/>
                <w:bCs/>
                <w:color w:val="auto"/>
                <w:sz w:val="20"/>
                <w:szCs w:val="20"/>
              </w:rPr>
            </w:pPr>
          </w:p>
        </w:tc>
        <w:tc>
          <w:tcPr>
            <w:tcW w:w="992" w:type="dxa"/>
            <w:shd w:val="clear" w:color="auto" w:fill="auto"/>
            <w:noWrap/>
          </w:tcPr>
          <w:p w:rsidR="00CD6BEE" w:rsidRPr="00CD6BEE" w:rsidRDefault="00CD6BEE" w:rsidP="008078A4">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CD6BEE" w:rsidP="008078A4">
            <w:pPr>
              <w:widowControl w:val="0"/>
              <w:jc w:val="center"/>
              <w:rPr>
                <w:rFonts w:cs="Arial"/>
                <w:b/>
                <w:bCs/>
                <w:color w:val="auto"/>
                <w:sz w:val="20"/>
                <w:szCs w:val="20"/>
              </w:rPr>
            </w:pPr>
            <w:r w:rsidRPr="00CD6BEE">
              <w:rPr>
                <w:rFonts w:cs="Arial"/>
                <w:b/>
                <w:bCs/>
                <w:color w:val="auto"/>
                <w:sz w:val="20"/>
                <w:szCs w:val="20"/>
              </w:rPr>
              <w:t>£m</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(4.9)</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Long Term Creditors</w:t>
            </w:r>
          </w:p>
        </w:tc>
        <w:tc>
          <w:tcPr>
            <w:tcW w:w="992" w:type="dxa"/>
            <w:shd w:val="clear" w:color="auto" w:fill="auto"/>
            <w:noWrap/>
          </w:tcPr>
          <w:p w:rsidR="00CD6BEE" w:rsidRPr="00CD6BEE" w:rsidRDefault="00CD6BEE" w:rsidP="00C87AF0">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5713A3">
            <w:pPr>
              <w:widowControl w:val="0"/>
              <w:jc w:val="center"/>
              <w:rPr>
                <w:rFonts w:cs="Arial"/>
                <w:b/>
                <w:color w:val="auto"/>
                <w:sz w:val="20"/>
                <w:szCs w:val="20"/>
              </w:rPr>
            </w:pPr>
            <w:r>
              <w:rPr>
                <w:rFonts w:cs="Arial"/>
                <w:b/>
                <w:color w:val="auto"/>
                <w:sz w:val="20"/>
                <w:szCs w:val="20"/>
              </w:rPr>
              <w:t>(4.</w:t>
            </w:r>
            <w:r w:rsidR="005713A3">
              <w:rPr>
                <w:rFonts w:cs="Arial"/>
                <w:b/>
                <w:color w:val="auto"/>
                <w:sz w:val="20"/>
                <w:szCs w:val="20"/>
              </w:rPr>
              <w:t>6</w:t>
            </w:r>
            <w:r>
              <w:rPr>
                <w:rFonts w:cs="Arial"/>
                <w:b/>
                <w:color w:val="auto"/>
                <w:sz w:val="20"/>
                <w:szCs w:val="20"/>
              </w:rPr>
              <w:t>)</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Provisions</w:t>
            </w:r>
          </w:p>
        </w:tc>
        <w:tc>
          <w:tcPr>
            <w:tcW w:w="992" w:type="dxa"/>
            <w:shd w:val="clear" w:color="auto" w:fill="auto"/>
            <w:noWrap/>
          </w:tcPr>
          <w:p w:rsidR="00CD6BEE" w:rsidRPr="00CD6BEE" w:rsidRDefault="00CD6BEE" w:rsidP="00536DA9">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color w:val="auto"/>
                <w:sz w:val="20"/>
                <w:szCs w:val="20"/>
              </w:rPr>
              <w:t>22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070FA5">
            <w:pPr>
              <w:widowControl w:val="0"/>
              <w:jc w:val="center"/>
              <w:rPr>
                <w:rFonts w:cs="Arial"/>
                <w:b/>
                <w:color w:val="auto"/>
                <w:sz w:val="20"/>
                <w:szCs w:val="20"/>
              </w:rPr>
            </w:pPr>
            <w:r>
              <w:rPr>
                <w:rFonts w:cs="Arial"/>
                <w:b/>
                <w:color w:val="auto"/>
                <w:sz w:val="20"/>
                <w:szCs w:val="20"/>
              </w:rPr>
              <w:t>(0.1)</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(148.6)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Long Term Borrowing</w:t>
            </w:r>
          </w:p>
        </w:tc>
        <w:tc>
          <w:tcPr>
            <w:tcW w:w="992" w:type="dxa"/>
            <w:shd w:val="clear" w:color="auto" w:fill="auto"/>
            <w:noWrap/>
          </w:tcPr>
          <w:p w:rsidR="00CD6BEE" w:rsidRPr="00CD6BEE" w:rsidRDefault="00CD6BEE" w:rsidP="00B44021">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23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9F501D">
            <w:pPr>
              <w:widowControl w:val="0"/>
              <w:jc w:val="center"/>
              <w:rPr>
                <w:rFonts w:cs="Arial"/>
                <w:b/>
                <w:color w:val="auto"/>
                <w:sz w:val="20"/>
                <w:szCs w:val="20"/>
              </w:rPr>
            </w:pPr>
            <w:r>
              <w:rPr>
                <w:rFonts w:cs="Arial"/>
                <w:b/>
                <w:color w:val="auto"/>
                <w:sz w:val="20"/>
                <w:szCs w:val="20"/>
              </w:rPr>
              <w:t>(269.8)</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(46.0)</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Other Long Term Liabilities</w:t>
            </w:r>
          </w:p>
        </w:tc>
        <w:tc>
          <w:tcPr>
            <w:tcW w:w="992" w:type="dxa"/>
            <w:shd w:val="clear" w:color="auto" w:fill="auto"/>
            <w:noWrap/>
          </w:tcPr>
          <w:p w:rsidR="00CD6BEE" w:rsidRPr="00CD6BEE" w:rsidRDefault="00CD6BEE" w:rsidP="00B44021">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color w:val="auto"/>
                <w:sz w:val="20"/>
                <w:szCs w:val="20"/>
              </w:rPr>
              <w:t>24</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070FA5">
            <w:pPr>
              <w:widowControl w:val="0"/>
              <w:jc w:val="center"/>
              <w:rPr>
                <w:rFonts w:cs="Arial"/>
                <w:b/>
                <w:color w:val="auto"/>
                <w:sz w:val="20"/>
                <w:szCs w:val="20"/>
              </w:rPr>
            </w:pPr>
            <w:r>
              <w:rPr>
                <w:rFonts w:cs="Arial"/>
                <w:b/>
                <w:color w:val="auto"/>
                <w:sz w:val="20"/>
                <w:szCs w:val="20"/>
              </w:rPr>
              <w:t>(44.0)</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(202.1)</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Pension Liability</w:t>
            </w:r>
          </w:p>
        </w:tc>
        <w:tc>
          <w:tcPr>
            <w:tcW w:w="992" w:type="dxa"/>
            <w:shd w:val="clear" w:color="auto" w:fill="auto"/>
            <w:noWrap/>
          </w:tcPr>
          <w:p w:rsidR="00CD6BEE" w:rsidRPr="00CD6BEE" w:rsidRDefault="00CD6BEE" w:rsidP="00B44021">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40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A44C4E" w:rsidP="00070FA5">
            <w:pPr>
              <w:widowControl w:val="0"/>
              <w:jc w:val="center"/>
              <w:rPr>
                <w:rFonts w:cs="Arial"/>
                <w:b/>
                <w:color w:val="auto"/>
                <w:sz w:val="20"/>
                <w:szCs w:val="20"/>
              </w:rPr>
            </w:pPr>
            <w:r>
              <w:rPr>
                <w:rFonts w:cs="Arial"/>
                <w:b/>
                <w:color w:val="auto"/>
                <w:sz w:val="20"/>
                <w:szCs w:val="20"/>
              </w:rPr>
              <w:t>(185.9)</w:t>
            </w:r>
          </w:p>
        </w:tc>
      </w:tr>
      <w:tr w:rsidR="00CD6BEE" w:rsidRPr="0005794A" w:rsidTr="006B666B">
        <w:trPr>
          <w:trHeight w:hRule="exact" w:val="619"/>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(0.7)</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CE75FC">
            <w:pPr>
              <w:widowControl w:val="0"/>
              <w:ind w:left="80"/>
              <w:rPr>
                <w:rFonts w:cs="Arial"/>
                <w:color w:val="auto"/>
                <w:sz w:val="20"/>
                <w:szCs w:val="20"/>
              </w:rPr>
            </w:pPr>
            <w:r w:rsidRPr="00CD6BEE">
              <w:rPr>
                <w:rFonts w:cs="Arial"/>
                <w:color w:val="auto"/>
                <w:sz w:val="20"/>
                <w:szCs w:val="20"/>
              </w:rPr>
              <w:t>Capital Grants/Contributions: Receipts in Advance</w:t>
            </w:r>
          </w:p>
        </w:tc>
        <w:tc>
          <w:tcPr>
            <w:tcW w:w="992" w:type="dxa"/>
            <w:shd w:val="clear" w:color="auto" w:fill="auto"/>
            <w:noWrap/>
          </w:tcPr>
          <w:p w:rsidR="00CD6BEE" w:rsidRPr="00CD6BEE" w:rsidRDefault="00CD6BEE" w:rsidP="00CE75FC">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2D434D" w:rsidP="000671A9">
            <w:pPr>
              <w:widowControl w:val="0"/>
              <w:jc w:val="center"/>
              <w:rPr>
                <w:rFonts w:cs="Arial"/>
                <w:b/>
                <w:color w:val="auto"/>
                <w:sz w:val="20"/>
                <w:szCs w:val="20"/>
              </w:rPr>
            </w:pPr>
            <w:r>
              <w:rPr>
                <w:rFonts w:cs="Arial"/>
                <w:b/>
                <w:color w:val="auto"/>
                <w:sz w:val="20"/>
                <w:szCs w:val="20"/>
              </w:rPr>
              <w:t>(0.8)</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bCs w:val="0"/>
                <w:color w:val="auto"/>
                <w:sz w:val="20"/>
                <w:szCs w:val="20"/>
              </w:rPr>
            </w:pPr>
            <w:r w:rsidRPr="00CD6BEE">
              <w:rPr>
                <w:rFonts w:cs="Arial"/>
                <w:b w:val="0"/>
                <w:bCs w:val="0"/>
                <w:color w:val="auto"/>
                <w:sz w:val="20"/>
                <w:szCs w:val="20"/>
              </w:rPr>
              <w:t>(402.4)</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b/>
                <w:bCs/>
                <w:color w:val="auto"/>
                <w:sz w:val="20"/>
                <w:szCs w:val="20"/>
              </w:rPr>
            </w:pPr>
            <w:r w:rsidRPr="00CD6BEE">
              <w:rPr>
                <w:rFonts w:cs="Arial"/>
                <w:b/>
                <w:bCs/>
                <w:color w:val="auto"/>
                <w:sz w:val="20"/>
                <w:szCs w:val="20"/>
              </w:rPr>
              <w:t>Long Term Liabilities</w:t>
            </w:r>
          </w:p>
        </w:tc>
        <w:tc>
          <w:tcPr>
            <w:tcW w:w="992" w:type="dxa"/>
            <w:shd w:val="clear" w:color="auto" w:fill="auto"/>
            <w:noWrap/>
          </w:tcPr>
          <w:p w:rsidR="00CD6BEE" w:rsidRPr="00CD6BEE" w:rsidRDefault="00CD6BEE" w:rsidP="00C87AF0">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2D434D" w:rsidP="005713A3">
            <w:pPr>
              <w:widowControl w:val="0"/>
              <w:jc w:val="center"/>
              <w:rPr>
                <w:rFonts w:cs="Arial"/>
                <w:b/>
                <w:bCs/>
                <w:color w:val="auto"/>
                <w:sz w:val="20"/>
                <w:szCs w:val="20"/>
              </w:rPr>
            </w:pPr>
            <w:r>
              <w:rPr>
                <w:rFonts w:cs="Arial"/>
                <w:b/>
                <w:bCs/>
                <w:color w:val="auto"/>
                <w:sz w:val="20"/>
                <w:szCs w:val="20"/>
              </w:rPr>
              <w:t>(505.</w:t>
            </w:r>
            <w:r w:rsidR="005713A3">
              <w:rPr>
                <w:rFonts w:cs="Arial"/>
                <w:b/>
                <w:bCs/>
                <w:color w:val="auto"/>
                <w:sz w:val="20"/>
                <w:szCs w:val="20"/>
              </w:rPr>
              <w:t>2</w:t>
            </w:r>
            <w:r>
              <w:rPr>
                <w:rFonts w:cs="Arial"/>
                <w:b/>
                <w:bCs/>
                <w:color w:val="auto"/>
                <w:sz w:val="20"/>
                <w:szCs w:val="20"/>
              </w:rPr>
              <w:t>)</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b/>
                <w:bCs/>
                <w:color w:val="auto"/>
                <w:sz w:val="20"/>
                <w:szCs w:val="20"/>
              </w:rPr>
            </w:pPr>
          </w:p>
        </w:tc>
        <w:tc>
          <w:tcPr>
            <w:tcW w:w="992" w:type="dxa"/>
            <w:shd w:val="clear" w:color="auto" w:fill="auto"/>
            <w:noWrap/>
          </w:tcPr>
          <w:p w:rsidR="00CD6BEE" w:rsidRPr="00CD6BEE" w:rsidRDefault="00CD6BEE" w:rsidP="00C87AF0">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CD6BEE" w:rsidP="00070FA5">
            <w:pPr>
              <w:widowControl w:val="0"/>
              <w:jc w:val="center"/>
              <w:rPr>
                <w:rFonts w:cs="Arial"/>
                <w:b/>
                <w:bCs/>
                <w:color w:val="auto"/>
                <w:sz w:val="20"/>
                <w:szCs w:val="20"/>
              </w:rPr>
            </w:pP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bCs w:val="0"/>
                <w:color w:val="auto"/>
                <w:sz w:val="20"/>
                <w:szCs w:val="20"/>
              </w:rPr>
            </w:pPr>
            <w:r w:rsidRPr="00CD6BEE">
              <w:rPr>
                <w:rFonts w:cs="Arial"/>
                <w:b w:val="0"/>
                <w:bCs w:val="0"/>
                <w:color w:val="auto"/>
                <w:sz w:val="20"/>
                <w:szCs w:val="20"/>
              </w:rPr>
              <w:t>(9.6)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b/>
                <w:bCs/>
                <w:color w:val="auto"/>
                <w:sz w:val="20"/>
                <w:szCs w:val="20"/>
              </w:rPr>
            </w:pPr>
            <w:r w:rsidRPr="00CD6BEE">
              <w:rPr>
                <w:rFonts w:cs="Arial"/>
                <w:b/>
                <w:bCs/>
                <w:color w:val="auto"/>
                <w:sz w:val="20"/>
                <w:szCs w:val="20"/>
              </w:rPr>
              <w:t>Net Assets/Liabilities</w:t>
            </w:r>
          </w:p>
        </w:tc>
        <w:tc>
          <w:tcPr>
            <w:tcW w:w="992" w:type="dxa"/>
            <w:shd w:val="clear" w:color="auto" w:fill="auto"/>
            <w:noWrap/>
          </w:tcPr>
          <w:p w:rsidR="00CD6BEE" w:rsidRPr="00CD6BEE" w:rsidRDefault="00CD6BEE" w:rsidP="00C87AF0">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5713A3" w:rsidP="005713A3">
            <w:pPr>
              <w:widowControl w:val="0"/>
              <w:jc w:val="center"/>
              <w:rPr>
                <w:rFonts w:cs="Arial"/>
                <w:b/>
                <w:bCs/>
                <w:color w:val="auto"/>
                <w:sz w:val="20"/>
                <w:szCs w:val="20"/>
              </w:rPr>
            </w:pPr>
            <w:r>
              <w:rPr>
                <w:rFonts w:cs="Arial"/>
                <w:b/>
                <w:bCs/>
                <w:color w:val="auto"/>
                <w:sz w:val="20"/>
                <w:szCs w:val="20"/>
              </w:rPr>
              <w:t>3.5</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p>
        </w:tc>
        <w:tc>
          <w:tcPr>
            <w:tcW w:w="992" w:type="dxa"/>
            <w:shd w:val="clear" w:color="auto" w:fill="auto"/>
            <w:noWrap/>
          </w:tcPr>
          <w:p w:rsidR="00CD6BEE" w:rsidRPr="00CD6BEE" w:rsidRDefault="00CD6BEE" w:rsidP="00C87AF0">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CD6BEE" w:rsidP="00070FA5">
            <w:pPr>
              <w:widowControl w:val="0"/>
              <w:jc w:val="center"/>
              <w:rPr>
                <w:rFonts w:cs="Arial"/>
                <w:b/>
                <w:color w:val="auto"/>
                <w:sz w:val="20"/>
                <w:szCs w:val="20"/>
              </w:rPr>
            </w:pP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36.9</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Usable reserves</w:t>
            </w:r>
          </w:p>
        </w:tc>
        <w:tc>
          <w:tcPr>
            <w:tcW w:w="992" w:type="dxa"/>
            <w:shd w:val="clear" w:color="auto" w:fill="auto"/>
            <w:noWrap/>
          </w:tcPr>
          <w:p w:rsidR="00CD6BEE" w:rsidRPr="00CD6BEE" w:rsidRDefault="00CD6BEE" w:rsidP="00B44021">
            <w:pPr>
              <w:widowControl w:val="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CD6BEE">
              <w:rPr>
                <w:rFonts w:cs="Arial"/>
                <w:bCs/>
                <w:color w:val="auto"/>
                <w:sz w:val="20"/>
                <w:szCs w:val="20"/>
              </w:rPr>
              <w:t>25</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C111D0" w:rsidP="00B113D5">
            <w:pPr>
              <w:widowControl w:val="0"/>
              <w:jc w:val="center"/>
              <w:rPr>
                <w:rFonts w:cs="Arial"/>
                <w:b/>
                <w:color w:val="auto"/>
                <w:sz w:val="20"/>
                <w:szCs w:val="20"/>
              </w:rPr>
            </w:pPr>
            <w:r>
              <w:rPr>
                <w:rFonts w:cs="Arial"/>
                <w:b/>
                <w:color w:val="auto"/>
                <w:sz w:val="20"/>
                <w:szCs w:val="20"/>
              </w:rPr>
              <w:t>41.</w:t>
            </w:r>
            <w:r w:rsidR="00B113D5">
              <w:rPr>
                <w:rFonts w:cs="Arial"/>
                <w:b/>
                <w:color w:val="auto"/>
                <w:sz w:val="20"/>
                <w:szCs w:val="20"/>
              </w:rPr>
              <w:t>6</w:t>
            </w: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r w:rsidRPr="00CD6BEE">
              <w:rPr>
                <w:rFonts w:cs="Arial"/>
                <w:b w:val="0"/>
                <w:color w:val="auto"/>
                <w:sz w:val="20"/>
                <w:szCs w:val="20"/>
              </w:rPr>
              <w:t>(46.5)</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r w:rsidRPr="00CD6BEE">
              <w:rPr>
                <w:rFonts w:cs="Arial"/>
                <w:color w:val="auto"/>
                <w:sz w:val="20"/>
                <w:szCs w:val="20"/>
              </w:rPr>
              <w:t>Unusable Reserves</w:t>
            </w:r>
          </w:p>
        </w:tc>
        <w:tc>
          <w:tcPr>
            <w:tcW w:w="992" w:type="dxa"/>
            <w:shd w:val="clear" w:color="auto" w:fill="auto"/>
            <w:noWrap/>
          </w:tcPr>
          <w:p w:rsidR="00CD6BEE" w:rsidRPr="00CD6BEE" w:rsidRDefault="00CD6BEE" w:rsidP="00B44021">
            <w:pPr>
              <w:widowControl w:val="0"/>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CD6BEE">
              <w:rPr>
                <w:rFonts w:cs="Arial"/>
                <w:bCs/>
                <w:color w:val="auto"/>
                <w:sz w:val="20"/>
                <w:szCs w:val="20"/>
              </w:rPr>
              <w:t>26</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2D434D" w:rsidP="00B113D5">
            <w:pPr>
              <w:widowControl w:val="0"/>
              <w:jc w:val="center"/>
              <w:rPr>
                <w:rFonts w:cs="Arial"/>
                <w:b/>
                <w:color w:val="auto"/>
                <w:sz w:val="20"/>
                <w:szCs w:val="20"/>
              </w:rPr>
            </w:pPr>
            <w:r>
              <w:rPr>
                <w:rFonts w:cs="Arial"/>
                <w:b/>
                <w:color w:val="auto"/>
                <w:sz w:val="20"/>
                <w:szCs w:val="20"/>
              </w:rPr>
              <w:t>(</w:t>
            </w:r>
            <w:r w:rsidR="00B113D5">
              <w:rPr>
                <w:rFonts w:cs="Arial"/>
                <w:b/>
                <w:color w:val="auto"/>
                <w:sz w:val="20"/>
                <w:szCs w:val="20"/>
              </w:rPr>
              <w:t>38.1</w:t>
            </w:r>
            <w:r>
              <w:rPr>
                <w:rFonts w:cs="Arial"/>
                <w:b/>
                <w:color w:val="auto"/>
                <w:sz w:val="20"/>
                <w:szCs w:val="20"/>
              </w:rPr>
              <w:t>)</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color w:val="auto"/>
                <w:sz w:val="20"/>
                <w:szCs w:val="20"/>
              </w:rPr>
            </w:pPr>
          </w:p>
        </w:tc>
        <w:tc>
          <w:tcPr>
            <w:tcW w:w="992" w:type="dxa"/>
            <w:shd w:val="clear" w:color="auto" w:fill="auto"/>
            <w:noWrap/>
          </w:tcPr>
          <w:p w:rsidR="00CD6BEE" w:rsidRPr="00CD6BEE" w:rsidRDefault="00CD6BEE" w:rsidP="003C5E34">
            <w:pPr>
              <w:widowContro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CD6BEE" w:rsidP="00070FA5">
            <w:pPr>
              <w:widowControl w:val="0"/>
              <w:jc w:val="center"/>
              <w:rPr>
                <w:rFonts w:cs="Arial"/>
                <w:b/>
                <w:color w:val="auto"/>
                <w:sz w:val="20"/>
                <w:szCs w:val="20"/>
              </w:rPr>
            </w:pPr>
          </w:p>
        </w:tc>
      </w:tr>
      <w:tr w:rsidR="00CD6BEE" w:rsidRPr="0005794A" w:rsidTr="006B666B">
        <w:trPr>
          <w:trHeight w:hRule="exac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rsidR="00CD6BEE" w:rsidRPr="00CD6BEE" w:rsidRDefault="00CD6BEE" w:rsidP="00CD6BEE">
            <w:pPr>
              <w:widowControl w:val="0"/>
              <w:jc w:val="center"/>
              <w:rPr>
                <w:rFonts w:cs="Arial"/>
                <w:b w:val="0"/>
                <w:bCs w:val="0"/>
                <w:color w:val="auto"/>
                <w:sz w:val="20"/>
                <w:szCs w:val="20"/>
              </w:rPr>
            </w:pPr>
            <w:r w:rsidRPr="00CD6BEE">
              <w:rPr>
                <w:rFonts w:cs="Arial"/>
                <w:b w:val="0"/>
                <w:bCs w:val="0"/>
                <w:color w:val="auto"/>
                <w:sz w:val="20"/>
                <w:szCs w:val="20"/>
              </w:rPr>
              <w:t>(9.6)</w:t>
            </w:r>
          </w:p>
        </w:tc>
        <w:tc>
          <w:tcPr>
            <w:cnfStyle w:val="000010000000" w:firstRow="0" w:lastRow="0" w:firstColumn="0" w:lastColumn="0" w:oddVBand="1" w:evenVBand="0" w:oddHBand="0" w:evenHBand="0" w:firstRowFirstColumn="0" w:firstRowLastColumn="0" w:lastRowFirstColumn="0" w:lastRowLastColumn="0"/>
            <w:tcW w:w="4395" w:type="dxa"/>
            <w:shd w:val="clear" w:color="auto" w:fill="auto"/>
            <w:noWrap/>
          </w:tcPr>
          <w:p w:rsidR="00CD6BEE" w:rsidRPr="00CD6BEE" w:rsidRDefault="00CD6BEE" w:rsidP="003C5E34">
            <w:pPr>
              <w:widowControl w:val="0"/>
              <w:ind w:left="80"/>
              <w:rPr>
                <w:rFonts w:cs="Arial"/>
                <w:b/>
                <w:bCs/>
                <w:color w:val="auto"/>
                <w:sz w:val="20"/>
                <w:szCs w:val="20"/>
              </w:rPr>
            </w:pPr>
            <w:r w:rsidRPr="00CD6BEE">
              <w:rPr>
                <w:rFonts w:cs="Arial"/>
                <w:b/>
                <w:bCs/>
                <w:color w:val="auto"/>
                <w:sz w:val="20"/>
                <w:szCs w:val="20"/>
              </w:rPr>
              <w:t>Total Reserves</w:t>
            </w:r>
          </w:p>
        </w:tc>
        <w:tc>
          <w:tcPr>
            <w:tcW w:w="992" w:type="dxa"/>
            <w:shd w:val="clear" w:color="auto" w:fill="auto"/>
            <w:noWrap/>
          </w:tcPr>
          <w:p w:rsidR="00CD6BEE" w:rsidRPr="00CD6BEE" w:rsidRDefault="00CD6BEE" w:rsidP="003C5E34">
            <w:pPr>
              <w:widowControl w:val="0"/>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CD6BEE" w:rsidRDefault="00764980" w:rsidP="00A67323">
            <w:pPr>
              <w:widowControl w:val="0"/>
              <w:jc w:val="center"/>
              <w:rPr>
                <w:rFonts w:cs="Arial"/>
                <w:b/>
                <w:bCs/>
                <w:color w:val="auto"/>
                <w:sz w:val="20"/>
                <w:szCs w:val="20"/>
              </w:rPr>
            </w:pPr>
            <w:r>
              <w:rPr>
                <w:rFonts w:cs="Arial"/>
                <w:b/>
                <w:bCs/>
                <w:color w:val="auto"/>
                <w:sz w:val="20"/>
                <w:szCs w:val="20"/>
              </w:rPr>
              <w:t>3.5</w:t>
            </w:r>
          </w:p>
        </w:tc>
      </w:tr>
      <w:tr w:rsidR="00CD6BEE" w:rsidRPr="0005794A" w:rsidTr="006B666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88" w:type="dxa"/>
            <w:gridSpan w:val="3"/>
            <w:shd w:val="clear" w:color="auto" w:fill="auto"/>
          </w:tcPr>
          <w:p w:rsidR="00CD6BEE" w:rsidRPr="0005794A" w:rsidRDefault="00CD6BEE" w:rsidP="000B5B9A">
            <w:pPr>
              <w:pStyle w:val="Footer"/>
              <w:rPr>
                <w:color w:val="548DD4" w:themeColor="text2" w:themeTint="99"/>
                <w:sz w:val="20"/>
                <w:szCs w:val="20"/>
              </w:rPr>
            </w:pPr>
          </w:p>
          <w:p w:rsidR="00CD6BEE" w:rsidRPr="0005794A" w:rsidRDefault="00CD6BEE" w:rsidP="000B5B9A">
            <w:pPr>
              <w:pStyle w:val="Footer"/>
              <w:rPr>
                <w:color w:val="548DD4" w:themeColor="text2" w:themeTint="99"/>
                <w:sz w:val="20"/>
                <w:szCs w:val="20"/>
              </w:rPr>
            </w:pPr>
          </w:p>
          <w:p w:rsidR="00CD6BEE" w:rsidRPr="0005794A" w:rsidRDefault="00CD6BEE" w:rsidP="000B5B9A">
            <w:pPr>
              <w:pStyle w:val="Footer"/>
              <w:rPr>
                <w:color w:val="548DD4" w:themeColor="text2" w:themeTint="99"/>
                <w:sz w:val="20"/>
                <w:szCs w:val="20"/>
              </w:rPr>
            </w:pPr>
          </w:p>
          <w:p w:rsidR="00CD6BEE" w:rsidRPr="0005794A" w:rsidRDefault="00CD6BEE" w:rsidP="000B5B9A">
            <w:pPr>
              <w:pStyle w:val="Footer"/>
              <w:rPr>
                <w:color w:val="548DD4" w:themeColor="text2" w:themeTint="99"/>
                <w:sz w:val="20"/>
                <w:szCs w:val="20"/>
              </w:rPr>
            </w:pPr>
          </w:p>
          <w:p w:rsidR="00CD6BEE" w:rsidRPr="0005794A" w:rsidRDefault="00CD6BEE" w:rsidP="000B5B9A">
            <w:pPr>
              <w:pStyle w:val="Footer"/>
              <w:rPr>
                <w:color w:val="548DD4" w:themeColor="text2" w:themeTint="99"/>
                <w:sz w:val="20"/>
                <w:szCs w:val="20"/>
              </w:rPr>
            </w:pPr>
          </w:p>
          <w:p w:rsidR="00CD6BEE" w:rsidRPr="0005794A" w:rsidRDefault="00CD6BEE" w:rsidP="000B5B9A">
            <w:pPr>
              <w:pStyle w:val="Footer"/>
              <w:rPr>
                <w:color w:val="548DD4" w:themeColor="text2" w:themeTint="99"/>
                <w:sz w:val="20"/>
                <w:szCs w:val="20"/>
              </w:rPr>
            </w:pPr>
          </w:p>
          <w:p w:rsidR="00CD6BEE" w:rsidRPr="005713A3" w:rsidRDefault="00CD6BEE" w:rsidP="000B5B9A">
            <w:pPr>
              <w:pStyle w:val="Footer"/>
              <w:rPr>
                <w:b w:val="0"/>
                <w:color w:val="auto"/>
                <w:sz w:val="20"/>
                <w:szCs w:val="20"/>
              </w:rPr>
            </w:pPr>
            <w:r w:rsidRPr="005713A3">
              <w:rPr>
                <w:b w:val="0"/>
                <w:color w:val="auto"/>
                <w:sz w:val="20"/>
                <w:szCs w:val="20"/>
              </w:rPr>
              <w:t xml:space="preserve">M Phillips  </w:t>
            </w:r>
          </w:p>
          <w:p w:rsidR="00CD6BEE" w:rsidRPr="005713A3" w:rsidRDefault="00CD6BEE" w:rsidP="000B5B9A">
            <w:pPr>
              <w:pStyle w:val="Footer"/>
              <w:rPr>
                <w:b w:val="0"/>
                <w:color w:val="auto"/>
                <w:sz w:val="20"/>
                <w:szCs w:val="20"/>
              </w:rPr>
            </w:pPr>
            <w:r w:rsidRPr="005713A3">
              <w:rPr>
                <w:b w:val="0"/>
                <w:color w:val="auto"/>
                <w:sz w:val="20"/>
                <w:szCs w:val="20"/>
              </w:rPr>
              <w:t>Chief Finance Officer</w:t>
            </w:r>
          </w:p>
          <w:p w:rsidR="00CD6BEE" w:rsidRPr="002B27B1" w:rsidRDefault="00A01F15" w:rsidP="00AF4A76">
            <w:pPr>
              <w:pStyle w:val="Footer"/>
              <w:rPr>
                <w:rFonts w:cs="Arial"/>
                <w:b w:val="0"/>
                <w:color w:val="auto"/>
                <w:sz w:val="20"/>
                <w:szCs w:val="20"/>
              </w:rPr>
            </w:pPr>
            <w:r>
              <w:rPr>
                <w:rFonts w:cs="Arial"/>
                <w:b w:val="0"/>
                <w:color w:val="auto"/>
                <w:sz w:val="20"/>
                <w:szCs w:val="20"/>
              </w:rPr>
              <w:t>31</w:t>
            </w:r>
            <w:r w:rsidR="002B27B1" w:rsidRPr="005713A3">
              <w:rPr>
                <w:rFonts w:cs="Arial"/>
                <w:b w:val="0"/>
                <w:color w:val="auto"/>
                <w:sz w:val="20"/>
                <w:szCs w:val="20"/>
              </w:rPr>
              <w:t xml:space="preserve"> May 2018</w:t>
            </w:r>
          </w:p>
          <w:p w:rsidR="00CD6BEE" w:rsidRPr="0005794A" w:rsidRDefault="00CD6BEE" w:rsidP="00AF4A76">
            <w:pPr>
              <w:pStyle w:val="Footer"/>
              <w:rPr>
                <w:rFonts w:cs="Arial"/>
                <w:b w:val="0"/>
                <w:color w:val="548DD4" w:themeColor="text2" w:themeTint="99"/>
                <w:sz w:val="20"/>
                <w:szCs w:val="20"/>
              </w:rPr>
            </w:pPr>
          </w:p>
          <w:p w:rsidR="00CD6BEE" w:rsidRPr="0005794A" w:rsidRDefault="00CD6BEE" w:rsidP="00AF4A76">
            <w:pPr>
              <w:pStyle w:val="Footer"/>
              <w:rPr>
                <w:rFonts w:cs="Arial"/>
                <w:b w:val="0"/>
                <w:color w:val="548DD4" w:themeColor="text2" w:themeTint="99"/>
                <w:sz w:val="20"/>
                <w:szCs w:val="20"/>
              </w:rPr>
            </w:pPr>
          </w:p>
          <w:p w:rsidR="00CD6BEE" w:rsidRPr="0005794A" w:rsidRDefault="00CD6BEE" w:rsidP="00AF4A76">
            <w:pPr>
              <w:pStyle w:val="Footer"/>
              <w:rPr>
                <w:rFonts w:cs="Arial"/>
                <w:b w:val="0"/>
                <w:color w:val="548DD4" w:themeColor="text2" w:themeTint="99"/>
                <w:sz w:val="20"/>
                <w:szCs w:val="20"/>
              </w:rPr>
            </w:pPr>
          </w:p>
          <w:p w:rsidR="00CD6BEE" w:rsidRPr="0005794A" w:rsidRDefault="00CD6BEE" w:rsidP="00AF4A76">
            <w:pPr>
              <w:pStyle w:val="Footer"/>
              <w:rPr>
                <w:rFonts w:cs="Arial"/>
                <w:b w:val="0"/>
                <w:color w:val="548DD4" w:themeColor="text2" w:themeTint="99"/>
                <w:sz w:val="20"/>
                <w:szCs w:val="20"/>
              </w:rPr>
            </w:pPr>
          </w:p>
          <w:p w:rsidR="00CD6BEE" w:rsidRPr="0005794A" w:rsidRDefault="00CD6BEE" w:rsidP="00AF4A76">
            <w:pPr>
              <w:pStyle w:val="Footer"/>
              <w:rPr>
                <w:rFonts w:cs="Arial"/>
                <w:b w:val="0"/>
                <w:color w:val="548DD4" w:themeColor="text2" w:themeTint="99"/>
                <w:sz w:val="20"/>
                <w:szCs w:val="20"/>
              </w:rPr>
            </w:pPr>
          </w:p>
          <w:p w:rsidR="00CD6BEE" w:rsidRPr="0005794A" w:rsidRDefault="00CD6BEE" w:rsidP="00AF4A76">
            <w:pPr>
              <w:pStyle w:val="Footer"/>
              <w:rPr>
                <w:rFonts w:cs="Arial"/>
                <w:b w:val="0"/>
                <w:color w:val="548DD4" w:themeColor="text2" w:themeTint="99"/>
                <w:sz w:val="20"/>
                <w:szCs w:val="20"/>
              </w:rPr>
            </w:pPr>
          </w:p>
          <w:p w:rsidR="00CD6BEE" w:rsidRPr="009B3396" w:rsidRDefault="00CD6BEE" w:rsidP="007220C0">
            <w:pPr>
              <w:pStyle w:val="Footer"/>
              <w:rPr>
                <w:b w:val="0"/>
                <w:color w:val="auto"/>
                <w:sz w:val="20"/>
                <w:szCs w:val="20"/>
              </w:rPr>
            </w:pPr>
            <w:r w:rsidRPr="009B3396">
              <w:rPr>
                <w:b w:val="0"/>
                <w:color w:val="auto"/>
                <w:sz w:val="20"/>
                <w:szCs w:val="20"/>
              </w:rPr>
              <w:t xml:space="preserve">M Phillips  </w:t>
            </w:r>
          </w:p>
          <w:p w:rsidR="00CD6BEE" w:rsidRPr="009B3396" w:rsidRDefault="00CD6BEE" w:rsidP="007220C0">
            <w:pPr>
              <w:pStyle w:val="Footer"/>
              <w:rPr>
                <w:b w:val="0"/>
                <w:color w:val="auto"/>
                <w:sz w:val="20"/>
                <w:szCs w:val="20"/>
              </w:rPr>
            </w:pPr>
            <w:r w:rsidRPr="009B3396">
              <w:rPr>
                <w:b w:val="0"/>
                <w:color w:val="auto"/>
                <w:sz w:val="20"/>
                <w:szCs w:val="20"/>
              </w:rPr>
              <w:t>Chief Finance Officer</w:t>
            </w:r>
          </w:p>
          <w:p w:rsidR="00CD6BEE" w:rsidRPr="009B3396" w:rsidRDefault="00CD6BEE" w:rsidP="007220C0">
            <w:pPr>
              <w:pStyle w:val="Footer"/>
              <w:rPr>
                <w:b w:val="0"/>
                <w:color w:val="auto"/>
                <w:sz w:val="20"/>
                <w:szCs w:val="20"/>
              </w:rPr>
            </w:pPr>
            <w:r w:rsidRPr="009B3396">
              <w:rPr>
                <w:b w:val="0"/>
                <w:color w:val="auto"/>
                <w:sz w:val="20"/>
                <w:szCs w:val="20"/>
              </w:rPr>
              <w:t>2</w:t>
            </w:r>
            <w:r w:rsidR="002B27B1" w:rsidRPr="009B3396">
              <w:rPr>
                <w:b w:val="0"/>
                <w:color w:val="auto"/>
                <w:sz w:val="20"/>
                <w:szCs w:val="20"/>
              </w:rPr>
              <w:t>5</w:t>
            </w:r>
            <w:r w:rsidRPr="009B3396">
              <w:rPr>
                <w:b w:val="0"/>
                <w:color w:val="auto"/>
                <w:sz w:val="20"/>
                <w:szCs w:val="20"/>
              </w:rPr>
              <w:t>th July 201</w:t>
            </w:r>
            <w:r w:rsidR="002B27B1" w:rsidRPr="009B3396">
              <w:rPr>
                <w:b w:val="0"/>
                <w:color w:val="auto"/>
                <w:sz w:val="20"/>
                <w:szCs w:val="20"/>
              </w:rPr>
              <w:t>8</w:t>
            </w:r>
          </w:p>
          <w:p w:rsidR="00CD6BEE" w:rsidRPr="0005794A" w:rsidRDefault="00CD6BEE" w:rsidP="00AF4A76">
            <w:pPr>
              <w:pStyle w:val="Footer"/>
              <w:rPr>
                <w:rFonts w:cs="Arial"/>
                <w:color w:val="548DD4" w:themeColor="text2" w:themeTint="99"/>
                <w:sz w:val="20"/>
                <w:szCs w:val="20"/>
              </w:rPr>
            </w:pPr>
          </w:p>
          <w:p w:rsidR="00CD6BEE" w:rsidRPr="0005794A" w:rsidRDefault="00CD6BEE" w:rsidP="00AF4A76">
            <w:pPr>
              <w:pStyle w:val="Footer"/>
              <w:rPr>
                <w:rFonts w:cs="Arial"/>
                <w:bCs w:val="0"/>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noWrap/>
          </w:tcPr>
          <w:p w:rsidR="00CD6BEE" w:rsidRPr="0005794A" w:rsidRDefault="00CD6BEE" w:rsidP="000B5B9A">
            <w:pPr>
              <w:widowControl w:val="0"/>
              <w:rPr>
                <w:rFonts w:cs="Arial"/>
                <w:b/>
                <w:bCs/>
                <w:color w:val="548DD4" w:themeColor="text2" w:themeTint="99"/>
                <w:sz w:val="20"/>
                <w:szCs w:val="20"/>
              </w:rPr>
            </w:pPr>
          </w:p>
        </w:tc>
      </w:tr>
    </w:tbl>
    <w:p w:rsidR="00A03B34" w:rsidRPr="0005794A" w:rsidRDefault="00E51139" w:rsidP="00AA2CB9">
      <w:pPr>
        <w:widowControl w:val="0"/>
        <w:rPr>
          <w:color w:val="548DD4" w:themeColor="text2" w:themeTint="99"/>
          <w:sz w:val="20"/>
          <w:szCs w:val="20"/>
        </w:rPr>
      </w:pPr>
      <w:r w:rsidRPr="0005794A">
        <w:rPr>
          <w:color w:val="548DD4" w:themeColor="text2" w:themeTint="99"/>
          <w:sz w:val="20"/>
          <w:szCs w:val="20"/>
        </w:rPr>
        <w:t xml:space="preserve"> </w:t>
      </w:r>
    </w:p>
    <w:p w:rsidR="00521EB9" w:rsidRPr="0005794A" w:rsidRDefault="00521EB9" w:rsidP="00AA2CB9">
      <w:pPr>
        <w:widowControl w:val="0"/>
        <w:rPr>
          <w:color w:val="548DD4" w:themeColor="text2" w:themeTint="99"/>
          <w:sz w:val="20"/>
          <w:szCs w:val="20"/>
        </w:rPr>
      </w:pPr>
    </w:p>
    <w:p w:rsidR="00280C08" w:rsidRPr="0005794A" w:rsidRDefault="00280C08" w:rsidP="00AA2CB9">
      <w:pPr>
        <w:widowControl w:val="0"/>
        <w:rPr>
          <w:b/>
          <w:color w:val="548DD4" w:themeColor="text2" w:themeTint="99"/>
        </w:rPr>
      </w:pPr>
    </w:p>
    <w:p w:rsidR="001C6F84" w:rsidRPr="0005794A" w:rsidRDefault="001C6F84" w:rsidP="00AA2CB9">
      <w:pPr>
        <w:widowControl w:val="0"/>
        <w:rPr>
          <w:b/>
          <w:color w:val="548DD4" w:themeColor="text2" w:themeTint="99"/>
        </w:rPr>
      </w:pPr>
    </w:p>
    <w:p w:rsidR="00013A21" w:rsidRPr="0005794A" w:rsidRDefault="00013A21" w:rsidP="00AA2CB9">
      <w:pPr>
        <w:widowControl w:val="0"/>
        <w:rPr>
          <w:b/>
          <w:color w:val="548DD4" w:themeColor="text2" w:themeTint="99"/>
        </w:rPr>
      </w:pPr>
    </w:p>
    <w:p w:rsidR="00E51139" w:rsidRPr="00CD6BEE" w:rsidRDefault="00E51139" w:rsidP="008D0906">
      <w:pPr>
        <w:widowControl w:val="0"/>
        <w:outlineLvl w:val="0"/>
        <w:rPr>
          <w:b/>
          <w:color w:val="auto"/>
        </w:rPr>
      </w:pPr>
      <w:r w:rsidRPr="00CD6BEE">
        <w:rPr>
          <w:b/>
          <w:color w:val="auto"/>
        </w:rPr>
        <w:lastRenderedPageBreak/>
        <w:t>Cash Flow Statement</w:t>
      </w:r>
    </w:p>
    <w:p w:rsidR="00280C08" w:rsidRPr="00CD6BEE" w:rsidRDefault="00E51139" w:rsidP="003C5E34">
      <w:pPr>
        <w:pStyle w:val="BodyText"/>
        <w:widowControl w:val="0"/>
        <w:rPr>
          <w:rFonts w:cs="Arial"/>
          <w:color w:val="auto"/>
          <w:sz w:val="20"/>
          <w:szCs w:val="20"/>
        </w:rPr>
      </w:pPr>
      <w:r w:rsidRPr="00CD6BEE">
        <w:rPr>
          <w:rFonts w:cs="Arial"/>
          <w:color w:val="auto"/>
          <w:sz w:val="20"/>
          <w:szCs w:val="20"/>
        </w:rPr>
        <w:t>The Cash Flow Statement shows the changes in cash and cash equivalents of the Council during the reporting period. The statement shows how the Council generates and uses cash and cash equivalents by classifying cash flows as operating, investing and financing activities. The amount of net cash flows arising from operating activities is a key indicator of the extent to which the operations of the Council are funded by way of taxation and grant income or from the recipients of services provided by the Council. Investing activities represent the extent to which cash outflows have been made for resources which are intended to contribute to the Council’s future service delivery. Cash flows arising from financing activities are useful in predicting claims on future cash flows by providers of capital (i.e. borrowing) to the Council.</w:t>
      </w:r>
      <w:r w:rsidR="00C9128A" w:rsidRPr="00CD6BEE">
        <w:rPr>
          <w:rFonts w:cs="Arial"/>
          <w:color w:val="auto"/>
          <w:sz w:val="20"/>
          <w:szCs w:val="20"/>
        </w:rPr>
        <w:t xml:space="preserve"> </w:t>
      </w:r>
    </w:p>
    <w:tbl>
      <w:tblPr>
        <w:tblStyle w:val="ListTable3-Accent51"/>
        <w:tblW w:w="9776" w:type="dxa"/>
        <w:tblLayout w:type="fixed"/>
        <w:tblLook w:val="04A0" w:firstRow="1" w:lastRow="0" w:firstColumn="1" w:lastColumn="0" w:noHBand="0" w:noVBand="1"/>
      </w:tblPr>
      <w:tblGrid>
        <w:gridCol w:w="850"/>
        <w:gridCol w:w="948"/>
        <w:gridCol w:w="5114"/>
        <w:gridCol w:w="851"/>
        <w:gridCol w:w="1021"/>
        <w:gridCol w:w="992"/>
      </w:tblGrid>
      <w:tr w:rsidR="004C5582" w:rsidRPr="00CD6BEE" w:rsidTr="00E04DA8">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1798" w:type="dxa"/>
            <w:gridSpan w:val="2"/>
            <w:tcBorders>
              <w:right w:val="single" w:sz="4" w:space="0" w:color="4BACC6"/>
            </w:tcBorders>
          </w:tcPr>
          <w:p w:rsidR="004C5582" w:rsidRPr="00CD6BEE" w:rsidRDefault="004C5582" w:rsidP="00E47466">
            <w:pPr>
              <w:widowControl w:val="0"/>
              <w:ind w:left="331"/>
              <w:jc w:val="center"/>
              <w:rPr>
                <w:rFonts w:cs="Arial"/>
                <w:b w:val="0"/>
                <w:bCs w:val="0"/>
                <w:color w:val="auto"/>
                <w:sz w:val="20"/>
                <w:szCs w:val="20"/>
              </w:rPr>
            </w:pPr>
            <w:r w:rsidRPr="00CD6BEE">
              <w:rPr>
                <w:rFonts w:cs="Arial"/>
                <w:b w:val="0"/>
                <w:bCs w:val="0"/>
                <w:color w:val="auto"/>
                <w:sz w:val="20"/>
                <w:szCs w:val="20"/>
              </w:rPr>
              <w:t>201</w:t>
            </w:r>
            <w:r w:rsidR="00CD6BEE" w:rsidRPr="00CD6BEE">
              <w:rPr>
                <w:rFonts w:cs="Arial"/>
                <w:b w:val="0"/>
                <w:bCs w:val="0"/>
                <w:color w:val="auto"/>
                <w:sz w:val="20"/>
                <w:szCs w:val="20"/>
              </w:rPr>
              <w:t>6</w:t>
            </w:r>
            <w:r w:rsidRPr="00CD6BEE">
              <w:rPr>
                <w:rFonts w:cs="Arial"/>
                <w:b w:val="0"/>
                <w:bCs w:val="0"/>
                <w:color w:val="auto"/>
                <w:sz w:val="20"/>
                <w:szCs w:val="20"/>
              </w:rPr>
              <w:t>/1</w:t>
            </w:r>
            <w:r w:rsidR="00CD6BEE" w:rsidRPr="00CD6BEE">
              <w:rPr>
                <w:rFonts w:cs="Arial"/>
                <w:b w:val="0"/>
                <w:bCs w:val="0"/>
                <w:color w:val="auto"/>
                <w:sz w:val="20"/>
                <w:szCs w:val="20"/>
              </w:rPr>
              <w:t>7</w:t>
            </w:r>
            <w:r w:rsidRPr="00CD6BEE">
              <w:rPr>
                <w:rFonts w:cs="Arial"/>
                <w:b w:val="0"/>
                <w:bCs w:val="0"/>
                <w:color w:val="auto"/>
                <w:sz w:val="20"/>
                <w:szCs w:val="20"/>
              </w:rPr>
              <w:t xml:space="preserve">   </w:t>
            </w:r>
          </w:p>
        </w:tc>
        <w:tc>
          <w:tcPr>
            <w:tcW w:w="5114" w:type="dxa"/>
            <w:tcBorders>
              <w:left w:val="single" w:sz="4" w:space="0" w:color="4BACC6"/>
              <w:right w:val="single" w:sz="4" w:space="0" w:color="4BACC6"/>
            </w:tcBorders>
          </w:tcPr>
          <w:p w:rsidR="004C5582" w:rsidRPr="00CD6BEE" w:rsidRDefault="004C5582" w:rsidP="006E667C">
            <w:pPr>
              <w:widowControl w:val="0"/>
              <w:ind w:left="331"/>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c>
          <w:tcPr>
            <w:tcW w:w="851" w:type="dxa"/>
            <w:tcBorders>
              <w:left w:val="single" w:sz="4" w:space="0" w:color="4BACC6"/>
              <w:right w:val="single" w:sz="4" w:space="0" w:color="4BACC6"/>
            </w:tcBorders>
          </w:tcPr>
          <w:p w:rsidR="004C5582" w:rsidRPr="00CD6BEE" w:rsidRDefault="004C5582" w:rsidP="004C5582">
            <w:pPr>
              <w:widowControl w:val="0"/>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p>
        </w:tc>
        <w:tc>
          <w:tcPr>
            <w:tcW w:w="2013" w:type="dxa"/>
            <w:gridSpan w:val="2"/>
            <w:tcBorders>
              <w:left w:val="single" w:sz="4" w:space="0" w:color="4BACC6"/>
            </w:tcBorders>
          </w:tcPr>
          <w:p w:rsidR="004C5582" w:rsidRPr="00CD6BEE" w:rsidRDefault="004C5582" w:rsidP="00E47466">
            <w:pPr>
              <w:widowControl w:val="0"/>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CD6BEE">
              <w:rPr>
                <w:rFonts w:cs="Arial"/>
                <w:bCs w:val="0"/>
                <w:color w:val="auto"/>
                <w:sz w:val="20"/>
                <w:szCs w:val="20"/>
              </w:rPr>
              <w:t>201</w:t>
            </w:r>
            <w:r w:rsidR="00CD6BEE" w:rsidRPr="00CD6BEE">
              <w:rPr>
                <w:rFonts w:cs="Arial"/>
                <w:bCs w:val="0"/>
                <w:color w:val="auto"/>
                <w:sz w:val="20"/>
                <w:szCs w:val="20"/>
              </w:rPr>
              <w:t>7</w:t>
            </w:r>
            <w:r w:rsidRPr="00CD6BEE">
              <w:rPr>
                <w:rFonts w:cs="Arial"/>
                <w:bCs w:val="0"/>
                <w:color w:val="auto"/>
                <w:sz w:val="20"/>
                <w:szCs w:val="20"/>
              </w:rPr>
              <w:t>/1</w:t>
            </w:r>
            <w:r w:rsidR="00CD6BEE" w:rsidRPr="00CD6BEE">
              <w:rPr>
                <w:rFonts w:cs="Arial"/>
                <w:bCs w:val="0"/>
                <w:color w:val="auto"/>
                <w:sz w:val="20"/>
                <w:szCs w:val="20"/>
              </w:rPr>
              <w:t>8</w:t>
            </w:r>
            <w:r w:rsidRPr="00CD6BEE">
              <w:rPr>
                <w:rFonts w:cs="Arial"/>
                <w:bCs w:val="0"/>
                <w:color w:val="auto"/>
                <w:sz w:val="20"/>
                <w:szCs w:val="20"/>
              </w:rPr>
              <w:t xml:space="preserve">   </w:t>
            </w:r>
          </w:p>
        </w:tc>
      </w:tr>
      <w:tr w:rsidR="004C5582" w:rsidRPr="00CD6BEE" w:rsidTr="00E0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shd w:val="clear" w:color="auto" w:fill="4BACC6" w:themeFill="accent5"/>
          </w:tcPr>
          <w:p w:rsidR="004C5582" w:rsidRPr="00CD6BEE" w:rsidRDefault="004C5582" w:rsidP="006E667C">
            <w:pPr>
              <w:widowControl w:val="0"/>
              <w:jc w:val="center"/>
              <w:rPr>
                <w:rFonts w:cs="Arial"/>
                <w:b w:val="0"/>
                <w:color w:val="auto"/>
                <w:sz w:val="20"/>
                <w:szCs w:val="20"/>
              </w:rPr>
            </w:pPr>
            <w:r w:rsidRPr="00CD6BEE">
              <w:rPr>
                <w:rFonts w:cs="Arial"/>
                <w:b w:val="0"/>
                <w:color w:val="auto"/>
                <w:sz w:val="20"/>
                <w:szCs w:val="20"/>
              </w:rPr>
              <w:t>£m</w:t>
            </w:r>
          </w:p>
        </w:tc>
        <w:tc>
          <w:tcPr>
            <w:tcW w:w="948" w:type="dxa"/>
            <w:tcBorders>
              <w:left w:val="single" w:sz="4" w:space="0" w:color="4BACC6"/>
              <w:right w:val="single" w:sz="4" w:space="0" w:color="4BACC6"/>
            </w:tcBorders>
            <w:shd w:val="clear" w:color="auto" w:fill="4BACC6" w:themeFill="accent5"/>
          </w:tcPr>
          <w:p w:rsidR="004C5582" w:rsidRPr="00CD6BEE" w:rsidRDefault="004C5582" w:rsidP="006E667C">
            <w:pPr>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£m</w:t>
            </w:r>
          </w:p>
        </w:tc>
        <w:tc>
          <w:tcPr>
            <w:tcW w:w="5114" w:type="dxa"/>
            <w:tcBorders>
              <w:left w:val="single" w:sz="4" w:space="0" w:color="4BACC6"/>
              <w:right w:val="single" w:sz="4" w:space="0" w:color="4BACC6"/>
            </w:tcBorders>
            <w:shd w:val="clear" w:color="auto" w:fill="4BACC6" w:themeFill="accent5"/>
          </w:tcPr>
          <w:p w:rsidR="004C5582" w:rsidRPr="00CD6BEE" w:rsidRDefault="004C5582" w:rsidP="006E667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851" w:type="dxa"/>
            <w:tcBorders>
              <w:left w:val="single" w:sz="4" w:space="0" w:color="4BACC6"/>
              <w:right w:val="single" w:sz="4" w:space="0" w:color="4BACC6"/>
            </w:tcBorders>
            <w:shd w:val="clear" w:color="auto" w:fill="4BACC6" w:themeFill="accent5"/>
          </w:tcPr>
          <w:p w:rsidR="004C5582" w:rsidRPr="00CD6BEE" w:rsidRDefault="004C5582" w:rsidP="004C558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D6BEE">
              <w:rPr>
                <w:color w:val="auto"/>
                <w:sz w:val="20"/>
                <w:szCs w:val="20"/>
              </w:rPr>
              <w:t>note</w:t>
            </w:r>
          </w:p>
        </w:tc>
        <w:tc>
          <w:tcPr>
            <w:tcW w:w="1021" w:type="dxa"/>
            <w:tcBorders>
              <w:left w:val="single" w:sz="4" w:space="0" w:color="4BACC6"/>
              <w:right w:val="single" w:sz="4" w:space="0" w:color="4BACC6"/>
            </w:tcBorders>
            <w:shd w:val="clear" w:color="auto" w:fill="4BACC6" w:themeFill="accent5"/>
          </w:tcPr>
          <w:p w:rsidR="004C5582" w:rsidRPr="00CD6BEE" w:rsidRDefault="004C5582" w:rsidP="004C558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D6BEE">
              <w:rPr>
                <w:color w:val="auto"/>
                <w:sz w:val="20"/>
                <w:szCs w:val="20"/>
              </w:rPr>
              <w:t>£m</w:t>
            </w:r>
          </w:p>
        </w:tc>
        <w:tc>
          <w:tcPr>
            <w:tcW w:w="992" w:type="dxa"/>
            <w:tcBorders>
              <w:left w:val="single" w:sz="4" w:space="0" w:color="4BACC6"/>
            </w:tcBorders>
            <w:shd w:val="clear" w:color="auto" w:fill="4BACC6" w:themeFill="accent5"/>
          </w:tcPr>
          <w:p w:rsidR="004C5582" w:rsidRPr="00CD6BEE" w:rsidRDefault="004C5582" w:rsidP="004C558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D6BEE">
              <w:rPr>
                <w:color w:val="auto"/>
                <w:sz w:val="20"/>
                <w:szCs w:val="20"/>
              </w:rPr>
              <w:t>£m</w:t>
            </w:r>
          </w:p>
        </w:tc>
      </w:tr>
      <w:tr w:rsidR="00CD6BEE" w:rsidRPr="00CD6BEE" w:rsidTr="00E04DA8">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jc w:val="center"/>
              <w:rPr>
                <w:b w:val="0"/>
                <w:color w:val="auto"/>
              </w:rPr>
            </w:pPr>
          </w:p>
        </w:tc>
        <w:tc>
          <w:tcPr>
            <w:tcW w:w="948" w:type="dxa"/>
            <w:tcBorders>
              <w:left w:val="single" w:sz="4" w:space="0" w:color="4BACC6"/>
              <w:right w:val="single" w:sz="4" w:space="0" w:color="4BACC6"/>
            </w:tcBorders>
          </w:tcPr>
          <w:p w:rsidR="00CD6BEE" w:rsidRPr="00DC3143" w:rsidRDefault="00CD6BEE" w:rsidP="00CD6BEE">
            <w:pPr>
              <w:jc w:val="center"/>
              <w:cnfStyle w:val="000000000000" w:firstRow="0" w:lastRow="0" w:firstColumn="0" w:lastColumn="0" w:oddVBand="0" w:evenVBand="0" w:oddHBand="0" w:evenHBand="0" w:firstRowFirstColumn="0" w:firstRowLastColumn="0" w:lastRowFirstColumn="0" w:lastRowLastColumn="0"/>
              <w:rPr>
                <w:color w:val="auto"/>
              </w:rPr>
            </w:pPr>
            <w:r w:rsidRPr="00DC3143">
              <w:rPr>
                <w:color w:val="auto"/>
              </w:rPr>
              <w:t>(11.0)</w:t>
            </w:r>
          </w:p>
        </w:tc>
        <w:tc>
          <w:tcPr>
            <w:tcW w:w="5114" w:type="dxa"/>
            <w:tcBorders>
              <w:left w:val="single" w:sz="4" w:space="0" w:color="4BACC6"/>
              <w:right w:val="single" w:sz="4" w:space="0" w:color="4BACC6"/>
            </w:tcBorders>
          </w:tcPr>
          <w:p w:rsidR="00CD6BEE" w:rsidRPr="00CD6BEE" w:rsidRDefault="00CD6BEE" w:rsidP="00E04DA8">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color w:val="auto"/>
                <w:sz w:val="20"/>
                <w:szCs w:val="20"/>
              </w:rPr>
              <w:t>Net surplus or (deficit) on the provision of services, including £</w:t>
            </w:r>
            <w:r w:rsidR="00E04DA8">
              <w:rPr>
                <w:rFonts w:cs="Arial"/>
                <w:color w:val="auto"/>
                <w:sz w:val="20"/>
                <w:szCs w:val="20"/>
              </w:rPr>
              <w:t>7.9</w:t>
            </w:r>
            <w:r w:rsidRPr="00CD6BEE">
              <w:rPr>
                <w:rFonts w:cs="Arial"/>
                <w:color w:val="auto"/>
                <w:sz w:val="20"/>
                <w:szCs w:val="20"/>
              </w:rPr>
              <w:t>m interest paid and (£0.</w:t>
            </w:r>
            <w:r w:rsidR="00E04DA8">
              <w:rPr>
                <w:rFonts w:cs="Arial"/>
                <w:color w:val="auto"/>
                <w:sz w:val="20"/>
                <w:szCs w:val="20"/>
              </w:rPr>
              <w:t>5</w:t>
            </w:r>
            <w:r w:rsidRPr="00CD6BEE">
              <w:rPr>
                <w:rFonts w:cs="Arial"/>
                <w:color w:val="auto"/>
                <w:sz w:val="20"/>
                <w:szCs w:val="20"/>
              </w:rPr>
              <w:t>m) interest received.</w:t>
            </w:r>
          </w:p>
        </w:tc>
        <w:tc>
          <w:tcPr>
            <w:tcW w:w="85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CD6BEE" w:rsidRPr="00CD6BEE" w:rsidRDefault="00CD6BEE" w:rsidP="00E6759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left w:val="single" w:sz="4" w:space="0" w:color="4BACC6"/>
            </w:tcBorders>
          </w:tcPr>
          <w:p w:rsidR="00CD6BEE" w:rsidRPr="00CD6BEE" w:rsidRDefault="002D4D66" w:rsidP="00E76C1F">
            <w:pPr>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w:t>
            </w:r>
            <w:r w:rsidR="00E76C1F">
              <w:rPr>
                <w:b/>
                <w:color w:val="auto"/>
              </w:rPr>
              <w:t>26.2</w:t>
            </w:r>
            <w:r>
              <w:rPr>
                <w:b/>
                <w:color w:val="auto"/>
              </w:rPr>
              <w:t>)</w:t>
            </w:r>
          </w:p>
        </w:tc>
      </w:tr>
      <w:tr w:rsidR="00CD6BEE" w:rsidRPr="00CD6BEE" w:rsidTr="00E04DA8">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jc w:val="center"/>
              <w:rPr>
                <w:b w:val="0"/>
                <w:color w:val="auto"/>
              </w:rPr>
            </w:pPr>
            <w:r w:rsidRPr="00DC3143">
              <w:rPr>
                <w:b w:val="0"/>
                <w:color w:val="auto"/>
              </w:rPr>
              <w:t>15.1</w:t>
            </w:r>
          </w:p>
        </w:tc>
        <w:tc>
          <w:tcPr>
            <w:tcW w:w="948" w:type="dxa"/>
            <w:tcBorders>
              <w:left w:val="single" w:sz="4" w:space="0" w:color="4BACC6"/>
              <w:right w:val="single" w:sz="4" w:space="0" w:color="4BACC6"/>
            </w:tcBorders>
          </w:tcPr>
          <w:p w:rsidR="00CD6BEE" w:rsidRPr="00DC3143" w:rsidRDefault="00CD6BEE" w:rsidP="00CD6BEE">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5114" w:type="dxa"/>
            <w:tcBorders>
              <w:left w:val="single" w:sz="4" w:space="0" w:color="4BACC6"/>
              <w:right w:val="single" w:sz="4" w:space="0" w:color="4BACC6"/>
            </w:tcBorders>
          </w:tcPr>
          <w:p w:rsidR="00CD6BEE" w:rsidRPr="00CD6BEE" w:rsidRDefault="00CD6BEE" w:rsidP="00671BED">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 xml:space="preserve">Adjustments to  net surplus or deficit on the provision of services for </w:t>
            </w:r>
            <w:proofErr w:type="spellStart"/>
            <w:r w:rsidRPr="00CD6BEE">
              <w:rPr>
                <w:rFonts w:cs="Arial"/>
                <w:color w:val="auto"/>
                <w:sz w:val="20"/>
                <w:szCs w:val="20"/>
              </w:rPr>
              <w:t>non cash</w:t>
            </w:r>
            <w:proofErr w:type="spellEnd"/>
            <w:r w:rsidRPr="00CD6BEE">
              <w:rPr>
                <w:rFonts w:cs="Arial"/>
                <w:color w:val="auto"/>
                <w:sz w:val="20"/>
                <w:szCs w:val="20"/>
              </w:rPr>
              <w:t xml:space="preserve"> movements </w:t>
            </w:r>
          </w:p>
        </w:tc>
        <w:tc>
          <w:tcPr>
            <w:tcW w:w="851" w:type="dxa"/>
            <w:tcBorders>
              <w:left w:val="single" w:sz="4" w:space="0" w:color="4BACC6"/>
              <w:right w:val="single" w:sz="4" w:space="0" w:color="4BACC6"/>
            </w:tcBorders>
          </w:tcPr>
          <w:p w:rsidR="00CD6BEE" w:rsidRPr="00CD6BEE" w:rsidRDefault="00CD6BEE" w:rsidP="00316679">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CD6BEE">
              <w:rPr>
                <w:color w:val="auto"/>
                <w:sz w:val="20"/>
                <w:szCs w:val="20"/>
              </w:rPr>
              <w:t>See note below</w:t>
            </w:r>
          </w:p>
        </w:tc>
        <w:tc>
          <w:tcPr>
            <w:tcW w:w="1021" w:type="dxa"/>
            <w:tcBorders>
              <w:left w:val="single" w:sz="4" w:space="0" w:color="4BACC6"/>
              <w:right w:val="single" w:sz="4" w:space="0" w:color="4BACC6"/>
            </w:tcBorders>
          </w:tcPr>
          <w:p w:rsidR="00CD6BEE" w:rsidRPr="00CD6BEE" w:rsidRDefault="00E76C1F" w:rsidP="00E76C1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43.5</w:t>
            </w:r>
          </w:p>
        </w:tc>
        <w:tc>
          <w:tcPr>
            <w:tcW w:w="992" w:type="dxa"/>
            <w:tcBorders>
              <w:left w:val="single" w:sz="4" w:space="0" w:color="4BACC6"/>
            </w:tcBorders>
          </w:tcPr>
          <w:p w:rsidR="00CD6BEE" w:rsidRPr="00CD6BEE" w:rsidRDefault="00CD6BEE" w:rsidP="00893E44">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CD6BEE" w:rsidRPr="00CD6BEE" w:rsidTr="00E04DA8">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jc w:val="center"/>
              <w:rPr>
                <w:b w:val="0"/>
                <w:color w:val="auto"/>
              </w:rPr>
            </w:pPr>
            <w:r w:rsidRPr="00DC3143">
              <w:rPr>
                <w:b w:val="0"/>
                <w:color w:val="auto"/>
              </w:rPr>
              <w:t>(1.3)</w:t>
            </w:r>
          </w:p>
        </w:tc>
        <w:tc>
          <w:tcPr>
            <w:tcW w:w="948" w:type="dxa"/>
            <w:tcBorders>
              <w:left w:val="single" w:sz="4" w:space="0" w:color="4BACC6"/>
              <w:right w:val="single" w:sz="4" w:space="0" w:color="4BACC6"/>
            </w:tcBorders>
          </w:tcPr>
          <w:p w:rsidR="00CD6BEE" w:rsidRPr="00DC3143" w:rsidRDefault="00CD6BEE" w:rsidP="00CD6BEE">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5114" w:type="dxa"/>
            <w:tcBorders>
              <w:left w:val="single" w:sz="4" w:space="0" w:color="4BACC6"/>
              <w:right w:val="single" w:sz="4" w:space="0" w:color="4BACC6"/>
            </w:tcBorders>
          </w:tcPr>
          <w:p w:rsidR="00CD6BEE" w:rsidRPr="00CD6BEE" w:rsidRDefault="00CD6BEE" w:rsidP="006E667C">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color w:val="auto"/>
                <w:sz w:val="20"/>
                <w:szCs w:val="20"/>
              </w:rPr>
              <w:t>Adjustments for items included in the net surplus or deficit on the provision of services that are investing and financing activities including proceeds of investments and disposal of assets</w:t>
            </w:r>
          </w:p>
        </w:tc>
        <w:tc>
          <w:tcPr>
            <w:tcW w:w="85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CD6BEE" w:rsidRPr="00CD6BEE" w:rsidRDefault="00E04DA8" w:rsidP="00E6759C">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(8.8)</w:t>
            </w:r>
          </w:p>
        </w:tc>
        <w:tc>
          <w:tcPr>
            <w:tcW w:w="992" w:type="dxa"/>
            <w:tcBorders>
              <w:left w:val="single" w:sz="4" w:space="0" w:color="4BACC6"/>
            </w:tcBorders>
          </w:tcPr>
          <w:p w:rsidR="00CD6BEE" w:rsidRPr="00CD6BEE" w:rsidRDefault="00CD6BEE" w:rsidP="00E6759C">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CD6BEE" w:rsidRPr="00CD6BEE" w:rsidTr="00E04DA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jc w:val="center"/>
              <w:rPr>
                <w:b w:val="0"/>
                <w:color w:val="auto"/>
              </w:rPr>
            </w:pPr>
          </w:p>
        </w:tc>
        <w:tc>
          <w:tcPr>
            <w:tcW w:w="948" w:type="dxa"/>
            <w:tcBorders>
              <w:left w:val="single" w:sz="4" w:space="0" w:color="4BACC6"/>
              <w:right w:val="single" w:sz="4" w:space="0" w:color="4BACC6"/>
            </w:tcBorders>
          </w:tcPr>
          <w:p w:rsidR="00CD6BEE" w:rsidRPr="00DC3143" w:rsidRDefault="00CD6BEE" w:rsidP="00CD6BEE">
            <w:pPr>
              <w:jc w:val="center"/>
              <w:cnfStyle w:val="000000100000" w:firstRow="0" w:lastRow="0" w:firstColumn="0" w:lastColumn="0" w:oddVBand="0" w:evenVBand="0" w:oddHBand="1" w:evenHBand="0" w:firstRowFirstColumn="0" w:firstRowLastColumn="0" w:lastRowFirstColumn="0" w:lastRowLastColumn="0"/>
              <w:rPr>
                <w:color w:val="auto"/>
              </w:rPr>
            </w:pPr>
            <w:r w:rsidRPr="00DC3143">
              <w:rPr>
                <w:color w:val="auto"/>
              </w:rPr>
              <w:t>2.8</w:t>
            </w:r>
          </w:p>
        </w:tc>
        <w:tc>
          <w:tcPr>
            <w:tcW w:w="5114" w:type="dxa"/>
            <w:tcBorders>
              <w:left w:val="single" w:sz="4" w:space="0" w:color="4BACC6"/>
              <w:right w:val="single" w:sz="4" w:space="0" w:color="4BACC6"/>
            </w:tcBorders>
          </w:tcPr>
          <w:p w:rsidR="00CD6BEE" w:rsidRPr="00CD6BEE" w:rsidRDefault="00CD6BEE" w:rsidP="006E667C">
            <w:pPr>
              <w:widowControl w:val="0"/>
              <w:ind w:left="331"/>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CD6BEE">
              <w:rPr>
                <w:rFonts w:cs="Arial"/>
                <w:b/>
                <w:color w:val="auto"/>
                <w:sz w:val="20"/>
                <w:szCs w:val="20"/>
              </w:rPr>
              <w:t xml:space="preserve">Net cash inflows/(Outflow)  from Operating Activities </w:t>
            </w:r>
          </w:p>
        </w:tc>
        <w:tc>
          <w:tcPr>
            <w:tcW w:w="851" w:type="dxa"/>
            <w:tcBorders>
              <w:left w:val="single" w:sz="4" w:space="0" w:color="4BACC6"/>
              <w:right w:val="single" w:sz="4" w:space="0" w:color="4BACC6"/>
            </w:tcBorders>
          </w:tcPr>
          <w:p w:rsidR="00CD6BEE" w:rsidRPr="00CD6BEE" w:rsidRDefault="00CD6BEE" w:rsidP="006E667C">
            <w:pPr>
              <w:cnfStyle w:val="000000100000" w:firstRow="0" w:lastRow="0" w:firstColumn="0" w:lastColumn="0" w:oddVBand="0" w:evenVBand="0" w:oddHBand="1"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CD6BEE" w:rsidRPr="00CD6BEE" w:rsidRDefault="00CD6BEE" w:rsidP="00E6759C">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992" w:type="dxa"/>
            <w:tcBorders>
              <w:left w:val="single" w:sz="4" w:space="0" w:color="4BACC6"/>
            </w:tcBorders>
          </w:tcPr>
          <w:p w:rsidR="00CD6BEE" w:rsidRPr="00CD6BEE" w:rsidRDefault="00C407E3" w:rsidP="00E76C1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8.5</w:t>
            </w:r>
          </w:p>
        </w:tc>
      </w:tr>
      <w:tr w:rsidR="00CD6BEE" w:rsidRPr="00CD6BEE" w:rsidTr="00E04DA8">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jc w:val="center"/>
              <w:rPr>
                <w:b w:val="0"/>
                <w:color w:val="auto"/>
              </w:rPr>
            </w:pPr>
          </w:p>
        </w:tc>
        <w:tc>
          <w:tcPr>
            <w:tcW w:w="948" w:type="dxa"/>
            <w:tcBorders>
              <w:left w:val="single" w:sz="4" w:space="0" w:color="4BACC6"/>
              <w:right w:val="single" w:sz="4" w:space="0" w:color="4BACC6"/>
            </w:tcBorders>
          </w:tcPr>
          <w:p w:rsidR="00CD6BEE" w:rsidRPr="00DC3143" w:rsidRDefault="00CD6BEE" w:rsidP="00CD6BEE">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5114" w:type="dxa"/>
            <w:tcBorders>
              <w:left w:val="single" w:sz="4" w:space="0" w:color="4BACC6"/>
              <w:right w:val="single" w:sz="4" w:space="0" w:color="4BACC6"/>
            </w:tcBorders>
          </w:tcPr>
          <w:p w:rsidR="00CD6BEE" w:rsidRPr="00CD6BEE" w:rsidRDefault="00CD6BEE" w:rsidP="00CB0083">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CD6BEE">
              <w:rPr>
                <w:rFonts w:cs="Arial"/>
                <w:b/>
                <w:color w:val="auto"/>
                <w:sz w:val="20"/>
                <w:szCs w:val="20"/>
              </w:rPr>
              <w:t>Investing Activities:</w:t>
            </w:r>
          </w:p>
        </w:tc>
        <w:tc>
          <w:tcPr>
            <w:tcW w:w="85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CD6BEE" w:rsidRPr="00CD6BEE" w:rsidRDefault="00CD6BEE" w:rsidP="00E6759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left w:val="single" w:sz="4" w:space="0" w:color="4BACC6"/>
            </w:tcBorders>
          </w:tcPr>
          <w:p w:rsidR="00CD6BEE" w:rsidRPr="00CD6BEE" w:rsidRDefault="00CD6BEE" w:rsidP="00E6759C">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CD6BEE" w:rsidRPr="00CD6BEE" w:rsidTr="00E04DA8">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jc w:val="center"/>
              <w:rPr>
                <w:b w:val="0"/>
                <w:color w:val="auto"/>
              </w:rPr>
            </w:pPr>
            <w:r w:rsidRPr="00DC3143">
              <w:rPr>
                <w:b w:val="0"/>
                <w:color w:val="auto"/>
              </w:rPr>
              <w:t>(30.8)</w:t>
            </w:r>
          </w:p>
        </w:tc>
        <w:tc>
          <w:tcPr>
            <w:tcW w:w="948" w:type="dxa"/>
            <w:tcBorders>
              <w:left w:val="single" w:sz="4" w:space="0" w:color="4BACC6"/>
              <w:right w:val="single" w:sz="4" w:space="0" w:color="4BACC6"/>
            </w:tcBorders>
          </w:tcPr>
          <w:p w:rsidR="00CD6BEE" w:rsidRPr="00DC3143" w:rsidRDefault="00CD6BEE" w:rsidP="00CD6BEE">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5114" w:type="dxa"/>
            <w:tcBorders>
              <w:left w:val="single" w:sz="4" w:space="0" w:color="4BACC6"/>
              <w:right w:val="single" w:sz="4" w:space="0" w:color="4BACC6"/>
            </w:tcBorders>
          </w:tcPr>
          <w:p w:rsidR="00CD6BEE" w:rsidRPr="00CD6BEE" w:rsidRDefault="00CD6BEE" w:rsidP="00CB0083">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lang w:eastAsia="en-GB"/>
              </w:rPr>
              <w:t>Purchase of property, plant and equipment, investment property, heritage and intangible assets</w:t>
            </w:r>
          </w:p>
        </w:tc>
        <w:tc>
          <w:tcPr>
            <w:tcW w:w="851" w:type="dxa"/>
            <w:tcBorders>
              <w:left w:val="single" w:sz="4" w:space="0" w:color="4BACC6"/>
              <w:right w:val="single" w:sz="4" w:space="0" w:color="4BACC6"/>
            </w:tcBorders>
          </w:tcPr>
          <w:p w:rsidR="00CD6BEE" w:rsidRPr="00CD6BEE" w:rsidRDefault="00CD6BEE" w:rsidP="00D63BB2">
            <w:pPr>
              <w:jc w:val="center"/>
              <w:cnfStyle w:val="000000100000" w:firstRow="0" w:lastRow="0" w:firstColumn="0" w:lastColumn="0" w:oddVBand="0" w:evenVBand="0" w:oddHBand="1" w:evenHBand="0" w:firstRowFirstColumn="0" w:firstRowLastColumn="0" w:lastRowFirstColumn="0" w:lastRowLastColumn="0"/>
              <w:rPr>
                <w:color w:val="auto"/>
              </w:rPr>
            </w:pPr>
            <w:r w:rsidRPr="00CD6BEE">
              <w:rPr>
                <w:color w:val="auto"/>
              </w:rPr>
              <w:t>37</w:t>
            </w:r>
          </w:p>
        </w:tc>
        <w:tc>
          <w:tcPr>
            <w:tcW w:w="1021" w:type="dxa"/>
            <w:tcBorders>
              <w:left w:val="single" w:sz="4" w:space="0" w:color="4BACC6"/>
              <w:right w:val="single" w:sz="4" w:space="0" w:color="4BACC6"/>
            </w:tcBorders>
          </w:tcPr>
          <w:p w:rsidR="00CD6BEE" w:rsidRPr="00CD6BEE" w:rsidRDefault="00E04DA8" w:rsidP="00E04DA8">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(112.7)</w:t>
            </w:r>
          </w:p>
        </w:tc>
        <w:tc>
          <w:tcPr>
            <w:tcW w:w="992" w:type="dxa"/>
            <w:tcBorders>
              <w:left w:val="single" w:sz="4" w:space="0" w:color="4BACC6"/>
            </w:tcBorders>
          </w:tcPr>
          <w:p w:rsidR="00CD6BEE" w:rsidRPr="00CD6BEE" w:rsidRDefault="00CD6BEE" w:rsidP="00E6759C">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CD6BEE" w:rsidRPr="00CD6BEE" w:rsidTr="00E04DA8">
        <w:trPr>
          <w:trHeight w:val="686"/>
        </w:trPr>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jc w:val="center"/>
              <w:rPr>
                <w:b w:val="0"/>
                <w:color w:val="auto"/>
              </w:rPr>
            </w:pPr>
            <w:r w:rsidRPr="00DC3143">
              <w:rPr>
                <w:b w:val="0"/>
                <w:color w:val="auto"/>
              </w:rPr>
              <w:t>0.8</w:t>
            </w:r>
          </w:p>
        </w:tc>
        <w:tc>
          <w:tcPr>
            <w:tcW w:w="948" w:type="dxa"/>
            <w:tcBorders>
              <w:left w:val="single" w:sz="4" w:space="0" w:color="4BACC6"/>
              <w:right w:val="single" w:sz="4" w:space="0" w:color="4BACC6"/>
            </w:tcBorders>
          </w:tcPr>
          <w:p w:rsidR="00CD6BEE" w:rsidRPr="00DC3143" w:rsidRDefault="00CD6BEE" w:rsidP="00CD6BEE">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5114" w:type="dxa"/>
            <w:tcBorders>
              <w:left w:val="single" w:sz="4" w:space="0" w:color="4BACC6"/>
              <w:right w:val="single" w:sz="4" w:space="0" w:color="4BACC6"/>
            </w:tcBorders>
          </w:tcPr>
          <w:p w:rsidR="00CD6BEE" w:rsidRPr="00CD6BEE" w:rsidRDefault="00CD6BEE" w:rsidP="00CB0083">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color w:val="auto"/>
                <w:sz w:val="20"/>
                <w:szCs w:val="20"/>
                <w:lang w:eastAsia="en-GB"/>
              </w:rPr>
              <w:t>Proceeds from the sale of property, plant and equipment, investment property and intangible assets</w:t>
            </w:r>
          </w:p>
        </w:tc>
        <w:tc>
          <w:tcPr>
            <w:tcW w:w="85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CD6BEE" w:rsidRPr="00CD6BEE" w:rsidRDefault="00E04DA8" w:rsidP="00E6759C">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w:t>
            </w:r>
          </w:p>
        </w:tc>
        <w:tc>
          <w:tcPr>
            <w:tcW w:w="992" w:type="dxa"/>
            <w:tcBorders>
              <w:left w:val="single" w:sz="4" w:space="0" w:color="4BACC6"/>
            </w:tcBorders>
          </w:tcPr>
          <w:p w:rsidR="00CD6BEE" w:rsidRPr="00CD6BEE" w:rsidRDefault="00CD6BEE" w:rsidP="00E6759C">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CD6BEE" w:rsidRPr="00CD6BEE" w:rsidTr="00E0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jc w:val="center"/>
              <w:rPr>
                <w:b w:val="0"/>
                <w:color w:val="auto"/>
              </w:rPr>
            </w:pPr>
            <w:r w:rsidRPr="00DC3143">
              <w:rPr>
                <w:b w:val="0"/>
                <w:color w:val="auto"/>
              </w:rPr>
              <w:t>13.6</w:t>
            </w:r>
          </w:p>
        </w:tc>
        <w:tc>
          <w:tcPr>
            <w:tcW w:w="948" w:type="dxa"/>
            <w:tcBorders>
              <w:left w:val="single" w:sz="4" w:space="0" w:color="4BACC6"/>
              <w:right w:val="single" w:sz="4" w:space="0" w:color="4BACC6"/>
            </w:tcBorders>
          </w:tcPr>
          <w:p w:rsidR="00CD6BEE" w:rsidRPr="00DC3143" w:rsidRDefault="00CD6BEE" w:rsidP="00CD6BEE">
            <w:pPr>
              <w:jc w:val="center"/>
              <w:cnfStyle w:val="000000100000" w:firstRow="0" w:lastRow="0" w:firstColumn="0" w:lastColumn="0" w:oddVBand="0" w:evenVBand="0" w:oddHBand="1" w:evenHBand="0" w:firstRowFirstColumn="0" w:firstRowLastColumn="0" w:lastRowFirstColumn="0" w:lastRowLastColumn="0"/>
              <w:rPr>
                <w:color w:val="auto"/>
              </w:rPr>
            </w:pPr>
            <w:r w:rsidRPr="00DC3143">
              <w:rPr>
                <w:color w:val="auto"/>
              </w:rPr>
              <w:t>(16.4)</w:t>
            </w:r>
          </w:p>
        </w:tc>
        <w:tc>
          <w:tcPr>
            <w:tcW w:w="5114" w:type="dxa"/>
            <w:tcBorders>
              <w:left w:val="single" w:sz="4" w:space="0" w:color="4BACC6"/>
              <w:right w:val="single" w:sz="4" w:space="0" w:color="4BACC6"/>
            </w:tcBorders>
          </w:tcPr>
          <w:p w:rsidR="00CD6BEE" w:rsidRPr="00CD6BEE" w:rsidRDefault="00CD6BEE" w:rsidP="006E667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 xml:space="preserve">Proceeds from short-term and long-term investments  </w:t>
            </w:r>
          </w:p>
        </w:tc>
        <w:tc>
          <w:tcPr>
            <w:tcW w:w="851" w:type="dxa"/>
            <w:tcBorders>
              <w:left w:val="single" w:sz="4" w:space="0" w:color="4BACC6"/>
              <w:right w:val="single" w:sz="4" w:space="0" w:color="4BACC6"/>
            </w:tcBorders>
          </w:tcPr>
          <w:p w:rsidR="00CD6BEE" w:rsidRPr="00CD6BEE" w:rsidRDefault="00CD6BEE" w:rsidP="004F075A">
            <w:pPr>
              <w:jc w:val="center"/>
              <w:cnfStyle w:val="000000100000" w:firstRow="0" w:lastRow="0" w:firstColumn="0" w:lastColumn="0" w:oddVBand="0" w:evenVBand="0" w:oddHBand="1" w:evenHBand="0" w:firstRowFirstColumn="0" w:firstRowLastColumn="0" w:lastRowFirstColumn="0" w:lastRowLastColumn="0"/>
              <w:rPr>
                <w:color w:val="auto"/>
              </w:rPr>
            </w:pPr>
            <w:r w:rsidRPr="00CD6BEE">
              <w:rPr>
                <w:color w:val="auto"/>
              </w:rPr>
              <w:t>18</w:t>
            </w:r>
          </w:p>
        </w:tc>
        <w:tc>
          <w:tcPr>
            <w:tcW w:w="1021" w:type="dxa"/>
            <w:tcBorders>
              <w:left w:val="single" w:sz="4" w:space="0" w:color="4BACC6"/>
              <w:right w:val="single" w:sz="4" w:space="0" w:color="4BACC6"/>
            </w:tcBorders>
          </w:tcPr>
          <w:p w:rsidR="00CD6BEE" w:rsidRPr="00CD6BEE" w:rsidRDefault="00E04DA8" w:rsidP="00893E44">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(9.1)</w:t>
            </w:r>
          </w:p>
        </w:tc>
        <w:tc>
          <w:tcPr>
            <w:tcW w:w="992" w:type="dxa"/>
            <w:tcBorders>
              <w:left w:val="single" w:sz="4" w:space="0" w:color="4BACC6"/>
            </w:tcBorders>
          </w:tcPr>
          <w:p w:rsidR="00CD6BEE" w:rsidRPr="00CD6BEE" w:rsidRDefault="00E04DA8" w:rsidP="00C66601">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(120.6)</w:t>
            </w:r>
          </w:p>
        </w:tc>
      </w:tr>
      <w:tr w:rsidR="00CD6BEE" w:rsidRPr="00CD6BEE" w:rsidTr="00E04DA8">
        <w:trPr>
          <w:trHeight w:val="385"/>
        </w:trPr>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rPr>
                <w:b w:val="0"/>
                <w:color w:val="auto"/>
              </w:rPr>
            </w:pPr>
          </w:p>
        </w:tc>
        <w:tc>
          <w:tcPr>
            <w:tcW w:w="948" w:type="dxa"/>
            <w:tcBorders>
              <w:left w:val="single" w:sz="4" w:space="0" w:color="4BACC6"/>
              <w:right w:val="single" w:sz="4" w:space="0" w:color="4BACC6"/>
            </w:tcBorders>
          </w:tcPr>
          <w:p w:rsidR="00CD6BEE" w:rsidRPr="00DC3143" w:rsidRDefault="00CD6BEE" w:rsidP="00CD6BEE">
            <w:pPr>
              <w:cnfStyle w:val="000000000000" w:firstRow="0" w:lastRow="0" w:firstColumn="0" w:lastColumn="0" w:oddVBand="0" w:evenVBand="0" w:oddHBand="0" w:evenHBand="0" w:firstRowFirstColumn="0" w:firstRowLastColumn="0" w:lastRowFirstColumn="0" w:lastRowLastColumn="0"/>
              <w:rPr>
                <w:color w:val="auto"/>
              </w:rPr>
            </w:pPr>
          </w:p>
        </w:tc>
        <w:tc>
          <w:tcPr>
            <w:tcW w:w="5114" w:type="dxa"/>
            <w:tcBorders>
              <w:left w:val="single" w:sz="4" w:space="0" w:color="4BACC6"/>
              <w:right w:val="single" w:sz="4" w:space="0" w:color="4BACC6"/>
            </w:tcBorders>
          </w:tcPr>
          <w:p w:rsidR="00CD6BEE" w:rsidRPr="00CD6BEE" w:rsidRDefault="00CD6BEE" w:rsidP="00CB0083">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b/>
                <w:color w:val="auto"/>
                <w:sz w:val="20"/>
                <w:szCs w:val="20"/>
              </w:rPr>
              <w:t>Financing Activities</w:t>
            </w:r>
            <w:r w:rsidRPr="00CD6BEE">
              <w:rPr>
                <w:rFonts w:cs="Arial"/>
                <w:color w:val="auto"/>
                <w:sz w:val="20"/>
                <w:szCs w:val="20"/>
              </w:rPr>
              <w:t xml:space="preserve"> </w:t>
            </w:r>
          </w:p>
        </w:tc>
        <w:tc>
          <w:tcPr>
            <w:tcW w:w="85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lef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r>
      <w:tr w:rsidR="00CD6BEE" w:rsidRPr="00CD6BEE" w:rsidTr="00E04DA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jc w:val="center"/>
              <w:rPr>
                <w:b w:val="0"/>
                <w:color w:val="auto"/>
              </w:rPr>
            </w:pPr>
            <w:r w:rsidRPr="00DC3143">
              <w:rPr>
                <w:b w:val="0"/>
                <w:color w:val="auto"/>
              </w:rPr>
              <w:t>(0.7)</w:t>
            </w:r>
          </w:p>
        </w:tc>
        <w:tc>
          <w:tcPr>
            <w:tcW w:w="948" w:type="dxa"/>
            <w:tcBorders>
              <w:left w:val="single" w:sz="4" w:space="0" w:color="4BACC6"/>
              <w:right w:val="single" w:sz="4" w:space="0" w:color="4BACC6"/>
            </w:tcBorders>
          </w:tcPr>
          <w:p w:rsidR="00CD6BEE" w:rsidRPr="00DC3143" w:rsidRDefault="00CD6BEE" w:rsidP="00CD6BEE">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5114" w:type="dxa"/>
            <w:tcBorders>
              <w:left w:val="single" w:sz="4" w:space="0" w:color="4BACC6"/>
              <w:right w:val="single" w:sz="4" w:space="0" w:color="4BACC6"/>
            </w:tcBorders>
          </w:tcPr>
          <w:p w:rsidR="00CD6BEE" w:rsidRPr="00CD6BEE" w:rsidRDefault="00CD6BEE" w:rsidP="00CB0083">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Cash payments for the reduction of the outstanding liabilities relating to transferred debt and on-balance sheet PFI contracts</w:t>
            </w:r>
          </w:p>
        </w:tc>
        <w:tc>
          <w:tcPr>
            <w:tcW w:w="851" w:type="dxa"/>
            <w:tcBorders>
              <w:left w:val="single" w:sz="4" w:space="0" w:color="4BACC6"/>
              <w:right w:val="single" w:sz="4" w:space="0" w:color="4BACC6"/>
            </w:tcBorders>
          </w:tcPr>
          <w:p w:rsidR="00CD6BEE" w:rsidRPr="00CD6BEE" w:rsidRDefault="00CD6BEE" w:rsidP="004F075A">
            <w:pPr>
              <w:jc w:val="center"/>
              <w:cnfStyle w:val="000000100000" w:firstRow="0" w:lastRow="0" w:firstColumn="0" w:lastColumn="0" w:oddVBand="0" w:evenVBand="0" w:oddHBand="1" w:evenHBand="0" w:firstRowFirstColumn="0" w:firstRowLastColumn="0" w:lastRowFirstColumn="0" w:lastRowLastColumn="0"/>
              <w:rPr>
                <w:color w:val="auto"/>
              </w:rPr>
            </w:pPr>
            <w:r w:rsidRPr="00CD6BEE">
              <w:rPr>
                <w:color w:val="auto"/>
              </w:rPr>
              <w:t>24</w:t>
            </w:r>
          </w:p>
        </w:tc>
        <w:tc>
          <w:tcPr>
            <w:tcW w:w="1021" w:type="dxa"/>
            <w:tcBorders>
              <w:left w:val="single" w:sz="4" w:space="0" w:color="4BACC6"/>
              <w:right w:val="single" w:sz="4" w:space="0" w:color="4BACC6"/>
            </w:tcBorders>
          </w:tcPr>
          <w:p w:rsidR="00CD6BEE" w:rsidRPr="00CD6BEE" w:rsidRDefault="00E04DA8" w:rsidP="00E6759C">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(0.7)</w:t>
            </w:r>
          </w:p>
        </w:tc>
        <w:tc>
          <w:tcPr>
            <w:tcW w:w="992" w:type="dxa"/>
            <w:tcBorders>
              <w:left w:val="single" w:sz="4" w:space="0" w:color="4BACC6"/>
            </w:tcBorders>
          </w:tcPr>
          <w:p w:rsidR="00CD6BEE" w:rsidRPr="00CD6BEE" w:rsidRDefault="00CD6BEE" w:rsidP="00E6759C">
            <w:pPr>
              <w:jc w:val="center"/>
              <w:cnfStyle w:val="000000100000" w:firstRow="0" w:lastRow="0" w:firstColumn="0" w:lastColumn="0" w:oddVBand="0" w:evenVBand="0" w:oddHBand="1" w:evenHBand="0" w:firstRowFirstColumn="0" w:firstRowLastColumn="0" w:lastRowFirstColumn="0" w:lastRowLastColumn="0"/>
              <w:rPr>
                <w:color w:val="auto"/>
              </w:rPr>
            </w:pPr>
          </w:p>
        </w:tc>
      </w:tr>
      <w:tr w:rsidR="00CD6BEE" w:rsidRPr="00CD6BEE" w:rsidTr="00E04DA8">
        <w:trPr>
          <w:trHeight w:val="385"/>
        </w:trPr>
        <w:tc>
          <w:tcPr>
            <w:cnfStyle w:val="001000000000" w:firstRow="0" w:lastRow="0" w:firstColumn="1" w:lastColumn="0" w:oddVBand="0" w:evenVBand="0" w:oddHBand="0" w:evenHBand="0" w:firstRowFirstColumn="0" w:firstRowLastColumn="0" w:lastRowFirstColumn="0" w:lastRowLastColumn="0"/>
            <w:tcW w:w="850" w:type="dxa"/>
            <w:tcBorders>
              <w:right w:val="single" w:sz="4" w:space="0" w:color="4BACC6"/>
            </w:tcBorders>
          </w:tcPr>
          <w:p w:rsidR="00CD6BEE" w:rsidRPr="00DC3143" w:rsidRDefault="00CD6BEE" w:rsidP="00CD6BEE">
            <w:pPr>
              <w:jc w:val="center"/>
              <w:rPr>
                <w:b w:val="0"/>
                <w:color w:val="auto"/>
              </w:rPr>
            </w:pPr>
            <w:r w:rsidRPr="00DC3143">
              <w:rPr>
                <w:b w:val="0"/>
                <w:color w:val="auto"/>
              </w:rPr>
              <w:t>(1.2)</w:t>
            </w:r>
          </w:p>
        </w:tc>
        <w:tc>
          <w:tcPr>
            <w:tcW w:w="948" w:type="dxa"/>
            <w:tcBorders>
              <w:left w:val="single" w:sz="4" w:space="0" w:color="4BACC6"/>
              <w:right w:val="single" w:sz="4" w:space="0" w:color="4BACC6"/>
            </w:tcBorders>
          </w:tcPr>
          <w:p w:rsidR="00CD6BEE" w:rsidRPr="00DC3143" w:rsidRDefault="00CD6BEE" w:rsidP="00CD6BEE">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5114" w:type="dxa"/>
            <w:tcBorders>
              <w:left w:val="single" w:sz="4" w:space="0" w:color="4BACC6"/>
              <w:right w:val="single" w:sz="4" w:space="0" w:color="4BACC6"/>
            </w:tcBorders>
          </w:tcPr>
          <w:p w:rsidR="00CD6BEE" w:rsidRPr="00CD6BEE" w:rsidRDefault="00CD6BEE" w:rsidP="00103EEF">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color w:val="auto"/>
                <w:sz w:val="20"/>
                <w:szCs w:val="20"/>
              </w:rPr>
              <w:t>Council Tax and NNDR adjustments</w:t>
            </w:r>
          </w:p>
        </w:tc>
        <w:tc>
          <w:tcPr>
            <w:tcW w:w="85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left w:val="single" w:sz="4" w:space="0" w:color="4BACC6"/>
              <w:right w:val="single" w:sz="4" w:space="0" w:color="4BACC6"/>
            </w:tcBorders>
          </w:tcPr>
          <w:p w:rsidR="00CD6BEE" w:rsidRPr="00CD6BEE" w:rsidRDefault="00E04DA8" w:rsidP="00893E44">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(0.7)</w:t>
            </w:r>
          </w:p>
        </w:tc>
        <w:tc>
          <w:tcPr>
            <w:tcW w:w="992" w:type="dxa"/>
            <w:tcBorders>
              <w:left w:val="single" w:sz="4" w:space="0" w:color="4BACC6"/>
            </w:tcBorders>
          </w:tcPr>
          <w:p w:rsidR="00CD6BEE" w:rsidRPr="00CD6BEE" w:rsidRDefault="00CD6BEE" w:rsidP="00E6759C">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CD6BEE" w:rsidRPr="00CD6BEE" w:rsidTr="00E04DA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50" w:type="dxa"/>
            <w:tcBorders>
              <w:bottom w:val="single" w:sz="4" w:space="0" w:color="4BACC6"/>
              <w:right w:val="single" w:sz="4" w:space="0" w:color="4BACC6"/>
            </w:tcBorders>
          </w:tcPr>
          <w:p w:rsidR="00CD6BEE" w:rsidRPr="00DC3143" w:rsidRDefault="00CD6BEE" w:rsidP="00CD6BEE">
            <w:pPr>
              <w:jc w:val="center"/>
              <w:rPr>
                <w:b w:val="0"/>
                <w:color w:val="auto"/>
              </w:rPr>
            </w:pPr>
            <w:r w:rsidRPr="00DC3143">
              <w:rPr>
                <w:b w:val="0"/>
                <w:color w:val="auto"/>
              </w:rPr>
              <w:t>15.0</w:t>
            </w:r>
          </w:p>
        </w:tc>
        <w:tc>
          <w:tcPr>
            <w:tcW w:w="948" w:type="dxa"/>
            <w:tcBorders>
              <w:left w:val="single" w:sz="4" w:space="0" w:color="4BACC6"/>
              <w:bottom w:val="single" w:sz="4" w:space="0" w:color="4BACC6"/>
              <w:right w:val="single" w:sz="4" w:space="0" w:color="4BACC6"/>
            </w:tcBorders>
          </w:tcPr>
          <w:p w:rsidR="00CD6BEE" w:rsidRPr="00DC3143" w:rsidRDefault="00CD6BEE" w:rsidP="00CD6BEE">
            <w:pPr>
              <w:jc w:val="center"/>
              <w:cnfStyle w:val="000000100000" w:firstRow="0" w:lastRow="0" w:firstColumn="0" w:lastColumn="0" w:oddVBand="0" w:evenVBand="0" w:oddHBand="1" w:evenHBand="0" w:firstRowFirstColumn="0" w:firstRowLastColumn="0" w:lastRowFirstColumn="0" w:lastRowLastColumn="0"/>
              <w:rPr>
                <w:color w:val="auto"/>
              </w:rPr>
            </w:pPr>
            <w:r w:rsidRPr="00DC3143">
              <w:rPr>
                <w:color w:val="auto"/>
              </w:rPr>
              <w:t>13.1</w:t>
            </w:r>
          </w:p>
        </w:tc>
        <w:tc>
          <w:tcPr>
            <w:tcW w:w="5114" w:type="dxa"/>
            <w:tcBorders>
              <w:left w:val="single" w:sz="4" w:space="0" w:color="4BACC6"/>
              <w:bottom w:val="single" w:sz="4" w:space="0" w:color="4BACC6"/>
              <w:right w:val="single" w:sz="4" w:space="0" w:color="4BACC6"/>
            </w:tcBorders>
          </w:tcPr>
          <w:p w:rsidR="00CD6BEE" w:rsidRPr="00CD6BEE" w:rsidRDefault="00CD6BEE" w:rsidP="00103EEF">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New borrowing in year</w:t>
            </w:r>
          </w:p>
        </w:tc>
        <w:tc>
          <w:tcPr>
            <w:tcW w:w="851" w:type="dxa"/>
            <w:tcBorders>
              <w:left w:val="single" w:sz="4" w:space="0" w:color="4BACC6"/>
              <w:bottom w:val="single" w:sz="4" w:space="0" w:color="4BACC6"/>
              <w:right w:val="single" w:sz="4" w:space="0" w:color="4BACC6"/>
            </w:tcBorders>
          </w:tcPr>
          <w:p w:rsidR="00CD6BEE" w:rsidRPr="00CD6BEE" w:rsidRDefault="00CD6BEE" w:rsidP="00D63BB2">
            <w:pPr>
              <w:cnfStyle w:val="000000100000" w:firstRow="0" w:lastRow="0" w:firstColumn="0" w:lastColumn="0" w:oddVBand="0" w:evenVBand="0" w:oddHBand="1" w:evenHBand="0" w:firstRowFirstColumn="0" w:firstRowLastColumn="0" w:lastRowFirstColumn="0" w:lastRowLastColumn="0"/>
              <w:rPr>
                <w:color w:val="auto"/>
              </w:rPr>
            </w:pPr>
            <w:r w:rsidRPr="00CD6BEE">
              <w:rPr>
                <w:color w:val="auto"/>
              </w:rPr>
              <w:t xml:space="preserve">   23</w:t>
            </w:r>
          </w:p>
        </w:tc>
        <w:tc>
          <w:tcPr>
            <w:tcW w:w="1021" w:type="dxa"/>
            <w:tcBorders>
              <w:left w:val="single" w:sz="4" w:space="0" w:color="4BACC6"/>
              <w:bottom w:val="single" w:sz="4" w:space="0" w:color="4BACC6"/>
              <w:right w:val="single" w:sz="4" w:space="0" w:color="4BACC6"/>
            </w:tcBorders>
          </w:tcPr>
          <w:p w:rsidR="00CD6BEE" w:rsidRPr="00CD6BEE" w:rsidRDefault="00E04DA8" w:rsidP="00E76C1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w:t>
            </w:r>
            <w:r w:rsidR="009C1075">
              <w:rPr>
                <w:color w:val="auto"/>
              </w:rPr>
              <w:t>19.</w:t>
            </w:r>
            <w:r w:rsidR="00E76C1F">
              <w:rPr>
                <w:color w:val="auto"/>
              </w:rPr>
              <w:t>4</w:t>
            </w:r>
          </w:p>
        </w:tc>
        <w:tc>
          <w:tcPr>
            <w:tcW w:w="992" w:type="dxa"/>
            <w:tcBorders>
              <w:left w:val="single" w:sz="4" w:space="0" w:color="4BACC6"/>
              <w:bottom w:val="single" w:sz="4" w:space="0" w:color="4BACC6"/>
            </w:tcBorders>
          </w:tcPr>
          <w:p w:rsidR="00CD6BEE" w:rsidRPr="00CD6BEE" w:rsidRDefault="00E04DA8" w:rsidP="00E76C1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11</w:t>
            </w:r>
            <w:r w:rsidR="00E76C1F">
              <w:rPr>
                <w:color w:val="auto"/>
              </w:rPr>
              <w:t>8.0</w:t>
            </w:r>
          </w:p>
        </w:tc>
      </w:tr>
      <w:tr w:rsidR="00CD6BEE" w:rsidRPr="00CD6BEE" w:rsidTr="00E04DA8">
        <w:trPr>
          <w:trHeight w:val="558"/>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4BACC6"/>
              <w:left w:val="single" w:sz="4" w:space="0" w:color="4BACC6"/>
              <w:bottom w:val="single" w:sz="4" w:space="0" w:color="4BACC6"/>
              <w:right w:val="single" w:sz="4" w:space="0" w:color="4BACC6"/>
            </w:tcBorders>
          </w:tcPr>
          <w:p w:rsidR="00CD6BEE" w:rsidRPr="00DC3143" w:rsidRDefault="00CD6BEE" w:rsidP="00CD6BEE">
            <w:pPr>
              <w:jc w:val="center"/>
              <w:rPr>
                <w:b w:val="0"/>
                <w:color w:val="auto"/>
              </w:rPr>
            </w:pPr>
          </w:p>
        </w:tc>
        <w:tc>
          <w:tcPr>
            <w:tcW w:w="948" w:type="dxa"/>
            <w:tcBorders>
              <w:top w:val="single" w:sz="4" w:space="0" w:color="4BACC6"/>
              <w:left w:val="single" w:sz="4" w:space="0" w:color="4BACC6"/>
              <w:bottom w:val="single" w:sz="4" w:space="0" w:color="4BACC6"/>
              <w:right w:val="single" w:sz="4" w:space="0" w:color="4BACC6"/>
            </w:tcBorders>
          </w:tcPr>
          <w:p w:rsidR="00CD6BEE" w:rsidRPr="00DC3143" w:rsidRDefault="00CD6BEE" w:rsidP="00CD6BEE">
            <w:pPr>
              <w:jc w:val="center"/>
              <w:cnfStyle w:val="000000000000" w:firstRow="0" w:lastRow="0" w:firstColumn="0" w:lastColumn="0" w:oddVBand="0" w:evenVBand="0" w:oddHBand="0" w:evenHBand="0" w:firstRowFirstColumn="0" w:firstRowLastColumn="0" w:lastRowFirstColumn="0" w:lastRowLastColumn="0"/>
              <w:rPr>
                <w:color w:val="auto"/>
              </w:rPr>
            </w:pPr>
            <w:r w:rsidRPr="00DC3143">
              <w:rPr>
                <w:color w:val="auto"/>
              </w:rPr>
              <w:t>(0.5)</w:t>
            </w:r>
          </w:p>
        </w:tc>
        <w:tc>
          <w:tcPr>
            <w:tcW w:w="5114" w:type="dxa"/>
            <w:tcBorders>
              <w:top w:val="single" w:sz="4" w:space="0" w:color="4BACC6"/>
              <w:left w:val="single" w:sz="4" w:space="0" w:color="4BACC6"/>
              <w:bottom w:val="single" w:sz="4" w:space="0" w:color="4BACC6"/>
              <w:right w:val="single" w:sz="4" w:space="0" w:color="4BACC6"/>
            </w:tcBorders>
          </w:tcPr>
          <w:p w:rsidR="00CD6BEE" w:rsidRPr="00CD6BEE" w:rsidRDefault="00CD6BEE" w:rsidP="00103EEF">
            <w:pPr>
              <w:widowContro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D6BEE">
              <w:rPr>
                <w:rFonts w:cs="Arial"/>
                <w:b/>
                <w:color w:val="auto"/>
                <w:sz w:val="20"/>
                <w:szCs w:val="20"/>
              </w:rPr>
              <w:t>Net increase or (decrease) in cash and cash equivalents</w:t>
            </w:r>
          </w:p>
        </w:tc>
        <w:tc>
          <w:tcPr>
            <w:tcW w:w="851" w:type="dxa"/>
            <w:tcBorders>
              <w:top w:val="single" w:sz="4" w:space="0" w:color="4BACC6"/>
              <w:left w:val="single" w:sz="4" w:space="0" w:color="4BACC6"/>
              <w:bottom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1021" w:type="dxa"/>
            <w:tcBorders>
              <w:top w:val="single" w:sz="4" w:space="0" w:color="4BACC6"/>
              <w:left w:val="single" w:sz="4" w:space="0" w:color="4BACC6"/>
              <w:bottom w:val="single" w:sz="4" w:space="0" w:color="4BACC6"/>
              <w:right w:val="single" w:sz="4" w:space="0" w:color="4BACC6"/>
            </w:tcBorders>
          </w:tcPr>
          <w:p w:rsidR="00CD6BEE" w:rsidRPr="00CD6BEE" w:rsidRDefault="00CD6BEE" w:rsidP="00E6759C">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top w:val="single" w:sz="4" w:space="0" w:color="4BACC6"/>
              <w:left w:val="single" w:sz="4" w:space="0" w:color="4BACC6"/>
              <w:bottom w:val="single" w:sz="4" w:space="0" w:color="4BACC6"/>
              <w:right w:val="single" w:sz="4" w:space="0" w:color="4BACC6"/>
            </w:tcBorders>
          </w:tcPr>
          <w:p w:rsidR="00CD6BEE" w:rsidRPr="00CD6BEE" w:rsidRDefault="00C111D0" w:rsidP="00E6759C">
            <w:pPr>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5.9</w:t>
            </w:r>
          </w:p>
        </w:tc>
      </w:tr>
      <w:tr w:rsidR="00CD6BEE" w:rsidRPr="0005794A" w:rsidTr="00E0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gridSpan w:val="2"/>
            <w:tcBorders>
              <w:top w:val="single" w:sz="4" w:space="0" w:color="4BACC6"/>
              <w:left w:val="nil"/>
              <w:bottom w:val="nil"/>
            </w:tcBorders>
            <w:shd w:val="clear" w:color="auto" w:fill="4BACC6" w:themeFill="accent5"/>
          </w:tcPr>
          <w:p w:rsidR="00CD6BEE" w:rsidRPr="00CD6BEE" w:rsidRDefault="00CD6BEE" w:rsidP="00A73218">
            <w:pPr>
              <w:jc w:val="center"/>
              <w:rPr>
                <w:color w:val="auto"/>
              </w:rPr>
            </w:pPr>
            <w:r w:rsidRPr="00CD6BEE">
              <w:rPr>
                <w:rFonts w:cs="Arial"/>
                <w:b w:val="0"/>
                <w:bCs w:val="0"/>
                <w:color w:val="auto"/>
                <w:sz w:val="20"/>
                <w:szCs w:val="20"/>
              </w:rPr>
              <w:lastRenderedPageBreak/>
              <w:t>2016/17</w:t>
            </w:r>
          </w:p>
        </w:tc>
        <w:tc>
          <w:tcPr>
            <w:tcW w:w="5114" w:type="dxa"/>
            <w:tcBorders>
              <w:top w:val="single" w:sz="4" w:space="0" w:color="4BACC6"/>
              <w:left w:val="nil"/>
              <w:bottom w:val="nil"/>
              <w:right w:val="nil"/>
            </w:tcBorders>
            <w:shd w:val="clear" w:color="auto" w:fill="4BACC6" w:themeFill="accent5"/>
          </w:tcPr>
          <w:p w:rsidR="00CD6BEE" w:rsidRPr="00CD6BEE" w:rsidRDefault="00CD6BEE" w:rsidP="006E667C">
            <w:pPr>
              <w:widowContro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851" w:type="dxa"/>
            <w:tcBorders>
              <w:top w:val="single" w:sz="4" w:space="0" w:color="4BACC6"/>
              <w:left w:val="nil"/>
              <w:bottom w:val="nil"/>
              <w:right w:val="nil"/>
            </w:tcBorders>
            <w:shd w:val="clear" w:color="auto" w:fill="4BACC6" w:themeFill="accent5"/>
          </w:tcPr>
          <w:p w:rsidR="00CD6BEE" w:rsidRPr="00CD6BEE" w:rsidRDefault="00CD6BEE" w:rsidP="006E667C">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top w:val="single" w:sz="4" w:space="0" w:color="4BACC6"/>
              <w:left w:val="nil"/>
              <w:bottom w:val="nil"/>
              <w:right w:val="nil"/>
            </w:tcBorders>
            <w:shd w:val="clear" w:color="auto" w:fill="4BACC6" w:themeFill="accent5"/>
          </w:tcPr>
          <w:p w:rsidR="00CD6BEE" w:rsidRPr="00CD6BEE" w:rsidRDefault="00CD6BEE" w:rsidP="00A73218">
            <w:pPr>
              <w:jc w:val="center"/>
              <w:cnfStyle w:val="000000100000" w:firstRow="0" w:lastRow="0" w:firstColumn="0" w:lastColumn="0" w:oddVBand="0" w:evenVBand="0" w:oddHBand="1" w:evenHBand="0" w:firstRowFirstColumn="0" w:firstRowLastColumn="0" w:lastRowFirstColumn="0" w:lastRowLastColumn="0"/>
              <w:rPr>
                <w:b/>
                <w:color w:val="auto"/>
              </w:rPr>
            </w:pPr>
            <w:r w:rsidRPr="00CD6BEE">
              <w:rPr>
                <w:b/>
                <w:color w:val="auto"/>
              </w:rPr>
              <w:t>2017/18</w:t>
            </w:r>
          </w:p>
        </w:tc>
      </w:tr>
      <w:tr w:rsidR="00CD6BEE" w:rsidRPr="0005794A" w:rsidTr="00E04DA8">
        <w:tc>
          <w:tcPr>
            <w:cnfStyle w:val="001000000000" w:firstRow="0" w:lastRow="0" w:firstColumn="1" w:lastColumn="0" w:oddVBand="0" w:evenVBand="0" w:oddHBand="0" w:evenHBand="0" w:firstRowFirstColumn="0" w:firstRowLastColumn="0" w:lastRowFirstColumn="0" w:lastRowLastColumn="0"/>
            <w:tcW w:w="1798" w:type="dxa"/>
            <w:gridSpan w:val="2"/>
            <w:tcBorders>
              <w:top w:val="nil"/>
              <w:left w:val="nil"/>
              <w:bottom w:val="nil"/>
            </w:tcBorders>
            <w:shd w:val="clear" w:color="auto" w:fill="4BACC6" w:themeFill="accent5"/>
          </w:tcPr>
          <w:p w:rsidR="00CD6BEE" w:rsidRPr="00CD6BEE" w:rsidRDefault="00CD6BEE" w:rsidP="006E667C">
            <w:pPr>
              <w:widowControl w:val="0"/>
              <w:ind w:left="331"/>
              <w:jc w:val="center"/>
              <w:rPr>
                <w:rFonts w:cs="Arial"/>
                <w:b w:val="0"/>
                <w:color w:val="auto"/>
                <w:sz w:val="20"/>
                <w:szCs w:val="20"/>
              </w:rPr>
            </w:pPr>
            <w:r w:rsidRPr="00CD6BEE">
              <w:rPr>
                <w:rFonts w:cs="Arial"/>
                <w:b w:val="0"/>
                <w:bCs w:val="0"/>
                <w:color w:val="auto"/>
                <w:sz w:val="20"/>
                <w:szCs w:val="20"/>
              </w:rPr>
              <w:t>£m</w:t>
            </w:r>
          </w:p>
        </w:tc>
        <w:tc>
          <w:tcPr>
            <w:tcW w:w="5114" w:type="dxa"/>
            <w:tcBorders>
              <w:top w:val="nil"/>
              <w:left w:val="nil"/>
              <w:bottom w:val="nil"/>
              <w:right w:val="nil"/>
            </w:tcBorders>
            <w:shd w:val="clear" w:color="auto" w:fill="4BACC6" w:themeFill="accent5"/>
          </w:tcPr>
          <w:p w:rsidR="00CD6BEE" w:rsidRPr="00C407E3" w:rsidRDefault="00C407E3" w:rsidP="00C407E3">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C407E3">
              <w:rPr>
                <w:rFonts w:cs="Arial"/>
                <w:b/>
                <w:color w:val="auto"/>
                <w:sz w:val="20"/>
                <w:szCs w:val="20"/>
              </w:rPr>
              <w:t xml:space="preserve">Cash and Cash Equivalents </w:t>
            </w:r>
          </w:p>
        </w:tc>
        <w:tc>
          <w:tcPr>
            <w:tcW w:w="851" w:type="dxa"/>
            <w:tcBorders>
              <w:top w:val="nil"/>
              <w:left w:val="nil"/>
              <w:bottom w:val="nil"/>
              <w:right w:val="nil"/>
            </w:tcBorders>
            <w:shd w:val="clear" w:color="auto" w:fill="4BACC6" w:themeFill="accent5"/>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sz w:val="18"/>
                <w:szCs w:val="18"/>
              </w:rPr>
            </w:pPr>
            <w:r w:rsidRPr="00CD6BEE">
              <w:rPr>
                <w:color w:val="auto"/>
                <w:sz w:val="18"/>
                <w:szCs w:val="18"/>
              </w:rPr>
              <w:t>Notes</w:t>
            </w:r>
          </w:p>
        </w:tc>
        <w:tc>
          <w:tcPr>
            <w:tcW w:w="2013" w:type="dxa"/>
            <w:gridSpan w:val="2"/>
            <w:tcBorders>
              <w:top w:val="nil"/>
              <w:left w:val="nil"/>
              <w:bottom w:val="nil"/>
              <w:right w:val="nil"/>
            </w:tcBorders>
            <w:shd w:val="clear" w:color="auto" w:fill="4BACC6" w:themeFill="accent5"/>
          </w:tcPr>
          <w:p w:rsidR="00CD6BEE" w:rsidRPr="00CD6BEE" w:rsidRDefault="00CD6BEE" w:rsidP="00103EEF">
            <w:pPr>
              <w:jc w:val="center"/>
              <w:cnfStyle w:val="000000000000" w:firstRow="0" w:lastRow="0" w:firstColumn="0" w:lastColumn="0" w:oddVBand="0" w:evenVBand="0" w:oddHBand="0" w:evenHBand="0" w:firstRowFirstColumn="0" w:firstRowLastColumn="0" w:lastRowFirstColumn="0" w:lastRowLastColumn="0"/>
              <w:rPr>
                <w:b/>
                <w:color w:val="auto"/>
              </w:rPr>
            </w:pPr>
            <w:r w:rsidRPr="00CD6BEE">
              <w:rPr>
                <w:b/>
                <w:color w:val="auto"/>
              </w:rPr>
              <w:t>£m</w:t>
            </w:r>
          </w:p>
        </w:tc>
      </w:tr>
      <w:tr w:rsidR="00CD6BEE" w:rsidRPr="0005794A" w:rsidTr="00E0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gridSpan w:val="2"/>
            <w:tcBorders>
              <w:top w:val="nil"/>
              <w:right w:val="single" w:sz="4" w:space="0" w:color="4BACC6"/>
            </w:tcBorders>
          </w:tcPr>
          <w:p w:rsidR="00CD6BEE" w:rsidRPr="00DC3143" w:rsidRDefault="00CD6BEE" w:rsidP="00CD6BEE">
            <w:pPr>
              <w:jc w:val="center"/>
              <w:rPr>
                <w:b w:val="0"/>
                <w:color w:val="auto"/>
              </w:rPr>
            </w:pPr>
            <w:r w:rsidRPr="00DC3143">
              <w:rPr>
                <w:b w:val="0"/>
                <w:color w:val="auto"/>
              </w:rPr>
              <w:t>1.0</w:t>
            </w:r>
          </w:p>
        </w:tc>
        <w:tc>
          <w:tcPr>
            <w:tcW w:w="5114" w:type="dxa"/>
            <w:tcBorders>
              <w:top w:val="nil"/>
              <w:left w:val="single" w:sz="4" w:space="0" w:color="4BACC6"/>
              <w:right w:val="single" w:sz="4" w:space="0" w:color="4BACC6"/>
            </w:tcBorders>
          </w:tcPr>
          <w:p w:rsidR="00CD6BEE" w:rsidRPr="00CD6BEE" w:rsidRDefault="00CD6BEE" w:rsidP="006E667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rPr>
              <w:t>Cash and cash equivalents * at the beginning of the reporting period</w:t>
            </w:r>
          </w:p>
        </w:tc>
        <w:tc>
          <w:tcPr>
            <w:tcW w:w="851" w:type="dxa"/>
            <w:tcBorders>
              <w:top w:val="nil"/>
              <w:left w:val="single" w:sz="4" w:space="0" w:color="4BACC6"/>
              <w:right w:val="single" w:sz="4" w:space="0" w:color="4BACC6"/>
            </w:tcBorders>
          </w:tcPr>
          <w:p w:rsidR="00CD6BEE" w:rsidRPr="00CD6BEE" w:rsidRDefault="00CD6BEE" w:rsidP="00676EBB">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CD6BEE">
              <w:rPr>
                <w:color w:val="auto"/>
                <w:sz w:val="18"/>
                <w:szCs w:val="18"/>
              </w:rPr>
              <w:t>20</w:t>
            </w:r>
          </w:p>
        </w:tc>
        <w:tc>
          <w:tcPr>
            <w:tcW w:w="2013" w:type="dxa"/>
            <w:gridSpan w:val="2"/>
            <w:tcBorders>
              <w:top w:val="nil"/>
              <w:left w:val="single" w:sz="4" w:space="0" w:color="4BACC6"/>
            </w:tcBorders>
          </w:tcPr>
          <w:p w:rsidR="00CD6BEE" w:rsidRPr="00CD6BEE" w:rsidRDefault="00C111D0" w:rsidP="00C407E3">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0.5</w:t>
            </w:r>
          </w:p>
        </w:tc>
      </w:tr>
      <w:tr w:rsidR="00CD6BEE" w:rsidRPr="0005794A" w:rsidTr="00E04DA8">
        <w:tc>
          <w:tcPr>
            <w:cnfStyle w:val="001000000000" w:firstRow="0" w:lastRow="0" w:firstColumn="1" w:lastColumn="0" w:oddVBand="0" w:evenVBand="0" w:oddHBand="0" w:evenHBand="0" w:firstRowFirstColumn="0" w:firstRowLastColumn="0" w:lastRowFirstColumn="0" w:lastRowLastColumn="0"/>
            <w:tcW w:w="1798" w:type="dxa"/>
            <w:gridSpan w:val="2"/>
            <w:tcBorders>
              <w:right w:val="single" w:sz="4" w:space="0" w:color="4BACC6"/>
            </w:tcBorders>
          </w:tcPr>
          <w:p w:rsidR="00CD6BEE" w:rsidRPr="00DC3143" w:rsidRDefault="00CD6BEE" w:rsidP="00CD6BEE">
            <w:pPr>
              <w:jc w:val="center"/>
              <w:rPr>
                <w:b w:val="0"/>
                <w:color w:val="auto"/>
              </w:rPr>
            </w:pPr>
            <w:r w:rsidRPr="00DC3143">
              <w:rPr>
                <w:b w:val="0"/>
                <w:color w:val="auto"/>
              </w:rPr>
              <w:t>0.5</w:t>
            </w:r>
          </w:p>
        </w:tc>
        <w:tc>
          <w:tcPr>
            <w:tcW w:w="5114" w:type="dxa"/>
            <w:tcBorders>
              <w:left w:val="single" w:sz="4" w:space="0" w:color="4BACC6"/>
              <w:right w:val="single" w:sz="4" w:space="0" w:color="4BACC6"/>
            </w:tcBorders>
          </w:tcPr>
          <w:p w:rsidR="00CD6BEE" w:rsidRPr="00CD6BEE" w:rsidRDefault="00CD6BEE" w:rsidP="006E667C">
            <w:pPr>
              <w:widowControl w:val="0"/>
              <w:ind w:left="331"/>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CD6BEE">
              <w:rPr>
                <w:rFonts w:cs="Arial"/>
                <w:bCs/>
                <w:color w:val="auto"/>
                <w:sz w:val="20"/>
                <w:szCs w:val="20"/>
              </w:rPr>
              <w:t>Cash and cash equivalents at the end of the reporting period</w:t>
            </w:r>
          </w:p>
        </w:tc>
        <w:tc>
          <w:tcPr>
            <w:tcW w:w="851" w:type="dxa"/>
            <w:tcBorders>
              <w:left w:val="single" w:sz="4" w:space="0" w:color="4BACC6"/>
              <w:right w:val="single" w:sz="4" w:space="0" w:color="4BACC6"/>
            </w:tcBorders>
          </w:tcPr>
          <w:p w:rsidR="00CD6BEE" w:rsidRPr="00CD6BEE" w:rsidRDefault="00CD6BEE" w:rsidP="00676EBB">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CD6BEE">
              <w:rPr>
                <w:color w:val="auto"/>
                <w:sz w:val="18"/>
                <w:szCs w:val="18"/>
              </w:rPr>
              <w:t>20</w:t>
            </w:r>
          </w:p>
        </w:tc>
        <w:tc>
          <w:tcPr>
            <w:tcW w:w="2013" w:type="dxa"/>
            <w:gridSpan w:val="2"/>
            <w:tcBorders>
              <w:left w:val="single" w:sz="4" w:space="0" w:color="4BACC6"/>
            </w:tcBorders>
          </w:tcPr>
          <w:p w:rsidR="00CD6BEE" w:rsidRPr="00CD6BEE" w:rsidRDefault="00C111D0" w:rsidP="001D3AC2">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6.4</w:t>
            </w:r>
          </w:p>
        </w:tc>
      </w:tr>
      <w:tr w:rsidR="00CD6BEE" w:rsidRPr="0005794A" w:rsidTr="00E0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gridSpan w:val="2"/>
            <w:tcBorders>
              <w:bottom w:val="single" w:sz="4" w:space="0" w:color="4BACC6"/>
              <w:right w:val="single" w:sz="4" w:space="0" w:color="4BACC6"/>
            </w:tcBorders>
          </w:tcPr>
          <w:p w:rsidR="00CD6BEE" w:rsidRPr="00DC3143" w:rsidRDefault="00CD6BEE" w:rsidP="00CD6BEE">
            <w:pPr>
              <w:jc w:val="center"/>
              <w:rPr>
                <w:b w:val="0"/>
                <w:color w:val="auto"/>
              </w:rPr>
            </w:pPr>
            <w:r w:rsidRPr="00DC3143">
              <w:rPr>
                <w:b w:val="0"/>
                <w:color w:val="auto"/>
              </w:rPr>
              <w:t>(0.5)</w:t>
            </w:r>
          </w:p>
        </w:tc>
        <w:tc>
          <w:tcPr>
            <w:tcW w:w="5114" w:type="dxa"/>
            <w:tcBorders>
              <w:left w:val="single" w:sz="4" w:space="0" w:color="4BACC6"/>
              <w:bottom w:val="single" w:sz="4" w:space="0" w:color="4BACC6"/>
              <w:right w:val="single" w:sz="4" w:space="0" w:color="4BACC6"/>
            </w:tcBorders>
          </w:tcPr>
          <w:p w:rsidR="00CD6BEE" w:rsidRPr="00CD6BEE" w:rsidRDefault="00CD6BEE" w:rsidP="006E667C">
            <w:pPr>
              <w:widowControl w:val="0"/>
              <w:ind w:left="331"/>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CD6BEE">
              <w:rPr>
                <w:rFonts w:cs="Arial"/>
                <w:b/>
                <w:color w:val="auto"/>
                <w:sz w:val="20"/>
                <w:szCs w:val="20"/>
              </w:rPr>
              <w:t>Net increase or (decrease) in cash and cash equivalents</w:t>
            </w:r>
          </w:p>
        </w:tc>
        <w:tc>
          <w:tcPr>
            <w:tcW w:w="851" w:type="dxa"/>
            <w:tcBorders>
              <w:left w:val="single" w:sz="4" w:space="0" w:color="4BACC6"/>
              <w:bottom w:val="single" w:sz="4" w:space="0" w:color="4BACC6"/>
              <w:right w:val="single" w:sz="4" w:space="0" w:color="4BACC6"/>
            </w:tcBorders>
          </w:tcPr>
          <w:p w:rsidR="00CD6BEE" w:rsidRPr="00CD6BEE" w:rsidRDefault="00CD6BEE" w:rsidP="006E667C">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left w:val="single" w:sz="4" w:space="0" w:color="4BACC6"/>
              <w:bottom w:val="single" w:sz="4" w:space="0" w:color="4BACC6"/>
            </w:tcBorders>
          </w:tcPr>
          <w:p w:rsidR="00CD6BEE" w:rsidRPr="00CD6BEE" w:rsidRDefault="00C111D0" w:rsidP="001D3AC2">
            <w:pPr>
              <w:jc w:val="center"/>
              <w:cnfStyle w:val="000000100000" w:firstRow="0" w:lastRow="0" w:firstColumn="0" w:lastColumn="0" w:oddVBand="0" w:evenVBand="0" w:oddHBand="1" w:evenHBand="0" w:firstRowFirstColumn="0" w:firstRowLastColumn="0" w:lastRowFirstColumn="0" w:lastRowLastColumn="0"/>
              <w:rPr>
                <w:b/>
                <w:color w:val="auto"/>
              </w:rPr>
            </w:pPr>
            <w:r>
              <w:rPr>
                <w:b/>
                <w:color w:val="auto"/>
              </w:rPr>
              <w:t>5.9</w:t>
            </w:r>
          </w:p>
        </w:tc>
      </w:tr>
      <w:tr w:rsidR="00CD6BEE" w:rsidRPr="0005794A" w:rsidTr="00E04DA8">
        <w:tc>
          <w:tcPr>
            <w:cnfStyle w:val="001000000000" w:firstRow="0" w:lastRow="0" w:firstColumn="1" w:lastColumn="0" w:oddVBand="0" w:evenVBand="0" w:oddHBand="0" w:evenHBand="0" w:firstRowFirstColumn="0" w:firstRowLastColumn="0" w:lastRowFirstColumn="0" w:lastRowLastColumn="0"/>
            <w:tcW w:w="9776" w:type="dxa"/>
            <w:gridSpan w:val="6"/>
            <w:tcBorders>
              <w:top w:val="single" w:sz="4" w:space="0" w:color="4BACC6"/>
              <w:bottom w:val="single" w:sz="4" w:space="0" w:color="4BACC6"/>
              <w:right w:val="single" w:sz="4" w:space="0" w:color="4BACC6"/>
            </w:tcBorders>
          </w:tcPr>
          <w:p w:rsidR="00CD6BEE" w:rsidRPr="00CD6BEE" w:rsidRDefault="00CD6BEE" w:rsidP="00D02016">
            <w:pPr>
              <w:pStyle w:val="ListParagraph"/>
              <w:rPr>
                <w:rFonts w:cs="Arial"/>
                <w:color w:val="auto"/>
                <w:sz w:val="20"/>
                <w:szCs w:val="20"/>
              </w:rPr>
            </w:pPr>
            <w:r w:rsidRPr="00CD6BEE">
              <w:rPr>
                <w:rFonts w:cs="Arial"/>
                <w:color w:val="auto"/>
                <w:sz w:val="20"/>
                <w:szCs w:val="20"/>
              </w:rPr>
              <w:t>*</w:t>
            </w:r>
            <w:r w:rsidRPr="00CD6BEE">
              <w:rPr>
                <w:rFonts w:cs="Arial"/>
                <w:b w:val="0"/>
                <w:bCs w:val="0"/>
                <w:color w:val="auto"/>
                <w:sz w:val="20"/>
                <w:szCs w:val="20"/>
              </w:rPr>
              <w:t>Cash equivalents are short term cash investments that are held for the purpose of meeting short   term cash commitments rather than for investment purposes.</w:t>
            </w:r>
          </w:p>
        </w:tc>
      </w:tr>
      <w:tr w:rsidR="00CD6BEE" w:rsidRPr="0005794A" w:rsidTr="00E04DA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776" w:type="dxa"/>
            <w:gridSpan w:val="6"/>
            <w:tcBorders>
              <w:top w:val="single" w:sz="4" w:space="0" w:color="4BACC6"/>
              <w:left w:val="single" w:sz="4" w:space="0" w:color="4BACC6"/>
              <w:bottom w:val="single" w:sz="4" w:space="0" w:color="4BACC6"/>
              <w:right w:val="single" w:sz="4" w:space="0" w:color="4BACC6"/>
            </w:tcBorders>
          </w:tcPr>
          <w:p w:rsidR="00CD6BEE" w:rsidRPr="00CD6BEE" w:rsidRDefault="00CD6BEE" w:rsidP="00BE7C82">
            <w:pPr>
              <w:widowControl w:val="0"/>
              <w:ind w:left="331"/>
              <w:rPr>
                <w:rFonts w:cs="Arial"/>
                <w:bCs w:val="0"/>
                <w:color w:val="auto"/>
                <w:sz w:val="20"/>
                <w:szCs w:val="20"/>
                <w:lang w:eastAsia="en-GB"/>
              </w:rPr>
            </w:pPr>
            <w:r w:rsidRPr="00CD6BEE">
              <w:rPr>
                <w:rFonts w:cs="Arial"/>
                <w:bCs w:val="0"/>
                <w:color w:val="auto"/>
                <w:sz w:val="20"/>
                <w:szCs w:val="20"/>
              </w:rPr>
              <w:t xml:space="preserve">Note:  Adjustments to  net surplus or deficit on the provision of services for </w:t>
            </w:r>
            <w:proofErr w:type="spellStart"/>
            <w:r w:rsidRPr="00CD6BEE">
              <w:rPr>
                <w:rFonts w:cs="Arial"/>
                <w:bCs w:val="0"/>
                <w:color w:val="auto"/>
                <w:sz w:val="20"/>
                <w:szCs w:val="20"/>
              </w:rPr>
              <w:t>non cash</w:t>
            </w:r>
            <w:proofErr w:type="spellEnd"/>
            <w:r w:rsidRPr="00CD6BEE">
              <w:rPr>
                <w:rFonts w:cs="Arial"/>
                <w:bCs w:val="0"/>
                <w:color w:val="auto"/>
                <w:sz w:val="20"/>
                <w:szCs w:val="20"/>
              </w:rPr>
              <w:t xml:space="preserve"> movements</w:t>
            </w:r>
            <w:r w:rsidRPr="00CD6BEE">
              <w:rPr>
                <w:rFonts w:cs="Arial"/>
                <w:bCs w:val="0"/>
                <w:color w:val="auto"/>
                <w:sz w:val="20"/>
                <w:szCs w:val="20"/>
                <w:lang w:eastAsia="en-GB"/>
              </w:rPr>
              <w:t xml:space="preserve"> </w:t>
            </w:r>
          </w:p>
          <w:p w:rsidR="00CD6BEE" w:rsidRPr="00CD6BEE" w:rsidRDefault="00CD6BEE" w:rsidP="00BE7C82">
            <w:pPr>
              <w:widowControl w:val="0"/>
              <w:ind w:left="331"/>
              <w:rPr>
                <w:rFonts w:cs="Arial"/>
                <w:b w:val="0"/>
                <w:bCs w:val="0"/>
                <w:color w:val="auto"/>
                <w:sz w:val="20"/>
                <w:szCs w:val="20"/>
              </w:rPr>
            </w:pPr>
            <w:r w:rsidRPr="00CD6BEE">
              <w:rPr>
                <w:rFonts w:cs="Arial"/>
                <w:b w:val="0"/>
                <w:bCs w:val="0"/>
                <w:color w:val="auto"/>
                <w:sz w:val="20"/>
                <w:szCs w:val="20"/>
                <w:lang w:eastAsia="en-GB"/>
              </w:rPr>
              <w:t xml:space="preserve">The table below lists the adjustments required in the cash flow statement to reverse </w:t>
            </w:r>
            <w:proofErr w:type="spellStart"/>
            <w:r w:rsidRPr="00CD6BEE">
              <w:rPr>
                <w:rFonts w:cs="Arial"/>
                <w:b w:val="0"/>
                <w:bCs w:val="0"/>
                <w:color w:val="auto"/>
                <w:sz w:val="20"/>
                <w:szCs w:val="20"/>
                <w:lang w:eastAsia="en-GB"/>
              </w:rPr>
              <w:t>non cash</w:t>
            </w:r>
            <w:proofErr w:type="spellEnd"/>
            <w:r w:rsidRPr="00CD6BEE">
              <w:rPr>
                <w:rFonts w:cs="Arial"/>
                <w:b w:val="0"/>
                <w:bCs w:val="0"/>
                <w:color w:val="auto"/>
                <w:sz w:val="20"/>
                <w:szCs w:val="20"/>
                <w:lang w:eastAsia="en-GB"/>
              </w:rPr>
              <w:t xml:space="preserve"> items accounted for in the Provision of Services in the Comprehensive Income and Expenditure Account</w:t>
            </w:r>
          </w:p>
        </w:tc>
      </w:tr>
      <w:tr w:rsidR="00CD6BEE" w:rsidRPr="0005794A" w:rsidTr="00E04DA8">
        <w:tc>
          <w:tcPr>
            <w:cnfStyle w:val="001000000000" w:firstRow="0" w:lastRow="0" w:firstColumn="1" w:lastColumn="0" w:oddVBand="0" w:evenVBand="0" w:oddHBand="0" w:evenHBand="0" w:firstRowFirstColumn="0" w:firstRowLastColumn="0" w:lastRowFirstColumn="0" w:lastRowLastColumn="0"/>
            <w:tcW w:w="1798" w:type="dxa"/>
            <w:gridSpan w:val="2"/>
            <w:tcBorders>
              <w:top w:val="single" w:sz="4" w:space="0" w:color="4BACC6"/>
              <w:right w:val="single" w:sz="4" w:space="0" w:color="4BACC6"/>
            </w:tcBorders>
          </w:tcPr>
          <w:p w:rsidR="00CD6BEE" w:rsidRPr="00DC3143" w:rsidRDefault="00CD6BEE" w:rsidP="00CD6BEE">
            <w:pPr>
              <w:jc w:val="center"/>
              <w:rPr>
                <w:b w:val="0"/>
                <w:color w:val="auto"/>
              </w:rPr>
            </w:pPr>
            <w:r w:rsidRPr="00DC3143">
              <w:rPr>
                <w:b w:val="0"/>
                <w:color w:val="auto"/>
              </w:rPr>
              <w:t>14.2</w:t>
            </w:r>
          </w:p>
        </w:tc>
        <w:tc>
          <w:tcPr>
            <w:tcW w:w="5114" w:type="dxa"/>
            <w:tcBorders>
              <w:top w:val="single" w:sz="4" w:space="0" w:color="4BACC6"/>
              <w:left w:val="single" w:sz="4" w:space="0" w:color="4BACC6"/>
              <w:right w:val="single" w:sz="4" w:space="0" w:color="4BACC6"/>
            </w:tcBorders>
          </w:tcPr>
          <w:p w:rsidR="00CD6BEE" w:rsidRPr="00CD6BEE" w:rsidRDefault="00CD6BEE" w:rsidP="006E667C">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CD6BEE">
              <w:rPr>
                <w:rFonts w:cs="Arial"/>
                <w:color w:val="auto"/>
                <w:sz w:val="20"/>
                <w:szCs w:val="20"/>
                <w:lang w:eastAsia="en-GB"/>
              </w:rPr>
              <w:t>Depreciation, Impairment &amp; downward valuations</w:t>
            </w:r>
          </w:p>
        </w:tc>
        <w:tc>
          <w:tcPr>
            <w:tcW w:w="851" w:type="dxa"/>
            <w:tcBorders>
              <w:top w:val="single" w:sz="4" w:space="0" w:color="4BACC6"/>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top w:val="single" w:sz="4" w:space="0" w:color="4BACC6"/>
              <w:left w:val="single" w:sz="4" w:space="0" w:color="4BACC6"/>
            </w:tcBorders>
          </w:tcPr>
          <w:p w:rsidR="00CD6BEE" w:rsidRPr="00CD6BEE" w:rsidRDefault="00E76C1F" w:rsidP="00E76C1F">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21.2</w:t>
            </w:r>
          </w:p>
        </w:tc>
      </w:tr>
      <w:tr w:rsidR="006A6E74" w:rsidRPr="0005794A" w:rsidTr="00E0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gridSpan w:val="2"/>
            <w:tcBorders>
              <w:right w:val="single" w:sz="4" w:space="0" w:color="4BACC6"/>
            </w:tcBorders>
          </w:tcPr>
          <w:p w:rsidR="006A6E74" w:rsidRPr="00DC3143" w:rsidRDefault="006A6E74" w:rsidP="00CD6BEE">
            <w:pPr>
              <w:jc w:val="center"/>
              <w:rPr>
                <w:b w:val="0"/>
                <w:color w:val="auto"/>
              </w:rPr>
            </w:pPr>
            <w:r>
              <w:rPr>
                <w:b w:val="0"/>
                <w:color w:val="auto"/>
              </w:rPr>
              <w:t>0.5</w:t>
            </w:r>
          </w:p>
        </w:tc>
        <w:tc>
          <w:tcPr>
            <w:tcW w:w="5114" w:type="dxa"/>
            <w:tcBorders>
              <w:left w:val="single" w:sz="4" w:space="0" w:color="4BACC6"/>
              <w:right w:val="single" w:sz="4" w:space="0" w:color="4BACC6"/>
            </w:tcBorders>
          </w:tcPr>
          <w:p w:rsidR="006A6E74" w:rsidRPr="00CD6BEE" w:rsidRDefault="006A6E74" w:rsidP="006A6E74">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Change in value of Investment Properties</w:t>
            </w:r>
          </w:p>
        </w:tc>
        <w:tc>
          <w:tcPr>
            <w:tcW w:w="851" w:type="dxa"/>
            <w:tcBorders>
              <w:left w:val="single" w:sz="4" w:space="0" w:color="4BACC6"/>
              <w:right w:val="single" w:sz="4" w:space="0" w:color="4BACC6"/>
            </w:tcBorders>
          </w:tcPr>
          <w:p w:rsidR="006A6E74" w:rsidRPr="00CD6BEE" w:rsidRDefault="006A6E74" w:rsidP="006E667C">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left w:val="single" w:sz="4" w:space="0" w:color="4BACC6"/>
            </w:tcBorders>
          </w:tcPr>
          <w:p w:rsidR="006A6E74" w:rsidRDefault="006A6E74" w:rsidP="00286923">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6.0</w:t>
            </w:r>
          </w:p>
        </w:tc>
      </w:tr>
      <w:tr w:rsidR="00CD6BEE" w:rsidRPr="0005794A" w:rsidTr="00E04DA8">
        <w:tc>
          <w:tcPr>
            <w:cnfStyle w:val="001000000000" w:firstRow="0" w:lastRow="0" w:firstColumn="1" w:lastColumn="0" w:oddVBand="0" w:evenVBand="0" w:oddHBand="0" w:evenHBand="0" w:firstRowFirstColumn="0" w:firstRowLastColumn="0" w:lastRowFirstColumn="0" w:lastRowLastColumn="0"/>
            <w:tcW w:w="1798" w:type="dxa"/>
            <w:gridSpan w:val="2"/>
            <w:tcBorders>
              <w:right w:val="single" w:sz="4" w:space="0" w:color="4BACC6"/>
            </w:tcBorders>
          </w:tcPr>
          <w:p w:rsidR="00CD6BEE" w:rsidRPr="00DC3143" w:rsidRDefault="00CD6BEE" w:rsidP="00CD6BEE">
            <w:pPr>
              <w:jc w:val="center"/>
              <w:rPr>
                <w:b w:val="0"/>
                <w:color w:val="auto"/>
              </w:rPr>
            </w:pPr>
            <w:r w:rsidRPr="00DC3143">
              <w:rPr>
                <w:b w:val="0"/>
                <w:color w:val="auto"/>
              </w:rPr>
              <w:t>0.1</w:t>
            </w:r>
          </w:p>
        </w:tc>
        <w:tc>
          <w:tcPr>
            <w:tcW w:w="5114" w:type="dxa"/>
            <w:tcBorders>
              <w:left w:val="single" w:sz="4" w:space="0" w:color="4BACC6"/>
              <w:right w:val="single" w:sz="4" w:space="0" w:color="4BACC6"/>
            </w:tcBorders>
          </w:tcPr>
          <w:p w:rsidR="00CD6BEE" w:rsidRPr="00CD6BEE" w:rsidRDefault="00CD6BEE" w:rsidP="00507A6D">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CD6BEE">
              <w:rPr>
                <w:rFonts w:cs="Arial"/>
                <w:color w:val="auto"/>
                <w:sz w:val="20"/>
                <w:szCs w:val="20"/>
                <w:lang w:eastAsia="en-GB"/>
              </w:rPr>
              <w:t>Amortisation of Intangible Assets</w:t>
            </w:r>
          </w:p>
        </w:tc>
        <w:tc>
          <w:tcPr>
            <w:tcW w:w="85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left w:val="single" w:sz="4" w:space="0" w:color="4BACC6"/>
            </w:tcBorders>
          </w:tcPr>
          <w:p w:rsidR="00CD6BEE" w:rsidRPr="00CD6BEE" w:rsidRDefault="006A6E74" w:rsidP="00286923">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0.1</w:t>
            </w:r>
          </w:p>
        </w:tc>
      </w:tr>
      <w:tr w:rsidR="00CD6BEE" w:rsidRPr="0005794A" w:rsidTr="00E0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gridSpan w:val="2"/>
            <w:tcBorders>
              <w:right w:val="single" w:sz="4" w:space="0" w:color="4BACC6"/>
            </w:tcBorders>
          </w:tcPr>
          <w:p w:rsidR="00CD6BEE" w:rsidRPr="00DC3143" w:rsidRDefault="00CD6BEE" w:rsidP="00CD6BEE">
            <w:pPr>
              <w:jc w:val="center"/>
              <w:rPr>
                <w:b w:val="0"/>
                <w:color w:val="auto"/>
              </w:rPr>
            </w:pPr>
            <w:r w:rsidRPr="00DC3143">
              <w:rPr>
                <w:b w:val="0"/>
                <w:color w:val="auto"/>
              </w:rPr>
              <w:t>0.1</w:t>
            </w:r>
          </w:p>
        </w:tc>
        <w:tc>
          <w:tcPr>
            <w:tcW w:w="5114" w:type="dxa"/>
            <w:tcBorders>
              <w:left w:val="single" w:sz="4" w:space="0" w:color="4BACC6"/>
              <w:right w:val="single" w:sz="4" w:space="0" w:color="4BACC6"/>
            </w:tcBorders>
          </w:tcPr>
          <w:p w:rsidR="00CD6BEE" w:rsidRPr="00CD6BEE" w:rsidRDefault="00CD6BEE" w:rsidP="006E667C">
            <w:pPr>
              <w:widowControl w:val="0"/>
              <w:ind w:left="331"/>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CD6BEE">
              <w:rPr>
                <w:rFonts w:cs="Arial"/>
                <w:color w:val="auto"/>
                <w:sz w:val="20"/>
                <w:szCs w:val="20"/>
                <w:lang w:eastAsia="en-GB"/>
              </w:rPr>
              <w:t>Increase/(Decrease) in Creditors</w:t>
            </w:r>
          </w:p>
        </w:tc>
        <w:tc>
          <w:tcPr>
            <w:tcW w:w="851" w:type="dxa"/>
            <w:tcBorders>
              <w:left w:val="single" w:sz="4" w:space="0" w:color="4BACC6"/>
              <w:right w:val="single" w:sz="4" w:space="0" w:color="4BACC6"/>
            </w:tcBorders>
          </w:tcPr>
          <w:p w:rsidR="00CD6BEE" w:rsidRPr="00CD6BEE" w:rsidRDefault="00CD6BEE" w:rsidP="006E667C">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left w:val="single" w:sz="4" w:space="0" w:color="4BACC6"/>
            </w:tcBorders>
          </w:tcPr>
          <w:p w:rsidR="00CD6BEE" w:rsidRPr="00CD6BEE" w:rsidRDefault="006A6E74" w:rsidP="00F76FA5">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w:t>
            </w:r>
            <w:r w:rsidR="00F76FA5">
              <w:rPr>
                <w:color w:val="auto"/>
              </w:rPr>
              <w:t>2</w:t>
            </w:r>
          </w:p>
        </w:tc>
      </w:tr>
      <w:tr w:rsidR="00CD6BEE" w:rsidRPr="0005794A" w:rsidTr="00E04DA8">
        <w:tc>
          <w:tcPr>
            <w:cnfStyle w:val="001000000000" w:firstRow="0" w:lastRow="0" w:firstColumn="1" w:lastColumn="0" w:oddVBand="0" w:evenVBand="0" w:oddHBand="0" w:evenHBand="0" w:firstRowFirstColumn="0" w:firstRowLastColumn="0" w:lastRowFirstColumn="0" w:lastRowLastColumn="0"/>
            <w:tcW w:w="1798" w:type="dxa"/>
            <w:gridSpan w:val="2"/>
            <w:tcBorders>
              <w:right w:val="single" w:sz="4" w:space="0" w:color="4BACC6"/>
            </w:tcBorders>
          </w:tcPr>
          <w:p w:rsidR="00CD6BEE" w:rsidRPr="00DC3143" w:rsidRDefault="00CD6BEE" w:rsidP="00CD6BEE">
            <w:pPr>
              <w:jc w:val="center"/>
              <w:rPr>
                <w:b w:val="0"/>
                <w:color w:val="auto"/>
              </w:rPr>
            </w:pPr>
            <w:r w:rsidRPr="00DC3143">
              <w:rPr>
                <w:b w:val="0"/>
                <w:color w:val="auto"/>
              </w:rPr>
              <w:t>(6.4)</w:t>
            </w:r>
          </w:p>
        </w:tc>
        <w:tc>
          <w:tcPr>
            <w:tcW w:w="5114" w:type="dxa"/>
            <w:tcBorders>
              <w:left w:val="single" w:sz="4" w:space="0" w:color="4BACC6"/>
              <w:right w:val="single" w:sz="4" w:space="0" w:color="4BACC6"/>
            </w:tcBorders>
          </w:tcPr>
          <w:p w:rsidR="00CD6BEE" w:rsidRPr="00CD6BEE" w:rsidRDefault="00CD6BEE" w:rsidP="006E667C">
            <w:pPr>
              <w:widowControl w:val="0"/>
              <w:ind w:left="331"/>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CD6BEE">
              <w:rPr>
                <w:rFonts w:cs="Arial"/>
                <w:color w:val="auto"/>
                <w:sz w:val="20"/>
                <w:szCs w:val="20"/>
                <w:lang w:eastAsia="en-GB"/>
              </w:rPr>
              <w:t>(Increase)/Decrease in Debtors including impairment for bad debts</w:t>
            </w:r>
          </w:p>
        </w:tc>
        <w:tc>
          <w:tcPr>
            <w:tcW w:w="85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left w:val="single" w:sz="4" w:space="0" w:color="4BACC6"/>
            </w:tcBorders>
          </w:tcPr>
          <w:p w:rsidR="00CD6BEE" w:rsidRPr="00CD6BEE" w:rsidRDefault="006A6E74" w:rsidP="00B330E6">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(6.7)</w:t>
            </w:r>
          </w:p>
        </w:tc>
      </w:tr>
      <w:tr w:rsidR="00CD6BEE" w:rsidRPr="0005794A" w:rsidTr="00E0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gridSpan w:val="2"/>
            <w:tcBorders>
              <w:right w:val="single" w:sz="4" w:space="0" w:color="4BACC6"/>
            </w:tcBorders>
          </w:tcPr>
          <w:p w:rsidR="00CD6BEE" w:rsidRPr="00DC3143" w:rsidRDefault="00CD6BEE" w:rsidP="00CD6BEE">
            <w:pPr>
              <w:jc w:val="center"/>
              <w:rPr>
                <w:b w:val="0"/>
                <w:color w:val="auto"/>
              </w:rPr>
            </w:pPr>
            <w:r w:rsidRPr="00DC3143">
              <w:rPr>
                <w:b w:val="0"/>
                <w:color w:val="auto"/>
              </w:rPr>
              <w:t>5.3</w:t>
            </w:r>
          </w:p>
        </w:tc>
        <w:tc>
          <w:tcPr>
            <w:tcW w:w="5114" w:type="dxa"/>
            <w:tcBorders>
              <w:left w:val="single" w:sz="4" w:space="0" w:color="4BACC6"/>
              <w:right w:val="single" w:sz="4" w:space="0" w:color="4BACC6"/>
            </w:tcBorders>
          </w:tcPr>
          <w:p w:rsidR="00CD6BEE" w:rsidRPr="00CD6BEE" w:rsidRDefault="00CD6BEE" w:rsidP="006E667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D6BEE">
              <w:rPr>
                <w:rFonts w:cs="Arial"/>
                <w:color w:val="auto"/>
                <w:sz w:val="20"/>
                <w:szCs w:val="20"/>
                <w:lang w:eastAsia="en-GB"/>
              </w:rPr>
              <w:t>Movement in pension liability</w:t>
            </w:r>
          </w:p>
        </w:tc>
        <w:tc>
          <w:tcPr>
            <w:tcW w:w="851" w:type="dxa"/>
            <w:tcBorders>
              <w:left w:val="single" w:sz="4" w:space="0" w:color="4BACC6"/>
              <w:right w:val="single" w:sz="4" w:space="0" w:color="4BACC6"/>
            </w:tcBorders>
          </w:tcPr>
          <w:p w:rsidR="00CD6BEE" w:rsidRPr="00CD6BEE" w:rsidRDefault="00CD6BEE" w:rsidP="006E667C">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left w:val="single" w:sz="4" w:space="0" w:color="4BACC6"/>
            </w:tcBorders>
          </w:tcPr>
          <w:p w:rsidR="00CD6BEE" w:rsidRPr="00CD6BEE" w:rsidRDefault="00F76FA5" w:rsidP="00F76FA5">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9.4</w:t>
            </w:r>
          </w:p>
        </w:tc>
      </w:tr>
      <w:tr w:rsidR="00CD6BEE" w:rsidRPr="0005794A" w:rsidTr="00E04DA8">
        <w:tc>
          <w:tcPr>
            <w:cnfStyle w:val="001000000000" w:firstRow="0" w:lastRow="0" w:firstColumn="1" w:lastColumn="0" w:oddVBand="0" w:evenVBand="0" w:oddHBand="0" w:evenHBand="0" w:firstRowFirstColumn="0" w:firstRowLastColumn="0" w:lastRowFirstColumn="0" w:lastRowLastColumn="0"/>
            <w:tcW w:w="1798" w:type="dxa"/>
            <w:gridSpan w:val="2"/>
            <w:tcBorders>
              <w:right w:val="single" w:sz="4" w:space="0" w:color="4BACC6"/>
            </w:tcBorders>
          </w:tcPr>
          <w:p w:rsidR="00CD6BEE" w:rsidRPr="00DC3143" w:rsidRDefault="00CD6BEE" w:rsidP="00CD6BEE">
            <w:pPr>
              <w:jc w:val="center"/>
              <w:rPr>
                <w:b w:val="0"/>
                <w:color w:val="auto"/>
              </w:rPr>
            </w:pPr>
            <w:r w:rsidRPr="00DC3143">
              <w:rPr>
                <w:b w:val="0"/>
                <w:color w:val="auto"/>
              </w:rPr>
              <w:t>1.3</w:t>
            </w:r>
          </w:p>
        </w:tc>
        <w:tc>
          <w:tcPr>
            <w:tcW w:w="5114" w:type="dxa"/>
            <w:tcBorders>
              <w:left w:val="single" w:sz="4" w:space="0" w:color="4BACC6"/>
              <w:right w:val="single" w:sz="4" w:space="0" w:color="4BACC6"/>
            </w:tcBorders>
          </w:tcPr>
          <w:p w:rsidR="00CD6BEE" w:rsidRPr="00CD6BEE" w:rsidRDefault="00CD6BEE" w:rsidP="00506AF9">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Carrying amount of non-current assets and non-current assets held for sale, sold or derecognised</w:t>
            </w:r>
          </w:p>
        </w:tc>
        <w:tc>
          <w:tcPr>
            <w:tcW w:w="85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left w:val="single" w:sz="4" w:space="0" w:color="4BACC6"/>
            </w:tcBorders>
          </w:tcPr>
          <w:p w:rsidR="00CD6BEE" w:rsidRPr="00CD6BEE" w:rsidRDefault="006A6E74" w:rsidP="00286923">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7.8</w:t>
            </w:r>
          </w:p>
        </w:tc>
      </w:tr>
      <w:tr w:rsidR="00CD6BEE" w:rsidRPr="0005794A" w:rsidTr="00E0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gridSpan w:val="2"/>
            <w:tcBorders>
              <w:right w:val="single" w:sz="4" w:space="0" w:color="4BACC6"/>
            </w:tcBorders>
          </w:tcPr>
          <w:p w:rsidR="00CD6BEE" w:rsidRPr="00DC3143" w:rsidRDefault="006A6E74" w:rsidP="00CD6BEE">
            <w:pPr>
              <w:jc w:val="center"/>
              <w:rPr>
                <w:b w:val="0"/>
                <w:color w:val="auto"/>
              </w:rPr>
            </w:pPr>
            <w:r>
              <w:rPr>
                <w:b w:val="0"/>
                <w:color w:val="auto"/>
              </w:rPr>
              <w:t>0</w:t>
            </w:r>
          </w:p>
        </w:tc>
        <w:tc>
          <w:tcPr>
            <w:tcW w:w="5114" w:type="dxa"/>
            <w:tcBorders>
              <w:left w:val="single" w:sz="4" w:space="0" w:color="4BACC6"/>
              <w:right w:val="single" w:sz="4" w:space="0" w:color="4BACC6"/>
            </w:tcBorders>
          </w:tcPr>
          <w:p w:rsidR="00CD6BEE" w:rsidRPr="00CD6BEE" w:rsidRDefault="00CD6BEE" w:rsidP="006E667C">
            <w:pPr>
              <w:widowControl w:val="0"/>
              <w:ind w:left="331"/>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CD6BEE">
              <w:rPr>
                <w:rFonts w:cs="Arial"/>
                <w:color w:val="auto"/>
                <w:sz w:val="20"/>
                <w:szCs w:val="20"/>
                <w:lang w:eastAsia="en-GB"/>
              </w:rPr>
              <w:t>Other non-cash items charged to the net surplus or deficit on the provision of services</w:t>
            </w:r>
          </w:p>
        </w:tc>
        <w:tc>
          <w:tcPr>
            <w:tcW w:w="851" w:type="dxa"/>
            <w:tcBorders>
              <w:left w:val="single" w:sz="4" w:space="0" w:color="4BACC6"/>
              <w:right w:val="single" w:sz="4" w:space="0" w:color="4BACC6"/>
            </w:tcBorders>
          </w:tcPr>
          <w:p w:rsidR="00CD6BEE" w:rsidRPr="00CD6BEE" w:rsidRDefault="00CD6BEE" w:rsidP="006E667C">
            <w:pPr>
              <w:cnfStyle w:val="000000100000" w:firstRow="0" w:lastRow="0" w:firstColumn="0" w:lastColumn="0" w:oddVBand="0" w:evenVBand="0" w:oddHBand="1" w:evenHBand="0" w:firstRowFirstColumn="0" w:firstRowLastColumn="0" w:lastRowFirstColumn="0" w:lastRowLastColumn="0"/>
              <w:rPr>
                <w:color w:val="auto"/>
              </w:rPr>
            </w:pPr>
          </w:p>
        </w:tc>
        <w:tc>
          <w:tcPr>
            <w:tcW w:w="2013" w:type="dxa"/>
            <w:gridSpan w:val="2"/>
            <w:tcBorders>
              <w:left w:val="single" w:sz="4" w:space="0" w:color="4BACC6"/>
            </w:tcBorders>
          </w:tcPr>
          <w:p w:rsidR="00CD6BEE" w:rsidRPr="00CD6BEE" w:rsidRDefault="006A6E74" w:rsidP="006266E1">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w:t>
            </w:r>
            <w:r w:rsidR="00F76FA5">
              <w:rPr>
                <w:color w:val="auto"/>
              </w:rPr>
              <w:t>5</w:t>
            </w:r>
          </w:p>
        </w:tc>
      </w:tr>
      <w:tr w:rsidR="00CD6BEE" w:rsidRPr="0005794A" w:rsidTr="00E04DA8">
        <w:tc>
          <w:tcPr>
            <w:cnfStyle w:val="001000000000" w:firstRow="0" w:lastRow="0" w:firstColumn="1" w:lastColumn="0" w:oddVBand="0" w:evenVBand="0" w:oddHBand="0" w:evenHBand="0" w:firstRowFirstColumn="0" w:firstRowLastColumn="0" w:lastRowFirstColumn="0" w:lastRowLastColumn="0"/>
            <w:tcW w:w="1798" w:type="dxa"/>
            <w:gridSpan w:val="2"/>
            <w:tcBorders>
              <w:right w:val="single" w:sz="4" w:space="0" w:color="4BACC6"/>
            </w:tcBorders>
          </w:tcPr>
          <w:p w:rsidR="00CD6BEE" w:rsidRPr="00DC3143" w:rsidRDefault="00CD6BEE" w:rsidP="00CD6BEE">
            <w:pPr>
              <w:jc w:val="center"/>
              <w:rPr>
                <w:b w:val="0"/>
                <w:color w:val="auto"/>
              </w:rPr>
            </w:pPr>
            <w:r w:rsidRPr="00DC3143">
              <w:rPr>
                <w:b w:val="0"/>
                <w:color w:val="auto"/>
              </w:rPr>
              <w:t>15.1</w:t>
            </w:r>
          </w:p>
        </w:tc>
        <w:tc>
          <w:tcPr>
            <w:tcW w:w="5114" w:type="dxa"/>
            <w:tcBorders>
              <w:left w:val="single" w:sz="4" w:space="0" w:color="4BACC6"/>
              <w:right w:val="single" w:sz="4" w:space="0" w:color="4BACC6"/>
            </w:tcBorders>
          </w:tcPr>
          <w:p w:rsidR="00CD6BEE" w:rsidRPr="00CD6BEE" w:rsidRDefault="00CD6BEE" w:rsidP="006E667C">
            <w:pPr>
              <w:widowControl w:val="0"/>
              <w:ind w:left="331"/>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CD6BEE">
              <w:rPr>
                <w:rFonts w:cs="Arial"/>
                <w:b/>
                <w:color w:val="auto"/>
                <w:sz w:val="20"/>
                <w:szCs w:val="20"/>
              </w:rPr>
              <w:t>Total</w:t>
            </w:r>
          </w:p>
        </w:tc>
        <w:tc>
          <w:tcPr>
            <w:tcW w:w="851" w:type="dxa"/>
            <w:tcBorders>
              <w:left w:val="single" w:sz="4" w:space="0" w:color="4BACC6"/>
              <w:right w:val="single" w:sz="4" w:space="0" w:color="4BACC6"/>
            </w:tcBorders>
          </w:tcPr>
          <w:p w:rsidR="00CD6BEE" w:rsidRPr="00CD6BEE" w:rsidRDefault="00CD6BEE" w:rsidP="006E667C">
            <w:pPr>
              <w:cnfStyle w:val="000000000000" w:firstRow="0" w:lastRow="0" w:firstColumn="0" w:lastColumn="0" w:oddVBand="0" w:evenVBand="0" w:oddHBand="0" w:evenHBand="0" w:firstRowFirstColumn="0" w:firstRowLastColumn="0" w:lastRowFirstColumn="0" w:lastRowLastColumn="0"/>
              <w:rPr>
                <w:color w:val="auto"/>
              </w:rPr>
            </w:pPr>
          </w:p>
        </w:tc>
        <w:tc>
          <w:tcPr>
            <w:tcW w:w="2013" w:type="dxa"/>
            <w:gridSpan w:val="2"/>
            <w:tcBorders>
              <w:left w:val="single" w:sz="4" w:space="0" w:color="4BACC6"/>
            </w:tcBorders>
          </w:tcPr>
          <w:p w:rsidR="00CD6BEE" w:rsidRPr="00CD6BEE" w:rsidRDefault="00E76C1F" w:rsidP="00E76C1F">
            <w:pPr>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43.5</w:t>
            </w:r>
          </w:p>
        </w:tc>
      </w:tr>
    </w:tbl>
    <w:p w:rsidR="007220C0" w:rsidRPr="0005794A" w:rsidRDefault="007220C0" w:rsidP="003C5E34">
      <w:pPr>
        <w:pStyle w:val="BodyText"/>
        <w:widowControl w:val="0"/>
        <w:rPr>
          <w:rFonts w:cs="Arial"/>
          <w:color w:val="548DD4" w:themeColor="text2" w:themeTint="99"/>
          <w:sz w:val="20"/>
          <w:szCs w:val="20"/>
        </w:rPr>
        <w:sectPr w:rsidR="007220C0" w:rsidRPr="0005794A" w:rsidSect="00FE4082">
          <w:pgSz w:w="11906" w:h="16838" w:code="9"/>
          <w:pgMar w:top="1440" w:right="1440" w:bottom="1440" w:left="1440" w:header="544" w:footer="544" w:gutter="0"/>
          <w:cols w:space="708"/>
          <w:titlePg/>
          <w:docGrid w:linePitch="360"/>
        </w:sectPr>
      </w:pPr>
    </w:p>
    <w:p w:rsidR="005B7422" w:rsidRPr="009B3396" w:rsidRDefault="00E51139" w:rsidP="008D0906">
      <w:pPr>
        <w:pStyle w:val="BodyText"/>
        <w:widowControl w:val="0"/>
        <w:outlineLvl w:val="0"/>
        <w:rPr>
          <w:rFonts w:cs="Arial"/>
          <w:b/>
          <w:color w:val="auto"/>
          <w:sz w:val="24"/>
          <w:szCs w:val="24"/>
        </w:rPr>
      </w:pPr>
      <w:r w:rsidRPr="00DC3143">
        <w:rPr>
          <w:rFonts w:cs="Arial"/>
          <w:b/>
          <w:color w:val="auto"/>
          <w:sz w:val="24"/>
          <w:szCs w:val="24"/>
        </w:rPr>
        <w:lastRenderedPageBreak/>
        <w:t xml:space="preserve">Notes to the </w:t>
      </w:r>
      <w:r w:rsidR="001B40D8" w:rsidRPr="009B3396">
        <w:rPr>
          <w:rFonts w:cs="Arial"/>
          <w:b/>
          <w:color w:val="auto"/>
          <w:sz w:val="24"/>
          <w:szCs w:val="24"/>
        </w:rPr>
        <w:t xml:space="preserve">Core </w:t>
      </w:r>
      <w:r w:rsidR="00837561" w:rsidRPr="009B3396">
        <w:rPr>
          <w:rFonts w:cs="Arial"/>
          <w:b/>
          <w:color w:val="auto"/>
          <w:sz w:val="24"/>
          <w:szCs w:val="24"/>
        </w:rPr>
        <w:t xml:space="preserve">Financial </w:t>
      </w:r>
      <w:r w:rsidR="001B40D8" w:rsidRPr="009B3396">
        <w:rPr>
          <w:rFonts w:cs="Arial"/>
          <w:b/>
          <w:color w:val="auto"/>
          <w:sz w:val="24"/>
          <w:szCs w:val="24"/>
        </w:rPr>
        <w:t>Stateme</w:t>
      </w:r>
      <w:r w:rsidR="001B40D8" w:rsidRPr="009B3396">
        <w:rPr>
          <w:rFonts w:cs="Arial"/>
          <w:b/>
          <w:bCs/>
          <w:sz w:val="24"/>
          <w:szCs w:val="24"/>
        </w:rPr>
        <w:t>n</w:t>
      </w:r>
      <w:r w:rsidR="001B40D8" w:rsidRPr="009B3396">
        <w:rPr>
          <w:rFonts w:cs="Arial"/>
          <w:b/>
          <w:color w:val="auto"/>
          <w:sz w:val="24"/>
          <w:szCs w:val="24"/>
        </w:rPr>
        <w:t>ts</w:t>
      </w:r>
    </w:p>
    <w:p w:rsidR="00E51139" w:rsidRPr="009B3396" w:rsidRDefault="00E51139" w:rsidP="00815C6B">
      <w:pPr>
        <w:pStyle w:val="Subtitle"/>
        <w:ind w:left="567" w:hanging="567"/>
        <w:rPr>
          <w:b/>
          <w:color w:val="auto"/>
          <w:sz w:val="22"/>
          <w:szCs w:val="22"/>
        </w:rPr>
      </w:pPr>
      <w:r w:rsidRPr="009B3396">
        <w:rPr>
          <w:b/>
          <w:color w:val="auto"/>
          <w:sz w:val="22"/>
          <w:szCs w:val="22"/>
        </w:rPr>
        <w:t>1.</w:t>
      </w:r>
      <w:r w:rsidRPr="009B3396">
        <w:rPr>
          <w:b/>
          <w:color w:val="auto"/>
          <w:sz w:val="22"/>
          <w:szCs w:val="22"/>
        </w:rPr>
        <w:tab/>
        <w:t>Changes in Accounting Policy</w:t>
      </w:r>
    </w:p>
    <w:p w:rsidR="008B1335" w:rsidRPr="00DC3143" w:rsidRDefault="003D5A07" w:rsidP="00DC3143">
      <w:pPr>
        <w:spacing w:before="60" w:after="60" w:line="240" w:lineRule="auto"/>
        <w:ind w:left="720"/>
        <w:rPr>
          <w:rFonts w:cs="Arial"/>
          <w:color w:val="auto"/>
          <w:sz w:val="20"/>
          <w:szCs w:val="20"/>
          <w:highlight w:val="yellow"/>
        </w:rPr>
      </w:pPr>
      <w:r w:rsidRPr="009B3396">
        <w:rPr>
          <w:rFonts w:cs="Arial"/>
          <w:color w:val="auto"/>
          <w:sz w:val="20"/>
          <w:szCs w:val="20"/>
        </w:rPr>
        <w:t>The only change to accounting policies for 201</w:t>
      </w:r>
      <w:r w:rsidR="00DC3143" w:rsidRPr="009B3396">
        <w:rPr>
          <w:rFonts w:cs="Arial"/>
          <w:color w:val="auto"/>
          <w:sz w:val="20"/>
          <w:szCs w:val="20"/>
        </w:rPr>
        <w:t>7</w:t>
      </w:r>
      <w:r w:rsidRPr="009B3396">
        <w:rPr>
          <w:rFonts w:cs="Arial"/>
          <w:color w:val="auto"/>
          <w:sz w:val="20"/>
          <w:szCs w:val="20"/>
        </w:rPr>
        <w:t>/1</w:t>
      </w:r>
      <w:r w:rsidR="00DC3143" w:rsidRPr="009B3396">
        <w:rPr>
          <w:rFonts w:cs="Arial"/>
          <w:color w:val="auto"/>
          <w:sz w:val="20"/>
          <w:szCs w:val="20"/>
        </w:rPr>
        <w:t>8</w:t>
      </w:r>
      <w:r w:rsidRPr="009B3396">
        <w:rPr>
          <w:rFonts w:cs="Arial"/>
          <w:color w:val="auto"/>
          <w:sz w:val="20"/>
          <w:szCs w:val="20"/>
        </w:rPr>
        <w:t xml:space="preserve"> relates to the </w:t>
      </w:r>
      <w:r w:rsidR="00DC3143" w:rsidRPr="009B3396">
        <w:rPr>
          <w:rFonts w:cs="Arial"/>
          <w:color w:val="auto"/>
          <w:sz w:val="20"/>
          <w:szCs w:val="20"/>
        </w:rPr>
        <w:t xml:space="preserve">valuation of the Council’s </w:t>
      </w:r>
      <w:r w:rsidR="00BE126F" w:rsidRPr="009B3396">
        <w:rPr>
          <w:rFonts w:cs="Arial"/>
          <w:color w:val="auto"/>
          <w:sz w:val="20"/>
          <w:szCs w:val="20"/>
        </w:rPr>
        <w:t>shareholding in</w:t>
      </w:r>
      <w:r w:rsidR="00FC1EDD" w:rsidRPr="009B3396">
        <w:rPr>
          <w:rFonts w:cs="Arial"/>
          <w:color w:val="auto"/>
          <w:sz w:val="20"/>
          <w:szCs w:val="20"/>
        </w:rPr>
        <w:t xml:space="preserve"> TDA</w:t>
      </w:r>
      <w:r w:rsidR="00BE126F" w:rsidRPr="009B3396">
        <w:rPr>
          <w:rFonts w:cs="Arial"/>
          <w:color w:val="auto"/>
          <w:sz w:val="20"/>
          <w:szCs w:val="20"/>
        </w:rPr>
        <w:t>,</w:t>
      </w:r>
      <w:r w:rsidR="00FC1EDD" w:rsidRPr="009B3396">
        <w:rPr>
          <w:rFonts w:cs="Arial"/>
          <w:color w:val="auto"/>
          <w:sz w:val="20"/>
          <w:szCs w:val="20"/>
        </w:rPr>
        <w:t xml:space="preserve"> </w:t>
      </w:r>
      <w:r w:rsidR="00BE126F" w:rsidRPr="009B3396">
        <w:rPr>
          <w:rFonts w:cs="Arial"/>
          <w:color w:val="auto"/>
          <w:sz w:val="20"/>
          <w:szCs w:val="20"/>
        </w:rPr>
        <w:t>a</w:t>
      </w:r>
      <w:r w:rsidR="00706715" w:rsidRPr="009B3396">
        <w:rPr>
          <w:rFonts w:cs="Arial"/>
          <w:color w:val="auto"/>
          <w:sz w:val="20"/>
          <w:szCs w:val="20"/>
        </w:rPr>
        <w:t xml:space="preserve"> </w:t>
      </w:r>
      <w:r w:rsidR="00DC3143" w:rsidRPr="009B3396">
        <w:rPr>
          <w:rFonts w:cs="Arial"/>
          <w:color w:val="auto"/>
          <w:sz w:val="20"/>
          <w:szCs w:val="20"/>
        </w:rPr>
        <w:t>subsidiary com</w:t>
      </w:r>
      <w:r w:rsidR="00BE126F" w:rsidRPr="009B3396">
        <w:rPr>
          <w:rFonts w:cs="Arial"/>
          <w:color w:val="auto"/>
          <w:sz w:val="20"/>
          <w:szCs w:val="20"/>
        </w:rPr>
        <w:t>pany of the Council</w:t>
      </w:r>
      <w:r w:rsidR="00DC3143" w:rsidRPr="009B3396">
        <w:rPr>
          <w:rFonts w:cs="Arial"/>
          <w:color w:val="auto"/>
          <w:sz w:val="20"/>
          <w:szCs w:val="20"/>
        </w:rPr>
        <w:t>.</w:t>
      </w:r>
      <w:r w:rsidR="00DC3143" w:rsidRPr="00DC3143">
        <w:rPr>
          <w:rFonts w:cs="Arial"/>
          <w:color w:val="auto"/>
          <w:sz w:val="20"/>
          <w:szCs w:val="20"/>
        </w:rPr>
        <w:t xml:space="preserve"> For </w:t>
      </w:r>
      <w:r w:rsidR="00706715">
        <w:rPr>
          <w:rFonts w:cs="Arial"/>
          <w:color w:val="auto"/>
          <w:sz w:val="20"/>
          <w:szCs w:val="20"/>
        </w:rPr>
        <w:t xml:space="preserve">the </w:t>
      </w:r>
      <w:r w:rsidR="00DC3143" w:rsidRPr="00DC3143">
        <w:rPr>
          <w:rFonts w:cs="Arial"/>
          <w:color w:val="auto"/>
          <w:sz w:val="20"/>
          <w:szCs w:val="20"/>
        </w:rPr>
        <w:t>compan</w:t>
      </w:r>
      <w:r w:rsidR="00706715">
        <w:rPr>
          <w:rFonts w:cs="Arial"/>
          <w:color w:val="auto"/>
          <w:sz w:val="20"/>
          <w:szCs w:val="20"/>
        </w:rPr>
        <w:t>y</w:t>
      </w:r>
      <w:r w:rsidR="00DC3143" w:rsidRPr="00DC3143">
        <w:rPr>
          <w:rFonts w:cs="Arial"/>
          <w:color w:val="auto"/>
          <w:sz w:val="20"/>
          <w:szCs w:val="20"/>
        </w:rPr>
        <w:t xml:space="preserve"> the valuation is taken to be the historic cost of the shares</w:t>
      </w:r>
      <w:r w:rsidR="00DC3143">
        <w:rPr>
          <w:rFonts w:cs="Arial"/>
          <w:color w:val="auto"/>
          <w:sz w:val="20"/>
          <w:szCs w:val="20"/>
        </w:rPr>
        <w:t xml:space="preserve"> rather than the net equity of the company. As the </w:t>
      </w:r>
      <w:r w:rsidR="001E1FDB">
        <w:rPr>
          <w:rFonts w:cs="Arial"/>
          <w:color w:val="auto"/>
          <w:sz w:val="20"/>
          <w:szCs w:val="20"/>
        </w:rPr>
        <w:t>value of the company recognised on the Council’s balance sheet a</w:t>
      </w:r>
      <w:r w:rsidR="00DC3143">
        <w:rPr>
          <w:rFonts w:cs="Arial"/>
          <w:color w:val="auto"/>
          <w:sz w:val="20"/>
          <w:szCs w:val="20"/>
        </w:rPr>
        <w:t xml:space="preserve">s at 31 March 2017 </w:t>
      </w:r>
      <w:r w:rsidR="001E1FDB">
        <w:rPr>
          <w:rFonts w:cs="Arial"/>
          <w:color w:val="auto"/>
          <w:sz w:val="20"/>
          <w:szCs w:val="20"/>
        </w:rPr>
        <w:t xml:space="preserve">was nil </w:t>
      </w:r>
      <w:r w:rsidR="00C172A2">
        <w:rPr>
          <w:rFonts w:cs="Arial"/>
          <w:color w:val="auto"/>
          <w:sz w:val="20"/>
          <w:szCs w:val="20"/>
        </w:rPr>
        <w:t>there is no impact on the Counc</w:t>
      </w:r>
      <w:r w:rsidR="00DC3143">
        <w:rPr>
          <w:rFonts w:cs="Arial"/>
          <w:color w:val="auto"/>
          <w:sz w:val="20"/>
          <w:szCs w:val="20"/>
        </w:rPr>
        <w:t xml:space="preserve">il’s 2016/17 balance sheet. </w:t>
      </w:r>
    </w:p>
    <w:p w:rsidR="008B1335" w:rsidRPr="0005794A" w:rsidRDefault="008B1335" w:rsidP="00D36C88">
      <w:pPr>
        <w:spacing w:before="60" w:after="60" w:line="240" w:lineRule="auto"/>
        <w:rPr>
          <w:rFonts w:cs="Arial"/>
          <w:color w:val="548DD4" w:themeColor="text2" w:themeTint="99"/>
          <w:sz w:val="20"/>
          <w:szCs w:val="20"/>
          <w:highlight w:val="yellow"/>
        </w:rPr>
      </w:pPr>
    </w:p>
    <w:p w:rsidR="00E24410" w:rsidRPr="00706715" w:rsidRDefault="00E51139" w:rsidP="00815C6B">
      <w:pPr>
        <w:pStyle w:val="Subtitle"/>
        <w:ind w:left="567" w:hanging="567"/>
        <w:rPr>
          <w:b/>
          <w:color w:val="auto"/>
          <w:sz w:val="22"/>
          <w:szCs w:val="22"/>
        </w:rPr>
      </w:pPr>
      <w:r w:rsidRPr="00706715">
        <w:rPr>
          <w:b/>
          <w:color w:val="auto"/>
          <w:sz w:val="22"/>
          <w:szCs w:val="22"/>
        </w:rPr>
        <w:t>2.</w:t>
      </w:r>
      <w:r w:rsidRPr="00706715">
        <w:rPr>
          <w:b/>
          <w:color w:val="auto"/>
          <w:sz w:val="22"/>
          <w:szCs w:val="22"/>
        </w:rPr>
        <w:tab/>
        <w:t xml:space="preserve">Accounting Standards </w:t>
      </w:r>
      <w:r w:rsidR="00A52CDC" w:rsidRPr="00706715">
        <w:rPr>
          <w:b/>
          <w:color w:val="auto"/>
          <w:sz w:val="22"/>
          <w:szCs w:val="22"/>
        </w:rPr>
        <w:t>t</w:t>
      </w:r>
      <w:r w:rsidRPr="00706715">
        <w:rPr>
          <w:b/>
          <w:color w:val="auto"/>
          <w:sz w:val="22"/>
          <w:szCs w:val="22"/>
        </w:rPr>
        <w:t xml:space="preserve">hat </w:t>
      </w:r>
      <w:r w:rsidR="00A52CDC" w:rsidRPr="00706715">
        <w:rPr>
          <w:b/>
          <w:color w:val="auto"/>
          <w:sz w:val="22"/>
          <w:szCs w:val="22"/>
        </w:rPr>
        <w:t>h</w:t>
      </w:r>
      <w:r w:rsidRPr="00706715">
        <w:rPr>
          <w:b/>
          <w:color w:val="auto"/>
          <w:sz w:val="22"/>
          <w:szCs w:val="22"/>
        </w:rPr>
        <w:t xml:space="preserve">ave </w:t>
      </w:r>
      <w:r w:rsidR="00A52CDC" w:rsidRPr="00706715">
        <w:rPr>
          <w:b/>
          <w:color w:val="auto"/>
          <w:sz w:val="22"/>
          <w:szCs w:val="22"/>
        </w:rPr>
        <w:t>b</w:t>
      </w:r>
      <w:r w:rsidRPr="00706715">
        <w:rPr>
          <w:b/>
          <w:color w:val="auto"/>
          <w:sz w:val="22"/>
          <w:szCs w:val="22"/>
        </w:rPr>
        <w:t xml:space="preserve">een </w:t>
      </w:r>
      <w:r w:rsidR="00A52CDC" w:rsidRPr="00706715">
        <w:rPr>
          <w:b/>
          <w:color w:val="auto"/>
          <w:sz w:val="22"/>
          <w:szCs w:val="22"/>
        </w:rPr>
        <w:t>i</w:t>
      </w:r>
      <w:r w:rsidRPr="00706715">
        <w:rPr>
          <w:b/>
          <w:color w:val="auto"/>
          <w:sz w:val="22"/>
          <w:szCs w:val="22"/>
        </w:rPr>
        <w:t xml:space="preserve">ssued but </w:t>
      </w:r>
      <w:r w:rsidR="00A52CDC" w:rsidRPr="00706715">
        <w:rPr>
          <w:b/>
          <w:color w:val="auto"/>
          <w:sz w:val="22"/>
          <w:szCs w:val="22"/>
        </w:rPr>
        <w:t>h</w:t>
      </w:r>
      <w:r w:rsidRPr="00706715">
        <w:rPr>
          <w:b/>
          <w:color w:val="auto"/>
          <w:sz w:val="22"/>
          <w:szCs w:val="22"/>
        </w:rPr>
        <w:t xml:space="preserve">ave </w:t>
      </w:r>
      <w:r w:rsidR="00A52CDC" w:rsidRPr="00706715">
        <w:rPr>
          <w:b/>
          <w:color w:val="auto"/>
          <w:sz w:val="22"/>
          <w:szCs w:val="22"/>
        </w:rPr>
        <w:t>n</w:t>
      </w:r>
      <w:r w:rsidRPr="00706715">
        <w:rPr>
          <w:b/>
          <w:color w:val="auto"/>
          <w:sz w:val="22"/>
          <w:szCs w:val="22"/>
        </w:rPr>
        <w:t xml:space="preserve">ot </w:t>
      </w:r>
      <w:r w:rsidR="00A52CDC" w:rsidRPr="00706715">
        <w:rPr>
          <w:b/>
          <w:color w:val="auto"/>
          <w:sz w:val="22"/>
          <w:szCs w:val="22"/>
        </w:rPr>
        <w:t>y</w:t>
      </w:r>
      <w:r w:rsidRPr="00706715">
        <w:rPr>
          <w:b/>
          <w:color w:val="auto"/>
          <w:sz w:val="22"/>
          <w:szCs w:val="22"/>
        </w:rPr>
        <w:t xml:space="preserve">et </w:t>
      </w:r>
      <w:r w:rsidR="00A52CDC" w:rsidRPr="00706715">
        <w:rPr>
          <w:b/>
          <w:color w:val="auto"/>
          <w:sz w:val="22"/>
          <w:szCs w:val="22"/>
        </w:rPr>
        <w:t>b</w:t>
      </w:r>
      <w:r w:rsidRPr="00706715">
        <w:rPr>
          <w:b/>
          <w:color w:val="auto"/>
          <w:sz w:val="22"/>
          <w:szCs w:val="22"/>
        </w:rPr>
        <w:t xml:space="preserve">een </w:t>
      </w:r>
      <w:r w:rsidR="00A52CDC" w:rsidRPr="00706715">
        <w:rPr>
          <w:b/>
          <w:color w:val="auto"/>
          <w:sz w:val="22"/>
          <w:szCs w:val="22"/>
        </w:rPr>
        <w:t>a</w:t>
      </w:r>
      <w:r w:rsidRPr="00706715">
        <w:rPr>
          <w:b/>
          <w:color w:val="auto"/>
          <w:sz w:val="22"/>
          <w:szCs w:val="22"/>
        </w:rPr>
        <w:t>dopted</w:t>
      </w:r>
    </w:p>
    <w:p w:rsidR="005F6DD2" w:rsidRPr="005F6DD2" w:rsidRDefault="00D36C88" w:rsidP="00E24410">
      <w:pPr>
        <w:spacing w:before="60" w:after="60" w:line="240" w:lineRule="auto"/>
        <w:ind w:left="567"/>
        <w:rPr>
          <w:rFonts w:cs="Arial"/>
          <w:bCs/>
          <w:color w:val="auto"/>
          <w:sz w:val="20"/>
          <w:szCs w:val="20"/>
          <w:lang w:eastAsia="en-GB"/>
        </w:rPr>
      </w:pPr>
      <w:r w:rsidRPr="005F6DD2">
        <w:rPr>
          <w:rFonts w:cs="Arial"/>
          <w:bCs/>
          <w:color w:val="auto"/>
          <w:sz w:val="20"/>
          <w:szCs w:val="20"/>
          <w:lang w:eastAsia="en-GB"/>
        </w:rPr>
        <w:t>The standards introduced in the 201</w:t>
      </w:r>
      <w:r w:rsidR="005F6DD2" w:rsidRPr="005F6DD2">
        <w:rPr>
          <w:rFonts w:cs="Arial"/>
          <w:bCs/>
          <w:color w:val="auto"/>
          <w:sz w:val="20"/>
          <w:szCs w:val="20"/>
          <w:lang w:eastAsia="en-GB"/>
        </w:rPr>
        <w:t>8</w:t>
      </w:r>
      <w:r w:rsidRPr="005F6DD2">
        <w:rPr>
          <w:rFonts w:cs="Arial"/>
          <w:bCs/>
          <w:color w:val="auto"/>
          <w:sz w:val="20"/>
          <w:szCs w:val="20"/>
          <w:lang w:eastAsia="en-GB"/>
        </w:rPr>
        <w:t>/1</w:t>
      </w:r>
      <w:r w:rsidR="005F6DD2" w:rsidRPr="005F6DD2">
        <w:rPr>
          <w:rFonts w:cs="Arial"/>
          <w:bCs/>
          <w:color w:val="auto"/>
          <w:sz w:val="20"/>
          <w:szCs w:val="20"/>
          <w:lang w:eastAsia="en-GB"/>
        </w:rPr>
        <w:t>9</w:t>
      </w:r>
      <w:r w:rsidRPr="005F6DD2">
        <w:rPr>
          <w:rFonts w:cs="Arial"/>
          <w:bCs/>
          <w:color w:val="auto"/>
          <w:sz w:val="20"/>
          <w:szCs w:val="20"/>
          <w:lang w:eastAsia="en-GB"/>
        </w:rPr>
        <w:t xml:space="preserve"> </w:t>
      </w:r>
      <w:r w:rsidR="0069259C" w:rsidRPr="005F6DD2">
        <w:rPr>
          <w:rFonts w:cs="Arial"/>
          <w:bCs/>
          <w:color w:val="auto"/>
          <w:sz w:val="20"/>
          <w:szCs w:val="20"/>
          <w:lang w:eastAsia="en-GB"/>
        </w:rPr>
        <w:t>CIPFA ‘</w:t>
      </w:r>
      <w:r w:rsidRPr="005F6DD2">
        <w:rPr>
          <w:rFonts w:cs="Arial"/>
          <w:bCs/>
          <w:color w:val="auto"/>
          <w:sz w:val="20"/>
          <w:szCs w:val="20"/>
          <w:lang w:eastAsia="en-GB"/>
        </w:rPr>
        <w:t>Co</w:t>
      </w:r>
      <w:r w:rsidR="0069259C" w:rsidRPr="005F6DD2">
        <w:rPr>
          <w:rFonts w:cs="Arial"/>
          <w:bCs/>
          <w:color w:val="auto"/>
          <w:sz w:val="20"/>
          <w:szCs w:val="20"/>
          <w:lang w:eastAsia="en-GB"/>
        </w:rPr>
        <w:t xml:space="preserve">de’ </w:t>
      </w:r>
      <w:r w:rsidR="005F6DD2" w:rsidRPr="005F6DD2">
        <w:rPr>
          <w:rFonts w:cs="Arial"/>
          <w:bCs/>
          <w:color w:val="auto"/>
          <w:sz w:val="20"/>
          <w:szCs w:val="20"/>
          <w:lang w:eastAsia="en-GB"/>
        </w:rPr>
        <w:t>that are relevant to the Council are as follows:</w:t>
      </w:r>
    </w:p>
    <w:p w:rsidR="009702F0" w:rsidRDefault="009702F0" w:rsidP="00E24410">
      <w:pPr>
        <w:spacing w:before="60" w:after="60" w:line="240" w:lineRule="auto"/>
        <w:ind w:left="567"/>
        <w:rPr>
          <w:rFonts w:cs="Arial"/>
          <w:bCs/>
          <w:color w:val="548DD4" w:themeColor="text2" w:themeTint="99"/>
          <w:sz w:val="20"/>
          <w:szCs w:val="20"/>
          <w:lang w:eastAsia="en-GB"/>
        </w:rPr>
      </w:pPr>
    </w:p>
    <w:p w:rsidR="0089247D" w:rsidRDefault="0089247D" w:rsidP="0089247D">
      <w:pPr>
        <w:autoSpaceDE w:val="0"/>
        <w:autoSpaceDN w:val="0"/>
        <w:adjustRightInd w:val="0"/>
        <w:spacing w:after="0" w:line="240" w:lineRule="auto"/>
        <w:ind w:left="567"/>
        <w:rPr>
          <w:rFonts w:cs="Arial"/>
          <w:bCs/>
          <w:color w:val="auto"/>
          <w:sz w:val="20"/>
          <w:szCs w:val="20"/>
          <w:lang w:eastAsia="en-GB"/>
        </w:rPr>
      </w:pPr>
      <w:r w:rsidRPr="0089247D">
        <w:rPr>
          <w:rFonts w:cs="Arial"/>
          <w:b/>
          <w:bCs/>
          <w:color w:val="auto"/>
          <w:sz w:val="20"/>
          <w:szCs w:val="20"/>
          <w:lang w:eastAsia="en-GB"/>
        </w:rPr>
        <w:t>IFRS 9 Financial Instruments</w:t>
      </w:r>
      <w:r w:rsidRPr="0089247D">
        <w:rPr>
          <w:rFonts w:cs="Arial"/>
          <w:bCs/>
          <w:color w:val="auto"/>
          <w:sz w:val="20"/>
          <w:szCs w:val="20"/>
          <w:lang w:eastAsia="en-GB"/>
        </w:rPr>
        <w:t xml:space="preserve"> has been adopted by the 2018/19 Accounting Code, with an application date of 1 April 2018. IFRS 9 was devised to correct weaknesses in accounting practices that contributed to the global financial crisis. In particular it: </w:t>
      </w:r>
    </w:p>
    <w:p w:rsidR="0089247D" w:rsidRPr="0089247D" w:rsidRDefault="0089247D" w:rsidP="0089247D">
      <w:pPr>
        <w:autoSpaceDE w:val="0"/>
        <w:autoSpaceDN w:val="0"/>
        <w:adjustRightInd w:val="0"/>
        <w:spacing w:after="0" w:line="240" w:lineRule="auto"/>
        <w:ind w:left="567"/>
        <w:rPr>
          <w:rFonts w:cs="Arial"/>
          <w:bCs/>
          <w:color w:val="auto"/>
          <w:sz w:val="20"/>
          <w:szCs w:val="20"/>
          <w:lang w:eastAsia="en-GB"/>
        </w:rPr>
      </w:pPr>
    </w:p>
    <w:p w:rsidR="0089247D" w:rsidRPr="00234299" w:rsidRDefault="0089247D" w:rsidP="00234299">
      <w:pPr>
        <w:pStyle w:val="ListParagraph"/>
        <w:numPr>
          <w:ilvl w:val="0"/>
          <w:numId w:val="36"/>
        </w:numPr>
        <w:autoSpaceDE w:val="0"/>
        <w:autoSpaceDN w:val="0"/>
        <w:adjustRightInd w:val="0"/>
        <w:spacing w:after="27" w:line="240" w:lineRule="auto"/>
        <w:ind w:hanging="153"/>
        <w:rPr>
          <w:rFonts w:cs="Arial"/>
          <w:bCs/>
          <w:color w:val="auto"/>
          <w:sz w:val="20"/>
          <w:szCs w:val="20"/>
          <w:lang w:eastAsia="en-GB"/>
        </w:rPr>
      </w:pPr>
      <w:r w:rsidRPr="00234299">
        <w:rPr>
          <w:rFonts w:cs="Arial"/>
          <w:bCs/>
          <w:color w:val="auto"/>
          <w:sz w:val="20"/>
          <w:szCs w:val="20"/>
          <w:lang w:eastAsia="en-GB"/>
        </w:rPr>
        <w:t xml:space="preserve">changes the default accounting treatment for investments from one where gains and losses in value are not recognised as income or expenditure until an investment matures or is disposed of to one where income or expenditure is recognised as fair value gains and losses arise </w:t>
      </w:r>
    </w:p>
    <w:p w:rsidR="0089247D" w:rsidRPr="00234299" w:rsidRDefault="0089247D" w:rsidP="00234299">
      <w:pPr>
        <w:pStyle w:val="ListParagraph"/>
        <w:numPr>
          <w:ilvl w:val="0"/>
          <w:numId w:val="36"/>
        </w:numPr>
        <w:autoSpaceDE w:val="0"/>
        <w:autoSpaceDN w:val="0"/>
        <w:adjustRightInd w:val="0"/>
        <w:spacing w:after="0" w:line="240" w:lineRule="auto"/>
        <w:ind w:hanging="153"/>
        <w:rPr>
          <w:rFonts w:cs="Arial"/>
          <w:bCs/>
          <w:color w:val="auto"/>
          <w:sz w:val="20"/>
          <w:szCs w:val="20"/>
          <w:lang w:eastAsia="en-GB"/>
        </w:rPr>
      </w:pPr>
      <w:r w:rsidRPr="00234299">
        <w:rPr>
          <w:rFonts w:cs="Arial"/>
          <w:bCs/>
          <w:color w:val="auto"/>
          <w:sz w:val="20"/>
          <w:szCs w:val="20"/>
          <w:lang w:eastAsia="en-GB"/>
        </w:rPr>
        <w:t xml:space="preserve">changes the model for impairment loss allowances for financial assets from one based on incurred losses to one based on expected losses </w:t>
      </w:r>
    </w:p>
    <w:p w:rsidR="0089247D" w:rsidRDefault="0089247D" w:rsidP="0089247D">
      <w:pPr>
        <w:autoSpaceDE w:val="0"/>
        <w:autoSpaceDN w:val="0"/>
        <w:adjustRightInd w:val="0"/>
        <w:spacing w:after="0" w:line="240" w:lineRule="auto"/>
        <w:rPr>
          <w:rFonts w:cs="Arial"/>
          <w:bCs/>
          <w:color w:val="auto"/>
          <w:sz w:val="20"/>
          <w:szCs w:val="20"/>
          <w:lang w:eastAsia="en-GB"/>
        </w:rPr>
      </w:pPr>
    </w:p>
    <w:p w:rsidR="0089247D" w:rsidRPr="0089247D" w:rsidRDefault="0089247D" w:rsidP="0089247D">
      <w:pPr>
        <w:autoSpaceDE w:val="0"/>
        <w:autoSpaceDN w:val="0"/>
        <w:adjustRightInd w:val="0"/>
        <w:spacing w:after="0" w:line="240" w:lineRule="auto"/>
        <w:ind w:left="567"/>
        <w:rPr>
          <w:rFonts w:cs="Arial"/>
          <w:bCs/>
          <w:color w:val="auto"/>
          <w:sz w:val="20"/>
          <w:szCs w:val="20"/>
          <w:lang w:eastAsia="en-GB"/>
        </w:rPr>
      </w:pPr>
      <w:r w:rsidRPr="0089247D">
        <w:rPr>
          <w:rFonts w:cs="Arial"/>
          <w:bCs/>
          <w:color w:val="auto"/>
          <w:sz w:val="20"/>
          <w:szCs w:val="20"/>
          <w:lang w:eastAsia="en-GB"/>
        </w:rPr>
        <w:t>The first o</w:t>
      </w:r>
      <w:r>
        <w:rPr>
          <w:rFonts w:cs="Arial"/>
          <w:bCs/>
          <w:color w:val="auto"/>
          <w:sz w:val="20"/>
          <w:szCs w:val="20"/>
          <w:lang w:eastAsia="en-GB"/>
        </w:rPr>
        <w:t>f these changes will mean that the Council’s</w:t>
      </w:r>
      <w:r w:rsidRPr="0089247D">
        <w:rPr>
          <w:rFonts w:cs="Arial"/>
          <w:bCs/>
          <w:color w:val="auto"/>
          <w:sz w:val="20"/>
          <w:szCs w:val="20"/>
          <w:lang w:eastAsia="en-GB"/>
        </w:rPr>
        <w:t xml:space="preserve"> Available for Sale investments </w:t>
      </w:r>
      <w:r>
        <w:rPr>
          <w:rFonts w:cs="Arial"/>
          <w:bCs/>
          <w:color w:val="auto"/>
          <w:sz w:val="20"/>
          <w:szCs w:val="20"/>
          <w:lang w:eastAsia="en-GB"/>
        </w:rPr>
        <w:t>(</w:t>
      </w:r>
      <w:proofErr w:type="spellStart"/>
      <w:r>
        <w:rPr>
          <w:rFonts w:cs="Arial"/>
          <w:bCs/>
          <w:color w:val="auto"/>
          <w:sz w:val="20"/>
          <w:szCs w:val="20"/>
          <w:lang w:eastAsia="en-GB"/>
        </w:rPr>
        <w:t>i</w:t>
      </w:r>
      <w:r w:rsidR="000A3852">
        <w:rPr>
          <w:rFonts w:cs="Arial"/>
          <w:bCs/>
          <w:color w:val="auto"/>
          <w:sz w:val="20"/>
          <w:szCs w:val="20"/>
          <w:lang w:eastAsia="en-GB"/>
        </w:rPr>
        <w:t>.e</w:t>
      </w:r>
      <w:proofErr w:type="spellEnd"/>
      <w:r w:rsidR="000A3852">
        <w:rPr>
          <w:rFonts w:cs="Arial"/>
          <w:bCs/>
          <w:color w:val="auto"/>
          <w:sz w:val="20"/>
          <w:szCs w:val="20"/>
          <w:lang w:eastAsia="en-GB"/>
        </w:rPr>
        <w:t xml:space="preserve"> </w:t>
      </w:r>
      <w:proofErr w:type="gramStart"/>
      <w:r w:rsidR="000A3852">
        <w:rPr>
          <w:rFonts w:cs="Arial"/>
          <w:bCs/>
          <w:color w:val="auto"/>
          <w:sz w:val="20"/>
          <w:szCs w:val="20"/>
          <w:lang w:eastAsia="en-GB"/>
        </w:rPr>
        <w:t>its</w:t>
      </w:r>
      <w:proofErr w:type="gramEnd"/>
      <w:r>
        <w:rPr>
          <w:rFonts w:cs="Arial"/>
          <w:bCs/>
          <w:color w:val="auto"/>
          <w:sz w:val="20"/>
          <w:szCs w:val="20"/>
          <w:lang w:eastAsia="en-GB"/>
        </w:rPr>
        <w:t xml:space="preserve"> holding in the CCLA property fund, </w:t>
      </w:r>
      <w:r w:rsidRPr="0089247D">
        <w:rPr>
          <w:rFonts w:cs="Arial"/>
          <w:bCs/>
          <w:color w:val="auto"/>
          <w:sz w:val="20"/>
          <w:szCs w:val="20"/>
          <w:lang w:eastAsia="en-GB"/>
        </w:rPr>
        <w:t>will be reclassified at 1 April 2018 as Fair Value through Profit or Loss. The accumulated revaluation loss</w:t>
      </w:r>
      <w:r>
        <w:rPr>
          <w:rFonts w:cs="Arial"/>
          <w:bCs/>
          <w:color w:val="auto"/>
          <w:sz w:val="20"/>
          <w:szCs w:val="20"/>
          <w:lang w:eastAsia="en-GB"/>
        </w:rPr>
        <w:t xml:space="preserve"> of £0.2m</w:t>
      </w:r>
      <w:r w:rsidRPr="0089247D">
        <w:rPr>
          <w:rFonts w:cs="Arial"/>
          <w:bCs/>
          <w:color w:val="auto"/>
          <w:sz w:val="20"/>
          <w:szCs w:val="20"/>
          <w:lang w:eastAsia="en-GB"/>
        </w:rPr>
        <w:t xml:space="preserve"> on the Available for Sale Reserve will be released to the General Fund Balance on 1 April 2018 and any fair value gains/losses arising after that date will be credited/debited to the Surplus/Deficit on the Provision of Services in the CIES as they arise. It is possible that regulations may be amended to bring these investments within the scope of statutory reversals for 2018/19. If not, the Council </w:t>
      </w:r>
      <w:r w:rsidR="006F3E76">
        <w:rPr>
          <w:rFonts w:cs="Arial"/>
          <w:bCs/>
          <w:color w:val="auto"/>
          <w:sz w:val="20"/>
          <w:szCs w:val="20"/>
          <w:lang w:eastAsia="en-GB"/>
        </w:rPr>
        <w:t xml:space="preserve">may </w:t>
      </w:r>
      <w:r w:rsidRPr="0089247D">
        <w:rPr>
          <w:rFonts w:cs="Arial"/>
          <w:bCs/>
          <w:color w:val="auto"/>
          <w:sz w:val="20"/>
          <w:szCs w:val="20"/>
          <w:lang w:eastAsia="en-GB"/>
        </w:rPr>
        <w:t>apply an election available under the Accounting Code to designate these investments (value £</w:t>
      </w:r>
      <w:r w:rsidR="00234299">
        <w:rPr>
          <w:rFonts w:cs="Arial"/>
          <w:bCs/>
          <w:color w:val="auto"/>
          <w:sz w:val="20"/>
          <w:szCs w:val="20"/>
          <w:lang w:eastAsia="en-GB"/>
        </w:rPr>
        <w:t>5m</w:t>
      </w:r>
      <w:r w:rsidR="000A3852">
        <w:rPr>
          <w:rFonts w:cs="Arial"/>
          <w:bCs/>
          <w:color w:val="auto"/>
          <w:sz w:val="20"/>
          <w:szCs w:val="20"/>
          <w:lang w:eastAsia="en-GB"/>
        </w:rPr>
        <w:t xml:space="preserve">) </w:t>
      </w:r>
      <w:r w:rsidRPr="0089247D">
        <w:rPr>
          <w:rFonts w:cs="Arial"/>
          <w:bCs/>
          <w:color w:val="auto"/>
          <w:sz w:val="20"/>
          <w:szCs w:val="20"/>
          <w:lang w:eastAsia="en-GB"/>
        </w:rPr>
        <w:t xml:space="preserve">into a Fair Value through Other Comprehensive Income treatment (which will mirror the Available for Sale approach). </w:t>
      </w:r>
    </w:p>
    <w:p w:rsidR="00234299" w:rsidRDefault="00234299" w:rsidP="0089247D">
      <w:pPr>
        <w:autoSpaceDE w:val="0"/>
        <w:autoSpaceDN w:val="0"/>
        <w:adjustRightInd w:val="0"/>
        <w:spacing w:after="0" w:line="240" w:lineRule="auto"/>
        <w:ind w:left="567"/>
        <w:rPr>
          <w:rFonts w:cs="Arial"/>
          <w:bCs/>
          <w:color w:val="auto"/>
          <w:sz w:val="20"/>
          <w:szCs w:val="20"/>
          <w:lang w:eastAsia="en-GB"/>
        </w:rPr>
      </w:pPr>
    </w:p>
    <w:p w:rsidR="005F6DD2" w:rsidRDefault="0089247D" w:rsidP="00075C8E">
      <w:pPr>
        <w:autoSpaceDE w:val="0"/>
        <w:autoSpaceDN w:val="0"/>
        <w:adjustRightInd w:val="0"/>
        <w:spacing w:after="0" w:line="240" w:lineRule="auto"/>
        <w:ind w:left="567"/>
        <w:rPr>
          <w:rFonts w:cs="Arial"/>
          <w:bCs/>
          <w:color w:val="auto"/>
          <w:sz w:val="20"/>
          <w:szCs w:val="20"/>
          <w:lang w:eastAsia="en-GB"/>
        </w:rPr>
      </w:pPr>
      <w:r w:rsidRPr="0089247D">
        <w:rPr>
          <w:rFonts w:cs="Arial"/>
          <w:bCs/>
          <w:color w:val="auto"/>
          <w:sz w:val="20"/>
          <w:szCs w:val="20"/>
          <w:lang w:eastAsia="en-GB"/>
        </w:rPr>
        <w:t>The second change relating to impairment losses will require the Council to review the allowances it currently makes for credit risk on debtors</w:t>
      </w:r>
      <w:r w:rsidR="00075C8E">
        <w:rPr>
          <w:rFonts w:cs="Arial"/>
          <w:bCs/>
          <w:color w:val="auto"/>
          <w:sz w:val="20"/>
          <w:szCs w:val="20"/>
          <w:lang w:eastAsia="en-GB"/>
        </w:rPr>
        <w:t xml:space="preserve">, loans </w:t>
      </w:r>
      <w:r w:rsidRPr="0089247D">
        <w:rPr>
          <w:rFonts w:cs="Arial"/>
          <w:bCs/>
          <w:color w:val="auto"/>
          <w:sz w:val="20"/>
          <w:szCs w:val="20"/>
          <w:lang w:eastAsia="en-GB"/>
        </w:rPr>
        <w:t xml:space="preserve">and investments to include losses expected to arise in the future rather than just those incurred at the balance sheet date. It is currently estimated that impairment loss allowances </w:t>
      </w:r>
      <w:r w:rsidR="00075C8E">
        <w:rPr>
          <w:rFonts w:cs="Arial"/>
          <w:bCs/>
          <w:color w:val="auto"/>
          <w:sz w:val="20"/>
          <w:szCs w:val="20"/>
          <w:lang w:eastAsia="en-GB"/>
        </w:rPr>
        <w:t>are not expected to signific</w:t>
      </w:r>
      <w:r w:rsidR="006376F9">
        <w:rPr>
          <w:rFonts w:cs="Arial"/>
          <w:bCs/>
          <w:color w:val="auto"/>
          <w:sz w:val="20"/>
          <w:szCs w:val="20"/>
          <w:lang w:eastAsia="en-GB"/>
        </w:rPr>
        <w:t>antly</w:t>
      </w:r>
      <w:r w:rsidR="00075C8E">
        <w:rPr>
          <w:rFonts w:cs="Arial"/>
          <w:bCs/>
          <w:color w:val="auto"/>
          <w:sz w:val="20"/>
          <w:szCs w:val="20"/>
          <w:lang w:eastAsia="en-GB"/>
        </w:rPr>
        <w:t xml:space="preserve"> change however this wi</w:t>
      </w:r>
      <w:r w:rsidR="000A3852">
        <w:rPr>
          <w:rFonts w:cs="Arial"/>
          <w:bCs/>
          <w:color w:val="auto"/>
          <w:sz w:val="20"/>
          <w:szCs w:val="20"/>
          <w:lang w:eastAsia="en-GB"/>
        </w:rPr>
        <w:t>ll</w:t>
      </w:r>
      <w:r w:rsidR="00075C8E">
        <w:rPr>
          <w:rFonts w:cs="Arial"/>
          <w:bCs/>
          <w:color w:val="auto"/>
          <w:sz w:val="20"/>
          <w:szCs w:val="20"/>
          <w:lang w:eastAsia="en-GB"/>
        </w:rPr>
        <w:t xml:space="preserve"> be subject to an annual review.</w:t>
      </w:r>
      <w:r w:rsidRPr="0089247D">
        <w:rPr>
          <w:rFonts w:cs="Arial"/>
          <w:bCs/>
          <w:color w:val="auto"/>
          <w:sz w:val="20"/>
          <w:szCs w:val="20"/>
          <w:lang w:eastAsia="en-GB"/>
        </w:rPr>
        <w:t xml:space="preserve"> </w:t>
      </w:r>
      <w:r w:rsidR="00075C8E">
        <w:rPr>
          <w:rFonts w:cs="Arial"/>
          <w:bCs/>
          <w:color w:val="auto"/>
          <w:sz w:val="20"/>
          <w:szCs w:val="20"/>
          <w:lang w:eastAsia="en-GB"/>
        </w:rPr>
        <w:t>Any</w:t>
      </w:r>
      <w:r w:rsidRPr="0089247D">
        <w:rPr>
          <w:rFonts w:cs="Arial"/>
          <w:bCs/>
          <w:color w:val="auto"/>
          <w:sz w:val="20"/>
          <w:szCs w:val="20"/>
          <w:lang w:eastAsia="en-GB"/>
        </w:rPr>
        <w:t xml:space="preserve"> increased allowances will be debited to the General Fund Balance at 1 April 2018. </w:t>
      </w:r>
    </w:p>
    <w:p w:rsidR="00CF5977" w:rsidRDefault="00CF5977" w:rsidP="00075C8E">
      <w:pPr>
        <w:autoSpaceDE w:val="0"/>
        <w:autoSpaceDN w:val="0"/>
        <w:adjustRightInd w:val="0"/>
        <w:spacing w:after="0" w:line="240" w:lineRule="auto"/>
        <w:ind w:left="567"/>
        <w:rPr>
          <w:rFonts w:cs="Arial"/>
          <w:bCs/>
          <w:color w:val="auto"/>
          <w:sz w:val="20"/>
          <w:szCs w:val="20"/>
          <w:lang w:eastAsia="en-GB"/>
        </w:rPr>
      </w:pPr>
    </w:p>
    <w:p w:rsidR="00CF5977" w:rsidRPr="00CF5977" w:rsidRDefault="00CF5977" w:rsidP="00CF5977">
      <w:pPr>
        <w:autoSpaceDE w:val="0"/>
        <w:autoSpaceDN w:val="0"/>
        <w:adjustRightInd w:val="0"/>
        <w:spacing w:after="0" w:line="240" w:lineRule="auto"/>
        <w:ind w:left="567"/>
        <w:rPr>
          <w:rFonts w:cs="Arial"/>
          <w:bCs/>
          <w:color w:val="auto"/>
          <w:sz w:val="20"/>
          <w:szCs w:val="20"/>
          <w:lang w:eastAsia="en-GB"/>
        </w:rPr>
      </w:pPr>
      <w:r w:rsidRPr="00CF5977">
        <w:rPr>
          <w:rFonts w:cs="Arial"/>
          <w:b/>
          <w:bCs/>
          <w:color w:val="auto"/>
          <w:sz w:val="20"/>
          <w:szCs w:val="20"/>
          <w:lang w:eastAsia="en-GB"/>
        </w:rPr>
        <w:t>IFRS 15 Revenue from Contracts with Customers</w:t>
      </w:r>
      <w:r w:rsidRPr="00CF5977">
        <w:rPr>
          <w:rFonts w:cs="Arial"/>
          <w:bCs/>
          <w:color w:val="auto"/>
          <w:sz w:val="20"/>
          <w:szCs w:val="20"/>
          <w:lang w:eastAsia="en-GB"/>
        </w:rPr>
        <w:t xml:space="preserve"> has been adopted by the 2018/19 Accounting Code, with an application date of 1 April 2018. IFRS 15 introduces a new model for the recognition of contractual income, based on allocating the overall transaction price for the goods and/or services to be provided against the satisfaction of the various performance obligations in the contract. The new model has the potential to change the date at which revenue is recognised compared to the current accounting requirements</w:t>
      </w:r>
      <w:r>
        <w:rPr>
          <w:rFonts w:cs="Arial"/>
          <w:bCs/>
          <w:color w:val="auto"/>
          <w:sz w:val="20"/>
          <w:szCs w:val="20"/>
          <w:lang w:eastAsia="en-GB"/>
        </w:rPr>
        <w:t>, however the Cou</w:t>
      </w:r>
      <w:r w:rsidR="00EB09CE">
        <w:rPr>
          <w:rFonts w:cs="Arial"/>
          <w:bCs/>
          <w:color w:val="auto"/>
          <w:sz w:val="20"/>
          <w:szCs w:val="20"/>
          <w:lang w:eastAsia="en-GB"/>
        </w:rPr>
        <w:t>ncil</w:t>
      </w:r>
      <w:r>
        <w:rPr>
          <w:rFonts w:cs="Arial"/>
          <w:bCs/>
          <w:color w:val="auto"/>
          <w:sz w:val="20"/>
          <w:szCs w:val="20"/>
          <w:lang w:eastAsia="en-GB"/>
        </w:rPr>
        <w:t xml:space="preserve"> does not engage in signifi</w:t>
      </w:r>
      <w:r w:rsidR="00EB09CE">
        <w:rPr>
          <w:rFonts w:cs="Arial"/>
          <w:bCs/>
          <w:color w:val="auto"/>
          <w:sz w:val="20"/>
          <w:szCs w:val="20"/>
          <w:lang w:eastAsia="en-GB"/>
        </w:rPr>
        <w:t>cant</w:t>
      </w:r>
      <w:r>
        <w:rPr>
          <w:rFonts w:cs="Arial"/>
          <w:bCs/>
          <w:color w:val="auto"/>
          <w:sz w:val="20"/>
          <w:szCs w:val="20"/>
          <w:lang w:eastAsia="en-GB"/>
        </w:rPr>
        <w:t xml:space="preserve"> contracts that may be impacted by this new standard. </w:t>
      </w:r>
    </w:p>
    <w:p w:rsidR="009702F0" w:rsidRPr="0005794A" w:rsidRDefault="00226942" w:rsidP="009702F0">
      <w:pPr>
        <w:autoSpaceDE w:val="0"/>
        <w:autoSpaceDN w:val="0"/>
        <w:adjustRightInd w:val="0"/>
        <w:spacing w:after="0" w:line="240" w:lineRule="auto"/>
        <w:rPr>
          <w:rFonts w:ascii="Verdana" w:hAnsi="Verdana" w:cs="Verdana"/>
          <w:color w:val="548DD4" w:themeColor="text2" w:themeTint="99"/>
          <w:sz w:val="15"/>
          <w:szCs w:val="15"/>
          <w:lang w:eastAsia="en-GB"/>
        </w:rPr>
      </w:pPr>
      <w:r w:rsidRPr="0005794A">
        <w:rPr>
          <w:rFonts w:ascii="Verdana" w:hAnsi="Verdana" w:cs="Verdana"/>
          <w:color w:val="548DD4" w:themeColor="text2" w:themeTint="99"/>
          <w:sz w:val="15"/>
          <w:szCs w:val="15"/>
          <w:lang w:eastAsia="en-GB"/>
        </w:rPr>
        <w:tab/>
      </w:r>
    </w:p>
    <w:p w:rsidR="005B7422" w:rsidRPr="002D613F" w:rsidRDefault="00E51139" w:rsidP="00815C6B">
      <w:pPr>
        <w:pStyle w:val="Subtitle"/>
        <w:ind w:left="567" w:hanging="567"/>
        <w:rPr>
          <w:b/>
          <w:color w:val="auto"/>
          <w:sz w:val="22"/>
          <w:szCs w:val="22"/>
        </w:rPr>
      </w:pPr>
      <w:r w:rsidRPr="002D613F">
        <w:rPr>
          <w:b/>
          <w:color w:val="auto"/>
          <w:sz w:val="22"/>
          <w:szCs w:val="22"/>
        </w:rPr>
        <w:t>3</w:t>
      </w:r>
      <w:r w:rsidR="005B7422" w:rsidRPr="002D613F">
        <w:rPr>
          <w:b/>
          <w:color w:val="auto"/>
          <w:sz w:val="22"/>
          <w:szCs w:val="22"/>
        </w:rPr>
        <w:t>.</w:t>
      </w:r>
      <w:r w:rsidRPr="002D613F">
        <w:rPr>
          <w:b/>
          <w:color w:val="auto"/>
          <w:sz w:val="22"/>
          <w:szCs w:val="22"/>
        </w:rPr>
        <w:t xml:space="preserve">       Critical Judgements in Applying Accounting Policies</w:t>
      </w:r>
    </w:p>
    <w:p w:rsidR="00E51139" w:rsidRPr="002D613F" w:rsidRDefault="00E51139" w:rsidP="005B7422">
      <w:pPr>
        <w:spacing w:before="60" w:after="60" w:line="240" w:lineRule="auto"/>
        <w:ind w:left="567"/>
        <w:rPr>
          <w:rFonts w:cs="Arial"/>
          <w:bCs/>
          <w:color w:val="auto"/>
          <w:sz w:val="20"/>
          <w:szCs w:val="20"/>
          <w:lang w:eastAsia="en-GB"/>
        </w:rPr>
      </w:pPr>
      <w:r w:rsidRPr="002D613F">
        <w:rPr>
          <w:rFonts w:cs="Arial"/>
          <w:bCs/>
          <w:color w:val="auto"/>
          <w:sz w:val="20"/>
          <w:szCs w:val="20"/>
          <w:lang w:eastAsia="en-GB"/>
        </w:rPr>
        <w:t>In applying the acc</w:t>
      </w:r>
      <w:r w:rsidR="0005691F" w:rsidRPr="002D613F">
        <w:rPr>
          <w:rFonts w:cs="Arial"/>
          <w:bCs/>
          <w:color w:val="auto"/>
          <w:sz w:val="20"/>
          <w:szCs w:val="20"/>
          <w:lang w:eastAsia="en-GB"/>
        </w:rPr>
        <w:t>ounting policies set out in the accounting policy note</w:t>
      </w:r>
      <w:r w:rsidRPr="002D613F">
        <w:rPr>
          <w:rFonts w:cs="Arial"/>
          <w:bCs/>
          <w:color w:val="auto"/>
          <w:sz w:val="20"/>
          <w:szCs w:val="20"/>
          <w:lang w:eastAsia="en-GB"/>
        </w:rPr>
        <w:t>, the Council has had to make certain judgements about complex transactions or those involving uncertainty about future events. The critical judgements, where others may have made a different judgement, made in the statement of accounts are:</w:t>
      </w:r>
    </w:p>
    <w:p w:rsidR="00E51139" w:rsidRPr="002D613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2D613F">
        <w:rPr>
          <w:rFonts w:ascii="Arial" w:hAnsi="Arial" w:cs="Arial"/>
          <w:b w:val="0"/>
          <w:bCs w:val="0"/>
          <w:color w:val="auto"/>
          <w:sz w:val="20"/>
          <w:szCs w:val="20"/>
        </w:rPr>
        <w:t xml:space="preserve">The assets (vehicle &amp; plant) that are leased to TOR2 as part of the contract have been </w:t>
      </w:r>
      <w:r w:rsidRPr="002D613F">
        <w:rPr>
          <w:rFonts w:ascii="Arial" w:hAnsi="Arial" w:cs="Arial"/>
          <w:b w:val="0"/>
          <w:bCs w:val="0"/>
          <w:color w:val="auto"/>
          <w:sz w:val="20"/>
          <w:szCs w:val="20"/>
        </w:rPr>
        <w:lastRenderedPageBreak/>
        <w:t xml:space="preserve">treated as Council assets, while any assets purchased by TOR2 are not recognised as Council assets as these are not classified as infrastructure </w:t>
      </w:r>
      <w:r w:rsidR="009A1304" w:rsidRPr="002D613F">
        <w:rPr>
          <w:rFonts w:ascii="Arial" w:hAnsi="Arial" w:cs="Arial"/>
          <w:b w:val="0"/>
          <w:bCs w:val="0"/>
          <w:color w:val="auto"/>
          <w:sz w:val="20"/>
          <w:szCs w:val="20"/>
        </w:rPr>
        <w:t>assets</w:t>
      </w:r>
      <w:r w:rsidRPr="002D613F">
        <w:rPr>
          <w:rFonts w:ascii="Arial" w:hAnsi="Arial" w:cs="Arial"/>
          <w:b w:val="0"/>
          <w:bCs w:val="0"/>
          <w:color w:val="auto"/>
          <w:sz w:val="20"/>
          <w:szCs w:val="20"/>
        </w:rPr>
        <w:t xml:space="preserve"> or specified in the contract and are not for the exclusive use of the Council. The Council has considered that there are not any embedded leases within the contract.</w:t>
      </w:r>
    </w:p>
    <w:p w:rsidR="00E51139" w:rsidRPr="002D613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2D613F">
        <w:rPr>
          <w:rFonts w:ascii="Arial" w:hAnsi="Arial" w:cs="Arial"/>
          <w:b w:val="0"/>
          <w:bCs w:val="0"/>
          <w:color w:val="auto"/>
          <w:sz w:val="20"/>
          <w:szCs w:val="20"/>
        </w:rPr>
        <w:t>In assessing its existing leases under IFRS guidance the Council has only considered leases where either the value of rent or the value of the asset was material. In addition a ratio of 75% of lease term to asset life has been used as a guide to recognising leases as finance leases.</w:t>
      </w:r>
    </w:p>
    <w:p w:rsidR="00E51139" w:rsidRPr="002D613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2D613F">
        <w:rPr>
          <w:rFonts w:ascii="Arial" w:hAnsi="Arial" w:cs="Arial"/>
          <w:b w:val="0"/>
          <w:bCs w:val="0"/>
          <w:color w:val="auto"/>
          <w:sz w:val="20"/>
          <w:szCs w:val="20"/>
        </w:rPr>
        <w:t>In assessing the recognition of grants the Council has determined that if grant conditions have not been met then the grant is not recognised as income</w:t>
      </w:r>
      <w:r w:rsidR="00BA02F6" w:rsidRPr="002D613F">
        <w:rPr>
          <w:rFonts w:ascii="Arial" w:hAnsi="Arial" w:cs="Arial"/>
          <w:b w:val="0"/>
          <w:bCs w:val="0"/>
          <w:color w:val="auto"/>
          <w:sz w:val="20"/>
          <w:szCs w:val="20"/>
        </w:rPr>
        <w:t>,</w:t>
      </w:r>
      <w:r w:rsidRPr="002D613F">
        <w:rPr>
          <w:rFonts w:ascii="Arial" w:hAnsi="Arial" w:cs="Arial"/>
          <w:b w:val="0"/>
          <w:bCs w:val="0"/>
          <w:color w:val="auto"/>
          <w:sz w:val="20"/>
          <w:szCs w:val="20"/>
        </w:rPr>
        <w:t xml:space="preserve"> but held as a receipt in advance. If a grant could be used to support capital or revenue spend it has been treated as revenue. </w:t>
      </w:r>
    </w:p>
    <w:p w:rsidR="00E51139" w:rsidRPr="002D613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2D613F">
        <w:rPr>
          <w:rFonts w:ascii="Arial" w:hAnsi="Arial" w:cs="Arial"/>
          <w:b w:val="0"/>
          <w:bCs w:val="0"/>
          <w:color w:val="auto"/>
          <w:sz w:val="20"/>
          <w:szCs w:val="20"/>
        </w:rPr>
        <w:t xml:space="preserve">In assessing the fair value of its Heritage Assets the Council has used insurance valuations where available or historic cost. The asset lives of heritage assets, by their nature, have been deemed to be infinite.  </w:t>
      </w:r>
    </w:p>
    <w:p w:rsidR="00E51139" w:rsidRPr="002D613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2D613F">
        <w:rPr>
          <w:rFonts w:ascii="Arial" w:hAnsi="Arial" w:cs="Arial"/>
          <w:b w:val="0"/>
          <w:bCs w:val="0"/>
          <w:color w:val="auto"/>
          <w:sz w:val="20"/>
          <w:szCs w:val="20"/>
        </w:rPr>
        <w:t>The accounting for the recognition of school assets based on the Council’s assessment of its control including its residual interest in asset and its control over school admissions and staff employment over these assets is as follows:</w:t>
      </w:r>
    </w:p>
    <w:p w:rsidR="00E51139" w:rsidRPr="002D613F"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2D613F">
        <w:rPr>
          <w:rFonts w:ascii="Arial" w:hAnsi="Arial" w:cs="Arial"/>
          <w:b w:val="0"/>
          <w:bCs w:val="0"/>
          <w:color w:val="auto"/>
          <w:sz w:val="20"/>
          <w:szCs w:val="20"/>
        </w:rPr>
        <w:t xml:space="preserve">Community Schools </w:t>
      </w:r>
      <w:r w:rsidR="004A55A0" w:rsidRPr="002D613F">
        <w:rPr>
          <w:rFonts w:ascii="Arial" w:hAnsi="Arial" w:cs="Arial"/>
          <w:b w:val="0"/>
          <w:bCs w:val="0"/>
          <w:color w:val="auto"/>
          <w:sz w:val="20"/>
          <w:szCs w:val="20"/>
        </w:rPr>
        <w:t>(</w:t>
      </w:r>
      <w:r w:rsidR="002D613F">
        <w:rPr>
          <w:rFonts w:ascii="Arial" w:hAnsi="Arial" w:cs="Arial"/>
          <w:b w:val="0"/>
          <w:bCs w:val="0"/>
          <w:color w:val="auto"/>
          <w:sz w:val="20"/>
          <w:szCs w:val="20"/>
        </w:rPr>
        <w:t>5</w:t>
      </w:r>
      <w:r w:rsidR="009402B6" w:rsidRPr="002D613F">
        <w:rPr>
          <w:rFonts w:ascii="Arial" w:hAnsi="Arial" w:cs="Arial"/>
          <w:b w:val="0"/>
          <w:bCs w:val="0"/>
          <w:color w:val="auto"/>
          <w:sz w:val="20"/>
          <w:szCs w:val="20"/>
        </w:rPr>
        <w:t xml:space="preserve"> schools</w:t>
      </w:r>
      <w:r w:rsidR="004A55A0" w:rsidRPr="002D613F">
        <w:rPr>
          <w:rFonts w:ascii="Arial" w:hAnsi="Arial" w:cs="Arial"/>
          <w:b w:val="0"/>
          <w:bCs w:val="0"/>
          <w:color w:val="auto"/>
          <w:sz w:val="20"/>
          <w:szCs w:val="20"/>
        </w:rPr>
        <w:t xml:space="preserve">) </w:t>
      </w:r>
      <w:r w:rsidRPr="002D613F">
        <w:rPr>
          <w:rFonts w:ascii="Arial" w:hAnsi="Arial" w:cs="Arial"/>
          <w:b w:val="0"/>
          <w:bCs w:val="0"/>
          <w:color w:val="auto"/>
          <w:sz w:val="20"/>
          <w:szCs w:val="20"/>
        </w:rPr>
        <w:t>– assets recognised on balance sheet</w:t>
      </w:r>
    </w:p>
    <w:p w:rsidR="00E51139" w:rsidRPr="002D613F"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2D613F">
        <w:rPr>
          <w:rFonts w:ascii="Arial" w:hAnsi="Arial" w:cs="Arial"/>
          <w:b w:val="0"/>
          <w:bCs w:val="0"/>
          <w:color w:val="auto"/>
          <w:sz w:val="20"/>
          <w:szCs w:val="20"/>
        </w:rPr>
        <w:t xml:space="preserve">Voluntary Controlled schools </w:t>
      </w:r>
      <w:r w:rsidR="004A55A0" w:rsidRPr="002D613F">
        <w:rPr>
          <w:rFonts w:ascii="Arial" w:hAnsi="Arial" w:cs="Arial"/>
          <w:b w:val="0"/>
          <w:bCs w:val="0"/>
          <w:color w:val="auto"/>
          <w:sz w:val="20"/>
          <w:szCs w:val="20"/>
        </w:rPr>
        <w:t>(</w:t>
      </w:r>
      <w:r w:rsidR="0059539F" w:rsidRPr="002D613F">
        <w:rPr>
          <w:rFonts w:ascii="Arial" w:hAnsi="Arial" w:cs="Arial"/>
          <w:b w:val="0"/>
          <w:bCs w:val="0"/>
          <w:color w:val="auto"/>
          <w:sz w:val="20"/>
          <w:szCs w:val="20"/>
        </w:rPr>
        <w:t>1</w:t>
      </w:r>
      <w:r w:rsidR="009402B6" w:rsidRPr="002D613F">
        <w:rPr>
          <w:rFonts w:ascii="Arial" w:hAnsi="Arial" w:cs="Arial"/>
          <w:b w:val="0"/>
          <w:bCs w:val="0"/>
          <w:color w:val="auto"/>
          <w:sz w:val="20"/>
          <w:szCs w:val="20"/>
        </w:rPr>
        <w:t xml:space="preserve"> schools</w:t>
      </w:r>
      <w:r w:rsidR="004A55A0" w:rsidRPr="002D613F">
        <w:rPr>
          <w:rFonts w:ascii="Arial" w:hAnsi="Arial" w:cs="Arial"/>
          <w:b w:val="0"/>
          <w:bCs w:val="0"/>
          <w:color w:val="auto"/>
          <w:sz w:val="20"/>
          <w:szCs w:val="20"/>
        </w:rPr>
        <w:t xml:space="preserve">) </w:t>
      </w:r>
      <w:r w:rsidRPr="002D613F">
        <w:rPr>
          <w:rFonts w:ascii="Arial" w:hAnsi="Arial" w:cs="Arial"/>
          <w:b w:val="0"/>
          <w:bCs w:val="0"/>
          <w:color w:val="auto"/>
          <w:sz w:val="20"/>
          <w:szCs w:val="20"/>
        </w:rPr>
        <w:t xml:space="preserve">– </w:t>
      </w:r>
      <w:r w:rsidR="00AD4907" w:rsidRPr="002D613F">
        <w:rPr>
          <w:rFonts w:ascii="Arial" w:hAnsi="Arial" w:cs="Arial"/>
          <w:b w:val="0"/>
          <w:bCs w:val="0"/>
          <w:color w:val="auto"/>
          <w:sz w:val="20"/>
          <w:szCs w:val="20"/>
        </w:rPr>
        <w:t xml:space="preserve">building, but not land, </w:t>
      </w:r>
      <w:r w:rsidRPr="002D613F">
        <w:rPr>
          <w:rFonts w:ascii="Arial" w:hAnsi="Arial" w:cs="Arial"/>
          <w:b w:val="0"/>
          <w:bCs w:val="0"/>
          <w:color w:val="auto"/>
          <w:sz w:val="20"/>
          <w:szCs w:val="20"/>
        </w:rPr>
        <w:t>recognised on balance sheet</w:t>
      </w:r>
    </w:p>
    <w:p w:rsidR="00E51139" w:rsidRPr="002D613F"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2D613F">
        <w:rPr>
          <w:rFonts w:ascii="Arial" w:hAnsi="Arial" w:cs="Arial"/>
          <w:b w:val="0"/>
          <w:bCs w:val="0"/>
          <w:color w:val="auto"/>
          <w:sz w:val="20"/>
          <w:szCs w:val="20"/>
        </w:rPr>
        <w:t xml:space="preserve">Voluntary Aided Schools </w:t>
      </w:r>
      <w:r w:rsidR="004A55A0" w:rsidRPr="002D613F">
        <w:rPr>
          <w:rFonts w:ascii="Arial" w:hAnsi="Arial" w:cs="Arial"/>
          <w:b w:val="0"/>
          <w:bCs w:val="0"/>
          <w:color w:val="auto"/>
          <w:sz w:val="20"/>
          <w:szCs w:val="20"/>
        </w:rPr>
        <w:t>(</w:t>
      </w:r>
      <w:r w:rsidR="002D613F">
        <w:rPr>
          <w:rFonts w:ascii="Arial" w:hAnsi="Arial" w:cs="Arial"/>
          <w:b w:val="0"/>
          <w:bCs w:val="0"/>
          <w:color w:val="auto"/>
          <w:sz w:val="20"/>
          <w:szCs w:val="20"/>
        </w:rPr>
        <w:t>1</w:t>
      </w:r>
      <w:r w:rsidR="009402B6" w:rsidRPr="002D613F">
        <w:rPr>
          <w:rFonts w:ascii="Arial" w:hAnsi="Arial" w:cs="Arial"/>
          <w:b w:val="0"/>
          <w:bCs w:val="0"/>
          <w:color w:val="auto"/>
          <w:sz w:val="20"/>
          <w:szCs w:val="20"/>
        </w:rPr>
        <w:t xml:space="preserve"> schools)</w:t>
      </w:r>
      <w:r w:rsidR="004A55A0" w:rsidRPr="002D613F">
        <w:rPr>
          <w:rFonts w:ascii="Arial" w:hAnsi="Arial" w:cs="Arial"/>
          <w:b w:val="0"/>
          <w:bCs w:val="0"/>
          <w:color w:val="auto"/>
          <w:sz w:val="20"/>
          <w:szCs w:val="20"/>
        </w:rPr>
        <w:t xml:space="preserve"> </w:t>
      </w:r>
      <w:r w:rsidRPr="002D613F">
        <w:rPr>
          <w:rFonts w:ascii="Arial" w:hAnsi="Arial" w:cs="Arial"/>
          <w:b w:val="0"/>
          <w:bCs w:val="0"/>
          <w:color w:val="auto"/>
          <w:sz w:val="20"/>
          <w:szCs w:val="20"/>
        </w:rPr>
        <w:t xml:space="preserve">– </w:t>
      </w:r>
      <w:r w:rsidR="00AD4907" w:rsidRPr="002D613F">
        <w:rPr>
          <w:rFonts w:ascii="Arial" w:hAnsi="Arial" w:cs="Arial"/>
          <w:b w:val="0"/>
          <w:bCs w:val="0"/>
          <w:color w:val="auto"/>
          <w:sz w:val="20"/>
          <w:szCs w:val="20"/>
        </w:rPr>
        <w:t>building, but not land,</w:t>
      </w:r>
      <w:r w:rsidRPr="002D613F">
        <w:rPr>
          <w:rFonts w:ascii="Arial" w:hAnsi="Arial" w:cs="Arial"/>
          <w:b w:val="0"/>
          <w:bCs w:val="0"/>
          <w:color w:val="auto"/>
          <w:sz w:val="20"/>
          <w:szCs w:val="20"/>
        </w:rPr>
        <w:t xml:space="preserve"> recognised on balance sheet</w:t>
      </w:r>
    </w:p>
    <w:p w:rsidR="00104633" w:rsidRPr="002D613F"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2D613F">
        <w:rPr>
          <w:rFonts w:ascii="Arial" w:hAnsi="Arial" w:cs="Arial"/>
          <w:b w:val="0"/>
          <w:bCs w:val="0"/>
          <w:color w:val="auto"/>
          <w:sz w:val="20"/>
          <w:szCs w:val="20"/>
        </w:rPr>
        <w:t xml:space="preserve">Foundation Schools </w:t>
      </w:r>
      <w:r w:rsidR="004A55A0" w:rsidRPr="002D613F">
        <w:rPr>
          <w:rFonts w:ascii="Arial" w:hAnsi="Arial" w:cs="Arial"/>
          <w:b w:val="0"/>
          <w:bCs w:val="0"/>
          <w:color w:val="auto"/>
          <w:sz w:val="20"/>
          <w:szCs w:val="20"/>
        </w:rPr>
        <w:t>(2</w:t>
      </w:r>
      <w:r w:rsidR="009402B6" w:rsidRPr="002D613F">
        <w:rPr>
          <w:rFonts w:ascii="Arial" w:hAnsi="Arial" w:cs="Arial"/>
          <w:b w:val="0"/>
          <w:bCs w:val="0"/>
          <w:color w:val="auto"/>
          <w:sz w:val="20"/>
          <w:szCs w:val="20"/>
        </w:rPr>
        <w:t xml:space="preserve"> schools</w:t>
      </w:r>
      <w:r w:rsidR="004A55A0" w:rsidRPr="002D613F">
        <w:rPr>
          <w:rFonts w:ascii="Arial" w:hAnsi="Arial" w:cs="Arial"/>
          <w:b w:val="0"/>
          <w:bCs w:val="0"/>
          <w:color w:val="auto"/>
          <w:sz w:val="20"/>
          <w:szCs w:val="20"/>
        </w:rPr>
        <w:t xml:space="preserve">) </w:t>
      </w:r>
      <w:r w:rsidRPr="002D613F">
        <w:rPr>
          <w:rFonts w:ascii="Arial" w:hAnsi="Arial" w:cs="Arial"/>
          <w:b w:val="0"/>
          <w:bCs w:val="0"/>
          <w:color w:val="auto"/>
          <w:sz w:val="20"/>
          <w:szCs w:val="20"/>
        </w:rPr>
        <w:t>- assets recognised on balance sheet</w:t>
      </w:r>
    </w:p>
    <w:p w:rsidR="00E51139" w:rsidRPr="002D613F"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2D613F">
        <w:rPr>
          <w:rFonts w:ascii="Arial" w:hAnsi="Arial" w:cs="Arial"/>
          <w:b w:val="0"/>
          <w:bCs w:val="0"/>
          <w:color w:val="auto"/>
          <w:sz w:val="20"/>
          <w:szCs w:val="20"/>
        </w:rPr>
        <w:t xml:space="preserve">Academy Schools - assets </w:t>
      </w:r>
      <w:r w:rsidRPr="002D613F">
        <w:rPr>
          <w:rFonts w:ascii="Arial" w:hAnsi="Arial" w:cs="Arial"/>
          <w:b w:val="0"/>
          <w:bCs w:val="0"/>
          <w:color w:val="auto"/>
          <w:sz w:val="20"/>
          <w:szCs w:val="20"/>
          <w:u w:val="single"/>
        </w:rPr>
        <w:t>not</w:t>
      </w:r>
      <w:r w:rsidRPr="002D613F">
        <w:rPr>
          <w:rFonts w:ascii="Arial" w:hAnsi="Arial" w:cs="Arial"/>
          <w:b w:val="0"/>
          <w:bCs w:val="0"/>
          <w:color w:val="auto"/>
          <w:sz w:val="20"/>
          <w:szCs w:val="20"/>
        </w:rPr>
        <w:t xml:space="preserve"> recognised on balance sheet</w:t>
      </w:r>
    </w:p>
    <w:p w:rsidR="00E51139" w:rsidRPr="0005794A" w:rsidRDefault="00E51139" w:rsidP="0086721D">
      <w:pPr>
        <w:pStyle w:val="ExampleSub"/>
        <w:keepNext w:val="0"/>
        <w:keepLines w:val="0"/>
        <w:ind w:left="1647"/>
        <w:outlineLvl w:val="0"/>
        <w:rPr>
          <w:rFonts w:ascii="Arial" w:hAnsi="Arial" w:cs="Arial"/>
          <w:b w:val="0"/>
          <w:bCs w:val="0"/>
          <w:color w:val="548DD4" w:themeColor="text2" w:themeTint="99"/>
          <w:sz w:val="20"/>
          <w:szCs w:val="20"/>
        </w:rPr>
      </w:pPr>
      <w:r w:rsidRPr="002D613F">
        <w:rPr>
          <w:rFonts w:ascii="Arial" w:hAnsi="Arial" w:cs="Arial"/>
          <w:b w:val="0"/>
          <w:bCs w:val="0"/>
          <w:color w:val="auto"/>
          <w:sz w:val="20"/>
          <w:szCs w:val="20"/>
        </w:rPr>
        <w:t xml:space="preserve">Schools </w:t>
      </w:r>
      <w:r w:rsidR="00EF1215" w:rsidRPr="002D613F">
        <w:rPr>
          <w:rFonts w:ascii="Arial" w:hAnsi="Arial" w:cs="Arial"/>
          <w:b w:val="0"/>
          <w:bCs w:val="0"/>
          <w:color w:val="auto"/>
          <w:sz w:val="20"/>
          <w:szCs w:val="20"/>
        </w:rPr>
        <w:t xml:space="preserve">assets </w:t>
      </w:r>
      <w:r w:rsidRPr="002D613F">
        <w:rPr>
          <w:rFonts w:ascii="Arial" w:hAnsi="Arial" w:cs="Arial"/>
          <w:b w:val="0"/>
          <w:bCs w:val="0"/>
          <w:color w:val="auto"/>
          <w:sz w:val="20"/>
          <w:szCs w:val="20"/>
        </w:rPr>
        <w:t>converting to Academy status are written out from the Council’s balance sheet in year of transfer.</w:t>
      </w:r>
      <w:r w:rsidR="0086721D" w:rsidRPr="002D613F">
        <w:rPr>
          <w:rFonts w:ascii="Arial" w:hAnsi="Arial" w:cs="Arial"/>
          <w:b w:val="0"/>
          <w:bCs w:val="0"/>
          <w:color w:val="auto"/>
          <w:sz w:val="20"/>
          <w:szCs w:val="20"/>
        </w:rPr>
        <w:t xml:space="preserve"> </w:t>
      </w:r>
      <w:r w:rsidRPr="002D613F">
        <w:rPr>
          <w:rFonts w:ascii="Arial" w:hAnsi="Arial" w:cs="Arial"/>
          <w:b w:val="0"/>
          <w:bCs w:val="0"/>
          <w:color w:val="auto"/>
          <w:sz w:val="20"/>
          <w:szCs w:val="20"/>
        </w:rPr>
        <w:t xml:space="preserve">The Comprehensive Income and Expenditure statement does not include any </w:t>
      </w:r>
      <w:r w:rsidR="00AE00F0" w:rsidRPr="002D613F">
        <w:rPr>
          <w:rFonts w:ascii="Arial" w:hAnsi="Arial" w:cs="Arial"/>
          <w:b w:val="0"/>
          <w:bCs w:val="0"/>
          <w:color w:val="auto"/>
          <w:sz w:val="20"/>
          <w:szCs w:val="20"/>
        </w:rPr>
        <w:t xml:space="preserve">income </w:t>
      </w:r>
      <w:r w:rsidRPr="002D613F">
        <w:rPr>
          <w:rFonts w:ascii="Arial" w:hAnsi="Arial" w:cs="Arial"/>
          <w:b w:val="0"/>
          <w:bCs w:val="0"/>
          <w:color w:val="auto"/>
          <w:sz w:val="20"/>
          <w:szCs w:val="20"/>
        </w:rPr>
        <w:t>or expenditure associated with Academy schools</w:t>
      </w:r>
      <w:r w:rsidR="00AE00F0" w:rsidRPr="002D613F">
        <w:rPr>
          <w:rFonts w:ascii="Arial" w:hAnsi="Arial" w:cs="Arial"/>
          <w:b w:val="0"/>
          <w:bCs w:val="0"/>
          <w:color w:val="auto"/>
          <w:sz w:val="20"/>
          <w:szCs w:val="20"/>
        </w:rPr>
        <w:t xml:space="preserve"> after date of transfer</w:t>
      </w:r>
      <w:r w:rsidRPr="002D613F">
        <w:rPr>
          <w:rFonts w:ascii="Arial" w:hAnsi="Arial" w:cs="Arial"/>
          <w:b w:val="0"/>
          <w:bCs w:val="0"/>
          <w:color w:val="auto"/>
          <w:sz w:val="20"/>
          <w:szCs w:val="20"/>
        </w:rPr>
        <w:t>.</w:t>
      </w:r>
      <w:r w:rsidR="0086721D" w:rsidRPr="002D613F">
        <w:rPr>
          <w:rFonts w:ascii="Arial" w:hAnsi="Arial" w:cs="Arial"/>
          <w:b w:val="0"/>
          <w:bCs w:val="0"/>
          <w:color w:val="auto"/>
          <w:sz w:val="20"/>
          <w:szCs w:val="20"/>
        </w:rPr>
        <w:t xml:space="preserve"> There are no significant restrictions or material risks in relation to the schools assets or liabilities</w:t>
      </w:r>
      <w:r w:rsidR="0086721D" w:rsidRPr="0005794A">
        <w:rPr>
          <w:rFonts w:ascii="Arial" w:hAnsi="Arial" w:cs="Arial"/>
          <w:b w:val="0"/>
          <w:bCs w:val="0"/>
          <w:color w:val="548DD4" w:themeColor="text2" w:themeTint="99"/>
          <w:sz w:val="20"/>
          <w:szCs w:val="20"/>
        </w:rPr>
        <w:t>.</w:t>
      </w:r>
    </w:p>
    <w:p w:rsidR="00C11EB1" w:rsidRPr="002D613F" w:rsidRDefault="00C11EB1" w:rsidP="00FC32F1">
      <w:pPr>
        <w:pStyle w:val="ExampleSub"/>
        <w:keepNext w:val="0"/>
        <w:keepLines w:val="0"/>
        <w:numPr>
          <w:ilvl w:val="0"/>
          <w:numId w:val="19"/>
        </w:numPr>
        <w:outlineLvl w:val="0"/>
        <w:rPr>
          <w:rFonts w:ascii="Arial" w:hAnsi="Arial" w:cs="Arial"/>
          <w:b w:val="0"/>
          <w:bCs w:val="0"/>
          <w:color w:val="auto"/>
          <w:sz w:val="20"/>
          <w:szCs w:val="20"/>
        </w:rPr>
      </w:pPr>
      <w:r w:rsidRPr="002D613F">
        <w:rPr>
          <w:rFonts w:ascii="Arial" w:hAnsi="Arial" w:cs="Arial"/>
          <w:b w:val="0"/>
          <w:bCs w:val="0"/>
          <w:color w:val="auto"/>
          <w:sz w:val="20"/>
          <w:szCs w:val="20"/>
        </w:rPr>
        <w:t xml:space="preserve">The </w:t>
      </w:r>
      <w:r w:rsidR="004719A5" w:rsidRPr="002D613F">
        <w:rPr>
          <w:rFonts w:ascii="Arial" w:hAnsi="Arial" w:cs="Arial"/>
          <w:b w:val="0"/>
          <w:bCs w:val="0"/>
          <w:color w:val="auto"/>
          <w:sz w:val="20"/>
          <w:szCs w:val="20"/>
        </w:rPr>
        <w:t xml:space="preserve">Council has </w:t>
      </w:r>
      <w:r w:rsidRPr="002D613F">
        <w:rPr>
          <w:rFonts w:ascii="Arial" w:hAnsi="Arial" w:cs="Arial"/>
          <w:b w:val="0"/>
          <w:bCs w:val="0"/>
          <w:color w:val="auto"/>
          <w:sz w:val="20"/>
          <w:szCs w:val="20"/>
        </w:rPr>
        <w:t>recogni</w:t>
      </w:r>
      <w:r w:rsidR="004719A5" w:rsidRPr="002D613F">
        <w:rPr>
          <w:rFonts w:ascii="Arial" w:hAnsi="Arial" w:cs="Arial"/>
          <w:b w:val="0"/>
          <w:bCs w:val="0"/>
          <w:color w:val="auto"/>
          <w:sz w:val="20"/>
          <w:szCs w:val="20"/>
        </w:rPr>
        <w:t>sed</w:t>
      </w:r>
      <w:r w:rsidRPr="002D613F">
        <w:rPr>
          <w:rFonts w:ascii="Arial" w:hAnsi="Arial" w:cs="Arial"/>
          <w:b w:val="0"/>
          <w:bCs w:val="0"/>
          <w:color w:val="auto"/>
          <w:sz w:val="20"/>
          <w:szCs w:val="20"/>
        </w:rPr>
        <w:t xml:space="preserve"> a </w:t>
      </w:r>
      <w:r w:rsidR="00B86100" w:rsidRPr="002D613F">
        <w:rPr>
          <w:rFonts w:ascii="Arial" w:hAnsi="Arial" w:cs="Arial"/>
          <w:b w:val="0"/>
          <w:bCs w:val="0"/>
          <w:color w:val="auto"/>
          <w:sz w:val="20"/>
          <w:szCs w:val="20"/>
        </w:rPr>
        <w:t xml:space="preserve">long term </w:t>
      </w:r>
      <w:r w:rsidRPr="002D613F">
        <w:rPr>
          <w:rFonts w:ascii="Arial" w:hAnsi="Arial" w:cs="Arial"/>
          <w:b w:val="0"/>
          <w:bCs w:val="0"/>
          <w:color w:val="auto"/>
          <w:sz w:val="20"/>
          <w:szCs w:val="20"/>
        </w:rPr>
        <w:t xml:space="preserve">liability for the </w:t>
      </w:r>
      <w:r w:rsidR="00CB28EB" w:rsidRPr="002D613F">
        <w:rPr>
          <w:rFonts w:ascii="Arial" w:hAnsi="Arial" w:cs="Arial"/>
          <w:b w:val="0"/>
          <w:bCs w:val="0"/>
          <w:color w:val="auto"/>
          <w:sz w:val="20"/>
          <w:szCs w:val="20"/>
        </w:rPr>
        <w:t xml:space="preserve">annual </w:t>
      </w:r>
      <w:r w:rsidRPr="002D613F">
        <w:rPr>
          <w:rFonts w:ascii="Arial" w:hAnsi="Arial" w:cs="Arial"/>
          <w:b w:val="0"/>
          <w:bCs w:val="0"/>
          <w:color w:val="auto"/>
          <w:sz w:val="20"/>
          <w:szCs w:val="20"/>
        </w:rPr>
        <w:t xml:space="preserve">local government reorganisation discretionary pension payment to Devon County </w:t>
      </w:r>
      <w:r w:rsidR="00CB28EB" w:rsidRPr="002D613F">
        <w:rPr>
          <w:rFonts w:ascii="Arial" w:hAnsi="Arial" w:cs="Arial"/>
          <w:b w:val="0"/>
          <w:bCs w:val="0"/>
          <w:color w:val="auto"/>
          <w:sz w:val="20"/>
          <w:szCs w:val="20"/>
        </w:rPr>
        <w:t>Council</w:t>
      </w:r>
      <w:r w:rsidR="007C6793" w:rsidRPr="002D613F">
        <w:rPr>
          <w:rFonts w:ascii="Arial" w:hAnsi="Arial" w:cs="Arial"/>
          <w:b w:val="0"/>
          <w:bCs w:val="0"/>
          <w:color w:val="auto"/>
          <w:sz w:val="20"/>
          <w:szCs w:val="20"/>
        </w:rPr>
        <w:t xml:space="preserve">. This payment </w:t>
      </w:r>
      <w:r w:rsidR="00357950" w:rsidRPr="002D613F">
        <w:rPr>
          <w:rFonts w:ascii="Arial" w:hAnsi="Arial" w:cs="Arial"/>
          <w:b w:val="0"/>
          <w:bCs w:val="0"/>
          <w:color w:val="auto"/>
          <w:sz w:val="20"/>
          <w:szCs w:val="20"/>
        </w:rPr>
        <w:t xml:space="preserve">is invoiced </w:t>
      </w:r>
      <w:r w:rsidR="009D1CC9" w:rsidRPr="002D613F">
        <w:rPr>
          <w:rFonts w:ascii="Arial" w:hAnsi="Arial" w:cs="Arial"/>
          <w:b w:val="0"/>
          <w:bCs w:val="0"/>
          <w:color w:val="auto"/>
          <w:sz w:val="20"/>
          <w:szCs w:val="20"/>
        </w:rPr>
        <w:t>for i</w:t>
      </w:r>
      <w:r w:rsidR="00357950" w:rsidRPr="002D613F">
        <w:rPr>
          <w:rFonts w:ascii="Arial" w:hAnsi="Arial" w:cs="Arial"/>
          <w:b w:val="0"/>
          <w:bCs w:val="0"/>
          <w:color w:val="auto"/>
          <w:sz w:val="20"/>
          <w:szCs w:val="20"/>
        </w:rPr>
        <w:t xml:space="preserve">n the year that the County </w:t>
      </w:r>
      <w:r w:rsidR="006D6747" w:rsidRPr="002D613F">
        <w:rPr>
          <w:rFonts w:ascii="Arial" w:hAnsi="Arial" w:cs="Arial"/>
          <w:b w:val="0"/>
          <w:bCs w:val="0"/>
          <w:color w:val="auto"/>
          <w:sz w:val="20"/>
          <w:szCs w:val="20"/>
        </w:rPr>
        <w:t xml:space="preserve">Council </w:t>
      </w:r>
      <w:r w:rsidR="00357950" w:rsidRPr="002D613F">
        <w:rPr>
          <w:rFonts w:ascii="Arial" w:hAnsi="Arial" w:cs="Arial"/>
          <w:b w:val="0"/>
          <w:bCs w:val="0"/>
          <w:color w:val="auto"/>
          <w:sz w:val="20"/>
          <w:szCs w:val="20"/>
        </w:rPr>
        <w:t>makes payments to its pensioners</w:t>
      </w:r>
      <w:r w:rsidR="00CB28EB" w:rsidRPr="002D613F">
        <w:rPr>
          <w:rFonts w:ascii="Arial" w:hAnsi="Arial" w:cs="Arial"/>
          <w:b w:val="0"/>
          <w:bCs w:val="0"/>
          <w:color w:val="auto"/>
          <w:sz w:val="20"/>
          <w:szCs w:val="20"/>
        </w:rPr>
        <w:t>.</w:t>
      </w:r>
    </w:p>
    <w:p w:rsidR="007114D2" w:rsidRPr="002D613F" w:rsidRDefault="002478D6" w:rsidP="00FC32F1">
      <w:pPr>
        <w:pStyle w:val="ExampleSub"/>
        <w:keepNext w:val="0"/>
        <w:keepLines w:val="0"/>
        <w:numPr>
          <w:ilvl w:val="0"/>
          <w:numId w:val="19"/>
        </w:numPr>
        <w:outlineLvl w:val="0"/>
        <w:rPr>
          <w:rFonts w:ascii="Arial" w:hAnsi="Arial" w:cs="Arial"/>
          <w:b w:val="0"/>
          <w:bCs w:val="0"/>
          <w:color w:val="auto"/>
          <w:sz w:val="20"/>
          <w:szCs w:val="20"/>
        </w:rPr>
      </w:pPr>
      <w:r w:rsidRPr="002D613F">
        <w:rPr>
          <w:rFonts w:ascii="Arial" w:hAnsi="Arial" w:cs="Arial"/>
          <w:b w:val="0"/>
          <w:bCs w:val="0"/>
          <w:color w:val="auto"/>
          <w:sz w:val="20"/>
          <w:szCs w:val="20"/>
        </w:rPr>
        <w:t xml:space="preserve">The Council has recognised its </w:t>
      </w:r>
      <w:r w:rsidR="000E1215" w:rsidRPr="002D613F">
        <w:rPr>
          <w:rFonts w:ascii="Arial" w:hAnsi="Arial" w:cs="Arial"/>
          <w:b w:val="0"/>
          <w:bCs w:val="0"/>
          <w:color w:val="auto"/>
          <w:sz w:val="20"/>
          <w:szCs w:val="20"/>
        </w:rPr>
        <w:t xml:space="preserve">(£33m/17%) </w:t>
      </w:r>
      <w:r w:rsidRPr="002D613F">
        <w:rPr>
          <w:rFonts w:ascii="Arial" w:hAnsi="Arial" w:cs="Arial"/>
          <w:b w:val="0"/>
          <w:bCs w:val="0"/>
          <w:color w:val="auto"/>
          <w:sz w:val="20"/>
          <w:szCs w:val="20"/>
        </w:rPr>
        <w:t xml:space="preserve">share of the Energy </w:t>
      </w:r>
      <w:r w:rsidR="00CA7693" w:rsidRPr="002D613F">
        <w:rPr>
          <w:rFonts w:ascii="Arial" w:hAnsi="Arial" w:cs="Arial"/>
          <w:b w:val="0"/>
          <w:bCs w:val="0"/>
          <w:color w:val="auto"/>
          <w:sz w:val="20"/>
          <w:szCs w:val="20"/>
        </w:rPr>
        <w:t>from</w:t>
      </w:r>
      <w:r w:rsidRPr="002D613F">
        <w:rPr>
          <w:rFonts w:ascii="Arial" w:hAnsi="Arial" w:cs="Arial"/>
          <w:b w:val="0"/>
          <w:bCs w:val="0"/>
          <w:color w:val="auto"/>
          <w:sz w:val="20"/>
          <w:szCs w:val="20"/>
        </w:rPr>
        <w:t xml:space="preserve"> Waste facility in Plymouth based on estimated tonnages per the </w:t>
      </w:r>
      <w:r w:rsidR="00700E95" w:rsidRPr="002D613F">
        <w:rPr>
          <w:rFonts w:ascii="Arial" w:hAnsi="Arial" w:cs="Arial"/>
          <w:b w:val="0"/>
          <w:bCs w:val="0"/>
          <w:color w:val="auto"/>
          <w:sz w:val="20"/>
          <w:szCs w:val="20"/>
        </w:rPr>
        <w:t>business</w:t>
      </w:r>
      <w:r w:rsidRPr="002D613F">
        <w:rPr>
          <w:rFonts w:ascii="Arial" w:hAnsi="Arial" w:cs="Arial"/>
          <w:b w:val="0"/>
          <w:bCs w:val="0"/>
          <w:color w:val="auto"/>
          <w:sz w:val="20"/>
          <w:szCs w:val="20"/>
        </w:rPr>
        <w:t xml:space="preserve"> case for the facility and the fina</w:t>
      </w:r>
      <w:r w:rsidR="00347B68" w:rsidRPr="002D613F">
        <w:rPr>
          <w:rFonts w:ascii="Arial" w:hAnsi="Arial" w:cs="Arial"/>
          <w:b w:val="0"/>
          <w:bCs w:val="0"/>
          <w:color w:val="auto"/>
          <w:sz w:val="20"/>
          <w:szCs w:val="20"/>
        </w:rPr>
        <w:t xml:space="preserve">ncial </w:t>
      </w:r>
      <w:r w:rsidRPr="002D613F">
        <w:rPr>
          <w:rFonts w:ascii="Arial" w:hAnsi="Arial" w:cs="Arial"/>
          <w:b w:val="0"/>
          <w:bCs w:val="0"/>
          <w:color w:val="auto"/>
          <w:sz w:val="20"/>
          <w:szCs w:val="20"/>
        </w:rPr>
        <w:t xml:space="preserve">allocation model agreed between Torbay, Plymouth and Devon </w:t>
      </w:r>
      <w:r w:rsidR="007C4331" w:rsidRPr="002D613F">
        <w:rPr>
          <w:rFonts w:ascii="Arial" w:hAnsi="Arial" w:cs="Arial"/>
          <w:b w:val="0"/>
          <w:bCs w:val="0"/>
          <w:color w:val="auto"/>
          <w:sz w:val="20"/>
          <w:szCs w:val="20"/>
        </w:rPr>
        <w:t xml:space="preserve">County </w:t>
      </w:r>
      <w:r w:rsidRPr="002D613F">
        <w:rPr>
          <w:rFonts w:ascii="Arial" w:hAnsi="Arial" w:cs="Arial"/>
          <w:b w:val="0"/>
          <w:bCs w:val="0"/>
          <w:color w:val="auto"/>
          <w:sz w:val="20"/>
          <w:szCs w:val="20"/>
        </w:rPr>
        <w:t xml:space="preserve">Councils. </w:t>
      </w:r>
      <w:r w:rsidR="003F644B" w:rsidRPr="002D613F">
        <w:rPr>
          <w:rFonts w:ascii="Arial" w:hAnsi="Arial" w:cs="Arial"/>
          <w:b w:val="0"/>
          <w:bCs w:val="0"/>
          <w:color w:val="auto"/>
          <w:sz w:val="20"/>
          <w:szCs w:val="20"/>
        </w:rPr>
        <w:t xml:space="preserve">All three </w:t>
      </w:r>
      <w:r w:rsidR="007E33E1" w:rsidRPr="002D613F">
        <w:rPr>
          <w:rFonts w:ascii="Arial" w:hAnsi="Arial" w:cs="Arial"/>
          <w:b w:val="0"/>
          <w:bCs w:val="0"/>
          <w:color w:val="auto"/>
          <w:sz w:val="20"/>
          <w:szCs w:val="20"/>
        </w:rPr>
        <w:t>Councils</w:t>
      </w:r>
      <w:r w:rsidR="003F644B" w:rsidRPr="002D613F">
        <w:rPr>
          <w:rFonts w:ascii="Arial" w:hAnsi="Arial" w:cs="Arial"/>
          <w:b w:val="0"/>
          <w:bCs w:val="0"/>
          <w:color w:val="auto"/>
          <w:sz w:val="20"/>
          <w:szCs w:val="20"/>
        </w:rPr>
        <w:t xml:space="preserve"> have asse</w:t>
      </w:r>
      <w:r w:rsidR="00F65AE4" w:rsidRPr="002D613F">
        <w:rPr>
          <w:rFonts w:ascii="Arial" w:hAnsi="Arial" w:cs="Arial"/>
          <w:b w:val="0"/>
          <w:bCs w:val="0"/>
          <w:color w:val="auto"/>
          <w:sz w:val="20"/>
          <w:szCs w:val="20"/>
        </w:rPr>
        <w:t>ssed the facility to be "on balance</w:t>
      </w:r>
      <w:r w:rsidR="003F644B" w:rsidRPr="002D613F">
        <w:rPr>
          <w:rFonts w:ascii="Arial" w:hAnsi="Arial" w:cs="Arial"/>
          <w:b w:val="0"/>
          <w:bCs w:val="0"/>
          <w:color w:val="auto"/>
          <w:sz w:val="20"/>
          <w:szCs w:val="20"/>
        </w:rPr>
        <w:t xml:space="preserve"> sheet" under </w:t>
      </w:r>
      <w:r w:rsidR="003F644B" w:rsidRPr="002D613F">
        <w:rPr>
          <w:rFonts w:ascii="Arial" w:hAnsi="Arial" w:cs="Arial"/>
          <w:b w:val="0"/>
          <w:bCs w:val="0"/>
          <w:color w:val="auto"/>
          <w:sz w:val="20"/>
          <w:szCs w:val="20"/>
        </w:rPr>
        <w:lastRenderedPageBreak/>
        <w:t xml:space="preserve">IFRIC12 as a service concession </w:t>
      </w:r>
      <w:r w:rsidR="007E33E1" w:rsidRPr="002D613F">
        <w:rPr>
          <w:rFonts w:ascii="Arial" w:hAnsi="Arial" w:cs="Arial"/>
          <w:b w:val="0"/>
          <w:bCs w:val="0"/>
          <w:color w:val="auto"/>
          <w:sz w:val="20"/>
          <w:szCs w:val="20"/>
        </w:rPr>
        <w:t>arrangement</w:t>
      </w:r>
      <w:r w:rsidR="003F644B" w:rsidRPr="002D613F">
        <w:rPr>
          <w:rFonts w:ascii="Arial" w:hAnsi="Arial" w:cs="Arial"/>
          <w:b w:val="0"/>
          <w:bCs w:val="0"/>
          <w:color w:val="auto"/>
          <w:sz w:val="20"/>
          <w:szCs w:val="20"/>
        </w:rPr>
        <w:t xml:space="preserve">. </w:t>
      </w:r>
      <w:r w:rsidR="000E1215" w:rsidRPr="002D613F">
        <w:rPr>
          <w:rFonts w:ascii="Arial" w:hAnsi="Arial" w:cs="Arial"/>
          <w:b w:val="0"/>
          <w:bCs w:val="0"/>
          <w:color w:val="auto"/>
          <w:sz w:val="20"/>
          <w:szCs w:val="20"/>
        </w:rPr>
        <w:t>The Council has recognised a li</w:t>
      </w:r>
      <w:r w:rsidR="009B3AB7" w:rsidRPr="002D613F">
        <w:rPr>
          <w:rFonts w:ascii="Arial" w:hAnsi="Arial" w:cs="Arial"/>
          <w:b w:val="0"/>
          <w:bCs w:val="0"/>
          <w:color w:val="auto"/>
          <w:sz w:val="20"/>
          <w:szCs w:val="20"/>
        </w:rPr>
        <w:t>ability</w:t>
      </w:r>
      <w:r w:rsidR="000E1215" w:rsidRPr="002D613F">
        <w:rPr>
          <w:rFonts w:ascii="Arial" w:hAnsi="Arial" w:cs="Arial"/>
          <w:b w:val="0"/>
          <w:bCs w:val="0"/>
          <w:color w:val="auto"/>
          <w:sz w:val="20"/>
          <w:szCs w:val="20"/>
        </w:rPr>
        <w:t xml:space="preserve"> to the val</w:t>
      </w:r>
      <w:r w:rsidR="003C35D2" w:rsidRPr="002D613F">
        <w:rPr>
          <w:rFonts w:ascii="Arial" w:hAnsi="Arial" w:cs="Arial"/>
          <w:b w:val="0"/>
          <w:bCs w:val="0"/>
          <w:color w:val="auto"/>
          <w:sz w:val="20"/>
          <w:szCs w:val="20"/>
        </w:rPr>
        <w:t>ue</w:t>
      </w:r>
      <w:r w:rsidR="000E1215" w:rsidRPr="002D613F">
        <w:rPr>
          <w:rFonts w:ascii="Arial" w:hAnsi="Arial" w:cs="Arial"/>
          <w:b w:val="0"/>
          <w:bCs w:val="0"/>
          <w:color w:val="auto"/>
          <w:sz w:val="20"/>
          <w:szCs w:val="20"/>
        </w:rPr>
        <w:t xml:space="preserve"> of the asset recognised. This </w:t>
      </w:r>
      <w:r w:rsidR="00700E95" w:rsidRPr="002D613F">
        <w:rPr>
          <w:rFonts w:ascii="Arial" w:hAnsi="Arial" w:cs="Arial"/>
          <w:b w:val="0"/>
          <w:bCs w:val="0"/>
          <w:color w:val="auto"/>
          <w:sz w:val="20"/>
          <w:szCs w:val="20"/>
        </w:rPr>
        <w:t>liability</w:t>
      </w:r>
      <w:r w:rsidR="000E1215" w:rsidRPr="002D613F">
        <w:rPr>
          <w:rFonts w:ascii="Arial" w:hAnsi="Arial" w:cs="Arial"/>
          <w:b w:val="0"/>
          <w:bCs w:val="0"/>
          <w:color w:val="auto"/>
          <w:sz w:val="20"/>
          <w:szCs w:val="20"/>
        </w:rPr>
        <w:t xml:space="preserve"> is apportioned between the </w:t>
      </w:r>
      <w:r w:rsidR="00700E95" w:rsidRPr="002D613F">
        <w:rPr>
          <w:rFonts w:ascii="Arial" w:hAnsi="Arial" w:cs="Arial"/>
          <w:b w:val="0"/>
          <w:bCs w:val="0"/>
          <w:color w:val="auto"/>
          <w:sz w:val="20"/>
          <w:szCs w:val="20"/>
        </w:rPr>
        <w:t>Council's</w:t>
      </w:r>
      <w:r w:rsidR="00323F70" w:rsidRPr="002D613F">
        <w:rPr>
          <w:rFonts w:ascii="Arial" w:hAnsi="Arial" w:cs="Arial"/>
          <w:b w:val="0"/>
          <w:bCs w:val="0"/>
          <w:color w:val="auto"/>
          <w:sz w:val="20"/>
          <w:szCs w:val="20"/>
        </w:rPr>
        <w:t xml:space="preserve"> own</w:t>
      </w:r>
      <w:r w:rsidR="000E1215" w:rsidRPr="002D613F">
        <w:rPr>
          <w:rFonts w:ascii="Arial" w:hAnsi="Arial" w:cs="Arial"/>
          <w:b w:val="0"/>
          <w:bCs w:val="0"/>
          <w:color w:val="auto"/>
          <w:sz w:val="20"/>
          <w:szCs w:val="20"/>
        </w:rPr>
        <w:t xml:space="preserve"> liability to fund the asset based on forecast unitary payments over the life of the facility </w:t>
      </w:r>
      <w:r w:rsidR="00323F70" w:rsidRPr="002D613F">
        <w:rPr>
          <w:rFonts w:ascii="Arial" w:hAnsi="Arial" w:cs="Arial"/>
          <w:b w:val="0"/>
          <w:bCs w:val="0"/>
          <w:color w:val="auto"/>
          <w:sz w:val="20"/>
          <w:szCs w:val="20"/>
        </w:rPr>
        <w:t xml:space="preserve">from the three councils </w:t>
      </w:r>
      <w:r w:rsidR="005A70B3" w:rsidRPr="002D613F">
        <w:rPr>
          <w:rFonts w:ascii="Arial" w:hAnsi="Arial" w:cs="Arial"/>
          <w:b w:val="0"/>
          <w:bCs w:val="0"/>
          <w:color w:val="auto"/>
          <w:sz w:val="20"/>
          <w:szCs w:val="20"/>
        </w:rPr>
        <w:t xml:space="preserve">(£12m/37%) </w:t>
      </w:r>
      <w:r w:rsidR="000E1215" w:rsidRPr="002D613F">
        <w:rPr>
          <w:rFonts w:ascii="Arial" w:hAnsi="Arial" w:cs="Arial"/>
          <w:b w:val="0"/>
          <w:bCs w:val="0"/>
          <w:color w:val="auto"/>
          <w:sz w:val="20"/>
          <w:szCs w:val="20"/>
        </w:rPr>
        <w:t xml:space="preserve">and the expected third party income (£21m/63%) based on the business case. The third party income </w:t>
      </w:r>
      <w:r w:rsidR="00700E95" w:rsidRPr="002D613F">
        <w:rPr>
          <w:rFonts w:ascii="Arial" w:hAnsi="Arial" w:cs="Arial"/>
          <w:b w:val="0"/>
          <w:bCs w:val="0"/>
          <w:color w:val="auto"/>
          <w:sz w:val="20"/>
          <w:szCs w:val="20"/>
        </w:rPr>
        <w:t>liability</w:t>
      </w:r>
      <w:r w:rsidR="000E1215" w:rsidRPr="002D613F">
        <w:rPr>
          <w:rFonts w:ascii="Arial" w:hAnsi="Arial" w:cs="Arial"/>
          <w:b w:val="0"/>
          <w:bCs w:val="0"/>
          <w:color w:val="auto"/>
          <w:sz w:val="20"/>
          <w:szCs w:val="20"/>
        </w:rPr>
        <w:t xml:space="preserve"> has been </w:t>
      </w:r>
      <w:r w:rsidR="00700E95" w:rsidRPr="002D613F">
        <w:rPr>
          <w:rFonts w:ascii="Arial" w:hAnsi="Arial" w:cs="Arial"/>
          <w:b w:val="0"/>
          <w:bCs w:val="0"/>
          <w:color w:val="auto"/>
          <w:sz w:val="20"/>
          <w:szCs w:val="20"/>
        </w:rPr>
        <w:t>accounted</w:t>
      </w:r>
      <w:r w:rsidR="000E1215" w:rsidRPr="002D613F">
        <w:rPr>
          <w:rFonts w:ascii="Arial" w:hAnsi="Arial" w:cs="Arial"/>
          <w:b w:val="0"/>
          <w:bCs w:val="0"/>
          <w:color w:val="auto"/>
          <w:sz w:val="20"/>
          <w:szCs w:val="20"/>
        </w:rPr>
        <w:t xml:space="preserve"> for as deferred income with the balance allocated to the </w:t>
      </w:r>
      <w:r w:rsidR="00700E95" w:rsidRPr="002D613F">
        <w:rPr>
          <w:rFonts w:ascii="Arial" w:hAnsi="Arial" w:cs="Arial"/>
          <w:b w:val="0"/>
          <w:bCs w:val="0"/>
          <w:color w:val="auto"/>
          <w:sz w:val="20"/>
          <w:szCs w:val="20"/>
        </w:rPr>
        <w:t>Council's</w:t>
      </w:r>
      <w:r w:rsidR="000E1215" w:rsidRPr="002D613F">
        <w:rPr>
          <w:rFonts w:ascii="Arial" w:hAnsi="Arial" w:cs="Arial"/>
          <w:b w:val="0"/>
          <w:bCs w:val="0"/>
          <w:color w:val="auto"/>
          <w:sz w:val="20"/>
          <w:szCs w:val="20"/>
        </w:rPr>
        <w:t xml:space="preserve"> CI&amp;E statement over the life of the 25 year contract.  </w:t>
      </w:r>
      <w:r w:rsidR="00323F70" w:rsidRPr="002D613F">
        <w:rPr>
          <w:rFonts w:ascii="Arial" w:hAnsi="Arial" w:cs="Arial"/>
          <w:b w:val="0"/>
          <w:bCs w:val="0"/>
          <w:color w:val="auto"/>
          <w:sz w:val="20"/>
          <w:szCs w:val="20"/>
        </w:rPr>
        <w:t xml:space="preserve">As a </w:t>
      </w:r>
      <w:r w:rsidR="00267B4B" w:rsidRPr="002D613F">
        <w:rPr>
          <w:rFonts w:ascii="Arial" w:hAnsi="Arial" w:cs="Arial"/>
          <w:b w:val="0"/>
          <w:bCs w:val="0"/>
          <w:color w:val="auto"/>
          <w:sz w:val="20"/>
          <w:szCs w:val="20"/>
        </w:rPr>
        <w:t>"</w:t>
      </w:r>
      <w:proofErr w:type="spellStart"/>
      <w:r w:rsidR="00323F70" w:rsidRPr="002D613F">
        <w:rPr>
          <w:rFonts w:ascii="Arial" w:hAnsi="Arial" w:cs="Arial"/>
          <w:b w:val="0"/>
          <w:bCs w:val="0"/>
          <w:color w:val="auto"/>
          <w:sz w:val="20"/>
          <w:szCs w:val="20"/>
        </w:rPr>
        <w:t>non cash</w:t>
      </w:r>
      <w:proofErr w:type="spellEnd"/>
      <w:r w:rsidR="00267B4B" w:rsidRPr="002D613F">
        <w:rPr>
          <w:rFonts w:ascii="Arial" w:hAnsi="Arial" w:cs="Arial"/>
          <w:b w:val="0"/>
          <w:bCs w:val="0"/>
          <w:color w:val="auto"/>
          <w:sz w:val="20"/>
          <w:szCs w:val="20"/>
        </w:rPr>
        <w:t>"</w:t>
      </w:r>
      <w:r w:rsidR="00323F70" w:rsidRPr="002D613F">
        <w:rPr>
          <w:rFonts w:ascii="Arial" w:hAnsi="Arial" w:cs="Arial"/>
          <w:b w:val="0"/>
          <w:bCs w:val="0"/>
          <w:color w:val="auto"/>
          <w:sz w:val="20"/>
          <w:szCs w:val="20"/>
        </w:rPr>
        <w:t xml:space="preserve"> transaction this credit will be </w:t>
      </w:r>
      <w:r w:rsidR="00700E95" w:rsidRPr="002D613F">
        <w:rPr>
          <w:rFonts w:ascii="Arial" w:hAnsi="Arial" w:cs="Arial"/>
          <w:b w:val="0"/>
          <w:bCs w:val="0"/>
          <w:color w:val="auto"/>
          <w:sz w:val="20"/>
          <w:szCs w:val="20"/>
        </w:rPr>
        <w:t>reversed</w:t>
      </w:r>
      <w:r w:rsidR="00323F70" w:rsidRPr="002D613F">
        <w:rPr>
          <w:rFonts w:ascii="Arial" w:hAnsi="Arial" w:cs="Arial"/>
          <w:b w:val="0"/>
          <w:bCs w:val="0"/>
          <w:color w:val="auto"/>
          <w:sz w:val="20"/>
          <w:szCs w:val="20"/>
        </w:rPr>
        <w:t xml:space="preserve"> in the MIRS</w:t>
      </w:r>
      <w:r w:rsidR="00521A49" w:rsidRPr="002D613F">
        <w:rPr>
          <w:rFonts w:ascii="Arial" w:hAnsi="Arial" w:cs="Arial"/>
          <w:b w:val="0"/>
          <w:bCs w:val="0"/>
          <w:color w:val="auto"/>
          <w:sz w:val="20"/>
          <w:szCs w:val="20"/>
        </w:rPr>
        <w:t xml:space="preserve"> to </w:t>
      </w:r>
      <w:r w:rsidR="00700E95" w:rsidRPr="002D613F">
        <w:rPr>
          <w:rFonts w:ascii="Arial" w:hAnsi="Arial" w:cs="Arial"/>
          <w:b w:val="0"/>
          <w:bCs w:val="0"/>
          <w:color w:val="auto"/>
          <w:sz w:val="20"/>
          <w:szCs w:val="20"/>
        </w:rPr>
        <w:t>the</w:t>
      </w:r>
      <w:r w:rsidR="00521A49" w:rsidRPr="002D613F">
        <w:rPr>
          <w:rFonts w:ascii="Arial" w:hAnsi="Arial" w:cs="Arial"/>
          <w:b w:val="0"/>
          <w:bCs w:val="0"/>
          <w:color w:val="auto"/>
          <w:sz w:val="20"/>
          <w:szCs w:val="20"/>
        </w:rPr>
        <w:t xml:space="preserve"> Capital Adjustment Account</w:t>
      </w:r>
      <w:r w:rsidR="007E33E1" w:rsidRPr="002D613F">
        <w:rPr>
          <w:rFonts w:ascii="Arial" w:hAnsi="Arial" w:cs="Arial"/>
          <w:b w:val="0"/>
          <w:bCs w:val="0"/>
          <w:color w:val="auto"/>
          <w:sz w:val="20"/>
          <w:szCs w:val="20"/>
        </w:rPr>
        <w:t xml:space="preserve"> </w:t>
      </w:r>
      <w:r w:rsidR="00CA7693" w:rsidRPr="002D613F">
        <w:rPr>
          <w:rFonts w:ascii="Arial" w:hAnsi="Arial" w:cs="Arial"/>
          <w:b w:val="0"/>
          <w:bCs w:val="0"/>
          <w:color w:val="auto"/>
          <w:sz w:val="20"/>
          <w:szCs w:val="20"/>
        </w:rPr>
        <w:t>the</w:t>
      </w:r>
      <w:r w:rsidR="0080360B" w:rsidRPr="002D613F">
        <w:rPr>
          <w:rFonts w:ascii="Arial" w:hAnsi="Arial" w:cs="Arial"/>
          <w:b w:val="0"/>
          <w:bCs w:val="0"/>
          <w:color w:val="auto"/>
          <w:sz w:val="20"/>
          <w:szCs w:val="20"/>
        </w:rPr>
        <w:t xml:space="preserve"> a</w:t>
      </w:r>
      <w:r w:rsidR="0032122E" w:rsidRPr="002D613F">
        <w:rPr>
          <w:rFonts w:ascii="Arial" w:hAnsi="Arial" w:cs="Arial"/>
          <w:b w:val="0"/>
          <w:bCs w:val="0"/>
          <w:color w:val="auto"/>
          <w:sz w:val="20"/>
          <w:szCs w:val="20"/>
        </w:rPr>
        <w:t xml:space="preserve">sset </w:t>
      </w:r>
      <w:r w:rsidR="00700E95" w:rsidRPr="002D613F">
        <w:rPr>
          <w:rFonts w:ascii="Arial" w:hAnsi="Arial" w:cs="Arial"/>
          <w:b w:val="0"/>
          <w:bCs w:val="0"/>
          <w:color w:val="auto"/>
          <w:sz w:val="20"/>
          <w:szCs w:val="20"/>
        </w:rPr>
        <w:t>life of</w:t>
      </w:r>
      <w:r w:rsidR="00C34CC1" w:rsidRPr="002D613F">
        <w:rPr>
          <w:rFonts w:ascii="Arial" w:hAnsi="Arial" w:cs="Arial"/>
          <w:b w:val="0"/>
          <w:bCs w:val="0"/>
          <w:color w:val="auto"/>
          <w:sz w:val="20"/>
          <w:szCs w:val="20"/>
        </w:rPr>
        <w:t xml:space="preserve"> the facility</w:t>
      </w:r>
      <w:r w:rsidR="0032122E" w:rsidRPr="002D613F">
        <w:rPr>
          <w:rFonts w:ascii="Arial" w:hAnsi="Arial" w:cs="Arial"/>
          <w:b w:val="0"/>
          <w:bCs w:val="0"/>
          <w:color w:val="auto"/>
          <w:sz w:val="20"/>
          <w:szCs w:val="20"/>
        </w:rPr>
        <w:t xml:space="preserve"> has been </w:t>
      </w:r>
      <w:r w:rsidR="00700E95" w:rsidRPr="002D613F">
        <w:rPr>
          <w:rFonts w:ascii="Arial" w:hAnsi="Arial" w:cs="Arial"/>
          <w:b w:val="0"/>
          <w:bCs w:val="0"/>
          <w:color w:val="auto"/>
          <w:sz w:val="20"/>
          <w:szCs w:val="20"/>
        </w:rPr>
        <w:t>assessed</w:t>
      </w:r>
      <w:r w:rsidR="0032122E" w:rsidRPr="002D613F">
        <w:rPr>
          <w:rFonts w:ascii="Arial" w:hAnsi="Arial" w:cs="Arial"/>
          <w:b w:val="0"/>
          <w:bCs w:val="0"/>
          <w:color w:val="auto"/>
          <w:sz w:val="20"/>
          <w:szCs w:val="20"/>
        </w:rPr>
        <w:t xml:space="preserve"> at 30 years based on the contract life and the optional 5 year </w:t>
      </w:r>
      <w:r w:rsidR="00700E95" w:rsidRPr="002D613F">
        <w:rPr>
          <w:rFonts w:ascii="Arial" w:hAnsi="Arial" w:cs="Arial"/>
          <w:b w:val="0"/>
          <w:bCs w:val="0"/>
          <w:color w:val="auto"/>
          <w:sz w:val="20"/>
          <w:szCs w:val="20"/>
        </w:rPr>
        <w:t>extension</w:t>
      </w:r>
      <w:r w:rsidR="0032122E" w:rsidRPr="002D613F">
        <w:rPr>
          <w:rFonts w:ascii="Arial" w:hAnsi="Arial" w:cs="Arial"/>
          <w:b w:val="0"/>
          <w:bCs w:val="0"/>
          <w:color w:val="auto"/>
          <w:sz w:val="20"/>
          <w:szCs w:val="20"/>
        </w:rPr>
        <w:t xml:space="preserve"> period.</w:t>
      </w:r>
      <w:r w:rsidR="00344AD8" w:rsidRPr="002D613F">
        <w:rPr>
          <w:rFonts w:ascii="Arial" w:hAnsi="Arial" w:cs="Arial"/>
          <w:b w:val="0"/>
          <w:bCs w:val="0"/>
          <w:color w:val="auto"/>
          <w:sz w:val="20"/>
          <w:szCs w:val="20"/>
        </w:rPr>
        <w:t xml:space="preserve"> The Cou</w:t>
      </w:r>
      <w:r w:rsidR="00CB2D3F" w:rsidRPr="002D613F">
        <w:rPr>
          <w:rFonts w:ascii="Arial" w:hAnsi="Arial" w:cs="Arial"/>
          <w:b w:val="0"/>
          <w:bCs w:val="0"/>
          <w:color w:val="auto"/>
          <w:sz w:val="20"/>
          <w:szCs w:val="20"/>
        </w:rPr>
        <w:t>ncil</w:t>
      </w:r>
      <w:r w:rsidR="00344AD8" w:rsidRPr="002D613F">
        <w:rPr>
          <w:rFonts w:ascii="Arial" w:hAnsi="Arial" w:cs="Arial"/>
          <w:b w:val="0"/>
          <w:bCs w:val="0"/>
          <w:color w:val="auto"/>
          <w:sz w:val="20"/>
          <w:szCs w:val="20"/>
        </w:rPr>
        <w:t xml:space="preserve"> has assumed all lifecycle costs to be revenue unless evidence t</w:t>
      </w:r>
      <w:r w:rsidR="00326CEA" w:rsidRPr="002D613F">
        <w:rPr>
          <w:rFonts w:ascii="Arial" w:hAnsi="Arial" w:cs="Arial"/>
          <w:b w:val="0"/>
          <w:bCs w:val="0"/>
          <w:color w:val="auto"/>
          <w:sz w:val="20"/>
          <w:szCs w:val="20"/>
        </w:rPr>
        <w:t xml:space="preserve">hat they are </w:t>
      </w:r>
      <w:r w:rsidR="00344AD8" w:rsidRPr="002D613F">
        <w:rPr>
          <w:rFonts w:ascii="Arial" w:hAnsi="Arial" w:cs="Arial"/>
          <w:b w:val="0"/>
          <w:bCs w:val="0"/>
          <w:color w:val="auto"/>
          <w:sz w:val="20"/>
          <w:szCs w:val="20"/>
        </w:rPr>
        <w:t>capital.</w:t>
      </w:r>
    </w:p>
    <w:p w:rsidR="0031163C" w:rsidRDefault="0031163C" w:rsidP="00FC32F1">
      <w:pPr>
        <w:pStyle w:val="ExampleSub"/>
        <w:keepNext w:val="0"/>
        <w:keepLines w:val="0"/>
        <w:numPr>
          <w:ilvl w:val="0"/>
          <w:numId w:val="19"/>
        </w:numPr>
        <w:outlineLvl w:val="0"/>
        <w:rPr>
          <w:rFonts w:ascii="Arial" w:hAnsi="Arial" w:cs="Arial"/>
          <w:b w:val="0"/>
          <w:bCs w:val="0"/>
          <w:color w:val="auto"/>
          <w:sz w:val="20"/>
          <w:szCs w:val="20"/>
        </w:rPr>
      </w:pPr>
      <w:r w:rsidRPr="00C95EEF">
        <w:rPr>
          <w:rFonts w:ascii="Arial" w:hAnsi="Arial" w:cs="Arial"/>
          <w:b w:val="0"/>
          <w:bCs w:val="0"/>
          <w:color w:val="auto"/>
          <w:sz w:val="20"/>
          <w:szCs w:val="20"/>
        </w:rPr>
        <w:t>There is a high degree of uncertainty about future levels of funding for local government. However the Council has determined that this uncertainty is not yet sufficient to provide an indication that the assets of the Council might be impaired as a result of a need to close facilities and reduce levels of service provision.</w:t>
      </w:r>
      <w:r w:rsidR="00C95EEF">
        <w:rPr>
          <w:rFonts w:ascii="Arial" w:hAnsi="Arial" w:cs="Arial"/>
          <w:b w:val="0"/>
          <w:bCs w:val="0"/>
          <w:color w:val="auto"/>
          <w:sz w:val="20"/>
          <w:szCs w:val="20"/>
        </w:rPr>
        <w:t xml:space="preserve"> The Council can only be dissolved by a statutory prescription.</w:t>
      </w:r>
    </w:p>
    <w:p w:rsidR="00C95EEF" w:rsidRPr="009B3396" w:rsidRDefault="00C95EEF" w:rsidP="00FC32F1">
      <w:pPr>
        <w:pStyle w:val="ExampleSub"/>
        <w:keepNext w:val="0"/>
        <w:keepLines w:val="0"/>
        <w:numPr>
          <w:ilvl w:val="0"/>
          <w:numId w:val="19"/>
        </w:numPr>
        <w:outlineLvl w:val="0"/>
        <w:rPr>
          <w:rFonts w:ascii="Arial" w:hAnsi="Arial" w:cs="Arial"/>
          <w:b w:val="0"/>
          <w:bCs w:val="0"/>
          <w:color w:val="auto"/>
          <w:sz w:val="20"/>
          <w:szCs w:val="20"/>
        </w:rPr>
      </w:pPr>
      <w:r w:rsidRPr="009B3396">
        <w:rPr>
          <w:rFonts w:ascii="Arial" w:hAnsi="Arial" w:cs="Arial"/>
          <w:b w:val="0"/>
          <w:bCs w:val="0"/>
          <w:color w:val="auto"/>
          <w:sz w:val="20"/>
          <w:szCs w:val="20"/>
        </w:rPr>
        <w:t>The Council has a number of pension guar</w:t>
      </w:r>
      <w:r w:rsidR="002E3257" w:rsidRPr="009B3396">
        <w:rPr>
          <w:rFonts w:ascii="Arial" w:hAnsi="Arial" w:cs="Arial"/>
          <w:b w:val="0"/>
          <w:bCs w:val="0"/>
          <w:color w:val="auto"/>
          <w:sz w:val="20"/>
          <w:szCs w:val="20"/>
        </w:rPr>
        <w:t>antees</w:t>
      </w:r>
      <w:r w:rsidRPr="009B3396">
        <w:rPr>
          <w:rFonts w:ascii="Arial" w:hAnsi="Arial" w:cs="Arial"/>
          <w:b w:val="0"/>
          <w:bCs w:val="0"/>
          <w:color w:val="auto"/>
          <w:sz w:val="20"/>
          <w:szCs w:val="20"/>
        </w:rPr>
        <w:t xml:space="preserve"> to related bodies where the Council could incur a liability if the body becomes insolvent. These are now classified as insurance contracts. As at 31 M</w:t>
      </w:r>
      <w:r w:rsidR="005B734E" w:rsidRPr="009B3396">
        <w:rPr>
          <w:rFonts w:ascii="Arial" w:hAnsi="Arial" w:cs="Arial"/>
          <w:b w:val="0"/>
          <w:bCs w:val="0"/>
          <w:color w:val="auto"/>
          <w:sz w:val="20"/>
          <w:szCs w:val="20"/>
        </w:rPr>
        <w:t>arch 2018 there are no issues in relation to the going concern of these bodies.</w:t>
      </w:r>
      <w:r w:rsidR="00FE041A" w:rsidRPr="009B3396">
        <w:rPr>
          <w:rFonts w:ascii="Arial" w:hAnsi="Arial" w:cs="Arial"/>
          <w:b w:val="0"/>
          <w:bCs w:val="0"/>
          <w:color w:val="auto"/>
          <w:sz w:val="20"/>
          <w:szCs w:val="20"/>
        </w:rPr>
        <w:t xml:space="preserve"> In arriving at this conclusion the Council considered data from the actuary of the pension fund together with the Council’</w:t>
      </w:r>
      <w:r w:rsidR="003D3F58" w:rsidRPr="009B3396">
        <w:rPr>
          <w:rFonts w:ascii="Arial" w:hAnsi="Arial" w:cs="Arial"/>
          <w:b w:val="0"/>
          <w:bCs w:val="0"/>
          <w:color w:val="auto"/>
          <w:sz w:val="20"/>
          <w:szCs w:val="20"/>
        </w:rPr>
        <w:t xml:space="preserve">s knowledge of the bodies, </w:t>
      </w:r>
      <w:r w:rsidR="00FE041A" w:rsidRPr="009B3396">
        <w:rPr>
          <w:rFonts w:ascii="Arial" w:hAnsi="Arial" w:cs="Arial"/>
          <w:b w:val="0"/>
          <w:bCs w:val="0"/>
          <w:color w:val="auto"/>
          <w:sz w:val="20"/>
          <w:szCs w:val="20"/>
        </w:rPr>
        <w:t xml:space="preserve">and </w:t>
      </w:r>
      <w:r w:rsidR="003D3F58" w:rsidRPr="009B3396">
        <w:rPr>
          <w:rFonts w:ascii="Arial" w:hAnsi="Arial" w:cs="Arial"/>
          <w:b w:val="0"/>
          <w:bCs w:val="0"/>
          <w:color w:val="auto"/>
          <w:sz w:val="20"/>
          <w:szCs w:val="20"/>
        </w:rPr>
        <w:t>made the judgement</w:t>
      </w:r>
      <w:r w:rsidR="00FE041A" w:rsidRPr="009B3396">
        <w:rPr>
          <w:rFonts w:ascii="Arial" w:hAnsi="Arial" w:cs="Arial"/>
          <w:b w:val="0"/>
          <w:bCs w:val="0"/>
          <w:color w:val="auto"/>
          <w:sz w:val="20"/>
          <w:szCs w:val="20"/>
        </w:rPr>
        <w:t xml:space="preserve"> that the values and risk exposure were not material.</w:t>
      </w:r>
    </w:p>
    <w:p w:rsidR="00677CA1" w:rsidRPr="0005794A" w:rsidRDefault="00677CA1" w:rsidP="003C5E34">
      <w:pPr>
        <w:pStyle w:val="ExampleSub"/>
        <w:keepNext w:val="0"/>
        <w:keepLines w:val="0"/>
        <w:ind w:hanging="567"/>
        <w:outlineLvl w:val="0"/>
        <w:rPr>
          <w:rFonts w:ascii="Arial" w:hAnsi="Arial" w:cs="Times New Roman"/>
          <w:bCs w:val="0"/>
          <w:color w:val="548DD4" w:themeColor="text2" w:themeTint="99"/>
          <w:sz w:val="21"/>
          <w:szCs w:val="21"/>
          <w:lang w:eastAsia="en-US"/>
        </w:rPr>
      </w:pPr>
    </w:p>
    <w:p w:rsidR="005B7422" w:rsidRPr="00C43965" w:rsidRDefault="00E51139" w:rsidP="00F154E5">
      <w:pPr>
        <w:pStyle w:val="Subtitle"/>
        <w:ind w:left="567" w:hanging="567"/>
        <w:rPr>
          <w:b/>
          <w:color w:val="auto"/>
          <w:sz w:val="22"/>
          <w:szCs w:val="22"/>
        </w:rPr>
      </w:pPr>
      <w:r w:rsidRPr="00C43965">
        <w:rPr>
          <w:b/>
          <w:color w:val="auto"/>
          <w:sz w:val="22"/>
          <w:szCs w:val="22"/>
        </w:rPr>
        <w:t>4.</w:t>
      </w:r>
      <w:r w:rsidRPr="00C43965">
        <w:rPr>
          <w:b/>
          <w:color w:val="auto"/>
          <w:sz w:val="22"/>
          <w:szCs w:val="22"/>
        </w:rPr>
        <w:tab/>
        <w:t>Assumptions Made About the Future and Other Major Sources of Estimation Uncertainty</w:t>
      </w:r>
    </w:p>
    <w:p w:rsidR="00E51139" w:rsidRPr="00C43965" w:rsidRDefault="00E51139" w:rsidP="006E285D">
      <w:pPr>
        <w:pStyle w:val="ExampleSub"/>
        <w:keepNext w:val="0"/>
        <w:keepLines w:val="0"/>
        <w:outlineLvl w:val="0"/>
        <w:rPr>
          <w:rFonts w:ascii="Arial" w:hAnsi="Arial" w:cs="Arial"/>
          <w:b w:val="0"/>
          <w:bCs w:val="0"/>
          <w:color w:val="auto"/>
          <w:sz w:val="20"/>
          <w:szCs w:val="20"/>
        </w:rPr>
      </w:pPr>
      <w:r w:rsidRPr="00C43965">
        <w:rPr>
          <w:rFonts w:ascii="Arial" w:hAnsi="Arial" w:cs="Arial"/>
          <w:b w:val="0"/>
          <w:bCs w:val="0"/>
          <w:color w:val="auto"/>
          <w:sz w:val="20"/>
          <w:szCs w:val="20"/>
        </w:rPr>
        <w:t>The Statement of Accounts contains estimated figures that are based on assumptions made by the Council about the future or that are otherwise uncertain. Estimates are made taking into account historical experience, current trends and other relevant factors. However, because balances can’t be determined with certainty, actual results could be materially different from the assumptions and estimates</w:t>
      </w:r>
      <w:r w:rsidR="00321F40" w:rsidRPr="00C43965">
        <w:rPr>
          <w:rFonts w:ascii="Arial" w:hAnsi="Arial" w:cs="Arial"/>
          <w:b w:val="0"/>
          <w:bCs w:val="0"/>
          <w:color w:val="auto"/>
          <w:sz w:val="20"/>
          <w:szCs w:val="20"/>
        </w:rPr>
        <w:t>. Th</w:t>
      </w:r>
      <w:r w:rsidRPr="00C43965">
        <w:rPr>
          <w:rFonts w:ascii="Arial" w:hAnsi="Arial" w:cs="Arial"/>
          <w:b w:val="0"/>
          <w:bCs w:val="0"/>
          <w:color w:val="auto"/>
          <w:sz w:val="20"/>
          <w:szCs w:val="20"/>
        </w:rPr>
        <w:t>ere were no changes in accounting estimates in 201</w:t>
      </w:r>
      <w:r w:rsidR="00C43965" w:rsidRPr="00C43965">
        <w:rPr>
          <w:rFonts w:ascii="Arial" w:hAnsi="Arial" w:cs="Arial"/>
          <w:b w:val="0"/>
          <w:bCs w:val="0"/>
          <w:color w:val="auto"/>
          <w:sz w:val="20"/>
          <w:szCs w:val="20"/>
        </w:rPr>
        <w:t>7</w:t>
      </w:r>
      <w:r w:rsidR="00440F7E" w:rsidRPr="00C43965">
        <w:rPr>
          <w:rFonts w:ascii="Arial" w:hAnsi="Arial" w:cs="Arial"/>
          <w:b w:val="0"/>
          <w:bCs w:val="0"/>
          <w:color w:val="auto"/>
          <w:sz w:val="20"/>
          <w:szCs w:val="20"/>
        </w:rPr>
        <w:t>/1</w:t>
      </w:r>
      <w:r w:rsidR="00C43965" w:rsidRPr="00C43965">
        <w:rPr>
          <w:rFonts w:ascii="Arial" w:hAnsi="Arial" w:cs="Arial"/>
          <w:b w:val="0"/>
          <w:bCs w:val="0"/>
          <w:color w:val="auto"/>
          <w:sz w:val="20"/>
          <w:szCs w:val="20"/>
        </w:rPr>
        <w:t>8</w:t>
      </w:r>
      <w:r w:rsidRPr="00C43965">
        <w:rPr>
          <w:rFonts w:ascii="Arial" w:hAnsi="Arial" w:cs="Arial"/>
          <w:b w:val="0"/>
          <w:bCs w:val="0"/>
          <w:color w:val="auto"/>
          <w:sz w:val="20"/>
          <w:szCs w:val="20"/>
        </w:rPr>
        <w:t xml:space="preserve"> or expected in future years. </w:t>
      </w:r>
    </w:p>
    <w:p w:rsidR="006E285D" w:rsidRDefault="006E285D" w:rsidP="005947C1">
      <w:pPr>
        <w:pStyle w:val="ExampleSub"/>
        <w:keepNext w:val="0"/>
        <w:keepLines w:val="0"/>
        <w:outlineLvl w:val="0"/>
        <w:rPr>
          <w:rFonts w:ascii="Arial" w:hAnsi="Arial" w:cs="Arial"/>
          <w:b w:val="0"/>
          <w:bCs w:val="0"/>
          <w:color w:val="auto"/>
          <w:sz w:val="20"/>
          <w:szCs w:val="20"/>
        </w:rPr>
      </w:pPr>
      <w:r w:rsidRPr="00C43965">
        <w:rPr>
          <w:rFonts w:ascii="Arial" w:hAnsi="Arial" w:cs="Arial"/>
          <w:b w:val="0"/>
          <w:bCs w:val="0"/>
          <w:color w:val="auto"/>
          <w:sz w:val="20"/>
          <w:szCs w:val="20"/>
        </w:rPr>
        <w:t>The</w:t>
      </w:r>
      <w:r w:rsidR="000663A2" w:rsidRPr="00C43965">
        <w:rPr>
          <w:rFonts w:ascii="Arial" w:hAnsi="Arial" w:cs="Arial"/>
          <w:b w:val="0"/>
          <w:bCs w:val="0"/>
          <w:color w:val="auto"/>
          <w:sz w:val="20"/>
          <w:szCs w:val="20"/>
        </w:rPr>
        <w:t xml:space="preserve"> only</w:t>
      </w:r>
      <w:r w:rsidRPr="00C43965">
        <w:rPr>
          <w:rFonts w:ascii="Arial" w:hAnsi="Arial" w:cs="Arial"/>
          <w:b w:val="0"/>
          <w:bCs w:val="0"/>
          <w:color w:val="auto"/>
          <w:sz w:val="20"/>
          <w:szCs w:val="20"/>
        </w:rPr>
        <w:t xml:space="preserve"> item in the Council’s balance sheet at 31st March 201</w:t>
      </w:r>
      <w:r w:rsidR="00C43965" w:rsidRPr="00C43965">
        <w:rPr>
          <w:rFonts w:ascii="Arial" w:hAnsi="Arial" w:cs="Arial"/>
          <w:b w:val="0"/>
          <w:bCs w:val="0"/>
          <w:color w:val="auto"/>
          <w:sz w:val="20"/>
          <w:szCs w:val="20"/>
        </w:rPr>
        <w:t>8</w:t>
      </w:r>
      <w:r w:rsidRPr="00C43965">
        <w:rPr>
          <w:rFonts w:ascii="Arial" w:hAnsi="Arial" w:cs="Arial"/>
          <w:b w:val="0"/>
          <w:bCs w:val="0"/>
          <w:color w:val="auto"/>
          <w:sz w:val="20"/>
          <w:szCs w:val="20"/>
        </w:rPr>
        <w:t xml:space="preserve"> for which there is a significant risk of material adjustment in the forthcoming financial year is as follows:</w:t>
      </w:r>
    </w:p>
    <w:p w:rsidR="008B345F" w:rsidRDefault="008B345F" w:rsidP="005947C1">
      <w:pPr>
        <w:pStyle w:val="ExampleSub"/>
        <w:keepNext w:val="0"/>
        <w:keepLines w:val="0"/>
        <w:outlineLvl w:val="0"/>
        <w:rPr>
          <w:rFonts w:ascii="Arial" w:hAnsi="Arial" w:cs="Arial"/>
          <w:b w:val="0"/>
          <w:bCs w:val="0"/>
          <w:color w:val="auto"/>
          <w:sz w:val="20"/>
          <w:szCs w:val="20"/>
        </w:rPr>
      </w:pPr>
    </w:p>
    <w:p w:rsidR="008B345F" w:rsidRDefault="008B345F" w:rsidP="005947C1">
      <w:pPr>
        <w:pStyle w:val="ExampleSub"/>
        <w:keepNext w:val="0"/>
        <w:keepLines w:val="0"/>
        <w:outlineLvl w:val="0"/>
        <w:rPr>
          <w:rFonts w:ascii="Arial" w:hAnsi="Arial" w:cs="Arial"/>
          <w:b w:val="0"/>
          <w:bCs w:val="0"/>
          <w:color w:val="auto"/>
          <w:sz w:val="20"/>
          <w:szCs w:val="20"/>
        </w:rPr>
      </w:pPr>
    </w:p>
    <w:p w:rsidR="008B345F" w:rsidRDefault="008B345F" w:rsidP="005947C1">
      <w:pPr>
        <w:pStyle w:val="ExampleSub"/>
        <w:keepNext w:val="0"/>
        <w:keepLines w:val="0"/>
        <w:outlineLvl w:val="0"/>
        <w:rPr>
          <w:rFonts w:ascii="Arial" w:hAnsi="Arial" w:cs="Arial"/>
          <w:b w:val="0"/>
          <w:bCs w:val="0"/>
          <w:color w:val="auto"/>
          <w:sz w:val="20"/>
          <w:szCs w:val="20"/>
        </w:rPr>
      </w:pPr>
    </w:p>
    <w:p w:rsidR="008B345F" w:rsidRDefault="008B345F" w:rsidP="005947C1">
      <w:pPr>
        <w:pStyle w:val="ExampleSub"/>
        <w:keepNext w:val="0"/>
        <w:keepLines w:val="0"/>
        <w:outlineLvl w:val="0"/>
        <w:rPr>
          <w:rFonts w:ascii="Arial" w:hAnsi="Arial" w:cs="Arial"/>
          <w:b w:val="0"/>
          <w:bCs w:val="0"/>
          <w:color w:val="auto"/>
          <w:sz w:val="20"/>
          <w:szCs w:val="20"/>
        </w:rPr>
      </w:pPr>
    </w:p>
    <w:p w:rsidR="008B345F" w:rsidRPr="00C43965" w:rsidRDefault="008B345F" w:rsidP="005947C1">
      <w:pPr>
        <w:pStyle w:val="ExampleSub"/>
        <w:keepNext w:val="0"/>
        <w:keepLines w:val="0"/>
        <w:outlineLvl w:val="0"/>
        <w:rPr>
          <w:rFonts w:ascii="Arial" w:hAnsi="Arial" w:cs="Arial"/>
          <w:b w:val="0"/>
          <w:bCs w:val="0"/>
          <w:color w:val="auto"/>
          <w:sz w:val="20"/>
          <w:szCs w:val="20"/>
        </w:rPr>
      </w:pPr>
    </w:p>
    <w:p w:rsidR="00A52CDC" w:rsidRPr="0005794A" w:rsidRDefault="00A52CDC" w:rsidP="005947C1">
      <w:pPr>
        <w:pStyle w:val="ExampleSub"/>
        <w:keepNext w:val="0"/>
        <w:keepLines w:val="0"/>
        <w:outlineLvl w:val="0"/>
        <w:rPr>
          <w:rFonts w:ascii="Arial" w:hAnsi="Arial" w:cs="Arial"/>
          <w:b w:val="0"/>
          <w:bCs w:val="0"/>
          <w:color w:val="548DD4" w:themeColor="text2" w:themeTint="99"/>
          <w:sz w:val="20"/>
          <w:szCs w:val="20"/>
        </w:rPr>
      </w:pPr>
    </w:p>
    <w:tbl>
      <w:tblPr>
        <w:tblStyle w:val="ListTable3-Accent51"/>
        <w:tblpPr w:leftFromText="180" w:rightFromText="180" w:vertAnchor="text" w:horzAnchor="page" w:tblpX="1783" w:tblpY="17"/>
        <w:tblW w:w="9634" w:type="dxa"/>
        <w:tblLook w:val="00A0" w:firstRow="1" w:lastRow="0" w:firstColumn="1" w:lastColumn="0" w:noHBand="0" w:noVBand="0"/>
      </w:tblPr>
      <w:tblGrid>
        <w:gridCol w:w="5474"/>
        <w:gridCol w:w="4160"/>
      </w:tblGrid>
      <w:tr w:rsidR="006E285D" w:rsidRPr="0005794A" w:rsidTr="00CF31F4">
        <w:trPr>
          <w:cnfStyle w:val="100000000000" w:firstRow="1" w:lastRow="0" w:firstColumn="0" w:lastColumn="0" w:oddVBand="0" w:evenVBand="0" w:oddHBand="0" w:evenHBand="0" w:firstRowFirstColumn="0" w:firstRowLastColumn="0" w:lastRowFirstColumn="0" w:lastRowLastColumn="0"/>
          <w:trHeight w:val="652"/>
        </w:trPr>
        <w:tc>
          <w:tcPr>
            <w:cnfStyle w:val="001000000100" w:firstRow="0" w:lastRow="0" w:firstColumn="1" w:lastColumn="0" w:oddVBand="0" w:evenVBand="0" w:oddHBand="0" w:evenHBand="0" w:firstRowFirstColumn="1" w:firstRowLastColumn="0" w:lastRowFirstColumn="0" w:lastRowLastColumn="0"/>
            <w:tcW w:w="5474" w:type="dxa"/>
            <w:tcBorders>
              <w:bottom w:val="single" w:sz="4" w:space="0" w:color="4BACC6" w:themeColor="accent5"/>
            </w:tcBorders>
          </w:tcPr>
          <w:p w:rsidR="006E285D" w:rsidRPr="00C43965" w:rsidRDefault="006E285D" w:rsidP="00CF31F4">
            <w:pPr>
              <w:pStyle w:val="ExampleText"/>
              <w:ind w:left="0"/>
              <w:jc w:val="center"/>
              <w:rPr>
                <w:rFonts w:ascii="Arial" w:hAnsi="Arial" w:cs="Arial"/>
                <w:color w:val="auto"/>
              </w:rPr>
            </w:pPr>
            <w:r w:rsidRPr="00C43965">
              <w:rPr>
                <w:rFonts w:ascii="Arial" w:hAnsi="Arial" w:cs="Arial"/>
                <w:color w:val="auto"/>
              </w:rPr>
              <w:t>Uncertainties</w:t>
            </w:r>
          </w:p>
        </w:tc>
        <w:tc>
          <w:tcPr>
            <w:cnfStyle w:val="000010000000" w:firstRow="0" w:lastRow="0" w:firstColumn="0" w:lastColumn="0" w:oddVBand="1" w:evenVBand="0" w:oddHBand="0" w:evenHBand="0" w:firstRowFirstColumn="0" w:firstRowLastColumn="0" w:lastRowFirstColumn="0" w:lastRowLastColumn="0"/>
            <w:tcW w:w="4160" w:type="dxa"/>
            <w:tcBorders>
              <w:bottom w:val="single" w:sz="4" w:space="0" w:color="4BACC6" w:themeColor="accent5"/>
            </w:tcBorders>
          </w:tcPr>
          <w:p w:rsidR="006E285D" w:rsidRPr="00C43965" w:rsidRDefault="006E285D" w:rsidP="00CF31F4">
            <w:pPr>
              <w:pStyle w:val="ExampleText"/>
              <w:ind w:left="0"/>
              <w:jc w:val="center"/>
              <w:rPr>
                <w:rFonts w:ascii="Arial" w:hAnsi="Arial" w:cs="Arial"/>
                <w:color w:val="auto"/>
              </w:rPr>
            </w:pPr>
            <w:r w:rsidRPr="00C43965">
              <w:rPr>
                <w:rFonts w:ascii="Arial" w:hAnsi="Arial" w:cs="Arial"/>
                <w:color w:val="auto"/>
              </w:rPr>
              <w:t>Effect if Actual Results Differ from Assumptions</w:t>
            </w:r>
          </w:p>
        </w:tc>
      </w:tr>
      <w:tr w:rsidR="005947C1" w:rsidRPr="0005794A" w:rsidTr="00CF31F4">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634" w:type="dxa"/>
            <w:gridSpan w:val="2"/>
            <w:tcBorders>
              <w:right w:val="single" w:sz="4" w:space="0" w:color="4BACC6" w:themeColor="accent5"/>
            </w:tcBorders>
          </w:tcPr>
          <w:p w:rsidR="005947C1" w:rsidRPr="00C43965" w:rsidRDefault="005947C1" w:rsidP="00C43965">
            <w:pPr>
              <w:pStyle w:val="ExampleText"/>
              <w:ind w:left="0"/>
              <w:rPr>
                <w:rFonts w:ascii="Arial" w:hAnsi="Arial" w:cs="Arial"/>
                <w:color w:val="auto"/>
              </w:rPr>
            </w:pPr>
            <w:r w:rsidRPr="00C43965">
              <w:rPr>
                <w:rFonts w:ascii="Arial" w:hAnsi="Arial" w:cs="Arial"/>
                <w:color w:val="auto"/>
              </w:rPr>
              <w:t>Pension Liability  Value 31/3/1</w:t>
            </w:r>
            <w:r w:rsidR="00C43965">
              <w:rPr>
                <w:rFonts w:ascii="Arial" w:hAnsi="Arial" w:cs="Arial"/>
                <w:color w:val="auto"/>
              </w:rPr>
              <w:t>8</w:t>
            </w:r>
            <w:r w:rsidR="006200BB" w:rsidRPr="00C43965">
              <w:rPr>
                <w:rFonts w:ascii="Arial" w:hAnsi="Arial" w:cs="Arial"/>
                <w:color w:val="auto"/>
              </w:rPr>
              <w:t xml:space="preserve"> £</w:t>
            </w:r>
            <w:r w:rsidR="00C43965">
              <w:rPr>
                <w:rFonts w:ascii="Arial" w:hAnsi="Arial" w:cs="Arial"/>
                <w:color w:val="auto"/>
              </w:rPr>
              <w:t>186</w:t>
            </w:r>
            <w:r w:rsidR="00AC6DA0" w:rsidRPr="00C43965">
              <w:rPr>
                <w:rFonts w:ascii="Arial" w:hAnsi="Arial" w:cs="Arial"/>
                <w:color w:val="auto"/>
              </w:rPr>
              <w:t>m (</w:t>
            </w:r>
            <w:r w:rsidRPr="00C43965">
              <w:rPr>
                <w:rFonts w:ascii="Arial" w:hAnsi="Arial" w:cs="Arial"/>
                <w:color w:val="auto"/>
              </w:rPr>
              <w:t>£</w:t>
            </w:r>
            <w:r w:rsidR="00C43965">
              <w:rPr>
                <w:rFonts w:ascii="Arial" w:hAnsi="Arial" w:cs="Arial"/>
                <w:color w:val="auto"/>
              </w:rPr>
              <w:t>202m</w:t>
            </w:r>
            <w:r w:rsidR="00AC6DA0" w:rsidRPr="00C43965">
              <w:rPr>
                <w:rFonts w:ascii="Arial" w:hAnsi="Arial" w:cs="Arial"/>
                <w:color w:val="auto"/>
              </w:rPr>
              <w:t xml:space="preserve"> 1</w:t>
            </w:r>
            <w:r w:rsidR="00C43965">
              <w:rPr>
                <w:rFonts w:ascii="Arial" w:hAnsi="Arial" w:cs="Arial"/>
                <w:color w:val="auto"/>
              </w:rPr>
              <w:t>6</w:t>
            </w:r>
            <w:r w:rsidR="00AC6DA0" w:rsidRPr="00C43965">
              <w:rPr>
                <w:rFonts w:ascii="Arial" w:hAnsi="Arial" w:cs="Arial"/>
                <w:color w:val="auto"/>
              </w:rPr>
              <w:t>/1</w:t>
            </w:r>
            <w:r w:rsidR="00C43965">
              <w:rPr>
                <w:rFonts w:ascii="Arial" w:hAnsi="Arial" w:cs="Arial"/>
                <w:color w:val="auto"/>
              </w:rPr>
              <w:t>7</w:t>
            </w:r>
            <w:r w:rsidR="00AC6DA0" w:rsidRPr="00C43965">
              <w:rPr>
                <w:rFonts w:ascii="Arial" w:hAnsi="Arial" w:cs="Arial"/>
                <w:color w:val="auto"/>
              </w:rPr>
              <w:t>)</w:t>
            </w:r>
          </w:p>
        </w:tc>
      </w:tr>
      <w:tr w:rsidR="006E285D" w:rsidRPr="0005794A" w:rsidTr="00CF31F4">
        <w:trPr>
          <w:trHeight w:val="5393"/>
        </w:trPr>
        <w:tc>
          <w:tcPr>
            <w:cnfStyle w:val="001000000000" w:firstRow="0" w:lastRow="0" w:firstColumn="1" w:lastColumn="0" w:oddVBand="0" w:evenVBand="0" w:oddHBand="0" w:evenHBand="0" w:firstRowFirstColumn="0" w:firstRowLastColumn="0" w:lastRowFirstColumn="0" w:lastRowLastColumn="0"/>
            <w:tcW w:w="5474" w:type="dxa"/>
          </w:tcPr>
          <w:p w:rsidR="006E285D" w:rsidRPr="00C43965" w:rsidRDefault="006E285D" w:rsidP="00CF31F4">
            <w:pPr>
              <w:pStyle w:val="ExampleText"/>
              <w:ind w:left="0"/>
              <w:rPr>
                <w:rFonts w:ascii="Arial" w:hAnsi="Arial" w:cs="Arial"/>
                <w:b w:val="0"/>
                <w:color w:val="auto"/>
              </w:rPr>
            </w:pPr>
            <w:r w:rsidRPr="00C43965">
              <w:rPr>
                <w:rFonts w:ascii="Arial" w:hAnsi="Arial" w:cs="Arial"/>
                <w:b w:val="0"/>
                <w:color w:val="auto"/>
              </w:rPr>
              <w:t>The Council’s liability as at 31</w:t>
            </w:r>
            <w:r w:rsidRPr="00C43965">
              <w:rPr>
                <w:rFonts w:ascii="Arial" w:hAnsi="Arial" w:cs="Arial"/>
                <w:b w:val="0"/>
                <w:color w:val="auto"/>
                <w:vertAlign w:val="superscript"/>
              </w:rPr>
              <w:t>st</w:t>
            </w:r>
            <w:r w:rsidRPr="00C43965">
              <w:rPr>
                <w:rFonts w:ascii="Arial" w:hAnsi="Arial" w:cs="Arial"/>
                <w:b w:val="0"/>
                <w:color w:val="auto"/>
              </w:rPr>
              <w:t xml:space="preserve"> March is based on a number of complex judgements relating to the discount rate used, the rate at which salaries may change, changes in retirement dates, mortality rates and expected return on pension fund assets</w:t>
            </w:r>
          </w:p>
          <w:p w:rsidR="006E285D" w:rsidRPr="00C43965" w:rsidRDefault="006E285D" w:rsidP="00CF31F4">
            <w:pPr>
              <w:pStyle w:val="ExampleText"/>
              <w:ind w:left="0"/>
              <w:rPr>
                <w:rFonts w:ascii="Arial" w:hAnsi="Arial" w:cs="Arial"/>
                <w:b w:val="0"/>
                <w:color w:val="auto"/>
              </w:rPr>
            </w:pPr>
            <w:r w:rsidRPr="00C43965">
              <w:rPr>
                <w:rFonts w:ascii="Arial" w:hAnsi="Arial" w:cs="Arial"/>
                <w:b w:val="0"/>
                <w:color w:val="auto"/>
              </w:rPr>
              <w:t>A firm of pension actuaries are used to provide this information and every three years there is a detailed actuarial review of the fund.</w:t>
            </w:r>
          </w:p>
          <w:p w:rsidR="006E285D" w:rsidRPr="00C43965" w:rsidRDefault="006E285D" w:rsidP="00CF31F4">
            <w:pPr>
              <w:pStyle w:val="ExampleText"/>
              <w:ind w:left="0"/>
              <w:rPr>
                <w:rFonts w:ascii="Arial" w:hAnsi="Arial" w:cs="Arial"/>
                <w:b w:val="0"/>
                <w:color w:val="auto"/>
              </w:rPr>
            </w:pPr>
            <w:r w:rsidRPr="00C43965">
              <w:rPr>
                <w:rFonts w:ascii="Arial" w:hAnsi="Arial" w:cs="Arial"/>
                <w:b w:val="0"/>
                <w:color w:val="auto"/>
              </w:rPr>
              <w:t xml:space="preserve">The value of pension assets is estimated (by the actuary) based upon information available at the Balance Sheet date, but these valuations may be earlier than the Balance Sheet date.  The actual valuations at the Balance Sheet date, which may not be available until </w:t>
            </w:r>
            <w:r w:rsidR="00C61B7F" w:rsidRPr="00C43965">
              <w:rPr>
                <w:rFonts w:ascii="Arial" w:hAnsi="Arial" w:cs="Arial"/>
                <w:b w:val="0"/>
                <w:color w:val="auto"/>
              </w:rPr>
              <w:t>sometime</w:t>
            </w:r>
            <w:r w:rsidRPr="00C43965">
              <w:rPr>
                <w:rFonts w:ascii="Arial" w:hAnsi="Arial" w:cs="Arial"/>
                <w:b w:val="0"/>
                <w:color w:val="auto"/>
              </w:rPr>
              <w:t xml:space="preserve"> later, may give a different value of pension assets, but this difference is not considered to be material.</w:t>
            </w:r>
          </w:p>
        </w:tc>
        <w:tc>
          <w:tcPr>
            <w:cnfStyle w:val="000010000000" w:firstRow="0" w:lastRow="0" w:firstColumn="0" w:lastColumn="0" w:oddVBand="1" w:evenVBand="0" w:oddHBand="0" w:evenHBand="0" w:firstRowFirstColumn="0" w:firstRowLastColumn="0" w:lastRowFirstColumn="0" w:lastRowLastColumn="0"/>
            <w:tcW w:w="4160" w:type="dxa"/>
          </w:tcPr>
          <w:p w:rsidR="006E285D" w:rsidRPr="00C43965" w:rsidRDefault="006E285D" w:rsidP="00A67B87">
            <w:pPr>
              <w:pStyle w:val="ExampleText"/>
              <w:ind w:left="0"/>
              <w:rPr>
                <w:rFonts w:ascii="Arial" w:hAnsi="Arial" w:cs="Arial"/>
                <w:color w:val="auto"/>
              </w:rPr>
            </w:pPr>
            <w:r w:rsidRPr="00C43965">
              <w:rPr>
                <w:rFonts w:ascii="Arial" w:hAnsi="Arial" w:cs="Arial"/>
                <w:bCs/>
                <w:color w:val="auto"/>
              </w:rPr>
              <w:t>The effects on the net pension liability of changes in individual assumptions can be measured</w:t>
            </w:r>
            <w:r w:rsidRPr="00A67B87">
              <w:rPr>
                <w:rFonts w:ascii="Arial" w:hAnsi="Arial" w:cs="Arial"/>
                <w:bCs/>
                <w:color w:val="auto"/>
              </w:rPr>
              <w:t xml:space="preserve">.  For instance, a </w:t>
            </w:r>
            <w:r w:rsidR="00ED1469" w:rsidRPr="00A67B87">
              <w:rPr>
                <w:rFonts w:ascii="Arial" w:hAnsi="Arial" w:cs="Arial"/>
                <w:bCs/>
                <w:color w:val="auto"/>
              </w:rPr>
              <w:t xml:space="preserve">future </w:t>
            </w:r>
            <w:r w:rsidRPr="00A67B87">
              <w:rPr>
                <w:rFonts w:ascii="Arial" w:hAnsi="Arial" w:cs="Arial"/>
                <w:bCs/>
                <w:color w:val="auto"/>
              </w:rPr>
              <w:t>0.1% increase in the discount rate assumption would result in a change in the (gross) pension liability of £</w:t>
            </w:r>
            <w:r w:rsidR="00377CE9" w:rsidRPr="00A67B87">
              <w:rPr>
                <w:rFonts w:ascii="Arial" w:hAnsi="Arial" w:cs="Arial"/>
                <w:bCs/>
                <w:color w:val="auto"/>
              </w:rPr>
              <w:t>9</w:t>
            </w:r>
            <w:r w:rsidRPr="00A67B87">
              <w:rPr>
                <w:rFonts w:ascii="Arial" w:hAnsi="Arial" w:cs="Arial"/>
                <w:bCs/>
                <w:color w:val="auto"/>
              </w:rPr>
              <w:t>m. Similarly a change in the mortality assumption of 1 year would result in a change of £1</w:t>
            </w:r>
            <w:r w:rsidR="00A67B87" w:rsidRPr="00A67B87">
              <w:rPr>
                <w:rFonts w:ascii="Arial" w:hAnsi="Arial" w:cs="Arial"/>
                <w:bCs/>
                <w:color w:val="auto"/>
              </w:rPr>
              <w:t>7</w:t>
            </w:r>
            <w:r w:rsidRPr="00A67B87">
              <w:rPr>
                <w:rFonts w:ascii="Arial" w:hAnsi="Arial" w:cs="Arial"/>
                <w:bCs/>
                <w:color w:val="auto"/>
              </w:rPr>
              <w:t>m.</w:t>
            </w:r>
            <w:r w:rsidRPr="00C43965">
              <w:rPr>
                <w:rFonts w:ascii="Arial" w:hAnsi="Arial" w:cs="Arial"/>
                <w:bCs/>
                <w:color w:val="auto"/>
              </w:rPr>
              <w:t xml:space="preserve"> However, the assumptions interact in complex ways.  </w:t>
            </w:r>
            <w:r w:rsidR="00822861" w:rsidRPr="00C43965">
              <w:rPr>
                <w:rFonts w:ascii="Arial" w:hAnsi="Arial" w:cs="Arial"/>
                <w:bCs/>
                <w:color w:val="auto"/>
              </w:rPr>
              <w:t>T</w:t>
            </w:r>
            <w:r w:rsidRPr="00C43965">
              <w:rPr>
                <w:rFonts w:ascii="Arial" w:hAnsi="Arial" w:cs="Arial"/>
                <w:bCs/>
                <w:color w:val="auto"/>
              </w:rPr>
              <w:t>he actuar</w:t>
            </w:r>
            <w:r w:rsidR="00822861" w:rsidRPr="00C43965">
              <w:rPr>
                <w:rFonts w:ascii="Arial" w:hAnsi="Arial" w:cs="Arial"/>
                <w:bCs/>
                <w:color w:val="auto"/>
              </w:rPr>
              <w:t>y</w:t>
            </w:r>
            <w:r w:rsidRPr="00C43965">
              <w:rPr>
                <w:rFonts w:ascii="Arial" w:hAnsi="Arial" w:cs="Arial"/>
                <w:bCs/>
                <w:color w:val="auto"/>
              </w:rPr>
              <w:t xml:space="preserve"> advised that</w:t>
            </w:r>
            <w:r w:rsidR="00822861" w:rsidRPr="00C43965">
              <w:rPr>
                <w:rFonts w:ascii="Arial" w:hAnsi="Arial" w:cs="Arial"/>
                <w:bCs/>
                <w:color w:val="auto"/>
              </w:rPr>
              <w:t>,</w:t>
            </w:r>
            <w:r w:rsidRPr="00C43965">
              <w:rPr>
                <w:rFonts w:ascii="Arial" w:hAnsi="Arial" w:cs="Arial"/>
                <w:bCs/>
                <w:color w:val="auto"/>
              </w:rPr>
              <w:t xml:space="preserve"> </w:t>
            </w:r>
            <w:r w:rsidR="00822861" w:rsidRPr="00C43965">
              <w:rPr>
                <w:rFonts w:ascii="Arial" w:hAnsi="Arial" w:cs="Arial"/>
                <w:bCs/>
                <w:color w:val="auto"/>
              </w:rPr>
              <w:t>during 201</w:t>
            </w:r>
            <w:r w:rsidR="00C43965">
              <w:rPr>
                <w:rFonts w:ascii="Arial" w:hAnsi="Arial" w:cs="Arial"/>
                <w:bCs/>
                <w:color w:val="auto"/>
              </w:rPr>
              <w:t>7</w:t>
            </w:r>
            <w:r w:rsidR="00822861" w:rsidRPr="00C43965">
              <w:rPr>
                <w:rFonts w:ascii="Arial" w:hAnsi="Arial" w:cs="Arial"/>
                <w:bCs/>
                <w:color w:val="auto"/>
              </w:rPr>
              <w:t>/1</w:t>
            </w:r>
            <w:r w:rsidR="00C43965">
              <w:rPr>
                <w:rFonts w:ascii="Arial" w:hAnsi="Arial" w:cs="Arial"/>
                <w:bCs/>
                <w:color w:val="auto"/>
              </w:rPr>
              <w:t>8</w:t>
            </w:r>
            <w:r w:rsidR="00822861" w:rsidRPr="00C43965">
              <w:rPr>
                <w:rFonts w:ascii="Arial" w:hAnsi="Arial" w:cs="Arial"/>
                <w:bCs/>
                <w:color w:val="auto"/>
              </w:rPr>
              <w:t xml:space="preserve">, </w:t>
            </w:r>
            <w:r w:rsidRPr="00C43965">
              <w:rPr>
                <w:rFonts w:ascii="Arial" w:hAnsi="Arial" w:cs="Arial"/>
                <w:bCs/>
                <w:color w:val="auto"/>
              </w:rPr>
              <w:t>the net pensions</w:t>
            </w:r>
            <w:r w:rsidR="007A55C3" w:rsidRPr="00C43965">
              <w:rPr>
                <w:rFonts w:ascii="Arial" w:hAnsi="Arial" w:cs="Arial"/>
                <w:bCs/>
                <w:color w:val="auto"/>
              </w:rPr>
              <w:t>’</w:t>
            </w:r>
            <w:r w:rsidRPr="00C43965">
              <w:rPr>
                <w:rFonts w:ascii="Arial" w:hAnsi="Arial" w:cs="Arial"/>
                <w:bCs/>
                <w:color w:val="auto"/>
              </w:rPr>
              <w:t xml:space="preserve"> liability had </w:t>
            </w:r>
            <w:r w:rsidR="00C43965">
              <w:rPr>
                <w:rFonts w:ascii="Arial" w:hAnsi="Arial" w:cs="Arial"/>
                <w:bCs/>
                <w:color w:val="auto"/>
              </w:rPr>
              <w:t>decreased b</w:t>
            </w:r>
            <w:r w:rsidRPr="00C43965">
              <w:rPr>
                <w:rFonts w:ascii="Arial" w:hAnsi="Arial" w:cs="Arial"/>
                <w:bCs/>
                <w:color w:val="auto"/>
              </w:rPr>
              <w:t>y £</w:t>
            </w:r>
            <w:r w:rsidR="00C43965">
              <w:rPr>
                <w:rFonts w:ascii="Arial" w:hAnsi="Arial" w:cs="Arial"/>
                <w:bCs/>
                <w:color w:val="auto"/>
              </w:rPr>
              <w:t>16</w:t>
            </w:r>
            <w:r w:rsidRPr="00C43965">
              <w:rPr>
                <w:rFonts w:ascii="Arial" w:hAnsi="Arial" w:cs="Arial"/>
                <w:bCs/>
                <w:color w:val="auto"/>
              </w:rPr>
              <w:t>m</w:t>
            </w:r>
            <w:r w:rsidR="00822861" w:rsidRPr="00C43965">
              <w:rPr>
                <w:rFonts w:ascii="Arial" w:hAnsi="Arial" w:cs="Arial"/>
                <w:bCs/>
                <w:color w:val="auto"/>
              </w:rPr>
              <w:t>. In part this was</w:t>
            </w:r>
            <w:r w:rsidRPr="00C43965">
              <w:rPr>
                <w:rFonts w:ascii="Arial" w:hAnsi="Arial" w:cs="Arial"/>
                <w:bCs/>
                <w:color w:val="auto"/>
              </w:rPr>
              <w:t xml:space="preserve"> a result of estimates being corrected as a result of </w:t>
            </w:r>
            <w:r w:rsidR="00822861" w:rsidRPr="00C43965">
              <w:rPr>
                <w:rFonts w:ascii="Arial" w:hAnsi="Arial" w:cs="Arial"/>
                <w:bCs/>
                <w:color w:val="auto"/>
              </w:rPr>
              <w:t>“</w:t>
            </w:r>
            <w:r w:rsidRPr="00C43965">
              <w:rPr>
                <w:rFonts w:ascii="Arial" w:hAnsi="Arial" w:cs="Arial"/>
                <w:bCs/>
                <w:color w:val="auto"/>
              </w:rPr>
              <w:t>experience</w:t>
            </w:r>
            <w:r w:rsidR="00822861" w:rsidRPr="00C43965">
              <w:rPr>
                <w:rFonts w:ascii="Arial" w:hAnsi="Arial" w:cs="Arial"/>
                <w:bCs/>
                <w:color w:val="auto"/>
              </w:rPr>
              <w:t>”</w:t>
            </w:r>
            <w:r w:rsidRPr="00C43965">
              <w:rPr>
                <w:rFonts w:ascii="Arial" w:hAnsi="Arial" w:cs="Arial"/>
                <w:bCs/>
                <w:color w:val="auto"/>
              </w:rPr>
              <w:t xml:space="preserve"> updating of </w:t>
            </w:r>
            <w:r w:rsidRPr="00A67B87">
              <w:rPr>
                <w:rFonts w:ascii="Arial" w:hAnsi="Arial" w:cs="Arial"/>
                <w:bCs/>
                <w:color w:val="auto"/>
              </w:rPr>
              <w:t>actuarial assumptions</w:t>
            </w:r>
            <w:r w:rsidR="00A67B87" w:rsidRPr="00A67B87">
              <w:rPr>
                <w:rFonts w:ascii="Arial" w:hAnsi="Arial" w:cs="Arial"/>
                <w:bCs/>
                <w:color w:val="auto"/>
              </w:rPr>
              <w:t xml:space="preserve">. </w:t>
            </w:r>
            <w:r w:rsidRPr="00A67B87">
              <w:rPr>
                <w:rFonts w:ascii="Arial" w:hAnsi="Arial" w:cs="Arial"/>
                <w:bCs/>
                <w:color w:val="auto"/>
              </w:rPr>
              <w:t>A table on sensitivity of assumptions is included in the Pensions Note</w:t>
            </w:r>
            <w:r w:rsidR="002017AD" w:rsidRPr="00A67B87">
              <w:rPr>
                <w:rFonts w:ascii="Arial" w:hAnsi="Arial" w:cs="Arial"/>
                <w:bCs/>
                <w:color w:val="auto"/>
              </w:rPr>
              <w:t>.</w:t>
            </w:r>
          </w:p>
        </w:tc>
      </w:tr>
    </w:tbl>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pPr>
    </w:p>
    <w:p w:rsidR="00FE4082" w:rsidRPr="0005794A" w:rsidRDefault="00FE4082" w:rsidP="00A2294B">
      <w:pPr>
        <w:pStyle w:val="BodyText"/>
        <w:widowControl w:val="0"/>
        <w:rPr>
          <w:rFonts w:eastAsia="Times New Roman"/>
          <w:b/>
          <w:color w:val="548DD4" w:themeColor="text2" w:themeTint="99"/>
        </w:rPr>
        <w:sectPr w:rsidR="00FE4082" w:rsidRPr="0005794A" w:rsidSect="00FE4082">
          <w:headerReference w:type="default" r:id="rId39"/>
          <w:headerReference w:type="first" r:id="rId40"/>
          <w:pgSz w:w="11906" w:h="16838" w:code="9"/>
          <w:pgMar w:top="1440" w:right="1440" w:bottom="1440" w:left="1440" w:header="544" w:footer="544" w:gutter="0"/>
          <w:cols w:space="708"/>
          <w:titlePg/>
          <w:docGrid w:linePitch="360"/>
        </w:sectPr>
      </w:pPr>
    </w:p>
    <w:p w:rsidR="00FE4082" w:rsidRPr="001F0B09" w:rsidRDefault="00E96DAB" w:rsidP="00AA7699">
      <w:pPr>
        <w:spacing w:after="0" w:line="240" w:lineRule="auto"/>
        <w:rPr>
          <w:b/>
          <w:color w:val="auto"/>
        </w:rPr>
      </w:pPr>
      <w:r w:rsidRPr="001F0B09">
        <w:rPr>
          <w:rFonts w:eastAsia="Times New Roman"/>
          <w:b/>
          <w:color w:val="auto"/>
        </w:rPr>
        <w:lastRenderedPageBreak/>
        <w:t>5</w:t>
      </w:r>
      <w:r w:rsidR="00A2294B" w:rsidRPr="001F0B09">
        <w:rPr>
          <w:rFonts w:eastAsia="Times New Roman"/>
          <w:b/>
          <w:color w:val="auto"/>
        </w:rPr>
        <w:t>.</w:t>
      </w:r>
      <w:r w:rsidR="00FE4082" w:rsidRPr="001F0B09">
        <w:rPr>
          <w:rFonts w:eastAsia="Times New Roman"/>
          <w:b/>
          <w:color w:val="auto"/>
        </w:rPr>
        <w:t xml:space="preserve">      </w:t>
      </w:r>
      <w:r w:rsidR="00FE4082" w:rsidRPr="001F0B09">
        <w:rPr>
          <w:b/>
          <w:color w:val="auto"/>
        </w:rPr>
        <w:t>Expenditure and Funding Analysis</w:t>
      </w:r>
    </w:p>
    <w:p w:rsidR="00AA7699" w:rsidRPr="001F0B09" w:rsidRDefault="00AA7699" w:rsidP="00AA7699">
      <w:pPr>
        <w:spacing w:after="0" w:line="240" w:lineRule="auto"/>
        <w:rPr>
          <w:rFonts w:cs="Arial"/>
          <w:strike/>
          <w:color w:val="auto"/>
          <w:sz w:val="22"/>
          <w:szCs w:val="22"/>
        </w:rPr>
      </w:pPr>
    </w:p>
    <w:p w:rsidR="00FE4082" w:rsidRPr="001F0B09" w:rsidRDefault="00FE4082" w:rsidP="00FE4082">
      <w:pPr>
        <w:pStyle w:val="BodyText"/>
        <w:widowControl w:val="0"/>
        <w:ind w:right="-105"/>
        <w:rPr>
          <w:rFonts w:cs="Arial"/>
          <w:color w:val="auto"/>
          <w:sz w:val="20"/>
          <w:szCs w:val="20"/>
        </w:rPr>
      </w:pPr>
      <w:r w:rsidRPr="001F0B09">
        <w:rPr>
          <w:rFonts w:cs="Arial"/>
          <w:color w:val="auto"/>
          <w:sz w:val="20"/>
          <w:szCs w:val="20"/>
        </w:rPr>
        <w:t>This statement shows how annual expenditure is used and funded from resources (government grants, council tax and business rates) by local authorities in comparison with those resources consumed or earned by authorities in accordance with generally accepted accounting practices.  It also shows how this expenditure is allocated for decision making purposes between the council’s services. Income and expenditure accounted for under generally accepted accounting practices is presented more fully in the Comprehensive Income and Expenditure Statement.</w:t>
      </w:r>
    </w:p>
    <w:tbl>
      <w:tblPr>
        <w:tblStyle w:val="ListTable3-Accent51"/>
        <w:tblW w:w="14283" w:type="dxa"/>
        <w:tblLayout w:type="fixed"/>
        <w:tblLook w:val="00A0" w:firstRow="1" w:lastRow="0" w:firstColumn="1" w:lastColumn="0" w:noHBand="0" w:noVBand="0"/>
      </w:tblPr>
      <w:tblGrid>
        <w:gridCol w:w="1384"/>
        <w:gridCol w:w="1276"/>
        <w:gridCol w:w="142"/>
        <w:gridCol w:w="1559"/>
        <w:gridCol w:w="4252"/>
        <w:gridCol w:w="709"/>
        <w:gridCol w:w="1559"/>
        <w:gridCol w:w="1560"/>
        <w:gridCol w:w="1842"/>
      </w:tblGrid>
      <w:tr w:rsidR="00FE4082" w:rsidRPr="0005794A" w:rsidTr="00FE4082">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2660" w:type="dxa"/>
            <w:gridSpan w:val="2"/>
          </w:tcPr>
          <w:p w:rsidR="00FE4082" w:rsidRPr="00574D45" w:rsidRDefault="00574D45" w:rsidP="00FE4082">
            <w:pPr>
              <w:rPr>
                <w:b w:val="0"/>
                <w:color w:val="auto"/>
                <w:lang w:eastAsia="en-GB"/>
              </w:rPr>
            </w:pPr>
            <w:r w:rsidRPr="00574D45">
              <w:rPr>
                <w:b w:val="0"/>
                <w:color w:val="auto"/>
                <w:lang w:eastAsia="en-GB"/>
              </w:rPr>
              <w:t>2016/17</w:t>
            </w:r>
          </w:p>
        </w:tc>
        <w:tc>
          <w:tcPr>
            <w:cnfStyle w:val="000010000000" w:firstRow="0" w:lastRow="0" w:firstColumn="0" w:lastColumn="0" w:oddVBand="1" w:evenVBand="0" w:oddHBand="0" w:evenHBand="0" w:firstRowFirstColumn="0" w:firstRowLastColumn="0" w:lastRowFirstColumn="0" w:lastRowLastColumn="0"/>
            <w:tcW w:w="5953" w:type="dxa"/>
            <w:gridSpan w:val="3"/>
          </w:tcPr>
          <w:p w:rsidR="00FE4082" w:rsidRPr="00574D45" w:rsidRDefault="00FE4082" w:rsidP="00FE4082">
            <w:pPr>
              <w:rPr>
                <w:color w:val="auto"/>
                <w:lang w:eastAsia="en-GB"/>
              </w:rPr>
            </w:pPr>
          </w:p>
        </w:tc>
        <w:tc>
          <w:tcPr>
            <w:tcW w:w="709" w:type="dxa"/>
          </w:tcPr>
          <w:p w:rsidR="00FE4082" w:rsidRPr="00574D45" w:rsidRDefault="00FE4082" w:rsidP="00FE4082">
            <w:pPr>
              <w:cnfStyle w:val="100000000000" w:firstRow="1" w:lastRow="0" w:firstColumn="0" w:lastColumn="0" w:oddVBand="0" w:evenVBand="0" w:oddHBand="0" w:evenHBand="0" w:firstRowFirstColumn="0" w:firstRowLastColumn="0" w:lastRowFirstColumn="0" w:lastRowLastColumn="0"/>
              <w:rPr>
                <w:color w:val="auto"/>
                <w:lang w:eastAsia="en-GB"/>
              </w:rPr>
            </w:pPr>
          </w:p>
        </w:tc>
        <w:tc>
          <w:tcPr>
            <w:cnfStyle w:val="000010000000" w:firstRow="0" w:lastRow="0" w:firstColumn="0" w:lastColumn="0" w:oddVBand="1" w:evenVBand="0" w:oddHBand="0" w:evenHBand="0" w:firstRowFirstColumn="0" w:firstRowLastColumn="0" w:lastRowFirstColumn="0" w:lastRowLastColumn="0"/>
            <w:tcW w:w="1559" w:type="dxa"/>
          </w:tcPr>
          <w:p w:rsidR="00FE4082" w:rsidRPr="00574D45" w:rsidRDefault="00FE4082" w:rsidP="00FE4082">
            <w:pPr>
              <w:rPr>
                <w:color w:val="auto"/>
                <w:lang w:eastAsia="en-GB"/>
              </w:rPr>
            </w:pPr>
          </w:p>
        </w:tc>
        <w:tc>
          <w:tcPr>
            <w:tcW w:w="1560" w:type="dxa"/>
          </w:tcPr>
          <w:p w:rsidR="00FE4082" w:rsidRPr="00574D45" w:rsidRDefault="00574D45" w:rsidP="00FE4082">
            <w:pPr>
              <w:cnfStyle w:val="100000000000" w:firstRow="1" w:lastRow="0" w:firstColumn="0" w:lastColumn="0" w:oddVBand="0" w:evenVBand="0" w:oddHBand="0" w:evenHBand="0" w:firstRowFirstColumn="0" w:firstRowLastColumn="0" w:lastRowFirstColumn="0" w:lastRowLastColumn="0"/>
              <w:rPr>
                <w:color w:val="auto"/>
                <w:lang w:eastAsia="en-GB"/>
              </w:rPr>
            </w:pPr>
            <w:r w:rsidRPr="00574D45">
              <w:rPr>
                <w:color w:val="auto"/>
                <w:lang w:eastAsia="en-GB"/>
              </w:rPr>
              <w:t>2017/18</w:t>
            </w:r>
          </w:p>
        </w:tc>
        <w:tc>
          <w:tcPr>
            <w:cnfStyle w:val="000010000000" w:firstRow="0" w:lastRow="0" w:firstColumn="0" w:lastColumn="0" w:oddVBand="1" w:evenVBand="0" w:oddHBand="0" w:evenHBand="0" w:firstRowFirstColumn="0" w:firstRowLastColumn="0" w:lastRowFirstColumn="0" w:lastRowLastColumn="0"/>
            <w:tcW w:w="1842" w:type="dxa"/>
            <w:noWrap/>
          </w:tcPr>
          <w:p w:rsidR="00FE4082" w:rsidRPr="00574D45" w:rsidRDefault="00FE4082" w:rsidP="00FE4082">
            <w:pPr>
              <w:rPr>
                <w:color w:val="auto"/>
                <w:lang w:eastAsia="en-GB"/>
              </w:rPr>
            </w:pPr>
          </w:p>
        </w:tc>
      </w:tr>
      <w:tr w:rsidR="00FE4082" w:rsidRPr="0005794A" w:rsidTr="00FE408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84" w:type="dxa"/>
            <w:shd w:val="clear" w:color="auto" w:fill="4BACC6" w:themeFill="accent5"/>
          </w:tcPr>
          <w:p w:rsidR="00FE4082" w:rsidRPr="00574D45" w:rsidRDefault="00FE4082" w:rsidP="00FE4082">
            <w:pPr>
              <w:pStyle w:val="NoSpacing"/>
              <w:jc w:val="center"/>
              <w:rPr>
                <w:rFonts w:ascii="Arial" w:hAnsi="Arial" w:cs="Arial"/>
                <w:b w:val="0"/>
                <w:sz w:val="18"/>
                <w:szCs w:val="18"/>
              </w:rPr>
            </w:pPr>
            <w:r w:rsidRPr="00574D45">
              <w:rPr>
                <w:rFonts w:ascii="Arial" w:hAnsi="Arial" w:cs="Arial"/>
                <w:b w:val="0"/>
                <w:sz w:val="18"/>
                <w:szCs w:val="18"/>
              </w:rPr>
              <w:t>Net Expend</w:t>
            </w:r>
          </w:p>
          <w:p w:rsidR="00FE4082" w:rsidRPr="00574D45" w:rsidRDefault="00FE4082" w:rsidP="00FE4082">
            <w:pPr>
              <w:pStyle w:val="NoSpacing"/>
              <w:jc w:val="center"/>
              <w:rPr>
                <w:rFonts w:ascii="Arial" w:hAnsi="Arial" w:cs="Arial"/>
                <w:b w:val="0"/>
                <w:sz w:val="18"/>
                <w:szCs w:val="18"/>
              </w:rPr>
            </w:pPr>
            <w:r w:rsidRPr="00574D45">
              <w:rPr>
                <w:rFonts w:ascii="Arial" w:hAnsi="Arial" w:cs="Arial"/>
                <w:b w:val="0"/>
                <w:sz w:val="18"/>
                <w:szCs w:val="18"/>
              </w:rPr>
              <w:t>Chargeable</w:t>
            </w:r>
          </w:p>
          <w:p w:rsidR="00FE4082" w:rsidRPr="00574D45" w:rsidRDefault="00FE4082" w:rsidP="00FE4082">
            <w:pPr>
              <w:pStyle w:val="NoSpacing"/>
              <w:jc w:val="center"/>
              <w:rPr>
                <w:rFonts w:ascii="Arial" w:hAnsi="Arial" w:cs="Arial"/>
                <w:b w:val="0"/>
                <w:sz w:val="18"/>
                <w:szCs w:val="18"/>
              </w:rPr>
            </w:pPr>
            <w:r w:rsidRPr="00574D45">
              <w:rPr>
                <w:rFonts w:ascii="Arial" w:hAnsi="Arial" w:cs="Arial"/>
                <w:b w:val="0"/>
                <w:sz w:val="18"/>
                <w:szCs w:val="18"/>
              </w:rPr>
              <w:t>To the General Fund</w:t>
            </w:r>
          </w:p>
        </w:tc>
        <w:tc>
          <w:tcPr>
            <w:cnfStyle w:val="000010000000" w:firstRow="0" w:lastRow="0" w:firstColumn="0" w:lastColumn="0" w:oddVBand="1" w:evenVBand="0" w:oddHBand="0" w:evenHBand="0" w:firstRowFirstColumn="0" w:firstRowLastColumn="0" w:lastRowFirstColumn="0" w:lastRowLastColumn="0"/>
            <w:tcW w:w="1418" w:type="dxa"/>
            <w:gridSpan w:val="2"/>
            <w:shd w:val="clear" w:color="auto" w:fill="4BACC6" w:themeFill="accent5"/>
          </w:tcPr>
          <w:p w:rsidR="00FE4082" w:rsidRPr="00574D45" w:rsidRDefault="00FE4082" w:rsidP="00FE4082">
            <w:pPr>
              <w:pStyle w:val="NoSpacing"/>
              <w:jc w:val="center"/>
              <w:rPr>
                <w:rFonts w:ascii="Arial" w:hAnsi="Arial" w:cs="Arial"/>
                <w:sz w:val="18"/>
                <w:szCs w:val="18"/>
              </w:rPr>
            </w:pPr>
            <w:r w:rsidRPr="00574D45">
              <w:rPr>
                <w:rFonts w:ascii="Arial" w:hAnsi="Arial" w:cs="Arial"/>
                <w:sz w:val="18"/>
                <w:szCs w:val="18"/>
              </w:rPr>
              <w:t>Adjustments between the Funding and Accounting Basis</w:t>
            </w:r>
          </w:p>
        </w:tc>
        <w:tc>
          <w:tcPr>
            <w:tcW w:w="1559" w:type="dxa"/>
            <w:shd w:val="clear" w:color="auto" w:fill="4BACC6" w:themeFill="accent5"/>
          </w:tcPr>
          <w:p w:rsidR="00FE4082" w:rsidRPr="00574D45" w:rsidRDefault="00FE4082" w:rsidP="00FE408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4D45">
              <w:rPr>
                <w:rFonts w:ascii="Arial" w:hAnsi="Arial" w:cs="Arial"/>
                <w:sz w:val="18"/>
                <w:szCs w:val="18"/>
              </w:rPr>
              <w:t>Net Expenditure in the Comprehensive Income and Expenditure Statement</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4BACC6" w:themeFill="accent5"/>
          </w:tcPr>
          <w:p w:rsidR="00FE4082" w:rsidRPr="00574D45" w:rsidRDefault="00FE4082" w:rsidP="00FE4082">
            <w:pPr>
              <w:pStyle w:val="NoSpacing"/>
              <w:rPr>
                <w:rFonts w:ascii="Arial" w:hAnsi="Arial" w:cs="Arial"/>
                <w:sz w:val="18"/>
                <w:szCs w:val="18"/>
              </w:rPr>
            </w:pPr>
            <w:r w:rsidRPr="00574D45">
              <w:rPr>
                <w:rFonts w:ascii="Arial" w:hAnsi="Arial" w:cs="Arial"/>
                <w:sz w:val="18"/>
                <w:szCs w:val="18"/>
              </w:rPr>
              <w:t>Services</w:t>
            </w:r>
          </w:p>
        </w:tc>
        <w:tc>
          <w:tcPr>
            <w:tcW w:w="709" w:type="dxa"/>
            <w:shd w:val="clear" w:color="auto" w:fill="4BACC6" w:themeFill="accent5"/>
          </w:tcPr>
          <w:p w:rsidR="00FE4082" w:rsidRPr="00574D45" w:rsidRDefault="00FE4082" w:rsidP="00FE4082">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4BACC6" w:themeFill="accent5"/>
          </w:tcPr>
          <w:p w:rsidR="00FE4082" w:rsidRPr="00574D45" w:rsidRDefault="00FE4082" w:rsidP="00FE4082">
            <w:pPr>
              <w:pStyle w:val="NoSpacing"/>
              <w:jc w:val="center"/>
              <w:rPr>
                <w:rFonts w:ascii="Arial" w:hAnsi="Arial" w:cs="Arial"/>
                <w:b/>
                <w:sz w:val="18"/>
                <w:szCs w:val="18"/>
              </w:rPr>
            </w:pPr>
            <w:r w:rsidRPr="00574D45">
              <w:rPr>
                <w:rFonts w:ascii="Arial" w:hAnsi="Arial" w:cs="Arial"/>
                <w:b/>
                <w:sz w:val="18"/>
                <w:szCs w:val="18"/>
              </w:rPr>
              <w:t>Net Expend</w:t>
            </w:r>
          </w:p>
          <w:p w:rsidR="00FE4082" w:rsidRPr="00574D45" w:rsidRDefault="00FE4082" w:rsidP="00FE4082">
            <w:pPr>
              <w:pStyle w:val="NoSpacing"/>
              <w:jc w:val="center"/>
              <w:rPr>
                <w:rFonts w:ascii="Arial" w:hAnsi="Arial" w:cs="Arial"/>
                <w:b/>
                <w:sz w:val="18"/>
                <w:szCs w:val="18"/>
              </w:rPr>
            </w:pPr>
            <w:r w:rsidRPr="00574D45">
              <w:rPr>
                <w:rFonts w:ascii="Arial" w:hAnsi="Arial" w:cs="Arial"/>
                <w:b/>
                <w:sz w:val="18"/>
                <w:szCs w:val="18"/>
              </w:rPr>
              <w:t>Chargeable</w:t>
            </w:r>
          </w:p>
          <w:p w:rsidR="00FE4082" w:rsidRPr="00574D45" w:rsidRDefault="00FE4082" w:rsidP="00FE4082">
            <w:pPr>
              <w:pStyle w:val="NoSpacing"/>
              <w:jc w:val="center"/>
              <w:rPr>
                <w:rFonts w:ascii="Arial" w:hAnsi="Arial" w:cs="Arial"/>
                <w:sz w:val="18"/>
                <w:szCs w:val="18"/>
              </w:rPr>
            </w:pPr>
            <w:r w:rsidRPr="00574D45">
              <w:rPr>
                <w:rFonts w:ascii="Arial" w:hAnsi="Arial" w:cs="Arial"/>
                <w:b/>
                <w:sz w:val="18"/>
                <w:szCs w:val="18"/>
              </w:rPr>
              <w:t>to the General Fund</w:t>
            </w:r>
          </w:p>
        </w:tc>
        <w:tc>
          <w:tcPr>
            <w:tcW w:w="1560" w:type="dxa"/>
            <w:shd w:val="clear" w:color="auto" w:fill="4BACC6" w:themeFill="accent5"/>
          </w:tcPr>
          <w:p w:rsidR="00FE4082" w:rsidRPr="00574D45" w:rsidRDefault="00FE4082" w:rsidP="00FE408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574D45">
              <w:rPr>
                <w:rFonts w:ascii="Arial" w:hAnsi="Arial" w:cs="Arial"/>
                <w:b/>
                <w:sz w:val="18"/>
                <w:szCs w:val="18"/>
              </w:rPr>
              <w:t xml:space="preserve">Adjustments between the Funding and Accounting Basis </w:t>
            </w:r>
          </w:p>
          <w:p w:rsidR="00FE4082" w:rsidRPr="00574D45" w:rsidRDefault="00FE4082" w:rsidP="00FE4082">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cnfStyle w:val="000010000000" w:firstRow="0" w:lastRow="0" w:firstColumn="0" w:lastColumn="0" w:oddVBand="1" w:evenVBand="0" w:oddHBand="0" w:evenHBand="0" w:firstRowFirstColumn="0" w:firstRowLastColumn="0" w:lastRowFirstColumn="0" w:lastRowLastColumn="0"/>
            <w:tcW w:w="1842" w:type="dxa"/>
            <w:shd w:val="clear" w:color="auto" w:fill="4BACC6" w:themeFill="accent5"/>
            <w:noWrap/>
          </w:tcPr>
          <w:p w:rsidR="00FE4082" w:rsidRPr="00574D45" w:rsidRDefault="00FE4082" w:rsidP="00FE4082">
            <w:pPr>
              <w:pStyle w:val="NoSpacing"/>
              <w:jc w:val="center"/>
              <w:rPr>
                <w:rFonts w:ascii="Arial" w:hAnsi="Arial" w:cs="Arial"/>
                <w:b/>
                <w:sz w:val="18"/>
                <w:szCs w:val="18"/>
              </w:rPr>
            </w:pPr>
            <w:r w:rsidRPr="00574D45">
              <w:rPr>
                <w:rFonts w:ascii="Arial" w:hAnsi="Arial" w:cs="Arial"/>
                <w:b/>
                <w:sz w:val="18"/>
                <w:szCs w:val="18"/>
              </w:rPr>
              <w:t>Net Expenditure in the Comprehensive Income and Expenditure Statement</w:t>
            </w:r>
          </w:p>
        </w:tc>
      </w:tr>
      <w:tr w:rsidR="00FE4082" w:rsidRPr="0005794A" w:rsidTr="00FE4082">
        <w:trPr>
          <w:trHeight w:val="325"/>
        </w:trPr>
        <w:tc>
          <w:tcPr>
            <w:cnfStyle w:val="001000000000" w:firstRow="0" w:lastRow="0" w:firstColumn="1" w:lastColumn="0" w:oddVBand="0" w:evenVBand="0" w:oddHBand="0" w:evenHBand="0" w:firstRowFirstColumn="0" w:firstRowLastColumn="0" w:lastRowFirstColumn="0" w:lastRowLastColumn="0"/>
            <w:tcW w:w="1384" w:type="dxa"/>
            <w:shd w:val="clear" w:color="auto" w:fill="4BACC6" w:themeFill="accent5"/>
          </w:tcPr>
          <w:p w:rsidR="00FE4082" w:rsidRPr="00574D45" w:rsidRDefault="00FE4082" w:rsidP="00FE4082">
            <w:pPr>
              <w:jc w:val="center"/>
              <w:rPr>
                <w:rFonts w:cs="Arial"/>
                <w:b w:val="0"/>
                <w:bCs w:val="0"/>
                <w:color w:val="auto"/>
                <w:sz w:val="18"/>
                <w:szCs w:val="18"/>
                <w:lang w:eastAsia="en-GB"/>
              </w:rPr>
            </w:pPr>
            <w:r w:rsidRPr="00574D45">
              <w:rPr>
                <w:rFonts w:cs="Arial"/>
                <w:b w:val="0"/>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gridSpan w:val="2"/>
            <w:shd w:val="clear" w:color="auto" w:fill="4BACC6" w:themeFill="accent5"/>
          </w:tcPr>
          <w:p w:rsidR="00FE4082" w:rsidRPr="00574D45" w:rsidRDefault="00FE4082" w:rsidP="00FE4082">
            <w:pPr>
              <w:jc w:val="center"/>
              <w:rPr>
                <w:rFonts w:cs="Arial"/>
                <w:color w:val="auto"/>
                <w:sz w:val="18"/>
                <w:szCs w:val="18"/>
                <w:lang w:eastAsia="en-GB"/>
              </w:rPr>
            </w:pPr>
            <w:r w:rsidRPr="00574D45">
              <w:rPr>
                <w:rFonts w:cs="Arial"/>
                <w:color w:val="auto"/>
                <w:sz w:val="18"/>
                <w:szCs w:val="18"/>
                <w:lang w:eastAsia="en-GB"/>
              </w:rPr>
              <w:t>£m</w:t>
            </w:r>
          </w:p>
        </w:tc>
        <w:tc>
          <w:tcPr>
            <w:tcW w:w="1559" w:type="dxa"/>
            <w:shd w:val="clear" w:color="auto" w:fill="4BACC6" w:themeFill="accent5"/>
          </w:tcPr>
          <w:p w:rsidR="00FE4082" w:rsidRPr="00574D45" w:rsidRDefault="00FE4082" w:rsidP="00FE4082">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574D45">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4BACC6" w:themeFill="accent5"/>
          </w:tcPr>
          <w:p w:rsidR="00FE4082" w:rsidRPr="00574D45" w:rsidRDefault="00FE4082" w:rsidP="00FE4082">
            <w:pPr>
              <w:rPr>
                <w:rFonts w:cs="Arial"/>
                <w:color w:val="auto"/>
                <w:sz w:val="18"/>
                <w:szCs w:val="18"/>
                <w:lang w:eastAsia="en-GB"/>
              </w:rPr>
            </w:pPr>
          </w:p>
        </w:tc>
        <w:tc>
          <w:tcPr>
            <w:tcW w:w="709" w:type="dxa"/>
            <w:tcBorders>
              <w:bottom w:val="single" w:sz="4" w:space="0" w:color="4BACC6" w:themeColor="accent5"/>
            </w:tcBorders>
            <w:shd w:val="clear" w:color="auto" w:fill="4BACC6" w:themeFill="accent5"/>
          </w:tcPr>
          <w:p w:rsidR="00FE4082" w:rsidRPr="00574D45" w:rsidRDefault="00FE4082" w:rsidP="00FE4082">
            <w:pP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4BACC6" w:themeFill="accent5"/>
            <w:noWrap/>
          </w:tcPr>
          <w:p w:rsidR="00FE4082" w:rsidRPr="00574D45" w:rsidRDefault="00FE4082" w:rsidP="00FE4082">
            <w:pPr>
              <w:jc w:val="center"/>
              <w:rPr>
                <w:rFonts w:cs="Arial"/>
                <w:color w:val="auto"/>
                <w:sz w:val="18"/>
                <w:szCs w:val="18"/>
                <w:lang w:eastAsia="en-GB"/>
              </w:rPr>
            </w:pPr>
            <w:r w:rsidRPr="00574D45">
              <w:rPr>
                <w:rFonts w:cs="Arial"/>
                <w:color w:val="auto"/>
                <w:sz w:val="18"/>
                <w:szCs w:val="18"/>
                <w:lang w:eastAsia="en-GB"/>
              </w:rPr>
              <w:t>£m</w:t>
            </w:r>
          </w:p>
        </w:tc>
        <w:tc>
          <w:tcPr>
            <w:tcW w:w="1560" w:type="dxa"/>
            <w:shd w:val="clear" w:color="auto" w:fill="4BACC6" w:themeFill="accent5"/>
            <w:noWrap/>
          </w:tcPr>
          <w:p w:rsidR="00FE4082" w:rsidRPr="00574D45" w:rsidRDefault="00FE4082" w:rsidP="00FE4082">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574D45">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842" w:type="dxa"/>
            <w:shd w:val="clear" w:color="auto" w:fill="4BACC6" w:themeFill="accent5"/>
            <w:noWrap/>
          </w:tcPr>
          <w:p w:rsidR="00FE4082" w:rsidRPr="00574D45" w:rsidRDefault="00FE4082" w:rsidP="00FE4082">
            <w:pPr>
              <w:jc w:val="center"/>
              <w:rPr>
                <w:rFonts w:cs="Arial"/>
                <w:color w:val="auto"/>
                <w:sz w:val="18"/>
                <w:szCs w:val="18"/>
                <w:lang w:eastAsia="en-GB"/>
              </w:rPr>
            </w:pPr>
            <w:r w:rsidRPr="00574D45">
              <w:rPr>
                <w:rFonts w:cs="Arial"/>
                <w:color w:val="auto"/>
                <w:sz w:val="18"/>
                <w:szCs w:val="18"/>
                <w:lang w:eastAsia="en-GB"/>
              </w:rPr>
              <w:t>£m</w:t>
            </w:r>
          </w:p>
        </w:tc>
      </w:tr>
      <w:tr w:rsidR="00FE4082" w:rsidRPr="0005794A" w:rsidTr="00FE40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FE4082" w:rsidRPr="00574D45" w:rsidRDefault="00FE4082" w:rsidP="00FE4082">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18" w:type="dxa"/>
            <w:gridSpan w:val="2"/>
          </w:tcPr>
          <w:p w:rsidR="00FE4082" w:rsidRPr="00574D45" w:rsidRDefault="00FE4082" w:rsidP="00FE4082">
            <w:pPr>
              <w:widowControl w:val="0"/>
              <w:spacing w:after="0" w:line="240" w:lineRule="auto"/>
              <w:jc w:val="right"/>
              <w:rPr>
                <w:rFonts w:cs="Arial"/>
                <w:color w:val="auto"/>
                <w:sz w:val="20"/>
                <w:szCs w:val="20"/>
                <w:lang w:eastAsia="en-GB"/>
              </w:rPr>
            </w:pPr>
          </w:p>
        </w:tc>
        <w:tc>
          <w:tcPr>
            <w:tcW w:w="1559" w:type="dxa"/>
          </w:tcPr>
          <w:p w:rsidR="00FE4082" w:rsidRPr="00574D45" w:rsidRDefault="00FE4082" w:rsidP="00FE4082">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FE4082" w:rsidRPr="00574D45" w:rsidRDefault="00FE4082" w:rsidP="00FE4082">
            <w:pPr>
              <w:widowControl w:val="0"/>
              <w:spacing w:after="0" w:line="240" w:lineRule="auto"/>
              <w:rPr>
                <w:rFonts w:cs="Arial"/>
                <w:color w:val="auto"/>
                <w:sz w:val="20"/>
                <w:szCs w:val="20"/>
                <w:lang w:eastAsia="en-GB"/>
              </w:rPr>
            </w:pPr>
            <w:r w:rsidRPr="00574D45">
              <w:rPr>
                <w:rFonts w:cs="Arial"/>
                <w:color w:val="auto"/>
                <w:sz w:val="20"/>
                <w:szCs w:val="20"/>
                <w:lang w:eastAsia="en-GB"/>
              </w:rPr>
              <w:t>Joint Commissioning:-</w:t>
            </w:r>
          </w:p>
        </w:tc>
        <w:tc>
          <w:tcPr>
            <w:tcW w:w="709" w:type="dxa"/>
            <w:tcBorders>
              <w:left w:val="nil"/>
              <w:right w:val="single" w:sz="4" w:space="0" w:color="4BACC6" w:themeColor="accent5"/>
            </w:tcBorders>
          </w:tcPr>
          <w:p w:rsidR="00FE4082" w:rsidRPr="0005794A" w:rsidRDefault="00FE4082" w:rsidP="00FE408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FE4082" w:rsidRPr="0005794A" w:rsidRDefault="00FE4082" w:rsidP="00FE4082">
            <w:pPr>
              <w:widowControl w:val="0"/>
              <w:spacing w:after="0" w:line="240" w:lineRule="auto"/>
              <w:jc w:val="right"/>
              <w:rPr>
                <w:rFonts w:cs="Arial"/>
                <w:color w:val="548DD4" w:themeColor="text2" w:themeTint="99"/>
                <w:sz w:val="20"/>
                <w:szCs w:val="20"/>
                <w:lang w:eastAsia="en-GB"/>
              </w:rPr>
            </w:pPr>
          </w:p>
        </w:tc>
        <w:tc>
          <w:tcPr>
            <w:tcW w:w="1560" w:type="dxa"/>
            <w:noWrap/>
          </w:tcPr>
          <w:p w:rsidR="00FE4082" w:rsidRPr="0005794A" w:rsidRDefault="00FE4082" w:rsidP="00FE4082">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842" w:type="dxa"/>
            <w:noWrap/>
          </w:tcPr>
          <w:p w:rsidR="00FE4082" w:rsidRPr="0005794A" w:rsidRDefault="00FE4082" w:rsidP="00FE4082">
            <w:pPr>
              <w:widowControl w:val="0"/>
              <w:spacing w:after="0" w:line="240" w:lineRule="auto"/>
              <w:jc w:val="right"/>
              <w:rPr>
                <w:rFonts w:cs="Arial"/>
                <w:b/>
                <w:color w:val="548DD4" w:themeColor="text2" w:themeTint="99"/>
                <w:sz w:val="20"/>
                <w:szCs w:val="20"/>
                <w:lang w:eastAsia="en-GB"/>
              </w:rPr>
            </w:pPr>
          </w:p>
        </w:tc>
      </w:tr>
      <w:tr w:rsidR="00574D45" w:rsidRPr="0005794A" w:rsidTr="00FE4082">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42.8</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0.9</w:t>
            </w:r>
          </w:p>
        </w:tc>
        <w:tc>
          <w:tcPr>
            <w:tcW w:w="1559" w:type="dxa"/>
          </w:tcPr>
          <w:p w:rsidR="00574D45" w:rsidRPr="005E5CD8" w:rsidRDefault="00574D45" w:rsidP="00574D4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43.7</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574D45" w:rsidRPr="00574D45" w:rsidRDefault="00574D45" w:rsidP="00FE4082">
            <w:pPr>
              <w:widowControl w:val="0"/>
              <w:spacing w:after="0" w:line="240" w:lineRule="auto"/>
              <w:rPr>
                <w:rFonts w:cs="Arial"/>
                <w:color w:val="auto"/>
                <w:sz w:val="20"/>
                <w:szCs w:val="20"/>
                <w:lang w:eastAsia="en-GB"/>
              </w:rPr>
            </w:pPr>
            <w:r w:rsidRPr="00574D45">
              <w:rPr>
                <w:rFonts w:cs="Arial"/>
                <w:color w:val="auto"/>
                <w:sz w:val="20"/>
                <w:szCs w:val="20"/>
                <w:lang w:eastAsia="en-GB"/>
              </w:rPr>
              <w:t>Adult’s Services</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574D45" w:rsidRPr="0005794A" w:rsidRDefault="00574D45" w:rsidP="00FE408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574D45" w:rsidRPr="001F0B09" w:rsidRDefault="001F0B09" w:rsidP="00FE4082">
            <w:pPr>
              <w:widowControl w:val="0"/>
              <w:spacing w:after="0" w:line="240" w:lineRule="auto"/>
              <w:jc w:val="right"/>
              <w:rPr>
                <w:rFonts w:cs="Arial"/>
                <w:color w:val="auto"/>
                <w:sz w:val="20"/>
                <w:szCs w:val="20"/>
                <w:lang w:eastAsia="en-GB"/>
              </w:rPr>
            </w:pPr>
            <w:r w:rsidRPr="001F0B09">
              <w:rPr>
                <w:rFonts w:cs="Arial"/>
                <w:color w:val="auto"/>
                <w:sz w:val="20"/>
                <w:szCs w:val="20"/>
                <w:lang w:eastAsia="en-GB"/>
              </w:rPr>
              <w:t>38.8</w:t>
            </w:r>
          </w:p>
        </w:tc>
        <w:tc>
          <w:tcPr>
            <w:tcW w:w="1560" w:type="dxa"/>
            <w:noWrap/>
          </w:tcPr>
          <w:p w:rsidR="00574D45" w:rsidRPr="002D4D66" w:rsidRDefault="002D4D66" w:rsidP="00FE4082">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2D4D66">
              <w:rPr>
                <w:rFonts w:cs="Arial"/>
                <w:color w:val="auto"/>
                <w:sz w:val="20"/>
                <w:szCs w:val="20"/>
                <w:lang w:eastAsia="en-GB"/>
              </w:rPr>
              <w:t>(0.9)</w:t>
            </w:r>
          </w:p>
        </w:tc>
        <w:tc>
          <w:tcPr>
            <w:cnfStyle w:val="000010000000" w:firstRow="0" w:lastRow="0" w:firstColumn="0" w:lastColumn="0" w:oddVBand="1" w:evenVBand="0" w:oddHBand="0" w:evenHBand="0" w:firstRowFirstColumn="0" w:firstRowLastColumn="0" w:lastRowFirstColumn="0" w:lastRowLastColumn="0"/>
            <w:tcW w:w="1842" w:type="dxa"/>
            <w:noWrap/>
          </w:tcPr>
          <w:p w:rsidR="00574D45" w:rsidRPr="002D4D66" w:rsidRDefault="002D4D66" w:rsidP="00FE4082">
            <w:pPr>
              <w:widowControl w:val="0"/>
              <w:spacing w:after="0" w:line="240" w:lineRule="auto"/>
              <w:jc w:val="right"/>
              <w:rPr>
                <w:rFonts w:cs="Arial"/>
                <w:b/>
                <w:color w:val="auto"/>
                <w:sz w:val="20"/>
                <w:szCs w:val="20"/>
                <w:lang w:eastAsia="en-GB"/>
              </w:rPr>
            </w:pPr>
            <w:r w:rsidRPr="002D4D66">
              <w:rPr>
                <w:rFonts w:cs="Arial"/>
                <w:b/>
                <w:color w:val="auto"/>
                <w:sz w:val="20"/>
                <w:szCs w:val="20"/>
                <w:lang w:eastAsia="en-GB"/>
              </w:rPr>
              <w:t>37.9</w:t>
            </w:r>
          </w:p>
        </w:tc>
      </w:tr>
      <w:tr w:rsidR="00574D45" w:rsidRPr="0005794A" w:rsidTr="00FE40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30.5</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3.9</w:t>
            </w:r>
          </w:p>
        </w:tc>
        <w:tc>
          <w:tcPr>
            <w:tcW w:w="1559" w:type="dxa"/>
          </w:tcPr>
          <w:p w:rsidR="00574D45" w:rsidRPr="005E5CD8" w:rsidRDefault="00574D45" w:rsidP="00574D4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34.4</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574D45" w:rsidRPr="00574D45" w:rsidRDefault="00574D45" w:rsidP="00FE4082">
            <w:pPr>
              <w:autoSpaceDE w:val="0"/>
              <w:autoSpaceDN w:val="0"/>
              <w:adjustRightInd w:val="0"/>
              <w:spacing w:after="0" w:line="240" w:lineRule="auto"/>
              <w:ind w:right="-224"/>
              <w:rPr>
                <w:rFonts w:cs="Arial"/>
                <w:color w:val="auto"/>
                <w:sz w:val="20"/>
                <w:szCs w:val="20"/>
                <w:lang w:eastAsia="en-GB"/>
              </w:rPr>
            </w:pPr>
            <w:r w:rsidRPr="00574D45">
              <w:rPr>
                <w:rFonts w:cs="Arial"/>
                <w:color w:val="auto"/>
                <w:sz w:val="20"/>
                <w:szCs w:val="20"/>
                <w:lang w:eastAsia="en-GB"/>
              </w:rPr>
              <w:t>Children’s Services</w:t>
            </w:r>
          </w:p>
        </w:tc>
        <w:tc>
          <w:tcPr>
            <w:tcW w:w="709" w:type="dxa"/>
            <w:tcBorders>
              <w:left w:val="nil"/>
              <w:right w:val="single" w:sz="4" w:space="0" w:color="4BACC6" w:themeColor="accent5"/>
            </w:tcBorders>
          </w:tcPr>
          <w:p w:rsidR="00574D45" w:rsidRPr="0005794A" w:rsidRDefault="00574D45" w:rsidP="00FE408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574D45" w:rsidRPr="001F0B09" w:rsidRDefault="001F0B09" w:rsidP="00FE4082">
            <w:pPr>
              <w:widowControl w:val="0"/>
              <w:spacing w:after="0" w:line="240" w:lineRule="auto"/>
              <w:jc w:val="right"/>
              <w:rPr>
                <w:rFonts w:cs="Arial"/>
                <w:color w:val="auto"/>
                <w:sz w:val="20"/>
                <w:szCs w:val="20"/>
                <w:lang w:eastAsia="en-GB"/>
              </w:rPr>
            </w:pPr>
            <w:r w:rsidRPr="001F0B09">
              <w:rPr>
                <w:rFonts w:cs="Arial"/>
                <w:color w:val="auto"/>
                <w:sz w:val="20"/>
                <w:szCs w:val="20"/>
                <w:lang w:eastAsia="en-GB"/>
              </w:rPr>
              <w:t>31.9</w:t>
            </w:r>
          </w:p>
        </w:tc>
        <w:tc>
          <w:tcPr>
            <w:tcW w:w="1560" w:type="dxa"/>
            <w:noWrap/>
          </w:tcPr>
          <w:p w:rsidR="00574D45" w:rsidRPr="002D4D66" w:rsidRDefault="008E2046" w:rsidP="00B113D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10.</w:t>
            </w:r>
            <w:r w:rsidR="00B113D5">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842" w:type="dxa"/>
            <w:noWrap/>
          </w:tcPr>
          <w:p w:rsidR="00574D45" w:rsidRPr="002D4D66" w:rsidRDefault="008E2046" w:rsidP="00B113D5">
            <w:pPr>
              <w:widowControl w:val="0"/>
              <w:spacing w:after="0" w:line="240" w:lineRule="auto"/>
              <w:jc w:val="right"/>
              <w:rPr>
                <w:rFonts w:cs="Arial"/>
                <w:b/>
                <w:color w:val="auto"/>
                <w:sz w:val="20"/>
                <w:szCs w:val="20"/>
                <w:lang w:eastAsia="en-GB"/>
              </w:rPr>
            </w:pPr>
            <w:r>
              <w:rPr>
                <w:rFonts w:cs="Arial"/>
                <w:b/>
                <w:color w:val="auto"/>
                <w:sz w:val="20"/>
                <w:szCs w:val="20"/>
                <w:lang w:eastAsia="en-GB"/>
              </w:rPr>
              <w:t>4</w:t>
            </w:r>
            <w:r w:rsidR="00B113D5">
              <w:rPr>
                <w:rFonts w:cs="Arial"/>
                <w:b/>
                <w:color w:val="auto"/>
                <w:sz w:val="20"/>
                <w:szCs w:val="20"/>
                <w:lang w:eastAsia="en-GB"/>
              </w:rPr>
              <w:t>1</w:t>
            </w:r>
            <w:r>
              <w:rPr>
                <w:rFonts w:cs="Arial"/>
                <w:b/>
                <w:color w:val="auto"/>
                <w:sz w:val="20"/>
                <w:szCs w:val="20"/>
                <w:lang w:eastAsia="en-GB"/>
              </w:rPr>
              <w:t>.</w:t>
            </w:r>
            <w:r w:rsidR="00B113D5">
              <w:rPr>
                <w:rFonts w:cs="Arial"/>
                <w:b/>
                <w:color w:val="auto"/>
                <w:sz w:val="20"/>
                <w:szCs w:val="20"/>
                <w:lang w:eastAsia="en-GB"/>
              </w:rPr>
              <w:t>9</w:t>
            </w:r>
          </w:p>
        </w:tc>
      </w:tr>
      <w:tr w:rsidR="00574D45" w:rsidRPr="0005794A" w:rsidTr="00FE4082">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9.9</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0.1</w:t>
            </w:r>
          </w:p>
        </w:tc>
        <w:tc>
          <w:tcPr>
            <w:tcW w:w="1559" w:type="dxa"/>
          </w:tcPr>
          <w:p w:rsidR="00574D45" w:rsidRPr="005E5CD8" w:rsidRDefault="00574D45" w:rsidP="00574D4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10.0</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574D45" w:rsidRPr="00574D45" w:rsidRDefault="00574D45" w:rsidP="00FE4082">
            <w:pPr>
              <w:widowControl w:val="0"/>
              <w:spacing w:after="0" w:line="240" w:lineRule="auto"/>
              <w:rPr>
                <w:rFonts w:cs="Arial"/>
                <w:color w:val="auto"/>
                <w:sz w:val="20"/>
                <w:szCs w:val="20"/>
                <w:lang w:eastAsia="en-GB"/>
              </w:rPr>
            </w:pPr>
            <w:r w:rsidRPr="00574D45">
              <w:rPr>
                <w:rFonts w:cs="Arial"/>
                <w:color w:val="auto"/>
                <w:sz w:val="20"/>
                <w:szCs w:val="20"/>
                <w:lang w:eastAsia="en-GB"/>
              </w:rPr>
              <w:t>Public Health</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574D45" w:rsidRPr="0005794A" w:rsidRDefault="00574D45" w:rsidP="00FE408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574D45" w:rsidRPr="001F0B09" w:rsidRDefault="001F0B09" w:rsidP="00FE4082">
            <w:pPr>
              <w:widowControl w:val="0"/>
              <w:spacing w:after="0" w:line="240" w:lineRule="auto"/>
              <w:jc w:val="right"/>
              <w:rPr>
                <w:rFonts w:cs="Arial"/>
                <w:color w:val="auto"/>
                <w:sz w:val="20"/>
                <w:szCs w:val="20"/>
                <w:lang w:eastAsia="en-GB"/>
              </w:rPr>
            </w:pPr>
            <w:r w:rsidRPr="001F0B09">
              <w:rPr>
                <w:rFonts w:cs="Arial"/>
                <w:color w:val="auto"/>
                <w:sz w:val="20"/>
                <w:szCs w:val="20"/>
                <w:lang w:eastAsia="en-GB"/>
              </w:rPr>
              <w:t>9.6</w:t>
            </w:r>
          </w:p>
        </w:tc>
        <w:tc>
          <w:tcPr>
            <w:tcW w:w="1560" w:type="dxa"/>
            <w:noWrap/>
          </w:tcPr>
          <w:p w:rsidR="00574D45" w:rsidRPr="002D4D66" w:rsidRDefault="002D4D66" w:rsidP="00FE4082">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2D4D66">
              <w:rPr>
                <w:rFonts w:cs="Arial"/>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842" w:type="dxa"/>
            <w:noWrap/>
          </w:tcPr>
          <w:p w:rsidR="00574D45" w:rsidRPr="002D4D66" w:rsidRDefault="002D4D66" w:rsidP="00FE4082">
            <w:pPr>
              <w:widowControl w:val="0"/>
              <w:spacing w:after="0" w:line="240" w:lineRule="auto"/>
              <w:jc w:val="right"/>
              <w:rPr>
                <w:rFonts w:cs="Arial"/>
                <w:b/>
                <w:color w:val="auto"/>
                <w:sz w:val="20"/>
                <w:szCs w:val="20"/>
                <w:lang w:eastAsia="en-GB"/>
              </w:rPr>
            </w:pPr>
            <w:r w:rsidRPr="002D4D66">
              <w:rPr>
                <w:rFonts w:cs="Arial"/>
                <w:b/>
                <w:color w:val="auto"/>
                <w:sz w:val="20"/>
                <w:szCs w:val="20"/>
                <w:lang w:eastAsia="en-GB"/>
              </w:rPr>
              <w:t>9.4</w:t>
            </w:r>
          </w:p>
        </w:tc>
      </w:tr>
      <w:tr w:rsidR="00574D45" w:rsidRPr="0005794A" w:rsidTr="00FE40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E5CD8"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28.2</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574D45" w:rsidRPr="005E5CD8" w:rsidRDefault="005E5CD8"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2.6</w:t>
            </w:r>
          </w:p>
        </w:tc>
        <w:tc>
          <w:tcPr>
            <w:tcW w:w="1559" w:type="dxa"/>
          </w:tcPr>
          <w:p w:rsidR="00574D45" w:rsidRPr="005E5CD8" w:rsidRDefault="005E5CD8" w:rsidP="00C407E3">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3</w:t>
            </w:r>
            <w:r w:rsidR="00C407E3">
              <w:rPr>
                <w:rFonts w:cs="Arial"/>
                <w:color w:val="auto"/>
                <w:sz w:val="20"/>
                <w:szCs w:val="20"/>
                <w:lang w:eastAsia="en-GB"/>
              </w:rPr>
              <w:t>0</w:t>
            </w:r>
            <w:r w:rsidRPr="005E5CD8">
              <w:rPr>
                <w:rFonts w:cs="Arial"/>
                <w:color w:val="auto"/>
                <w:sz w:val="20"/>
                <w:szCs w:val="20"/>
                <w:lang w:eastAsia="en-GB"/>
              </w:rPr>
              <w:t>.8</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574D45" w:rsidRPr="00574D45" w:rsidRDefault="001F0B09" w:rsidP="00FE4082">
            <w:pPr>
              <w:widowControl w:val="0"/>
              <w:spacing w:after="0" w:line="240" w:lineRule="auto"/>
              <w:rPr>
                <w:rFonts w:cs="Arial"/>
                <w:color w:val="auto"/>
                <w:sz w:val="20"/>
                <w:szCs w:val="20"/>
                <w:lang w:eastAsia="en-GB"/>
              </w:rPr>
            </w:pPr>
            <w:r>
              <w:rPr>
                <w:rFonts w:cs="Arial"/>
                <w:color w:val="auto"/>
                <w:sz w:val="20"/>
                <w:szCs w:val="20"/>
                <w:lang w:eastAsia="en-GB"/>
              </w:rPr>
              <w:t>Joint Operations:</w:t>
            </w:r>
          </w:p>
        </w:tc>
        <w:tc>
          <w:tcPr>
            <w:tcW w:w="709" w:type="dxa"/>
            <w:tcBorders>
              <w:left w:val="nil"/>
              <w:right w:val="single" w:sz="4" w:space="0" w:color="4BACC6" w:themeColor="accent5"/>
            </w:tcBorders>
          </w:tcPr>
          <w:p w:rsidR="00574D45" w:rsidRPr="0005794A" w:rsidRDefault="00574D45" w:rsidP="00FE408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574D45" w:rsidRPr="001F0B09" w:rsidRDefault="001F0B09" w:rsidP="00FE4082">
            <w:pPr>
              <w:widowControl w:val="0"/>
              <w:spacing w:after="0" w:line="240" w:lineRule="auto"/>
              <w:jc w:val="right"/>
              <w:rPr>
                <w:rFonts w:cs="Arial"/>
                <w:color w:val="auto"/>
                <w:sz w:val="20"/>
                <w:szCs w:val="20"/>
                <w:lang w:eastAsia="en-GB"/>
              </w:rPr>
            </w:pPr>
            <w:r w:rsidRPr="001F0B09">
              <w:rPr>
                <w:rFonts w:cs="Arial"/>
                <w:color w:val="auto"/>
                <w:sz w:val="20"/>
                <w:szCs w:val="20"/>
                <w:lang w:eastAsia="en-GB"/>
              </w:rPr>
              <w:t>30.4</w:t>
            </w:r>
          </w:p>
        </w:tc>
        <w:tc>
          <w:tcPr>
            <w:tcW w:w="1560" w:type="dxa"/>
            <w:noWrap/>
          </w:tcPr>
          <w:p w:rsidR="00574D45" w:rsidRPr="002D4D66" w:rsidRDefault="00B113D5" w:rsidP="00FE4082">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5.0</w:t>
            </w:r>
          </w:p>
        </w:tc>
        <w:tc>
          <w:tcPr>
            <w:cnfStyle w:val="000010000000" w:firstRow="0" w:lastRow="0" w:firstColumn="0" w:lastColumn="0" w:oddVBand="1" w:evenVBand="0" w:oddHBand="0" w:evenHBand="0" w:firstRowFirstColumn="0" w:firstRowLastColumn="0" w:lastRowFirstColumn="0" w:lastRowLastColumn="0"/>
            <w:tcW w:w="1842" w:type="dxa"/>
            <w:noWrap/>
          </w:tcPr>
          <w:p w:rsidR="00574D45" w:rsidRPr="002D4D66" w:rsidRDefault="002D4D66" w:rsidP="00B113D5">
            <w:pPr>
              <w:widowControl w:val="0"/>
              <w:spacing w:after="0" w:line="240" w:lineRule="auto"/>
              <w:jc w:val="right"/>
              <w:rPr>
                <w:rFonts w:cs="Arial"/>
                <w:b/>
                <w:color w:val="auto"/>
                <w:sz w:val="20"/>
                <w:szCs w:val="20"/>
                <w:lang w:eastAsia="en-GB"/>
              </w:rPr>
            </w:pPr>
            <w:r w:rsidRPr="002D4D66">
              <w:rPr>
                <w:rFonts w:cs="Arial"/>
                <w:b/>
                <w:color w:val="auto"/>
                <w:sz w:val="20"/>
                <w:szCs w:val="20"/>
                <w:lang w:eastAsia="en-GB"/>
              </w:rPr>
              <w:t>35.</w:t>
            </w:r>
            <w:r w:rsidR="00B113D5">
              <w:rPr>
                <w:rFonts w:cs="Arial"/>
                <w:b/>
                <w:color w:val="auto"/>
                <w:sz w:val="20"/>
                <w:szCs w:val="20"/>
                <w:lang w:eastAsia="en-GB"/>
              </w:rPr>
              <w:t>4</w:t>
            </w:r>
          </w:p>
        </w:tc>
      </w:tr>
      <w:tr w:rsidR="00574D45" w:rsidRPr="0005794A" w:rsidTr="00FE4082">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111.4</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7.5</w:t>
            </w:r>
          </w:p>
        </w:tc>
        <w:tc>
          <w:tcPr>
            <w:tcW w:w="1559" w:type="dxa"/>
          </w:tcPr>
          <w:p w:rsidR="00574D45" w:rsidRPr="005E5CD8" w:rsidRDefault="00574D45" w:rsidP="00574D4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118.9</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574D45" w:rsidRPr="00574D45" w:rsidRDefault="00574D45" w:rsidP="00FE4082">
            <w:pPr>
              <w:widowControl w:val="0"/>
              <w:spacing w:after="0" w:line="240" w:lineRule="auto"/>
              <w:rPr>
                <w:rFonts w:cs="Arial"/>
                <w:b/>
                <w:color w:val="auto"/>
                <w:sz w:val="20"/>
                <w:szCs w:val="20"/>
                <w:lang w:eastAsia="en-GB"/>
              </w:rPr>
            </w:pPr>
            <w:r w:rsidRPr="00574D45">
              <w:rPr>
                <w:rFonts w:cs="Arial"/>
                <w:b/>
                <w:bCs/>
                <w:color w:val="auto"/>
                <w:sz w:val="20"/>
                <w:szCs w:val="20"/>
                <w:lang w:eastAsia="en-GB"/>
              </w:rPr>
              <w:t>Cost Of Services</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574D45" w:rsidRPr="0005794A" w:rsidRDefault="00574D45" w:rsidP="00FE408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574D45" w:rsidRPr="001F0B09" w:rsidRDefault="001F0B09" w:rsidP="00FE4082">
            <w:pPr>
              <w:widowControl w:val="0"/>
              <w:spacing w:after="0" w:line="240" w:lineRule="auto"/>
              <w:jc w:val="right"/>
              <w:rPr>
                <w:rFonts w:cs="Arial"/>
                <w:b/>
                <w:color w:val="auto"/>
                <w:sz w:val="20"/>
                <w:szCs w:val="20"/>
                <w:lang w:eastAsia="en-GB"/>
              </w:rPr>
            </w:pPr>
            <w:r w:rsidRPr="001F0B09">
              <w:rPr>
                <w:rFonts w:cs="Arial"/>
                <w:b/>
                <w:color w:val="auto"/>
                <w:sz w:val="20"/>
                <w:szCs w:val="20"/>
                <w:lang w:eastAsia="en-GB"/>
              </w:rPr>
              <w:t>110.7</w:t>
            </w:r>
          </w:p>
        </w:tc>
        <w:tc>
          <w:tcPr>
            <w:tcW w:w="1560" w:type="dxa"/>
            <w:noWrap/>
          </w:tcPr>
          <w:p w:rsidR="00574D45" w:rsidRPr="002D4D66" w:rsidRDefault="008E2046" w:rsidP="00FE4082">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13.9</w:t>
            </w:r>
          </w:p>
        </w:tc>
        <w:tc>
          <w:tcPr>
            <w:cnfStyle w:val="000010000000" w:firstRow="0" w:lastRow="0" w:firstColumn="0" w:lastColumn="0" w:oddVBand="1" w:evenVBand="0" w:oddHBand="0" w:evenHBand="0" w:firstRowFirstColumn="0" w:firstRowLastColumn="0" w:lastRowFirstColumn="0" w:lastRowLastColumn="0"/>
            <w:tcW w:w="1842" w:type="dxa"/>
            <w:noWrap/>
          </w:tcPr>
          <w:p w:rsidR="00574D45" w:rsidRPr="002D4D66" w:rsidRDefault="008E2046" w:rsidP="00FE4082">
            <w:pPr>
              <w:widowControl w:val="0"/>
              <w:spacing w:after="0" w:line="240" w:lineRule="auto"/>
              <w:jc w:val="right"/>
              <w:rPr>
                <w:rFonts w:cs="Arial"/>
                <w:b/>
                <w:color w:val="auto"/>
                <w:sz w:val="20"/>
                <w:szCs w:val="20"/>
                <w:lang w:eastAsia="en-GB"/>
              </w:rPr>
            </w:pPr>
            <w:r>
              <w:rPr>
                <w:rFonts w:cs="Arial"/>
                <w:b/>
                <w:color w:val="auto"/>
                <w:sz w:val="20"/>
                <w:szCs w:val="20"/>
                <w:lang w:eastAsia="en-GB"/>
              </w:rPr>
              <w:t>124.6</w:t>
            </w:r>
          </w:p>
        </w:tc>
      </w:tr>
      <w:tr w:rsidR="00574D45" w:rsidRPr="0005794A" w:rsidTr="00FE40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w:t>
            </w:r>
          </w:p>
        </w:tc>
        <w:tc>
          <w:tcPr>
            <w:tcW w:w="1559" w:type="dxa"/>
          </w:tcPr>
          <w:p w:rsidR="00574D45" w:rsidRPr="005E5CD8" w:rsidRDefault="00574D45" w:rsidP="00574D4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574D45" w:rsidRPr="00574D45" w:rsidRDefault="00574D45" w:rsidP="00FE4082">
            <w:pPr>
              <w:widowControl w:val="0"/>
              <w:spacing w:after="0" w:line="240" w:lineRule="auto"/>
              <w:rPr>
                <w:rFonts w:cs="Arial"/>
                <w:color w:val="auto"/>
                <w:sz w:val="20"/>
                <w:szCs w:val="20"/>
                <w:lang w:eastAsia="en-GB"/>
              </w:rPr>
            </w:pPr>
            <w:r w:rsidRPr="00574D45">
              <w:rPr>
                <w:rFonts w:cs="Arial"/>
                <w:color w:val="auto"/>
                <w:sz w:val="20"/>
                <w:szCs w:val="20"/>
                <w:lang w:eastAsia="en-GB"/>
              </w:rPr>
              <w:t xml:space="preserve">Other Operating Income &amp; Expenditure </w:t>
            </w:r>
          </w:p>
        </w:tc>
        <w:tc>
          <w:tcPr>
            <w:tcW w:w="709" w:type="dxa"/>
            <w:tcBorders>
              <w:left w:val="nil"/>
              <w:right w:val="single" w:sz="4" w:space="0" w:color="4BACC6" w:themeColor="accent5"/>
            </w:tcBorders>
          </w:tcPr>
          <w:p w:rsidR="00574D45" w:rsidRPr="0005794A" w:rsidRDefault="00574D45" w:rsidP="00FE408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574D45" w:rsidRPr="001F0B09" w:rsidRDefault="001F0B09" w:rsidP="00FE4082">
            <w:pPr>
              <w:widowControl w:val="0"/>
              <w:spacing w:after="0" w:line="240" w:lineRule="auto"/>
              <w:jc w:val="right"/>
              <w:rPr>
                <w:rFonts w:cs="Arial"/>
                <w:color w:val="auto"/>
                <w:sz w:val="20"/>
                <w:szCs w:val="20"/>
                <w:lang w:eastAsia="en-GB"/>
              </w:rPr>
            </w:pPr>
            <w:r w:rsidRPr="001F0B09">
              <w:rPr>
                <w:rFonts w:cs="Arial"/>
                <w:color w:val="auto"/>
                <w:sz w:val="20"/>
                <w:szCs w:val="20"/>
                <w:lang w:eastAsia="en-GB"/>
              </w:rPr>
              <w:t>0</w:t>
            </w:r>
          </w:p>
        </w:tc>
        <w:tc>
          <w:tcPr>
            <w:tcW w:w="1560" w:type="dxa"/>
            <w:noWrap/>
          </w:tcPr>
          <w:p w:rsidR="00574D45" w:rsidRPr="002D4D66" w:rsidRDefault="002D4D66" w:rsidP="008E2046">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2D4D66">
              <w:rPr>
                <w:rFonts w:cs="Arial"/>
                <w:color w:val="auto"/>
                <w:sz w:val="20"/>
                <w:szCs w:val="20"/>
                <w:lang w:eastAsia="en-GB"/>
              </w:rPr>
              <w:t>(0.</w:t>
            </w:r>
            <w:r w:rsidR="008E2046">
              <w:rPr>
                <w:rFonts w:cs="Arial"/>
                <w:color w:val="auto"/>
                <w:sz w:val="20"/>
                <w:szCs w:val="20"/>
                <w:lang w:eastAsia="en-GB"/>
              </w:rPr>
              <w:t>2</w:t>
            </w:r>
            <w:r w:rsidRPr="002D4D66">
              <w:rPr>
                <w:rFonts w:cs="Arial"/>
                <w:color w:val="auto"/>
                <w:sz w:val="20"/>
                <w:szCs w:val="20"/>
                <w:lang w:eastAsia="en-GB"/>
              </w:rPr>
              <w:t>)</w:t>
            </w:r>
          </w:p>
        </w:tc>
        <w:tc>
          <w:tcPr>
            <w:cnfStyle w:val="000010000000" w:firstRow="0" w:lastRow="0" w:firstColumn="0" w:lastColumn="0" w:oddVBand="1" w:evenVBand="0" w:oddHBand="0" w:evenHBand="0" w:firstRowFirstColumn="0" w:firstRowLastColumn="0" w:lastRowFirstColumn="0" w:lastRowLastColumn="0"/>
            <w:tcW w:w="1842" w:type="dxa"/>
            <w:noWrap/>
          </w:tcPr>
          <w:p w:rsidR="00574D45" w:rsidRPr="002D4D66" w:rsidRDefault="002D4D66" w:rsidP="008E2046">
            <w:pPr>
              <w:widowControl w:val="0"/>
              <w:spacing w:after="0" w:line="240" w:lineRule="auto"/>
              <w:jc w:val="right"/>
              <w:rPr>
                <w:rFonts w:cs="Arial"/>
                <w:b/>
                <w:color w:val="auto"/>
                <w:sz w:val="20"/>
                <w:szCs w:val="20"/>
                <w:lang w:eastAsia="en-GB"/>
              </w:rPr>
            </w:pPr>
            <w:r w:rsidRPr="002D4D66">
              <w:rPr>
                <w:rFonts w:cs="Arial"/>
                <w:b/>
                <w:color w:val="auto"/>
                <w:sz w:val="20"/>
                <w:szCs w:val="20"/>
                <w:lang w:eastAsia="en-GB"/>
              </w:rPr>
              <w:t>(0.</w:t>
            </w:r>
            <w:r w:rsidR="008E2046">
              <w:rPr>
                <w:rFonts w:cs="Arial"/>
                <w:b/>
                <w:color w:val="auto"/>
                <w:sz w:val="20"/>
                <w:szCs w:val="20"/>
                <w:lang w:eastAsia="en-GB"/>
              </w:rPr>
              <w:t>2</w:t>
            </w:r>
            <w:r w:rsidRPr="002D4D66">
              <w:rPr>
                <w:rFonts w:cs="Arial"/>
                <w:b/>
                <w:color w:val="auto"/>
                <w:sz w:val="20"/>
                <w:szCs w:val="20"/>
                <w:lang w:eastAsia="en-GB"/>
              </w:rPr>
              <w:t>)</w:t>
            </w:r>
          </w:p>
        </w:tc>
      </w:tr>
      <w:tr w:rsidR="00574D45" w:rsidRPr="0005794A" w:rsidTr="00FE4082">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0.7</w:t>
            </w:r>
          </w:p>
        </w:tc>
        <w:tc>
          <w:tcPr>
            <w:tcW w:w="1559" w:type="dxa"/>
          </w:tcPr>
          <w:p w:rsidR="00574D45" w:rsidRPr="005E5CD8" w:rsidRDefault="00574D45" w:rsidP="00574D4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0.7</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574D45" w:rsidRPr="00574D45" w:rsidRDefault="00574D45" w:rsidP="00FE4082">
            <w:pPr>
              <w:widowControl w:val="0"/>
              <w:spacing w:after="0" w:line="240" w:lineRule="auto"/>
              <w:rPr>
                <w:rFonts w:cs="Arial"/>
                <w:color w:val="auto"/>
                <w:sz w:val="20"/>
                <w:szCs w:val="20"/>
                <w:lang w:eastAsia="en-GB"/>
              </w:rPr>
            </w:pPr>
            <w:r w:rsidRPr="00574D45">
              <w:rPr>
                <w:rFonts w:cs="Arial"/>
                <w:color w:val="auto"/>
                <w:sz w:val="20"/>
                <w:szCs w:val="20"/>
                <w:lang w:eastAsia="en-GB"/>
              </w:rPr>
              <w:t xml:space="preserve">Transfer of schools to academies </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574D45" w:rsidRPr="0005794A" w:rsidRDefault="00574D45" w:rsidP="00FE408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574D45" w:rsidRPr="001F0B09" w:rsidRDefault="001F0B09" w:rsidP="00FE4082">
            <w:pPr>
              <w:widowControl w:val="0"/>
              <w:spacing w:after="0" w:line="240" w:lineRule="auto"/>
              <w:jc w:val="right"/>
              <w:rPr>
                <w:rFonts w:cs="Arial"/>
                <w:color w:val="auto"/>
                <w:sz w:val="20"/>
                <w:szCs w:val="20"/>
                <w:lang w:eastAsia="en-GB"/>
              </w:rPr>
            </w:pPr>
            <w:r w:rsidRPr="001F0B09">
              <w:rPr>
                <w:rFonts w:cs="Arial"/>
                <w:color w:val="auto"/>
                <w:sz w:val="20"/>
                <w:szCs w:val="20"/>
                <w:lang w:eastAsia="en-GB"/>
              </w:rPr>
              <w:t>0</w:t>
            </w:r>
          </w:p>
        </w:tc>
        <w:tc>
          <w:tcPr>
            <w:tcW w:w="1560" w:type="dxa"/>
            <w:noWrap/>
          </w:tcPr>
          <w:p w:rsidR="00574D45" w:rsidRPr="002D4D66" w:rsidRDefault="002D4D66" w:rsidP="00FE4082">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2D4D66">
              <w:rPr>
                <w:rFonts w:cs="Arial"/>
                <w:color w:val="auto"/>
                <w:sz w:val="20"/>
                <w:szCs w:val="20"/>
                <w:lang w:eastAsia="en-GB"/>
              </w:rPr>
              <w:t>7.1</w:t>
            </w:r>
          </w:p>
        </w:tc>
        <w:tc>
          <w:tcPr>
            <w:cnfStyle w:val="000010000000" w:firstRow="0" w:lastRow="0" w:firstColumn="0" w:lastColumn="0" w:oddVBand="1" w:evenVBand="0" w:oddHBand="0" w:evenHBand="0" w:firstRowFirstColumn="0" w:firstRowLastColumn="0" w:lastRowFirstColumn="0" w:lastRowLastColumn="0"/>
            <w:tcW w:w="1842" w:type="dxa"/>
            <w:noWrap/>
          </w:tcPr>
          <w:p w:rsidR="00574D45" w:rsidRPr="002D4D66" w:rsidRDefault="002D4D66" w:rsidP="00FE4082">
            <w:pPr>
              <w:widowControl w:val="0"/>
              <w:spacing w:after="0" w:line="240" w:lineRule="auto"/>
              <w:jc w:val="right"/>
              <w:rPr>
                <w:rFonts w:cs="Arial"/>
                <w:b/>
                <w:color w:val="auto"/>
                <w:sz w:val="20"/>
                <w:szCs w:val="20"/>
                <w:lang w:eastAsia="en-GB"/>
              </w:rPr>
            </w:pPr>
            <w:r w:rsidRPr="002D4D66">
              <w:rPr>
                <w:rFonts w:cs="Arial"/>
                <w:b/>
                <w:color w:val="auto"/>
                <w:sz w:val="20"/>
                <w:szCs w:val="20"/>
                <w:lang w:eastAsia="en-GB"/>
              </w:rPr>
              <w:t>7.1</w:t>
            </w:r>
          </w:p>
        </w:tc>
      </w:tr>
      <w:tr w:rsidR="00574D45" w:rsidRPr="0005794A" w:rsidTr="00FE40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11.6</w:t>
            </w:r>
          </w:p>
        </w:tc>
        <w:tc>
          <w:tcPr>
            <w:tcW w:w="1559" w:type="dxa"/>
          </w:tcPr>
          <w:p w:rsidR="00574D45" w:rsidRPr="005E5CD8" w:rsidRDefault="00574D45" w:rsidP="00574D4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11.6</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574D45" w:rsidRPr="00574D45" w:rsidRDefault="00574D45" w:rsidP="00FE4082">
            <w:pPr>
              <w:widowControl w:val="0"/>
              <w:spacing w:after="0" w:line="240" w:lineRule="auto"/>
              <w:rPr>
                <w:rFonts w:cs="Arial"/>
                <w:color w:val="auto"/>
                <w:sz w:val="20"/>
                <w:szCs w:val="20"/>
                <w:lang w:eastAsia="en-GB"/>
              </w:rPr>
            </w:pPr>
            <w:r w:rsidRPr="00574D45">
              <w:rPr>
                <w:rFonts w:cs="Arial"/>
                <w:color w:val="auto"/>
                <w:sz w:val="20"/>
                <w:szCs w:val="20"/>
                <w:lang w:eastAsia="en-GB"/>
              </w:rPr>
              <w:t xml:space="preserve">Financing and Investment Income and Expenditure </w:t>
            </w:r>
          </w:p>
        </w:tc>
        <w:tc>
          <w:tcPr>
            <w:tcW w:w="709" w:type="dxa"/>
            <w:tcBorders>
              <w:left w:val="nil"/>
              <w:right w:val="single" w:sz="4" w:space="0" w:color="4BACC6" w:themeColor="accent5"/>
            </w:tcBorders>
          </w:tcPr>
          <w:p w:rsidR="00574D45" w:rsidRPr="0005794A" w:rsidRDefault="00574D45" w:rsidP="00FE408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574D45" w:rsidRPr="001F0B09" w:rsidRDefault="001F0B09" w:rsidP="00FE4082">
            <w:pPr>
              <w:widowControl w:val="0"/>
              <w:spacing w:after="0" w:line="240" w:lineRule="auto"/>
              <w:jc w:val="right"/>
              <w:rPr>
                <w:rFonts w:cs="Arial"/>
                <w:color w:val="auto"/>
                <w:sz w:val="20"/>
                <w:szCs w:val="20"/>
                <w:lang w:eastAsia="en-GB"/>
              </w:rPr>
            </w:pPr>
            <w:r w:rsidRPr="001F0B09">
              <w:rPr>
                <w:rFonts w:cs="Arial"/>
                <w:color w:val="auto"/>
                <w:sz w:val="20"/>
                <w:szCs w:val="20"/>
                <w:lang w:eastAsia="en-GB"/>
              </w:rPr>
              <w:t>0</w:t>
            </w:r>
          </w:p>
        </w:tc>
        <w:tc>
          <w:tcPr>
            <w:tcW w:w="1560" w:type="dxa"/>
            <w:noWrap/>
          </w:tcPr>
          <w:p w:rsidR="00574D45" w:rsidRPr="002D4D66" w:rsidRDefault="002D4D66" w:rsidP="00FE4082">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2D4D66">
              <w:rPr>
                <w:rFonts w:cs="Arial"/>
                <w:color w:val="auto"/>
                <w:sz w:val="20"/>
                <w:szCs w:val="20"/>
                <w:lang w:eastAsia="en-GB"/>
              </w:rPr>
              <w:t>13.1</w:t>
            </w:r>
          </w:p>
        </w:tc>
        <w:tc>
          <w:tcPr>
            <w:cnfStyle w:val="000010000000" w:firstRow="0" w:lastRow="0" w:firstColumn="0" w:lastColumn="0" w:oddVBand="1" w:evenVBand="0" w:oddHBand="0" w:evenHBand="0" w:firstRowFirstColumn="0" w:firstRowLastColumn="0" w:lastRowFirstColumn="0" w:lastRowLastColumn="0"/>
            <w:tcW w:w="1842" w:type="dxa"/>
            <w:noWrap/>
          </w:tcPr>
          <w:p w:rsidR="00574D45" w:rsidRPr="002D4D66" w:rsidRDefault="002D4D66" w:rsidP="00FE4082">
            <w:pPr>
              <w:widowControl w:val="0"/>
              <w:spacing w:after="0" w:line="240" w:lineRule="auto"/>
              <w:jc w:val="right"/>
              <w:rPr>
                <w:rFonts w:cs="Arial"/>
                <w:b/>
                <w:color w:val="auto"/>
                <w:sz w:val="20"/>
                <w:szCs w:val="20"/>
                <w:lang w:eastAsia="en-GB"/>
              </w:rPr>
            </w:pPr>
            <w:r w:rsidRPr="002D4D66">
              <w:rPr>
                <w:rFonts w:cs="Arial"/>
                <w:b/>
                <w:color w:val="auto"/>
                <w:sz w:val="20"/>
                <w:szCs w:val="20"/>
                <w:lang w:eastAsia="en-GB"/>
              </w:rPr>
              <w:t>13.1</w:t>
            </w:r>
          </w:p>
        </w:tc>
      </w:tr>
      <w:tr w:rsidR="00574D45" w:rsidRPr="0005794A" w:rsidTr="00FE4082">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(111.7)</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(8.5)</w:t>
            </w:r>
          </w:p>
        </w:tc>
        <w:tc>
          <w:tcPr>
            <w:tcW w:w="1559" w:type="dxa"/>
          </w:tcPr>
          <w:p w:rsidR="00574D45" w:rsidRPr="005E5CD8" w:rsidRDefault="00574D45" w:rsidP="00574D4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(120.2)</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574D45" w:rsidRPr="00574D45" w:rsidRDefault="00574D45" w:rsidP="00FE4082">
            <w:pPr>
              <w:widowControl w:val="0"/>
              <w:spacing w:after="0" w:line="240" w:lineRule="auto"/>
              <w:rPr>
                <w:rFonts w:cs="Arial"/>
                <w:color w:val="auto"/>
                <w:sz w:val="20"/>
                <w:szCs w:val="20"/>
                <w:lang w:eastAsia="en-GB"/>
              </w:rPr>
            </w:pPr>
            <w:r w:rsidRPr="00574D45">
              <w:rPr>
                <w:rFonts w:cs="Arial"/>
                <w:color w:val="auto"/>
                <w:sz w:val="20"/>
                <w:szCs w:val="20"/>
                <w:lang w:eastAsia="en-GB"/>
              </w:rPr>
              <w:t>Taxation and Non-Specific Grant Income and expenditure</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574D45" w:rsidRPr="0005794A" w:rsidRDefault="00574D45" w:rsidP="00FE408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574D45" w:rsidRPr="001F0B09" w:rsidRDefault="001F0B09" w:rsidP="00FE4082">
            <w:pPr>
              <w:widowControl w:val="0"/>
              <w:spacing w:after="0" w:line="240" w:lineRule="auto"/>
              <w:jc w:val="right"/>
              <w:rPr>
                <w:rFonts w:cs="Arial"/>
                <w:color w:val="auto"/>
                <w:sz w:val="20"/>
                <w:szCs w:val="20"/>
                <w:lang w:eastAsia="en-GB"/>
              </w:rPr>
            </w:pPr>
            <w:r w:rsidRPr="001F0B09">
              <w:rPr>
                <w:rFonts w:cs="Arial"/>
                <w:color w:val="auto"/>
                <w:sz w:val="20"/>
                <w:szCs w:val="20"/>
                <w:lang w:eastAsia="en-GB"/>
              </w:rPr>
              <w:t>(110.7)</w:t>
            </w:r>
          </w:p>
        </w:tc>
        <w:tc>
          <w:tcPr>
            <w:tcW w:w="1560" w:type="dxa"/>
            <w:noWrap/>
          </w:tcPr>
          <w:p w:rsidR="00574D45" w:rsidRPr="002D4D66" w:rsidRDefault="002D4D66" w:rsidP="00FE4082">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2D4D66">
              <w:rPr>
                <w:rFonts w:cs="Arial"/>
                <w:color w:val="auto"/>
                <w:sz w:val="20"/>
                <w:szCs w:val="20"/>
                <w:lang w:eastAsia="en-GB"/>
              </w:rPr>
              <w:t>(7.7)</w:t>
            </w:r>
          </w:p>
        </w:tc>
        <w:tc>
          <w:tcPr>
            <w:cnfStyle w:val="000010000000" w:firstRow="0" w:lastRow="0" w:firstColumn="0" w:lastColumn="0" w:oddVBand="1" w:evenVBand="0" w:oddHBand="0" w:evenHBand="0" w:firstRowFirstColumn="0" w:firstRowLastColumn="0" w:lastRowFirstColumn="0" w:lastRowLastColumn="0"/>
            <w:tcW w:w="1842" w:type="dxa"/>
            <w:noWrap/>
          </w:tcPr>
          <w:p w:rsidR="00574D45" w:rsidRPr="002D4D66" w:rsidRDefault="002D4D66" w:rsidP="00FE4082">
            <w:pPr>
              <w:widowControl w:val="0"/>
              <w:spacing w:after="0" w:line="240" w:lineRule="auto"/>
              <w:jc w:val="right"/>
              <w:rPr>
                <w:rFonts w:cs="Arial"/>
                <w:b/>
                <w:color w:val="auto"/>
                <w:sz w:val="20"/>
                <w:szCs w:val="20"/>
                <w:lang w:eastAsia="en-GB"/>
              </w:rPr>
            </w:pPr>
            <w:r w:rsidRPr="002D4D66">
              <w:rPr>
                <w:rFonts w:cs="Arial"/>
                <w:b/>
                <w:color w:val="auto"/>
                <w:sz w:val="20"/>
                <w:szCs w:val="20"/>
                <w:lang w:eastAsia="en-GB"/>
              </w:rPr>
              <w:t>(118.4)</w:t>
            </w:r>
          </w:p>
        </w:tc>
      </w:tr>
      <w:tr w:rsidR="00574D45" w:rsidRPr="0005794A" w:rsidTr="00FE408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(0.3)</w:t>
            </w:r>
          </w:p>
        </w:tc>
        <w:tc>
          <w:tcPr>
            <w:cnfStyle w:val="000010000000" w:firstRow="0" w:lastRow="0" w:firstColumn="0" w:lastColumn="0" w:oddVBand="1" w:evenVBand="0" w:oddHBand="0" w:evenHBand="0" w:firstRowFirstColumn="0" w:firstRowLastColumn="0" w:lastRowFirstColumn="0" w:lastRowLastColumn="0"/>
            <w:tcW w:w="1418" w:type="dxa"/>
            <w:gridSpan w:val="2"/>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11.3</w:t>
            </w:r>
          </w:p>
        </w:tc>
        <w:tc>
          <w:tcPr>
            <w:tcW w:w="1559" w:type="dxa"/>
          </w:tcPr>
          <w:p w:rsidR="00574D45" w:rsidRPr="005E5CD8" w:rsidRDefault="00574D45" w:rsidP="00574D4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11.0</w:t>
            </w:r>
          </w:p>
        </w:tc>
        <w:tc>
          <w:tcPr>
            <w:cnfStyle w:val="000010000000" w:firstRow="0" w:lastRow="0" w:firstColumn="0" w:lastColumn="0" w:oddVBand="1" w:evenVBand="0" w:oddHBand="0" w:evenHBand="0" w:firstRowFirstColumn="0" w:firstRowLastColumn="0" w:lastRowFirstColumn="0" w:lastRowLastColumn="0"/>
            <w:tcW w:w="4252" w:type="dxa"/>
            <w:tcBorders>
              <w:right w:val="nil"/>
            </w:tcBorders>
            <w:noWrap/>
          </w:tcPr>
          <w:p w:rsidR="00574D45" w:rsidRPr="00574D45" w:rsidRDefault="00574D45" w:rsidP="00FE4082">
            <w:pPr>
              <w:widowControl w:val="0"/>
              <w:spacing w:after="0" w:line="240" w:lineRule="auto"/>
              <w:rPr>
                <w:rFonts w:cs="Arial"/>
                <w:b/>
                <w:bCs/>
                <w:color w:val="auto"/>
                <w:sz w:val="20"/>
                <w:szCs w:val="20"/>
                <w:lang w:eastAsia="en-GB"/>
              </w:rPr>
            </w:pPr>
            <w:r w:rsidRPr="00574D45">
              <w:rPr>
                <w:rFonts w:cs="Arial"/>
                <w:b/>
                <w:bCs/>
                <w:color w:val="auto"/>
                <w:sz w:val="20"/>
                <w:szCs w:val="20"/>
                <w:lang w:eastAsia="en-GB"/>
              </w:rPr>
              <w:t>(Surplus)/Deficit on Provision of Services</w:t>
            </w:r>
          </w:p>
        </w:tc>
        <w:tc>
          <w:tcPr>
            <w:tcW w:w="709" w:type="dxa"/>
            <w:tcBorders>
              <w:left w:val="nil"/>
              <w:right w:val="single" w:sz="4" w:space="0" w:color="4BACC6" w:themeColor="accent5"/>
            </w:tcBorders>
          </w:tcPr>
          <w:p w:rsidR="00574D45" w:rsidRPr="0005794A" w:rsidRDefault="00574D45" w:rsidP="00FE408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559" w:type="dxa"/>
            <w:noWrap/>
          </w:tcPr>
          <w:p w:rsidR="00574D45" w:rsidRPr="001F0B09" w:rsidRDefault="001F0B09" w:rsidP="00FE4082">
            <w:pPr>
              <w:widowControl w:val="0"/>
              <w:spacing w:after="0" w:line="240" w:lineRule="auto"/>
              <w:jc w:val="right"/>
              <w:rPr>
                <w:rFonts w:cs="Arial"/>
                <w:color w:val="auto"/>
                <w:sz w:val="20"/>
                <w:szCs w:val="20"/>
                <w:lang w:eastAsia="en-GB"/>
              </w:rPr>
            </w:pPr>
            <w:r w:rsidRPr="001F0B09">
              <w:rPr>
                <w:rFonts w:cs="Arial"/>
                <w:color w:val="auto"/>
                <w:sz w:val="20"/>
                <w:szCs w:val="20"/>
                <w:lang w:eastAsia="en-GB"/>
              </w:rPr>
              <w:t>0</w:t>
            </w:r>
          </w:p>
        </w:tc>
        <w:tc>
          <w:tcPr>
            <w:tcW w:w="1560" w:type="dxa"/>
            <w:noWrap/>
          </w:tcPr>
          <w:p w:rsidR="00574D45" w:rsidRPr="002D4D66" w:rsidRDefault="008E2046" w:rsidP="008E2046">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26.2</w:t>
            </w:r>
          </w:p>
        </w:tc>
        <w:tc>
          <w:tcPr>
            <w:cnfStyle w:val="000010000000" w:firstRow="0" w:lastRow="0" w:firstColumn="0" w:lastColumn="0" w:oddVBand="1" w:evenVBand="0" w:oddHBand="0" w:evenHBand="0" w:firstRowFirstColumn="0" w:firstRowLastColumn="0" w:lastRowFirstColumn="0" w:lastRowLastColumn="0"/>
            <w:tcW w:w="1842" w:type="dxa"/>
            <w:noWrap/>
          </w:tcPr>
          <w:p w:rsidR="00574D45" w:rsidRPr="002D4D66" w:rsidRDefault="008E2046" w:rsidP="008E2046">
            <w:pPr>
              <w:widowControl w:val="0"/>
              <w:spacing w:after="0" w:line="240" w:lineRule="auto"/>
              <w:jc w:val="right"/>
              <w:rPr>
                <w:rFonts w:cs="Arial"/>
                <w:b/>
                <w:color w:val="auto"/>
                <w:sz w:val="20"/>
                <w:szCs w:val="20"/>
                <w:lang w:eastAsia="en-GB"/>
              </w:rPr>
            </w:pPr>
            <w:r>
              <w:rPr>
                <w:rFonts w:cs="Arial"/>
                <w:b/>
                <w:color w:val="auto"/>
                <w:sz w:val="20"/>
                <w:szCs w:val="20"/>
                <w:lang w:eastAsia="en-GB"/>
              </w:rPr>
              <w:t>26.2</w:t>
            </w:r>
          </w:p>
        </w:tc>
      </w:tr>
    </w:tbl>
    <w:p w:rsidR="00AA7699" w:rsidRPr="005E5CD8" w:rsidRDefault="00FE4082" w:rsidP="00AA7699">
      <w:pPr>
        <w:pStyle w:val="BodyText"/>
        <w:widowControl w:val="0"/>
        <w:rPr>
          <w:rFonts w:cs="Arial"/>
          <w:color w:val="auto"/>
          <w:sz w:val="18"/>
          <w:szCs w:val="18"/>
        </w:rPr>
      </w:pPr>
      <w:r w:rsidRPr="005E5CD8">
        <w:rPr>
          <w:rFonts w:cs="Arial"/>
          <w:color w:val="auto"/>
          <w:sz w:val="18"/>
          <w:szCs w:val="18"/>
        </w:rPr>
        <w:t>Note:  General Fund Opening Balance as at 31 March 201</w:t>
      </w:r>
      <w:r w:rsidR="005E5CD8" w:rsidRPr="005E5CD8">
        <w:rPr>
          <w:rFonts w:cs="Arial"/>
          <w:color w:val="auto"/>
          <w:sz w:val="18"/>
          <w:szCs w:val="18"/>
        </w:rPr>
        <w:t>7</w:t>
      </w:r>
      <w:r w:rsidRPr="005E5CD8">
        <w:rPr>
          <w:rFonts w:cs="Arial"/>
          <w:color w:val="auto"/>
          <w:sz w:val="18"/>
          <w:szCs w:val="18"/>
        </w:rPr>
        <w:t xml:space="preserve"> £4.</w:t>
      </w:r>
      <w:r w:rsidR="005E5CD8" w:rsidRPr="005E5CD8">
        <w:rPr>
          <w:rFonts w:cs="Arial"/>
          <w:color w:val="auto"/>
          <w:sz w:val="18"/>
          <w:szCs w:val="18"/>
        </w:rPr>
        <w:t>6</w:t>
      </w:r>
      <w:r w:rsidRPr="005E5CD8">
        <w:rPr>
          <w:rFonts w:cs="Arial"/>
          <w:color w:val="auto"/>
          <w:sz w:val="18"/>
          <w:szCs w:val="18"/>
        </w:rPr>
        <w:t>m and Closing B</w:t>
      </w:r>
      <w:r w:rsidR="005E5CD8" w:rsidRPr="005E5CD8">
        <w:rPr>
          <w:rFonts w:cs="Arial"/>
          <w:color w:val="auto"/>
          <w:sz w:val="18"/>
          <w:szCs w:val="18"/>
        </w:rPr>
        <w:t>alance as at 31 March 2018</w:t>
      </w:r>
      <w:r w:rsidR="00AA7699" w:rsidRPr="005E5CD8">
        <w:rPr>
          <w:rFonts w:cs="Arial"/>
          <w:color w:val="auto"/>
          <w:sz w:val="18"/>
          <w:szCs w:val="18"/>
        </w:rPr>
        <w:t xml:space="preserve"> £4.6</w:t>
      </w:r>
      <w:r w:rsidR="005E5CD8" w:rsidRPr="005E5CD8">
        <w:rPr>
          <w:rFonts w:cs="Arial"/>
          <w:color w:val="auto"/>
          <w:sz w:val="18"/>
          <w:szCs w:val="18"/>
        </w:rPr>
        <w:t>m</w:t>
      </w:r>
    </w:p>
    <w:p w:rsidR="00AA7699" w:rsidRPr="005E5CD8" w:rsidRDefault="00AA7699" w:rsidP="00AA7699">
      <w:pPr>
        <w:pStyle w:val="Subtitle"/>
        <w:rPr>
          <w:b/>
          <w:color w:val="auto"/>
          <w:sz w:val="22"/>
          <w:szCs w:val="22"/>
        </w:rPr>
      </w:pPr>
      <w:r w:rsidRPr="005E5CD8">
        <w:rPr>
          <w:b/>
          <w:color w:val="auto"/>
          <w:sz w:val="22"/>
          <w:szCs w:val="22"/>
        </w:rPr>
        <w:t>6.</w:t>
      </w:r>
      <w:r w:rsidRPr="005E5CD8">
        <w:rPr>
          <w:b/>
          <w:color w:val="auto"/>
          <w:sz w:val="22"/>
          <w:szCs w:val="22"/>
        </w:rPr>
        <w:tab/>
        <w:t>Events after the Reporting Period</w:t>
      </w:r>
    </w:p>
    <w:p w:rsidR="00AA7699" w:rsidRPr="005E5CD8" w:rsidRDefault="00AA7699" w:rsidP="00AA7699">
      <w:pPr>
        <w:pStyle w:val="BodyText"/>
        <w:widowControl w:val="0"/>
        <w:ind w:left="567"/>
        <w:rPr>
          <w:color w:val="auto"/>
          <w:sz w:val="20"/>
          <w:szCs w:val="20"/>
        </w:rPr>
        <w:sectPr w:rsidR="00AA7699" w:rsidRPr="005E5CD8" w:rsidSect="00FE4082">
          <w:pgSz w:w="16838" w:h="11906" w:orient="landscape" w:code="9"/>
          <w:pgMar w:top="1440" w:right="1440" w:bottom="1440" w:left="1440" w:header="544" w:footer="544" w:gutter="0"/>
          <w:cols w:space="708"/>
          <w:titlePg/>
          <w:docGrid w:linePitch="360"/>
        </w:sectPr>
      </w:pPr>
      <w:r w:rsidRPr="005E5CD8">
        <w:rPr>
          <w:color w:val="auto"/>
          <w:sz w:val="20"/>
          <w:szCs w:val="20"/>
        </w:rPr>
        <w:t xml:space="preserve">There are none to report. Events taking place after </w:t>
      </w:r>
      <w:r w:rsidRPr="005A7B8F">
        <w:rPr>
          <w:color w:val="auto"/>
          <w:sz w:val="20"/>
          <w:szCs w:val="20"/>
        </w:rPr>
        <w:t xml:space="preserve">the </w:t>
      </w:r>
      <w:r w:rsidR="005E5CD8" w:rsidRPr="005A7B8F">
        <w:rPr>
          <w:color w:val="auto"/>
          <w:sz w:val="20"/>
          <w:szCs w:val="20"/>
        </w:rPr>
        <w:t>2</w:t>
      </w:r>
      <w:r w:rsidR="005A7B8F" w:rsidRPr="005A7B8F">
        <w:rPr>
          <w:color w:val="auto"/>
          <w:sz w:val="20"/>
          <w:szCs w:val="20"/>
        </w:rPr>
        <w:t>8</w:t>
      </w:r>
      <w:r w:rsidR="005E5CD8" w:rsidRPr="005A7B8F">
        <w:rPr>
          <w:color w:val="auto"/>
          <w:sz w:val="20"/>
          <w:szCs w:val="20"/>
        </w:rPr>
        <w:t xml:space="preserve"> May 2018</w:t>
      </w:r>
      <w:r w:rsidRPr="005E5CD8">
        <w:rPr>
          <w:color w:val="auto"/>
          <w:sz w:val="20"/>
          <w:szCs w:val="20"/>
        </w:rPr>
        <w:t xml:space="preserve"> are not reflected in the financial statements.  </w:t>
      </w:r>
    </w:p>
    <w:p w:rsidR="004A784F" w:rsidRPr="00574D45" w:rsidRDefault="00CF31F4" w:rsidP="00AA7699">
      <w:pPr>
        <w:pStyle w:val="Subtitle"/>
        <w:rPr>
          <w:color w:val="auto"/>
          <w:sz w:val="20"/>
          <w:szCs w:val="20"/>
        </w:rPr>
      </w:pPr>
      <w:r w:rsidRPr="00CA5102">
        <w:rPr>
          <w:b/>
          <w:color w:val="auto"/>
          <w:sz w:val="22"/>
          <w:szCs w:val="22"/>
        </w:rPr>
        <w:lastRenderedPageBreak/>
        <w:t>7.</w:t>
      </w:r>
      <w:r w:rsidRPr="0005794A">
        <w:rPr>
          <w:b/>
          <w:color w:val="548DD4" w:themeColor="text2" w:themeTint="99"/>
          <w:sz w:val="22"/>
          <w:szCs w:val="22"/>
        </w:rPr>
        <w:tab/>
      </w:r>
      <w:r w:rsidRPr="00574D45">
        <w:rPr>
          <w:b/>
          <w:color w:val="auto"/>
          <w:sz w:val="22"/>
          <w:szCs w:val="22"/>
        </w:rPr>
        <w:t>Expenditure and Income Analysis</w:t>
      </w:r>
      <w:r w:rsidR="004A784F" w:rsidRPr="00574D45">
        <w:rPr>
          <w:color w:val="auto"/>
          <w:sz w:val="20"/>
          <w:szCs w:val="20"/>
        </w:rPr>
        <w:t xml:space="preserve"> </w:t>
      </w:r>
    </w:p>
    <w:p w:rsidR="00CF31F4" w:rsidRPr="00574D45" w:rsidRDefault="00EF5854" w:rsidP="004A784F">
      <w:pPr>
        <w:pStyle w:val="Subtitle"/>
        <w:ind w:left="567"/>
        <w:rPr>
          <w:b/>
          <w:color w:val="auto"/>
          <w:sz w:val="20"/>
          <w:szCs w:val="20"/>
        </w:rPr>
      </w:pPr>
      <w:r w:rsidRPr="00574D45">
        <w:rPr>
          <w:b/>
          <w:color w:val="auto"/>
          <w:sz w:val="20"/>
          <w:szCs w:val="20"/>
        </w:rPr>
        <w:t xml:space="preserve">a) </w:t>
      </w:r>
      <w:r w:rsidR="004A784F" w:rsidRPr="00574D45">
        <w:rPr>
          <w:b/>
          <w:color w:val="auto"/>
          <w:sz w:val="20"/>
          <w:szCs w:val="20"/>
        </w:rPr>
        <w:t>Adjustments between Funding and Accounting Basis</w:t>
      </w:r>
    </w:p>
    <w:p w:rsidR="00CF31F4" w:rsidRPr="00574D45" w:rsidRDefault="004A784F" w:rsidP="004640C1">
      <w:pPr>
        <w:pStyle w:val="BodyText"/>
        <w:widowControl w:val="0"/>
        <w:ind w:left="567"/>
        <w:rPr>
          <w:color w:val="auto"/>
          <w:sz w:val="20"/>
          <w:szCs w:val="20"/>
        </w:rPr>
      </w:pPr>
      <w:r w:rsidRPr="00574D45">
        <w:rPr>
          <w:rFonts w:cs="Arial"/>
          <w:color w:val="auto"/>
          <w:sz w:val="18"/>
          <w:szCs w:val="18"/>
        </w:rPr>
        <w:t>Adjustments from General Fund to arrive at the Comprehensive Income and Expenditure Statement amounts.</w:t>
      </w:r>
    </w:p>
    <w:tbl>
      <w:tblPr>
        <w:tblStyle w:val="ListTable3-Accent51"/>
        <w:tblW w:w="14709" w:type="dxa"/>
        <w:tblLayout w:type="fixed"/>
        <w:tblLook w:val="00A0" w:firstRow="1" w:lastRow="0" w:firstColumn="1" w:lastColumn="0" w:noHBand="0" w:noVBand="0"/>
      </w:tblPr>
      <w:tblGrid>
        <w:gridCol w:w="1384"/>
        <w:gridCol w:w="1418"/>
        <w:gridCol w:w="1275"/>
        <w:gridCol w:w="1276"/>
        <w:gridCol w:w="609"/>
        <w:gridCol w:w="3502"/>
        <w:gridCol w:w="1353"/>
        <w:gridCol w:w="1348"/>
        <w:gridCol w:w="1155"/>
        <w:gridCol w:w="1389"/>
      </w:tblGrid>
      <w:tr w:rsidR="00EF5854" w:rsidRPr="0005794A" w:rsidTr="00574D45">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5962" w:type="dxa"/>
            <w:gridSpan w:val="5"/>
          </w:tcPr>
          <w:p w:rsidR="00EF5854" w:rsidRPr="00574D45" w:rsidRDefault="00574D45" w:rsidP="00EF5854">
            <w:pPr>
              <w:jc w:val="center"/>
              <w:rPr>
                <w:b w:val="0"/>
                <w:color w:val="auto"/>
                <w:lang w:eastAsia="en-GB"/>
              </w:rPr>
            </w:pPr>
            <w:r w:rsidRPr="00574D45">
              <w:rPr>
                <w:b w:val="0"/>
                <w:color w:val="auto"/>
                <w:lang w:eastAsia="en-GB"/>
              </w:rPr>
              <w:t>2016/17</w:t>
            </w:r>
          </w:p>
        </w:tc>
        <w:tc>
          <w:tcPr>
            <w:cnfStyle w:val="000010000000" w:firstRow="0" w:lastRow="0" w:firstColumn="0" w:lastColumn="0" w:oddVBand="1" w:evenVBand="0" w:oddHBand="0" w:evenHBand="0" w:firstRowFirstColumn="0" w:firstRowLastColumn="0" w:lastRowFirstColumn="0" w:lastRowLastColumn="0"/>
            <w:tcW w:w="3502" w:type="dxa"/>
          </w:tcPr>
          <w:p w:rsidR="00EF5854" w:rsidRPr="00574D45" w:rsidRDefault="00EF5854" w:rsidP="00CF31F4">
            <w:pPr>
              <w:rPr>
                <w:color w:val="auto"/>
                <w:lang w:eastAsia="en-GB"/>
              </w:rPr>
            </w:pPr>
          </w:p>
        </w:tc>
        <w:tc>
          <w:tcPr>
            <w:tcW w:w="5245" w:type="dxa"/>
            <w:gridSpan w:val="4"/>
          </w:tcPr>
          <w:p w:rsidR="00EF5854" w:rsidRPr="00574D45" w:rsidRDefault="00574D45" w:rsidP="00EF5854">
            <w:pPr>
              <w:jc w:val="center"/>
              <w:cnfStyle w:val="100000000000" w:firstRow="1" w:lastRow="0" w:firstColumn="0" w:lastColumn="0" w:oddVBand="0" w:evenVBand="0" w:oddHBand="0" w:evenHBand="0" w:firstRowFirstColumn="0" w:firstRowLastColumn="0" w:lastRowFirstColumn="0" w:lastRowLastColumn="0"/>
              <w:rPr>
                <w:color w:val="auto"/>
                <w:lang w:eastAsia="en-GB"/>
              </w:rPr>
            </w:pPr>
            <w:r w:rsidRPr="00574D45">
              <w:rPr>
                <w:color w:val="auto"/>
                <w:lang w:eastAsia="en-GB"/>
              </w:rPr>
              <w:t>2017/18</w:t>
            </w:r>
          </w:p>
        </w:tc>
      </w:tr>
      <w:tr w:rsidR="004A784F" w:rsidRPr="0005794A" w:rsidTr="0057194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84" w:type="dxa"/>
            <w:shd w:val="clear" w:color="auto" w:fill="4BACC6" w:themeFill="accent5"/>
          </w:tcPr>
          <w:p w:rsidR="004A784F" w:rsidRPr="00574D45" w:rsidRDefault="004A784F" w:rsidP="00132B2B">
            <w:pPr>
              <w:pStyle w:val="NoSpacing"/>
              <w:jc w:val="center"/>
              <w:rPr>
                <w:rFonts w:ascii="Arial" w:hAnsi="Arial" w:cs="Arial"/>
                <w:b w:val="0"/>
                <w:sz w:val="18"/>
                <w:szCs w:val="18"/>
              </w:rPr>
            </w:pPr>
            <w:r w:rsidRPr="00574D45">
              <w:rPr>
                <w:rFonts w:ascii="Arial" w:hAnsi="Arial" w:cs="Arial"/>
                <w:b w:val="0"/>
                <w:sz w:val="18"/>
                <w:szCs w:val="18"/>
              </w:rPr>
              <w:t>Ad</w:t>
            </w:r>
            <w:r w:rsidR="00132B2B">
              <w:rPr>
                <w:rFonts w:ascii="Arial" w:hAnsi="Arial" w:cs="Arial"/>
                <w:b w:val="0"/>
                <w:sz w:val="18"/>
                <w:szCs w:val="18"/>
              </w:rPr>
              <w:t xml:space="preserve">justments for Capital Purposes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A784F" w:rsidRPr="00574D45" w:rsidRDefault="004A784F" w:rsidP="004A784F">
            <w:pPr>
              <w:pStyle w:val="NoSpacing"/>
              <w:jc w:val="center"/>
              <w:rPr>
                <w:rFonts w:ascii="Arial" w:hAnsi="Arial" w:cs="Arial"/>
                <w:sz w:val="18"/>
                <w:szCs w:val="18"/>
              </w:rPr>
            </w:pPr>
            <w:r w:rsidRPr="00574D45">
              <w:rPr>
                <w:rFonts w:ascii="Arial" w:hAnsi="Arial" w:cs="Arial"/>
                <w:sz w:val="18"/>
                <w:szCs w:val="18"/>
              </w:rPr>
              <w:t>Net change for the Pensions Adjustments</w:t>
            </w:r>
          </w:p>
          <w:p w:rsidR="004A784F" w:rsidRPr="00574D45" w:rsidRDefault="004A784F" w:rsidP="004A784F">
            <w:pPr>
              <w:pStyle w:val="NoSpacing"/>
              <w:jc w:val="center"/>
              <w:rPr>
                <w:rFonts w:ascii="Arial" w:hAnsi="Arial" w:cs="Arial"/>
                <w:sz w:val="18"/>
                <w:szCs w:val="18"/>
              </w:rPr>
            </w:pPr>
          </w:p>
        </w:tc>
        <w:tc>
          <w:tcPr>
            <w:tcW w:w="1275" w:type="dxa"/>
            <w:shd w:val="clear" w:color="auto" w:fill="4BACC6" w:themeFill="accent5"/>
          </w:tcPr>
          <w:p w:rsidR="004A784F" w:rsidRPr="00574D45" w:rsidRDefault="004A784F"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4D45">
              <w:rPr>
                <w:rFonts w:ascii="Arial" w:hAnsi="Arial" w:cs="Arial"/>
                <w:sz w:val="18"/>
                <w:szCs w:val="18"/>
              </w:rPr>
              <w:t>Other Differences</w:t>
            </w:r>
          </w:p>
          <w:p w:rsidR="004A784F" w:rsidRPr="00574D45" w:rsidRDefault="004A784F"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4A784F" w:rsidRPr="00574D45" w:rsidRDefault="004A784F" w:rsidP="004A784F">
            <w:pPr>
              <w:pStyle w:val="NoSpacing"/>
              <w:jc w:val="center"/>
              <w:rPr>
                <w:rFonts w:ascii="Arial" w:hAnsi="Arial" w:cs="Arial"/>
                <w:sz w:val="18"/>
                <w:szCs w:val="18"/>
              </w:rPr>
            </w:pPr>
            <w:r w:rsidRPr="00574D45">
              <w:rPr>
                <w:rFonts w:ascii="Arial" w:hAnsi="Arial" w:cs="Arial"/>
                <w:sz w:val="18"/>
                <w:szCs w:val="18"/>
              </w:rPr>
              <w:t>Total adjustments</w:t>
            </w:r>
          </w:p>
        </w:tc>
        <w:tc>
          <w:tcPr>
            <w:tcW w:w="4111" w:type="dxa"/>
            <w:gridSpan w:val="2"/>
            <w:shd w:val="clear" w:color="auto" w:fill="4BACC6" w:themeFill="accent5"/>
          </w:tcPr>
          <w:p w:rsidR="004A784F" w:rsidRPr="00574D45" w:rsidRDefault="004A784F" w:rsidP="00CF31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353" w:type="dxa"/>
            <w:shd w:val="clear" w:color="auto" w:fill="4BACC6" w:themeFill="accent5"/>
          </w:tcPr>
          <w:p w:rsidR="004A784F" w:rsidRPr="00574D45" w:rsidRDefault="004A784F" w:rsidP="0057194E">
            <w:pPr>
              <w:pStyle w:val="NoSpacing"/>
              <w:jc w:val="center"/>
              <w:rPr>
                <w:rFonts w:ascii="Arial" w:hAnsi="Arial" w:cs="Arial"/>
                <w:sz w:val="18"/>
                <w:szCs w:val="18"/>
              </w:rPr>
            </w:pPr>
            <w:r w:rsidRPr="00574D45">
              <w:rPr>
                <w:rFonts w:ascii="Arial" w:hAnsi="Arial" w:cs="Arial"/>
                <w:sz w:val="18"/>
                <w:szCs w:val="18"/>
              </w:rPr>
              <w:t xml:space="preserve">Adjustments for Capital Purposes </w:t>
            </w:r>
          </w:p>
        </w:tc>
        <w:tc>
          <w:tcPr>
            <w:tcW w:w="1348" w:type="dxa"/>
            <w:shd w:val="clear" w:color="auto" w:fill="4BACC6" w:themeFill="accent5"/>
          </w:tcPr>
          <w:p w:rsidR="004A784F" w:rsidRPr="00574D45" w:rsidRDefault="004A784F"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4D45">
              <w:rPr>
                <w:rFonts w:ascii="Arial" w:hAnsi="Arial" w:cs="Arial"/>
                <w:sz w:val="18"/>
                <w:szCs w:val="18"/>
              </w:rPr>
              <w:t>Net change for the Pensions Adjustments</w:t>
            </w:r>
          </w:p>
          <w:p w:rsidR="004A784F" w:rsidRPr="00574D45" w:rsidRDefault="004A784F"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1155" w:type="dxa"/>
            <w:shd w:val="clear" w:color="auto" w:fill="4BACC6" w:themeFill="accent5"/>
          </w:tcPr>
          <w:p w:rsidR="004A784F" w:rsidRPr="00574D45" w:rsidRDefault="004A784F" w:rsidP="004A784F">
            <w:pPr>
              <w:pStyle w:val="NoSpacing"/>
              <w:jc w:val="center"/>
              <w:rPr>
                <w:rFonts w:ascii="Arial" w:hAnsi="Arial" w:cs="Arial"/>
                <w:sz w:val="18"/>
                <w:szCs w:val="18"/>
              </w:rPr>
            </w:pPr>
            <w:r w:rsidRPr="00574D45">
              <w:rPr>
                <w:rFonts w:ascii="Arial" w:hAnsi="Arial" w:cs="Arial"/>
                <w:sz w:val="18"/>
                <w:szCs w:val="18"/>
              </w:rPr>
              <w:t>Other Differences</w:t>
            </w:r>
          </w:p>
          <w:p w:rsidR="004A784F" w:rsidRPr="00574D45" w:rsidRDefault="004A784F" w:rsidP="004A784F">
            <w:pPr>
              <w:pStyle w:val="NoSpacing"/>
              <w:jc w:val="center"/>
              <w:rPr>
                <w:rFonts w:ascii="Arial" w:hAnsi="Arial" w:cs="Arial"/>
                <w:sz w:val="18"/>
                <w:szCs w:val="18"/>
              </w:rPr>
            </w:pPr>
          </w:p>
        </w:tc>
        <w:tc>
          <w:tcPr>
            <w:tcW w:w="1389" w:type="dxa"/>
            <w:shd w:val="clear" w:color="auto" w:fill="4BACC6" w:themeFill="accent5"/>
            <w:noWrap/>
          </w:tcPr>
          <w:p w:rsidR="004A784F" w:rsidRPr="00574D45" w:rsidRDefault="004A784F" w:rsidP="004A784F">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4D45">
              <w:rPr>
                <w:rFonts w:ascii="Arial" w:hAnsi="Arial" w:cs="Arial"/>
                <w:sz w:val="18"/>
                <w:szCs w:val="18"/>
              </w:rPr>
              <w:t>Total adjustments</w:t>
            </w:r>
          </w:p>
        </w:tc>
      </w:tr>
      <w:tr w:rsidR="004A784F" w:rsidRPr="0005794A" w:rsidTr="0057194E">
        <w:trPr>
          <w:trHeight w:val="325"/>
        </w:trPr>
        <w:tc>
          <w:tcPr>
            <w:cnfStyle w:val="001000000000" w:firstRow="0" w:lastRow="0" w:firstColumn="1" w:lastColumn="0" w:oddVBand="0" w:evenVBand="0" w:oddHBand="0" w:evenHBand="0" w:firstRowFirstColumn="0" w:firstRowLastColumn="0" w:lastRowFirstColumn="0" w:lastRowLastColumn="0"/>
            <w:tcW w:w="1384" w:type="dxa"/>
            <w:shd w:val="clear" w:color="auto" w:fill="4BACC6" w:themeFill="accent5"/>
          </w:tcPr>
          <w:p w:rsidR="004A784F" w:rsidRPr="00574D45" w:rsidRDefault="004A784F" w:rsidP="00CF31F4">
            <w:pPr>
              <w:jc w:val="center"/>
              <w:rPr>
                <w:rFonts w:cs="Arial"/>
                <w:b w:val="0"/>
                <w:bCs w:val="0"/>
                <w:color w:val="auto"/>
                <w:sz w:val="18"/>
                <w:szCs w:val="18"/>
                <w:lang w:eastAsia="en-GB"/>
              </w:rPr>
            </w:pPr>
            <w:r w:rsidRPr="00574D45">
              <w:rPr>
                <w:rFonts w:cs="Arial"/>
                <w:b w:val="0"/>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A784F" w:rsidRPr="00574D45" w:rsidRDefault="004A784F" w:rsidP="00CF31F4">
            <w:pPr>
              <w:jc w:val="center"/>
              <w:rPr>
                <w:rFonts w:cs="Arial"/>
                <w:color w:val="auto"/>
                <w:sz w:val="18"/>
                <w:szCs w:val="18"/>
                <w:lang w:eastAsia="en-GB"/>
              </w:rPr>
            </w:pPr>
            <w:r w:rsidRPr="00574D45">
              <w:rPr>
                <w:rFonts w:cs="Arial"/>
                <w:color w:val="auto"/>
                <w:sz w:val="18"/>
                <w:szCs w:val="18"/>
                <w:lang w:eastAsia="en-GB"/>
              </w:rPr>
              <w:t>£m</w:t>
            </w:r>
          </w:p>
        </w:tc>
        <w:tc>
          <w:tcPr>
            <w:tcW w:w="1275" w:type="dxa"/>
            <w:shd w:val="clear" w:color="auto" w:fill="4BACC6" w:themeFill="accent5"/>
          </w:tcPr>
          <w:p w:rsidR="004A784F" w:rsidRPr="00574D45" w:rsidRDefault="004A784F" w:rsidP="00CF31F4">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574D45">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4A784F" w:rsidRPr="00574D45" w:rsidRDefault="004A784F" w:rsidP="00CF31F4">
            <w:pPr>
              <w:rPr>
                <w:rFonts w:cs="Arial"/>
                <w:color w:val="auto"/>
                <w:sz w:val="18"/>
                <w:szCs w:val="18"/>
                <w:lang w:eastAsia="en-GB"/>
              </w:rPr>
            </w:pPr>
          </w:p>
        </w:tc>
        <w:tc>
          <w:tcPr>
            <w:tcW w:w="4111" w:type="dxa"/>
            <w:gridSpan w:val="2"/>
            <w:shd w:val="clear" w:color="auto" w:fill="4BACC6" w:themeFill="accent5"/>
          </w:tcPr>
          <w:p w:rsidR="004A784F" w:rsidRPr="00574D45" w:rsidRDefault="004A784F" w:rsidP="00CF31F4">
            <w:pP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1353" w:type="dxa"/>
            <w:shd w:val="clear" w:color="auto" w:fill="4BACC6" w:themeFill="accent5"/>
          </w:tcPr>
          <w:p w:rsidR="004A784F" w:rsidRPr="00574D45" w:rsidRDefault="004A784F" w:rsidP="004A784F">
            <w:pPr>
              <w:jc w:val="center"/>
              <w:rPr>
                <w:rFonts w:cs="Arial"/>
                <w:color w:val="auto"/>
                <w:sz w:val="18"/>
                <w:szCs w:val="18"/>
                <w:lang w:eastAsia="en-GB"/>
              </w:rPr>
            </w:pPr>
            <w:r w:rsidRPr="00574D45">
              <w:rPr>
                <w:rFonts w:cs="Arial"/>
                <w:color w:val="auto"/>
                <w:sz w:val="18"/>
                <w:szCs w:val="18"/>
                <w:lang w:eastAsia="en-GB"/>
              </w:rPr>
              <w:t>£m</w:t>
            </w:r>
          </w:p>
        </w:tc>
        <w:tc>
          <w:tcPr>
            <w:tcW w:w="1348" w:type="dxa"/>
            <w:shd w:val="clear" w:color="auto" w:fill="4BACC6" w:themeFill="accent5"/>
            <w:noWrap/>
          </w:tcPr>
          <w:p w:rsidR="004A784F" w:rsidRPr="00574D45" w:rsidRDefault="004A784F" w:rsidP="004A784F">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574D45">
              <w:rPr>
                <w:rFonts w:cs="Arial"/>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55" w:type="dxa"/>
            <w:shd w:val="clear" w:color="auto" w:fill="4BACC6" w:themeFill="accent5"/>
            <w:noWrap/>
          </w:tcPr>
          <w:p w:rsidR="004A784F" w:rsidRPr="00574D45" w:rsidRDefault="004A784F" w:rsidP="004A784F">
            <w:pPr>
              <w:jc w:val="center"/>
              <w:rPr>
                <w:rFonts w:cs="Arial"/>
                <w:color w:val="auto"/>
                <w:sz w:val="18"/>
                <w:szCs w:val="18"/>
                <w:lang w:eastAsia="en-GB"/>
              </w:rPr>
            </w:pPr>
            <w:r w:rsidRPr="00574D45">
              <w:rPr>
                <w:rFonts w:cs="Arial"/>
                <w:color w:val="auto"/>
                <w:sz w:val="18"/>
                <w:szCs w:val="18"/>
                <w:lang w:eastAsia="en-GB"/>
              </w:rPr>
              <w:t>£m</w:t>
            </w:r>
          </w:p>
        </w:tc>
        <w:tc>
          <w:tcPr>
            <w:tcW w:w="1389" w:type="dxa"/>
            <w:shd w:val="clear" w:color="auto" w:fill="4BACC6" w:themeFill="accent5"/>
            <w:noWrap/>
          </w:tcPr>
          <w:p w:rsidR="004A784F" w:rsidRPr="00574D45" w:rsidRDefault="004A784F" w:rsidP="004A784F">
            <w:pPr>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r w:rsidRPr="00574D45">
              <w:rPr>
                <w:rFonts w:cs="Arial"/>
                <w:color w:val="auto"/>
                <w:sz w:val="18"/>
                <w:szCs w:val="18"/>
                <w:lang w:eastAsia="en-GB"/>
              </w:rPr>
              <w:t>£m</w:t>
            </w:r>
          </w:p>
        </w:tc>
      </w:tr>
      <w:tr w:rsidR="004A784F" w:rsidRPr="0005794A" w:rsidTr="005719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4A784F" w:rsidRPr="00574D45" w:rsidRDefault="004A784F" w:rsidP="00CF31F4">
            <w:pPr>
              <w:widowControl w:val="0"/>
              <w:spacing w:after="0" w:line="240" w:lineRule="auto"/>
              <w:jc w:val="right"/>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418" w:type="dxa"/>
          </w:tcPr>
          <w:p w:rsidR="004A784F" w:rsidRPr="00574D45" w:rsidRDefault="004A784F" w:rsidP="00CF31F4">
            <w:pPr>
              <w:widowControl w:val="0"/>
              <w:spacing w:after="0" w:line="240" w:lineRule="auto"/>
              <w:jc w:val="right"/>
              <w:rPr>
                <w:rFonts w:cs="Arial"/>
                <w:color w:val="auto"/>
                <w:sz w:val="20"/>
                <w:szCs w:val="20"/>
                <w:lang w:eastAsia="en-GB"/>
              </w:rPr>
            </w:pPr>
          </w:p>
        </w:tc>
        <w:tc>
          <w:tcPr>
            <w:tcW w:w="1275" w:type="dxa"/>
          </w:tcPr>
          <w:p w:rsidR="004A784F" w:rsidRPr="00574D45" w:rsidRDefault="004A784F" w:rsidP="00CF31F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276" w:type="dxa"/>
          </w:tcPr>
          <w:p w:rsidR="004A784F" w:rsidRPr="00574D45" w:rsidRDefault="004A784F" w:rsidP="00CF31F4">
            <w:pPr>
              <w:widowControl w:val="0"/>
              <w:spacing w:after="0" w:line="240" w:lineRule="auto"/>
              <w:rPr>
                <w:rFonts w:cs="Arial"/>
                <w:b/>
                <w:color w:val="auto"/>
                <w:sz w:val="20"/>
                <w:szCs w:val="20"/>
                <w:lang w:eastAsia="en-GB"/>
              </w:rPr>
            </w:pPr>
          </w:p>
        </w:tc>
        <w:tc>
          <w:tcPr>
            <w:tcW w:w="4111" w:type="dxa"/>
            <w:gridSpan w:val="2"/>
            <w:noWrap/>
          </w:tcPr>
          <w:p w:rsidR="004A784F" w:rsidRPr="00574D45" w:rsidRDefault="004A784F" w:rsidP="00CF31F4">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574D45">
              <w:rPr>
                <w:rFonts w:cs="Arial"/>
                <w:b/>
                <w:color w:val="auto"/>
                <w:sz w:val="20"/>
                <w:szCs w:val="20"/>
                <w:lang w:eastAsia="en-GB"/>
              </w:rPr>
              <w:t>Joint Commissioning:-</w:t>
            </w:r>
          </w:p>
        </w:tc>
        <w:tc>
          <w:tcPr>
            <w:cnfStyle w:val="000010000000" w:firstRow="0" w:lastRow="0" w:firstColumn="0" w:lastColumn="0" w:oddVBand="1" w:evenVBand="0" w:oddHBand="0" w:evenHBand="0" w:firstRowFirstColumn="0" w:firstRowLastColumn="0" w:lastRowFirstColumn="0" w:lastRowLastColumn="0"/>
            <w:tcW w:w="1353" w:type="dxa"/>
          </w:tcPr>
          <w:p w:rsidR="004A784F" w:rsidRPr="0005794A" w:rsidRDefault="004A784F" w:rsidP="00CF31F4">
            <w:pPr>
              <w:widowControl w:val="0"/>
              <w:spacing w:after="0" w:line="240" w:lineRule="auto"/>
              <w:jc w:val="center"/>
              <w:rPr>
                <w:rFonts w:cs="Arial"/>
                <w:color w:val="548DD4" w:themeColor="text2" w:themeTint="99"/>
                <w:sz w:val="18"/>
                <w:szCs w:val="18"/>
                <w:lang w:eastAsia="en-GB"/>
              </w:rPr>
            </w:pPr>
          </w:p>
        </w:tc>
        <w:tc>
          <w:tcPr>
            <w:tcW w:w="1348" w:type="dxa"/>
            <w:noWrap/>
          </w:tcPr>
          <w:p w:rsidR="004A784F" w:rsidRPr="0005794A" w:rsidRDefault="004A784F" w:rsidP="00CF31F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55" w:type="dxa"/>
            <w:noWrap/>
          </w:tcPr>
          <w:p w:rsidR="004A784F" w:rsidRPr="0005794A" w:rsidRDefault="004A784F" w:rsidP="00CF31F4">
            <w:pPr>
              <w:widowControl w:val="0"/>
              <w:spacing w:after="0" w:line="240" w:lineRule="auto"/>
              <w:jc w:val="right"/>
              <w:rPr>
                <w:rFonts w:cs="Arial"/>
                <w:color w:val="548DD4" w:themeColor="text2" w:themeTint="99"/>
                <w:sz w:val="20"/>
                <w:szCs w:val="20"/>
                <w:lang w:eastAsia="en-GB"/>
              </w:rPr>
            </w:pPr>
          </w:p>
        </w:tc>
        <w:tc>
          <w:tcPr>
            <w:tcW w:w="1389" w:type="dxa"/>
            <w:noWrap/>
          </w:tcPr>
          <w:p w:rsidR="004A784F" w:rsidRPr="0005794A" w:rsidRDefault="004A784F" w:rsidP="00CF31F4">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548DD4" w:themeColor="text2" w:themeTint="99"/>
                <w:sz w:val="20"/>
                <w:szCs w:val="20"/>
                <w:lang w:eastAsia="en-GB"/>
              </w:rPr>
            </w:pPr>
          </w:p>
        </w:tc>
      </w:tr>
      <w:tr w:rsidR="00574D45" w:rsidRPr="0005794A" w:rsidTr="0057194E">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E5CD8"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1.3</w:t>
            </w:r>
          </w:p>
        </w:tc>
        <w:tc>
          <w:tcPr>
            <w:cnfStyle w:val="000010000000" w:firstRow="0" w:lastRow="0" w:firstColumn="0" w:lastColumn="0" w:oddVBand="1" w:evenVBand="0" w:oddHBand="0" w:evenHBand="0" w:firstRowFirstColumn="0" w:firstRowLastColumn="0" w:lastRowFirstColumn="0" w:lastRowLastColumn="0"/>
            <w:tcW w:w="1418"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w:t>
            </w:r>
          </w:p>
        </w:tc>
        <w:tc>
          <w:tcPr>
            <w:tcW w:w="1275" w:type="dxa"/>
          </w:tcPr>
          <w:p w:rsidR="00574D45" w:rsidRPr="005E5CD8" w:rsidRDefault="00574D45" w:rsidP="00574D4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(0.4)</w:t>
            </w:r>
          </w:p>
        </w:tc>
        <w:tc>
          <w:tcPr>
            <w:cnfStyle w:val="000010000000" w:firstRow="0" w:lastRow="0" w:firstColumn="0" w:lastColumn="0" w:oddVBand="1" w:evenVBand="0" w:oddHBand="0" w:evenHBand="0" w:firstRowFirstColumn="0" w:firstRowLastColumn="0" w:lastRowFirstColumn="0" w:lastRowLastColumn="0"/>
            <w:tcW w:w="1276"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0.9</w:t>
            </w:r>
          </w:p>
        </w:tc>
        <w:tc>
          <w:tcPr>
            <w:tcW w:w="4111" w:type="dxa"/>
            <w:gridSpan w:val="2"/>
            <w:noWrap/>
          </w:tcPr>
          <w:p w:rsidR="00574D45" w:rsidRPr="00574D45" w:rsidRDefault="00574D45" w:rsidP="00CF31F4">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74D45">
              <w:rPr>
                <w:rFonts w:cs="Arial"/>
                <w:color w:val="auto"/>
                <w:sz w:val="20"/>
                <w:szCs w:val="20"/>
                <w:lang w:eastAsia="en-GB"/>
              </w:rPr>
              <w:t>Adult’s Services</w:t>
            </w:r>
          </w:p>
        </w:tc>
        <w:tc>
          <w:tcPr>
            <w:cnfStyle w:val="000010000000" w:firstRow="0" w:lastRow="0" w:firstColumn="0" w:lastColumn="0" w:oddVBand="1" w:evenVBand="0" w:oddHBand="0" w:evenHBand="0" w:firstRowFirstColumn="0" w:firstRowLastColumn="0" w:lastRowFirstColumn="0" w:lastRowLastColumn="0"/>
            <w:tcW w:w="1353" w:type="dxa"/>
          </w:tcPr>
          <w:p w:rsidR="00574D45" w:rsidRPr="00E21AFC" w:rsidRDefault="00092EB3" w:rsidP="003C7C19">
            <w:pPr>
              <w:widowControl w:val="0"/>
              <w:spacing w:after="0" w:line="240" w:lineRule="auto"/>
              <w:jc w:val="right"/>
              <w:rPr>
                <w:rFonts w:cs="Arial"/>
                <w:color w:val="auto"/>
                <w:sz w:val="20"/>
                <w:szCs w:val="20"/>
                <w:lang w:eastAsia="en-GB"/>
              </w:rPr>
            </w:pPr>
            <w:r w:rsidRPr="00E21AFC">
              <w:rPr>
                <w:rFonts w:cs="Arial"/>
                <w:color w:val="auto"/>
                <w:sz w:val="20"/>
                <w:szCs w:val="20"/>
                <w:lang w:eastAsia="en-GB"/>
              </w:rPr>
              <w:t>0.8</w:t>
            </w:r>
          </w:p>
        </w:tc>
        <w:tc>
          <w:tcPr>
            <w:tcW w:w="1348" w:type="dxa"/>
            <w:noWrap/>
          </w:tcPr>
          <w:p w:rsidR="00574D45" w:rsidRPr="00E21AFC" w:rsidRDefault="00092EB3" w:rsidP="003C7C1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E21AFC">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55" w:type="dxa"/>
            <w:noWrap/>
          </w:tcPr>
          <w:p w:rsidR="00574D45" w:rsidRPr="00E21AFC" w:rsidRDefault="00092EB3" w:rsidP="003C7C19">
            <w:pPr>
              <w:widowControl w:val="0"/>
              <w:spacing w:after="0" w:line="240" w:lineRule="auto"/>
              <w:jc w:val="right"/>
              <w:rPr>
                <w:rFonts w:cs="Arial"/>
                <w:color w:val="auto"/>
                <w:sz w:val="20"/>
                <w:szCs w:val="20"/>
                <w:lang w:eastAsia="en-GB"/>
              </w:rPr>
            </w:pPr>
            <w:r w:rsidRPr="00E21AFC">
              <w:rPr>
                <w:rFonts w:cs="Arial"/>
                <w:color w:val="auto"/>
                <w:sz w:val="20"/>
                <w:szCs w:val="20"/>
                <w:lang w:eastAsia="en-GB"/>
              </w:rPr>
              <w:t>(1.7)</w:t>
            </w:r>
          </w:p>
        </w:tc>
        <w:tc>
          <w:tcPr>
            <w:tcW w:w="1389" w:type="dxa"/>
            <w:noWrap/>
          </w:tcPr>
          <w:p w:rsidR="00574D45" w:rsidRPr="00E21AFC" w:rsidRDefault="00092EB3" w:rsidP="003C7C1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E21AFC">
              <w:rPr>
                <w:rFonts w:cs="Arial"/>
                <w:b/>
                <w:color w:val="auto"/>
                <w:sz w:val="20"/>
                <w:szCs w:val="20"/>
                <w:lang w:eastAsia="en-GB"/>
              </w:rPr>
              <w:t>(0.9)</w:t>
            </w:r>
          </w:p>
        </w:tc>
      </w:tr>
      <w:tr w:rsidR="00574D45" w:rsidRPr="0005794A" w:rsidTr="005719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1.5</w:t>
            </w:r>
          </w:p>
        </w:tc>
        <w:tc>
          <w:tcPr>
            <w:cnfStyle w:val="000010000000" w:firstRow="0" w:lastRow="0" w:firstColumn="0" w:lastColumn="0" w:oddVBand="1" w:evenVBand="0" w:oddHBand="0" w:evenHBand="0" w:firstRowFirstColumn="0" w:firstRowLastColumn="0" w:lastRowFirstColumn="0" w:lastRowLastColumn="0"/>
            <w:tcW w:w="1418"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w:t>
            </w:r>
          </w:p>
        </w:tc>
        <w:tc>
          <w:tcPr>
            <w:tcW w:w="1275" w:type="dxa"/>
          </w:tcPr>
          <w:p w:rsidR="00574D45" w:rsidRPr="005E5CD8" w:rsidRDefault="00574D45" w:rsidP="00574D4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2.4</w:t>
            </w:r>
          </w:p>
        </w:tc>
        <w:tc>
          <w:tcPr>
            <w:cnfStyle w:val="000010000000" w:firstRow="0" w:lastRow="0" w:firstColumn="0" w:lastColumn="0" w:oddVBand="1" w:evenVBand="0" w:oddHBand="0" w:evenHBand="0" w:firstRowFirstColumn="0" w:firstRowLastColumn="0" w:lastRowFirstColumn="0" w:lastRowLastColumn="0"/>
            <w:tcW w:w="1276" w:type="dxa"/>
          </w:tcPr>
          <w:p w:rsidR="00574D45" w:rsidRPr="005E5CD8" w:rsidRDefault="004368CF" w:rsidP="004368CF">
            <w:pPr>
              <w:widowControl w:val="0"/>
              <w:spacing w:after="0" w:line="240" w:lineRule="auto"/>
              <w:jc w:val="right"/>
              <w:rPr>
                <w:rFonts w:cs="Arial"/>
                <w:color w:val="auto"/>
                <w:sz w:val="20"/>
                <w:szCs w:val="20"/>
                <w:lang w:eastAsia="en-GB"/>
              </w:rPr>
            </w:pPr>
            <w:r>
              <w:rPr>
                <w:rFonts w:cs="Arial"/>
                <w:color w:val="auto"/>
                <w:sz w:val="20"/>
                <w:szCs w:val="20"/>
                <w:lang w:eastAsia="en-GB"/>
              </w:rPr>
              <w:t>3.9</w:t>
            </w:r>
          </w:p>
        </w:tc>
        <w:tc>
          <w:tcPr>
            <w:tcW w:w="4111" w:type="dxa"/>
            <w:gridSpan w:val="2"/>
            <w:noWrap/>
          </w:tcPr>
          <w:p w:rsidR="00574D45" w:rsidRPr="00574D45" w:rsidRDefault="00574D45" w:rsidP="00CF31F4">
            <w:pPr>
              <w:autoSpaceDE w:val="0"/>
              <w:autoSpaceDN w:val="0"/>
              <w:adjustRightInd w:val="0"/>
              <w:spacing w:after="0" w:line="240" w:lineRule="auto"/>
              <w:ind w:right="-224"/>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74D45">
              <w:rPr>
                <w:rFonts w:cs="Arial"/>
                <w:color w:val="auto"/>
                <w:sz w:val="20"/>
                <w:szCs w:val="20"/>
                <w:lang w:eastAsia="en-GB"/>
              </w:rPr>
              <w:t>Children’s Services</w:t>
            </w:r>
          </w:p>
        </w:tc>
        <w:tc>
          <w:tcPr>
            <w:cnfStyle w:val="000010000000" w:firstRow="0" w:lastRow="0" w:firstColumn="0" w:lastColumn="0" w:oddVBand="1" w:evenVBand="0" w:oddHBand="0" w:evenHBand="0" w:firstRowFirstColumn="0" w:firstRowLastColumn="0" w:lastRowFirstColumn="0" w:lastRowLastColumn="0"/>
            <w:tcW w:w="1353" w:type="dxa"/>
          </w:tcPr>
          <w:p w:rsidR="00574D45" w:rsidRPr="00E21AFC" w:rsidRDefault="008E2046" w:rsidP="003C7C19">
            <w:pPr>
              <w:widowControl w:val="0"/>
              <w:spacing w:after="0" w:line="240" w:lineRule="auto"/>
              <w:jc w:val="right"/>
              <w:rPr>
                <w:rFonts w:cs="Arial"/>
                <w:color w:val="auto"/>
                <w:sz w:val="20"/>
                <w:szCs w:val="20"/>
                <w:lang w:eastAsia="en-GB"/>
              </w:rPr>
            </w:pPr>
            <w:r>
              <w:rPr>
                <w:rFonts w:cs="Arial"/>
                <w:color w:val="auto"/>
                <w:sz w:val="20"/>
                <w:szCs w:val="20"/>
                <w:lang w:eastAsia="en-GB"/>
              </w:rPr>
              <w:t>7.8</w:t>
            </w:r>
          </w:p>
        </w:tc>
        <w:tc>
          <w:tcPr>
            <w:tcW w:w="1348" w:type="dxa"/>
            <w:noWrap/>
          </w:tcPr>
          <w:p w:rsidR="00574D45" w:rsidRPr="00E21AFC" w:rsidRDefault="00092EB3" w:rsidP="003C7C1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E21AFC">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55" w:type="dxa"/>
            <w:noWrap/>
          </w:tcPr>
          <w:p w:rsidR="00574D45" w:rsidRPr="00E21AFC" w:rsidRDefault="00092EB3" w:rsidP="00B113D5">
            <w:pPr>
              <w:widowControl w:val="0"/>
              <w:spacing w:after="0" w:line="240" w:lineRule="auto"/>
              <w:jc w:val="right"/>
              <w:rPr>
                <w:rFonts w:cs="Arial"/>
                <w:color w:val="auto"/>
                <w:sz w:val="20"/>
                <w:szCs w:val="20"/>
                <w:lang w:eastAsia="en-GB"/>
              </w:rPr>
            </w:pPr>
            <w:r w:rsidRPr="00E21AFC">
              <w:rPr>
                <w:rFonts w:cs="Arial"/>
                <w:color w:val="auto"/>
                <w:sz w:val="20"/>
                <w:szCs w:val="20"/>
                <w:lang w:eastAsia="en-GB"/>
              </w:rPr>
              <w:t>2.</w:t>
            </w:r>
            <w:r w:rsidR="00B113D5">
              <w:rPr>
                <w:rFonts w:cs="Arial"/>
                <w:color w:val="auto"/>
                <w:sz w:val="20"/>
                <w:szCs w:val="20"/>
                <w:lang w:eastAsia="en-GB"/>
              </w:rPr>
              <w:t>2</w:t>
            </w:r>
          </w:p>
        </w:tc>
        <w:tc>
          <w:tcPr>
            <w:tcW w:w="1389" w:type="dxa"/>
            <w:noWrap/>
          </w:tcPr>
          <w:p w:rsidR="00574D45" w:rsidRPr="00E21AFC" w:rsidRDefault="008E2046" w:rsidP="00B113D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10.</w:t>
            </w:r>
            <w:r w:rsidR="00B113D5">
              <w:rPr>
                <w:rFonts w:cs="Arial"/>
                <w:b/>
                <w:color w:val="auto"/>
                <w:sz w:val="20"/>
                <w:szCs w:val="20"/>
                <w:lang w:eastAsia="en-GB"/>
              </w:rPr>
              <w:t>0</w:t>
            </w:r>
          </w:p>
        </w:tc>
      </w:tr>
      <w:tr w:rsidR="00574D45" w:rsidRPr="0005794A" w:rsidTr="0057194E">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w:t>
            </w:r>
          </w:p>
        </w:tc>
        <w:tc>
          <w:tcPr>
            <w:tcW w:w="1275" w:type="dxa"/>
          </w:tcPr>
          <w:p w:rsidR="00574D45" w:rsidRPr="005E5CD8" w:rsidRDefault="00574D45" w:rsidP="00574D4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0.1</w:t>
            </w:r>
          </w:p>
        </w:tc>
        <w:tc>
          <w:tcPr>
            <w:cnfStyle w:val="000010000000" w:firstRow="0" w:lastRow="0" w:firstColumn="0" w:lastColumn="0" w:oddVBand="1" w:evenVBand="0" w:oddHBand="0" w:evenHBand="0" w:firstRowFirstColumn="0" w:firstRowLastColumn="0" w:lastRowFirstColumn="0" w:lastRowLastColumn="0"/>
            <w:tcW w:w="1276"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0.1</w:t>
            </w:r>
          </w:p>
        </w:tc>
        <w:tc>
          <w:tcPr>
            <w:tcW w:w="4111" w:type="dxa"/>
            <w:gridSpan w:val="2"/>
            <w:noWrap/>
          </w:tcPr>
          <w:p w:rsidR="00574D45" w:rsidRPr="00574D45" w:rsidRDefault="00574D45" w:rsidP="00CF31F4">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74D45">
              <w:rPr>
                <w:rFonts w:cs="Arial"/>
                <w:color w:val="auto"/>
                <w:sz w:val="20"/>
                <w:szCs w:val="20"/>
                <w:lang w:eastAsia="en-GB"/>
              </w:rPr>
              <w:t>Public Health</w:t>
            </w:r>
          </w:p>
        </w:tc>
        <w:tc>
          <w:tcPr>
            <w:cnfStyle w:val="000010000000" w:firstRow="0" w:lastRow="0" w:firstColumn="0" w:lastColumn="0" w:oddVBand="1" w:evenVBand="0" w:oddHBand="0" w:evenHBand="0" w:firstRowFirstColumn="0" w:firstRowLastColumn="0" w:lastRowFirstColumn="0" w:lastRowLastColumn="0"/>
            <w:tcW w:w="1353" w:type="dxa"/>
          </w:tcPr>
          <w:p w:rsidR="00574D45" w:rsidRPr="00E21AFC" w:rsidRDefault="00092EB3" w:rsidP="003C7C19">
            <w:pPr>
              <w:widowControl w:val="0"/>
              <w:spacing w:after="0" w:line="240" w:lineRule="auto"/>
              <w:jc w:val="right"/>
              <w:rPr>
                <w:rFonts w:cs="Arial"/>
                <w:color w:val="auto"/>
                <w:sz w:val="20"/>
                <w:szCs w:val="20"/>
                <w:lang w:eastAsia="en-GB"/>
              </w:rPr>
            </w:pPr>
            <w:r w:rsidRPr="00E21AFC">
              <w:rPr>
                <w:rFonts w:cs="Arial"/>
                <w:color w:val="auto"/>
                <w:sz w:val="20"/>
                <w:szCs w:val="20"/>
                <w:lang w:eastAsia="en-GB"/>
              </w:rPr>
              <w:t>0</w:t>
            </w:r>
          </w:p>
        </w:tc>
        <w:tc>
          <w:tcPr>
            <w:tcW w:w="1348" w:type="dxa"/>
            <w:noWrap/>
          </w:tcPr>
          <w:p w:rsidR="00574D45" w:rsidRPr="00E21AFC" w:rsidRDefault="00092EB3" w:rsidP="003C7C1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E21AFC">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55" w:type="dxa"/>
            <w:noWrap/>
          </w:tcPr>
          <w:p w:rsidR="00574D45" w:rsidRPr="00E21AFC" w:rsidRDefault="00092EB3" w:rsidP="003C7C19">
            <w:pPr>
              <w:widowControl w:val="0"/>
              <w:spacing w:after="0" w:line="240" w:lineRule="auto"/>
              <w:jc w:val="right"/>
              <w:rPr>
                <w:rFonts w:cs="Arial"/>
                <w:color w:val="auto"/>
                <w:sz w:val="20"/>
                <w:szCs w:val="20"/>
                <w:lang w:eastAsia="en-GB"/>
              </w:rPr>
            </w:pPr>
            <w:r w:rsidRPr="00E21AFC">
              <w:rPr>
                <w:rFonts w:cs="Arial"/>
                <w:color w:val="auto"/>
                <w:sz w:val="20"/>
                <w:szCs w:val="20"/>
                <w:lang w:eastAsia="en-GB"/>
              </w:rPr>
              <w:t>(0.2)</w:t>
            </w:r>
          </w:p>
        </w:tc>
        <w:tc>
          <w:tcPr>
            <w:tcW w:w="1389" w:type="dxa"/>
            <w:noWrap/>
          </w:tcPr>
          <w:p w:rsidR="00574D45" w:rsidRPr="00E21AFC" w:rsidRDefault="00092EB3" w:rsidP="003C7C1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E21AFC">
              <w:rPr>
                <w:rFonts w:cs="Arial"/>
                <w:b/>
                <w:color w:val="auto"/>
                <w:sz w:val="20"/>
                <w:szCs w:val="20"/>
                <w:lang w:eastAsia="en-GB"/>
              </w:rPr>
              <w:t>(0.2)</w:t>
            </w:r>
          </w:p>
        </w:tc>
      </w:tr>
      <w:tr w:rsidR="00574D45" w:rsidRPr="0005794A" w:rsidTr="005719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E5CD8"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10.9</w:t>
            </w:r>
          </w:p>
        </w:tc>
        <w:tc>
          <w:tcPr>
            <w:cnfStyle w:val="000010000000" w:firstRow="0" w:lastRow="0" w:firstColumn="0" w:lastColumn="0" w:oddVBand="1" w:evenVBand="0" w:oddHBand="0" w:evenHBand="0" w:firstRowFirstColumn="0" w:firstRowLastColumn="0" w:lastRowFirstColumn="0" w:lastRowLastColumn="0"/>
            <w:tcW w:w="1418" w:type="dxa"/>
          </w:tcPr>
          <w:p w:rsidR="00574D45" w:rsidRPr="005E5CD8" w:rsidRDefault="005E5CD8"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(0.2)</w:t>
            </w:r>
          </w:p>
        </w:tc>
        <w:tc>
          <w:tcPr>
            <w:tcW w:w="1275" w:type="dxa"/>
          </w:tcPr>
          <w:p w:rsidR="00574D45" w:rsidRPr="005E5CD8" w:rsidRDefault="005E5CD8" w:rsidP="00574D4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(8.1)</w:t>
            </w:r>
          </w:p>
        </w:tc>
        <w:tc>
          <w:tcPr>
            <w:cnfStyle w:val="000010000000" w:firstRow="0" w:lastRow="0" w:firstColumn="0" w:lastColumn="0" w:oddVBand="1" w:evenVBand="0" w:oddHBand="0" w:evenHBand="0" w:firstRowFirstColumn="0" w:firstRowLastColumn="0" w:lastRowFirstColumn="0" w:lastRowLastColumn="0"/>
            <w:tcW w:w="1276" w:type="dxa"/>
          </w:tcPr>
          <w:p w:rsidR="00574D45" w:rsidRPr="005E5CD8" w:rsidRDefault="005E5CD8"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2.6</w:t>
            </w:r>
          </w:p>
        </w:tc>
        <w:tc>
          <w:tcPr>
            <w:tcW w:w="4111" w:type="dxa"/>
            <w:gridSpan w:val="2"/>
            <w:noWrap/>
          </w:tcPr>
          <w:p w:rsidR="00574D45" w:rsidRPr="00574D45" w:rsidRDefault="00574D45" w:rsidP="00CF31F4">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574D45">
              <w:rPr>
                <w:rFonts w:cs="Arial"/>
                <w:b/>
                <w:color w:val="auto"/>
                <w:sz w:val="20"/>
                <w:szCs w:val="20"/>
                <w:lang w:eastAsia="en-GB"/>
              </w:rPr>
              <w:t>Joint Operations:-</w:t>
            </w:r>
          </w:p>
        </w:tc>
        <w:tc>
          <w:tcPr>
            <w:cnfStyle w:val="000010000000" w:firstRow="0" w:lastRow="0" w:firstColumn="0" w:lastColumn="0" w:oddVBand="1" w:evenVBand="0" w:oddHBand="0" w:evenHBand="0" w:firstRowFirstColumn="0" w:firstRowLastColumn="0" w:lastRowFirstColumn="0" w:lastRowLastColumn="0"/>
            <w:tcW w:w="1353" w:type="dxa"/>
          </w:tcPr>
          <w:p w:rsidR="00574D45" w:rsidRPr="00E21AFC" w:rsidRDefault="00092EB3" w:rsidP="003C7C19">
            <w:pPr>
              <w:widowControl w:val="0"/>
              <w:spacing w:after="0" w:line="240" w:lineRule="auto"/>
              <w:jc w:val="right"/>
              <w:rPr>
                <w:rFonts w:cs="Arial"/>
                <w:color w:val="auto"/>
                <w:sz w:val="20"/>
                <w:szCs w:val="20"/>
                <w:lang w:eastAsia="en-GB"/>
              </w:rPr>
            </w:pPr>
            <w:r w:rsidRPr="00E21AFC">
              <w:rPr>
                <w:rFonts w:cs="Arial"/>
                <w:color w:val="auto"/>
                <w:sz w:val="20"/>
                <w:szCs w:val="20"/>
                <w:lang w:eastAsia="en-GB"/>
              </w:rPr>
              <w:t>9.7</w:t>
            </w:r>
          </w:p>
        </w:tc>
        <w:tc>
          <w:tcPr>
            <w:tcW w:w="1348" w:type="dxa"/>
            <w:noWrap/>
          </w:tcPr>
          <w:p w:rsidR="00574D45" w:rsidRPr="00E21AFC" w:rsidRDefault="00092EB3" w:rsidP="003C7C1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E21AFC">
              <w:rPr>
                <w:rFonts w:cs="Arial"/>
                <w:color w:val="auto"/>
                <w:sz w:val="20"/>
                <w:szCs w:val="20"/>
                <w:lang w:eastAsia="en-GB"/>
              </w:rPr>
              <w:t>3.8</w:t>
            </w:r>
          </w:p>
        </w:tc>
        <w:tc>
          <w:tcPr>
            <w:cnfStyle w:val="000010000000" w:firstRow="0" w:lastRow="0" w:firstColumn="0" w:lastColumn="0" w:oddVBand="1" w:evenVBand="0" w:oddHBand="0" w:evenHBand="0" w:firstRowFirstColumn="0" w:firstRowLastColumn="0" w:lastRowFirstColumn="0" w:lastRowLastColumn="0"/>
            <w:tcW w:w="1155" w:type="dxa"/>
            <w:noWrap/>
          </w:tcPr>
          <w:p w:rsidR="00574D45" w:rsidRPr="00E21AFC" w:rsidRDefault="00E21AFC" w:rsidP="00E022B7">
            <w:pPr>
              <w:widowControl w:val="0"/>
              <w:spacing w:after="0" w:line="240" w:lineRule="auto"/>
              <w:jc w:val="right"/>
              <w:rPr>
                <w:rFonts w:cs="Arial"/>
                <w:color w:val="auto"/>
                <w:sz w:val="20"/>
                <w:szCs w:val="20"/>
                <w:lang w:eastAsia="en-GB"/>
              </w:rPr>
            </w:pPr>
            <w:r w:rsidRPr="00E21AFC">
              <w:rPr>
                <w:rFonts w:cs="Arial"/>
                <w:color w:val="auto"/>
                <w:sz w:val="20"/>
                <w:szCs w:val="20"/>
                <w:lang w:eastAsia="en-GB"/>
              </w:rPr>
              <w:t>(8.</w:t>
            </w:r>
            <w:r w:rsidR="00E022B7">
              <w:rPr>
                <w:rFonts w:cs="Arial"/>
                <w:color w:val="auto"/>
                <w:sz w:val="20"/>
                <w:szCs w:val="20"/>
                <w:lang w:eastAsia="en-GB"/>
              </w:rPr>
              <w:t>5</w:t>
            </w:r>
            <w:r w:rsidRPr="00E21AFC">
              <w:rPr>
                <w:rFonts w:cs="Arial"/>
                <w:color w:val="auto"/>
                <w:sz w:val="20"/>
                <w:szCs w:val="20"/>
                <w:lang w:eastAsia="en-GB"/>
              </w:rPr>
              <w:t>)</w:t>
            </w:r>
          </w:p>
        </w:tc>
        <w:tc>
          <w:tcPr>
            <w:tcW w:w="1389" w:type="dxa"/>
            <w:noWrap/>
          </w:tcPr>
          <w:p w:rsidR="00574D45" w:rsidRPr="00E21AFC" w:rsidRDefault="00B113D5" w:rsidP="003C7C1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5.0</w:t>
            </w:r>
          </w:p>
        </w:tc>
      </w:tr>
      <w:tr w:rsidR="00574D45" w:rsidRPr="0005794A" w:rsidTr="0057194E">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13.7</w:t>
            </w:r>
          </w:p>
        </w:tc>
        <w:tc>
          <w:tcPr>
            <w:cnfStyle w:val="000010000000" w:firstRow="0" w:lastRow="0" w:firstColumn="0" w:lastColumn="0" w:oddVBand="1" w:evenVBand="0" w:oddHBand="0" w:evenHBand="0" w:firstRowFirstColumn="0" w:firstRowLastColumn="0" w:lastRowFirstColumn="0" w:lastRowLastColumn="0"/>
            <w:tcW w:w="1418"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(0.2)</w:t>
            </w:r>
          </w:p>
        </w:tc>
        <w:tc>
          <w:tcPr>
            <w:tcW w:w="1275" w:type="dxa"/>
          </w:tcPr>
          <w:p w:rsidR="00574D45" w:rsidRPr="005E5CD8" w:rsidRDefault="00574D45" w:rsidP="00574D4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(6.0)</w:t>
            </w:r>
          </w:p>
        </w:tc>
        <w:tc>
          <w:tcPr>
            <w:cnfStyle w:val="000010000000" w:firstRow="0" w:lastRow="0" w:firstColumn="0" w:lastColumn="0" w:oddVBand="1" w:evenVBand="0" w:oddHBand="0" w:evenHBand="0" w:firstRowFirstColumn="0" w:firstRowLastColumn="0" w:lastRowFirstColumn="0" w:lastRowLastColumn="0"/>
            <w:tcW w:w="1276"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7.5</w:t>
            </w:r>
          </w:p>
        </w:tc>
        <w:tc>
          <w:tcPr>
            <w:tcW w:w="4111" w:type="dxa"/>
            <w:gridSpan w:val="2"/>
            <w:noWrap/>
          </w:tcPr>
          <w:p w:rsidR="00574D45" w:rsidRPr="00574D45" w:rsidRDefault="00574D45" w:rsidP="00CF31F4">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574D45">
              <w:rPr>
                <w:rFonts w:cs="Arial"/>
                <w:b/>
                <w:bCs/>
                <w:color w:val="auto"/>
                <w:sz w:val="20"/>
                <w:szCs w:val="20"/>
                <w:lang w:eastAsia="en-GB"/>
              </w:rPr>
              <w:t>Net Cost Of Services</w:t>
            </w:r>
          </w:p>
        </w:tc>
        <w:tc>
          <w:tcPr>
            <w:cnfStyle w:val="000010000000" w:firstRow="0" w:lastRow="0" w:firstColumn="0" w:lastColumn="0" w:oddVBand="1" w:evenVBand="0" w:oddHBand="0" w:evenHBand="0" w:firstRowFirstColumn="0" w:firstRowLastColumn="0" w:lastRowFirstColumn="0" w:lastRowLastColumn="0"/>
            <w:tcW w:w="1353" w:type="dxa"/>
          </w:tcPr>
          <w:p w:rsidR="00574D45" w:rsidRPr="00E21AFC" w:rsidRDefault="008E2046" w:rsidP="003C7C19">
            <w:pPr>
              <w:widowControl w:val="0"/>
              <w:spacing w:after="0" w:line="240" w:lineRule="auto"/>
              <w:jc w:val="right"/>
              <w:rPr>
                <w:rFonts w:cs="Arial"/>
                <w:color w:val="auto"/>
                <w:sz w:val="20"/>
                <w:szCs w:val="20"/>
                <w:lang w:eastAsia="en-GB"/>
              </w:rPr>
            </w:pPr>
            <w:r>
              <w:rPr>
                <w:rFonts w:cs="Arial"/>
                <w:color w:val="auto"/>
                <w:sz w:val="20"/>
                <w:szCs w:val="20"/>
                <w:lang w:eastAsia="en-GB"/>
              </w:rPr>
              <w:t>18.3</w:t>
            </w:r>
          </w:p>
        </w:tc>
        <w:tc>
          <w:tcPr>
            <w:tcW w:w="1348" w:type="dxa"/>
            <w:noWrap/>
          </w:tcPr>
          <w:p w:rsidR="00574D45" w:rsidRPr="00E21AFC" w:rsidRDefault="00092EB3" w:rsidP="003C7C1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E21AFC">
              <w:rPr>
                <w:rFonts w:cs="Arial"/>
                <w:color w:val="auto"/>
                <w:sz w:val="20"/>
                <w:szCs w:val="20"/>
                <w:lang w:eastAsia="en-GB"/>
              </w:rPr>
              <w:t>3.8</w:t>
            </w:r>
          </w:p>
        </w:tc>
        <w:tc>
          <w:tcPr>
            <w:cnfStyle w:val="000010000000" w:firstRow="0" w:lastRow="0" w:firstColumn="0" w:lastColumn="0" w:oddVBand="1" w:evenVBand="0" w:oddHBand="0" w:evenHBand="0" w:firstRowFirstColumn="0" w:firstRowLastColumn="0" w:lastRowFirstColumn="0" w:lastRowLastColumn="0"/>
            <w:tcW w:w="1155" w:type="dxa"/>
            <w:noWrap/>
          </w:tcPr>
          <w:p w:rsidR="00574D45" w:rsidRPr="00E21AFC" w:rsidRDefault="00092EB3" w:rsidP="003C7C19">
            <w:pPr>
              <w:widowControl w:val="0"/>
              <w:spacing w:after="0" w:line="240" w:lineRule="auto"/>
              <w:jc w:val="right"/>
              <w:rPr>
                <w:rFonts w:cs="Arial"/>
                <w:color w:val="auto"/>
                <w:sz w:val="20"/>
                <w:szCs w:val="20"/>
                <w:lang w:eastAsia="en-GB"/>
              </w:rPr>
            </w:pPr>
            <w:r w:rsidRPr="00E21AFC">
              <w:rPr>
                <w:rFonts w:cs="Arial"/>
                <w:color w:val="auto"/>
                <w:sz w:val="20"/>
                <w:szCs w:val="20"/>
                <w:lang w:eastAsia="en-GB"/>
              </w:rPr>
              <w:t>(8.2)</w:t>
            </w:r>
          </w:p>
        </w:tc>
        <w:tc>
          <w:tcPr>
            <w:tcW w:w="1389" w:type="dxa"/>
            <w:noWrap/>
          </w:tcPr>
          <w:p w:rsidR="00574D45" w:rsidRPr="00E21AFC" w:rsidRDefault="004368CF" w:rsidP="004368CF">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13.9</w:t>
            </w:r>
          </w:p>
        </w:tc>
      </w:tr>
      <w:tr w:rsidR="00574D45" w:rsidRPr="0005794A" w:rsidTr="005719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(6.9)</w:t>
            </w:r>
          </w:p>
        </w:tc>
        <w:tc>
          <w:tcPr>
            <w:cnfStyle w:val="000010000000" w:firstRow="0" w:lastRow="0" w:firstColumn="0" w:lastColumn="0" w:oddVBand="1" w:evenVBand="0" w:oddHBand="0" w:evenHBand="0" w:firstRowFirstColumn="0" w:firstRowLastColumn="0" w:lastRowFirstColumn="0" w:lastRowLastColumn="0"/>
            <w:tcW w:w="1418"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5.5</w:t>
            </w:r>
          </w:p>
        </w:tc>
        <w:tc>
          <w:tcPr>
            <w:tcW w:w="1275" w:type="dxa"/>
          </w:tcPr>
          <w:p w:rsidR="00574D45" w:rsidRPr="005E5CD8" w:rsidRDefault="00574D45" w:rsidP="00574D45">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5.2</w:t>
            </w:r>
          </w:p>
        </w:tc>
        <w:tc>
          <w:tcPr>
            <w:cnfStyle w:val="000010000000" w:firstRow="0" w:lastRow="0" w:firstColumn="0" w:lastColumn="0" w:oddVBand="1" w:evenVBand="0" w:oddHBand="0" w:evenHBand="0" w:firstRowFirstColumn="0" w:firstRowLastColumn="0" w:lastRowFirstColumn="0" w:lastRowLastColumn="0"/>
            <w:tcW w:w="1276"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3.8</w:t>
            </w:r>
          </w:p>
        </w:tc>
        <w:tc>
          <w:tcPr>
            <w:tcW w:w="4111" w:type="dxa"/>
            <w:gridSpan w:val="2"/>
            <w:noWrap/>
          </w:tcPr>
          <w:p w:rsidR="00574D45" w:rsidRPr="00574D45" w:rsidRDefault="00574D45" w:rsidP="00CF31F4">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574D45">
              <w:rPr>
                <w:rFonts w:cs="Arial"/>
                <w:color w:val="auto"/>
                <w:sz w:val="20"/>
                <w:szCs w:val="20"/>
                <w:lang w:eastAsia="en-GB"/>
              </w:rPr>
              <w:t>Other income and expenditure from Expenditure and Funding Analysis</w:t>
            </w:r>
          </w:p>
        </w:tc>
        <w:tc>
          <w:tcPr>
            <w:cnfStyle w:val="000010000000" w:firstRow="0" w:lastRow="0" w:firstColumn="0" w:lastColumn="0" w:oddVBand="1" w:evenVBand="0" w:oddHBand="0" w:evenHBand="0" w:firstRowFirstColumn="0" w:firstRowLastColumn="0" w:lastRowFirstColumn="0" w:lastRowLastColumn="0"/>
            <w:tcW w:w="1353" w:type="dxa"/>
          </w:tcPr>
          <w:p w:rsidR="00574D45" w:rsidRPr="00E21AFC" w:rsidRDefault="008E2046" w:rsidP="003C7C19">
            <w:pPr>
              <w:widowControl w:val="0"/>
              <w:spacing w:after="0" w:line="240" w:lineRule="auto"/>
              <w:jc w:val="right"/>
              <w:rPr>
                <w:rFonts w:cs="Arial"/>
                <w:color w:val="auto"/>
                <w:sz w:val="20"/>
                <w:szCs w:val="20"/>
                <w:lang w:eastAsia="en-GB"/>
              </w:rPr>
            </w:pPr>
            <w:r>
              <w:rPr>
                <w:rFonts w:cs="Arial"/>
                <w:color w:val="auto"/>
                <w:sz w:val="20"/>
                <w:szCs w:val="20"/>
                <w:lang w:eastAsia="en-GB"/>
              </w:rPr>
              <w:t>5.4</w:t>
            </w:r>
          </w:p>
        </w:tc>
        <w:tc>
          <w:tcPr>
            <w:tcW w:w="1348" w:type="dxa"/>
            <w:noWrap/>
          </w:tcPr>
          <w:p w:rsidR="00574D45" w:rsidRPr="00E21AFC" w:rsidRDefault="00092EB3" w:rsidP="003C7C19">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E21AFC">
              <w:rPr>
                <w:rFonts w:cs="Arial"/>
                <w:color w:val="auto"/>
                <w:sz w:val="20"/>
                <w:szCs w:val="20"/>
                <w:lang w:eastAsia="en-GB"/>
              </w:rPr>
              <w:t>5.4</w:t>
            </w:r>
          </w:p>
        </w:tc>
        <w:tc>
          <w:tcPr>
            <w:cnfStyle w:val="000010000000" w:firstRow="0" w:lastRow="0" w:firstColumn="0" w:lastColumn="0" w:oddVBand="1" w:evenVBand="0" w:oddHBand="0" w:evenHBand="0" w:firstRowFirstColumn="0" w:firstRowLastColumn="0" w:lastRowFirstColumn="0" w:lastRowLastColumn="0"/>
            <w:tcW w:w="1155" w:type="dxa"/>
            <w:noWrap/>
          </w:tcPr>
          <w:p w:rsidR="00574D45" w:rsidRPr="00E21AFC" w:rsidRDefault="00092EB3" w:rsidP="003C7C19">
            <w:pPr>
              <w:widowControl w:val="0"/>
              <w:spacing w:after="0" w:line="240" w:lineRule="auto"/>
              <w:jc w:val="right"/>
              <w:rPr>
                <w:rFonts w:cs="Arial"/>
                <w:color w:val="auto"/>
                <w:sz w:val="20"/>
                <w:szCs w:val="20"/>
                <w:lang w:eastAsia="en-GB"/>
              </w:rPr>
            </w:pPr>
            <w:r w:rsidRPr="00E21AFC">
              <w:rPr>
                <w:rFonts w:cs="Arial"/>
                <w:color w:val="auto"/>
                <w:sz w:val="20"/>
                <w:szCs w:val="20"/>
                <w:lang w:eastAsia="en-GB"/>
              </w:rPr>
              <w:t>1.5</w:t>
            </w:r>
          </w:p>
        </w:tc>
        <w:tc>
          <w:tcPr>
            <w:tcW w:w="1389" w:type="dxa"/>
            <w:noWrap/>
          </w:tcPr>
          <w:p w:rsidR="00574D45" w:rsidRPr="00E21AFC" w:rsidRDefault="00092EB3" w:rsidP="008E2046">
            <w:pPr>
              <w:widowControl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E21AFC">
              <w:rPr>
                <w:rFonts w:cs="Arial"/>
                <w:b/>
                <w:color w:val="auto"/>
                <w:sz w:val="20"/>
                <w:szCs w:val="20"/>
                <w:lang w:eastAsia="en-GB"/>
              </w:rPr>
              <w:t>12.</w:t>
            </w:r>
            <w:r w:rsidR="008E2046">
              <w:rPr>
                <w:rFonts w:cs="Arial"/>
                <w:b/>
                <w:color w:val="auto"/>
                <w:sz w:val="20"/>
                <w:szCs w:val="20"/>
                <w:lang w:eastAsia="en-GB"/>
              </w:rPr>
              <w:t>3</w:t>
            </w:r>
          </w:p>
        </w:tc>
      </w:tr>
      <w:tr w:rsidR="00574D45" w:rsidRPr="0005794A" w:rsidTr="0057194E">
        <w:trPr>
          <w:trHeight w:val="255"/>
        </w:trPr>
        <w:tc>
          <w:tcPr>
            <w:cnfStyle w:val="001000000000" w:firstRow="0" w:lastRow="0" w:firstColumn="1" w:lastColumn="0" w:oddVBand="0" w:evenVBand="0" w:oddHBand="0" w:evenHBand="0" w:firstRowFirstColumn="0" w:firstRowLastColumn="0" w:lastRowFirstColumn="0" w:lastRowLastColumn="0"/>
            <w:tcW w:w="1384" w:type="dxa"/>
          </w:tcPr>
          <w:p w:rsidR="00574D45" w:rsidRPr="005E5CD8" w:rsidRDefault="00574D45" w:rsidP="00574D45">
            <w:pPr>
              <w:widowControl w:val="0"/>
              <w:spacing w:after="0" w:line="240" w:lineRule="auto"/>
              <w:jc w:val="right"/>
              <w:rPr>
                <w:rFonts w:cs="Arial"/>
                <w:b w:val="0"/>
                <w:color w:val="auto"/>
                <w:sz w:val="20"/>
                <w:szCs w:val="20"/>
                <w:lang w:eastAsia="en-GB"/>
              </w:rPr>
            </w:pPr>
            <w:r w:rsidRPr="005E5CD8">
              <w:rPr>
                <w:rFonts w:cs="Arial"/>
                <w:b w:val="0"/>
                <w:color w:val="auto"/>
                <w:sz w:val="20"/>
                <w:szCs w:val="20"/>
                <w:lang w:eastAsia="en-GB"/>
              </w:rPr>
              <w:t>6.8</w:t>
            </w:r>
          </w:p>
        </w:tc>
        <w:tc>
          <w:tcPr>
            <w:cnfStyle w:val="000010000000" w:firstRow="0" w:lastRow="0" w:firstColumn="0" w:lastColumn="0" w:oddVBand="1" w:evenVBand="0" w:oddHBand="0" w:evenHBand="0" w:firstRowFirstColumn="0" w:firstRowLastColumn="0" w:lastRowFirstColumn="0" w:lastRowLastColumn="0"/>
            <w:tcW w:w="1418"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5.3</w:t>
            </w:r>
          </w:p>
        </w:tc>
        <w:tc>
          <w:tcPr>
            <w:tcW w:w="1275" w:type="dxa"/>
          </w:tcPr>
          <w:p w:rsidR="00574D45" w:rsidRPr="005E5CD8" w:rsidRDefault="00574D45" w:rsidP="00574D45">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E5CD8">
              <w:rPr>
                <w:rFonts w:cs="Arial"/>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1276" w:type="dxa"/>
          </w:tcPr>
          <w:p w:rsidR="00574D45" w:rsidRPr="005E5CD8" w:rsidRDefault="00574D45" w:rsidP="00574D45">
            <w:pPr>
              <w:widowControl w:val="0"/>
              <w:spacing w:after="0" w:line="240" w:lineRule="auto"/>
              <w:jc w:val="right"/>
              <w:rPr>
                <w:rFonts w:cs="Arial"/>
                <w:color w:val="auto"/>
                <w:sz w:val="20"/>
                <w:szCs w:val="20"/>
                <w:lang w:eastAsia="en-GB"/>
              </w:rPr>
            </w:pPr>
            <w:r w:rsidRPr="005E5CD8">
              <w:rPr>
                <w:rFonts w:cs="Arial"/>
                <w:color w:val="auto"/>
                <w:sz w:val="20"/>
                <w:szCs w:val="20"/>
                <w:lang w:eastAsia="en-GB"/>
              </w:rPr>
              <w:t>11.3</w:t>
            </w:r>
          </w:p>
        </w:tc>
        <w:tc>
          <w:tcPr>
            <w:tcW w:w="4111" w:type="dxa"/>
            <w:gridSpan w:val="2"/>
            <w:noWrap/>
          </w:tcPr>
          <w:p w:rsidR="00574D45" w:rsidRPr="00574D45" w:rsidRDefault="00574D45" w:rsidP="00CF31F4">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574D45">
              <w:rPr>
                <w:rFonts w:cs="Arial"/>
                <w:b/>
                <w:bCs/>
                <w:color w:val="auto"/>
                <w:sz w:val="20"/>
                <w:szCs w:val="20"/>
                <w:lang w:eastAsia="en-GB"/>
              </w:rPr>
              <w:t>Difference between General Fund (surplus)/deficit and Comprehensive Income and Expenditure Statement (surplus)/deficit on the Provision of Services</w:t>
            </w:r>
          </w:p>
        </w:tc>
        <w:tc>
          <w:tcPr>
            <w:cnfStyle w:val="000010000000" w:firstRow="0" w:lastRow="0" w:firstColumn="0" w:lastColumn="0" w:oddVBand="1" w:evenVBand="0" w:oddHBand="0" w:evenHBand="0" w:firstRowFirstColumn="0" w:firstRowLastColumn="0" w:lastRowFirstColumn="0" w:lastRowLastColumn="0"/>
            <w:tcW w:w="1353" w:type="dxa"/>
          </w:tcPr>
          <w:p w:rsidR="00574D45" w:rsidRPr="00E21AFC" w:rsidRDefault="008E2046" w:rsidP="003C7C19">
            <w:pPr>
              <w:widowControl w:val="0"/>
              <w:spacing w:after="0" w:line="240" w:lineRule="auto"/>
              <w:jc w:val="right"/>
              <w:rPr>
                <w:rFonts w:cs="Arial"/>
                <w:color w:val="auto"/>
                <w:sz w:val="20"/>
                <w:szCs w:val="20"/>
                <w:lang w:eastAsia="en-GB"/>
              </w:rPr>
            </w:pPr>
            <w:r>
              <w:rPr>
                <w:rFonts w:cs="Arial"/>
                <w:color w:val="auto"/>
                <w:sz w:val="20"/>
                <w:szCs w:val="20"/>
                <w:lang w:eastAsia="en-GB"/>
              </w:rPr>
              <w:t>23.7</w:t>
            </w:r>
          </w:p>
        </w:tc>
        <w:tc>
          <w:tcPr>
            <w:tcW w:w="1348" w:type="dxa"/>
            <w:noWrap/>
          </w:tcPr>
          <w:p w:rsidR="00574D45" w:rsidRPr="00E21AFC" w:rsidRDefault="00092EB3" w:rsidP="003C7C19">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E21AFC">
              <w:rPr>
                <w:rFonts w:cs="Arial"/>
                <w:color w:val="auto"/>
                <w:sz w:val="20"/>
                <w:szCs w:val="20"/>
                <w:lang w:eastAsia="en-GB"/>
              </w:rPr>
              <w:t>9.2</w:t>
            </w:r>
          </w:p>
        </w:tc>
        <w:tc>
          <w:tcPr>
            <w:cnfStyle w:val="000010000000" w:firstRow="0" w:lastRow="0" w:firstColumn="0" w:lastColumn="0" w:oddVBand="1" w:evenVBand="0" w:oddHBand="0" w:evenHBand="0" w:firstRowFirstColumn="0" w:firstRowLastColumn="0" w:lastRowFirstColumn="0" w:lastRowLastColumn="0"/>
            <w:tcW w:w="1155" w:type="dxa"/>
            <w:noWrap/>
          </w:tcPr>
          <w:p w:rsidR="00574D45" w:rsidRPr="00E21AFC" w:rsidRDefault="00092EB3" w:rsidP="003C7C19">
            <w:pPr>
              <w:widowControl w:val="0"/>
              <w:spacing w:after="0" w:line="240" w:lineRule="auto"/>
              <w:jc w:val="right"/>
              <w:rPr>
                <w:rFonts w:cs="Arial"/>
                <w:color w:val="auto"/>
                <w:sz w:val="20"/>
                <w:szCs w:val="20"/>
                <w:lang w:eastAsia="en-GB"/>
              </w:rPr>
            </w:pPr>
            <w:r w:rsidRPr="00E21AFC">
              <w:rPr>
                <w:rFonts w:cs="Arial"/>
                <w:color w:val="auto"/>
                <w:sz w:val="20"/>
                <w:szCs w:val="20"/>
                <w:lang w:eastAsia="en-GB"/>
              </w:rPr>
              <w:t>(6.7)</w:t>
            </w:r>
          </w:p>
        </w:tc>
        <w:tc>
          <w:tcPr>
            <w:tcW w:w="1389" w:type="dxa"/>
            <w:noWrap/>
          </w:tcPr>
          <w:p w:rsidR="00574D45" w:rsidRPr="00E21AFC" w:rsidRDefault="008E2046" w:rsidP="008E2046">
            <w:pPr>
              <w:widowControl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26.2</w:t>
            </w:r>
          </w:p>
        </w:tc>
      </w:tr>
    </w:tbl>
    <w:p w:rsidR="00CF31F4" w:rsidRPr="0005794A" w:rsidRDefault="00CF31F4" w:rsidP="004640C1">
      <w:pPr>
        <w:pStyle w:val="BodyText"/>
        <w:widowControl w:val="0"/>
        <w:ind w:left="567"/>
        <w:rPr>
          <w:color w:val="548DD4" w:themeColor="text2" w:themeTint="99"/>
          <w:sz w:val="20"/>
          <w:szCs w:val="20"/>
        </w:rPr>
      </w:pPr>
    </w:p>
    <w:p w:rsidR="005D29CF" w:rsidRPr="0005794A" w:rsidRDefault="005D29CF" w:rsidP="005D29CF">
      <w:pPr>
        <w:pStyle w:val="Subtitle"/>
        <w:ind w:left="567"/>
        <w:rPr>
          <w:b/>
          <w:color w:val="548DD4" w:themeColor="text2" w:themeTint="99"/>
          <w:sz w:val="20"/>
          <w:szCs w:val="20"/>
        </w:rPr>
      </w:pPr>
    </w:p>
    <w:p w:rsidR="005D29CF" w:rsidRPr="0005794A" w:rsidRDefault="005D29CF" w:rsidP="008D0906">
      <w:pPr>
        <w:pStyle w:val="Subtitle"/>
        <w:rPr>
          <w:b/>
          <w:color w:val="548DD4" w:themeColor="text2" w:themeTint="99"/>
          <w:sz w:val="20"/>
          <w:szCs w:val="20"/>
        </w:rPr>
        <w:sectPr w:rsidR="005D29CF" w:rsidRPr="0005794A" w:rsidSect="00AA7699">
          <w:pgSz w:w="16838" w:h="11906" w:orient="landscape" w:code="9"/>
          <w:pgMar w:top="1440" w:right="1440" w:bottom="1440" w:left="1440" w:header="544" w:footer="544" w:gutter="0"/>
          <w:cols w:space="708"/>
          <w:titlePg/>
          <w:docGrid w:linePitch="360"/>
        </w:sectPr>
      </w:pPr>
    </w:p>
    <w:p w:rsidR="00EE0B7E" w:rsidRPr="00574D45" w:rsidRDefault="00EE0B7E" w:rsidP="00FE7FF8">
      <w:pPr>
        <w:pStyle w:val="Subtitle"/>
        <w:spacing w:after="120"/>
        <w:ind w:left="567" w:hanging="567"/>
        <w:rPr>
          <w:b/>
          <w:color w:val="auto"/>
          <w:sz w:val="22"/>
          <w:szCs w:val="22"/>
        </w:rPr>
      </w:pPr>
      <w:r w:rsidRPr="00574D45">
        <w:rPr>
          <w:b/>
          <w:color w:val="auto"/>
          <w:sz w:val="22"/>
          <w:szCs w:val="22"/>
        </w:rPr>
        <w:lastRenderedPageBreak/>
        <w:t>8.</w:t>
      </w:r>
      <w:r w:rsidRPr="00574D45">
        <w:rPr>
          <w:b/>
          <w:color w:val="auto"/>
          <w:sz w:val="22"/>
          <w:szCs w:val="22"/>
        </w:rPr>
        <w:tab/>
        <w:t>Expenditure and Income Analysed by Nature</w:t>
      </w:r>
    </w:p>
    <w:p w:rsidR="00EE0B7E" w:rsidRPr="00574D45" w:rsidRDefault="00EE0B7E" w:rsidP="003501DA">
      <w:pPr>
        <w:pStyle w:val="BodyText"/>
        <w:spacing w:after="0" w:line="240" w:lineRule="auto"/>
        <w:ind w:firstLine="567"/>
        <w:contextualSpacing/>
        <w:rPr>
          <w:rFonts w:cs="Arial"/>
          <w:color w:val="auto"/>
          <w:sz w:val="18"/>
          <w:szCs w:val="18"/>
        </w:rPr>
      </w:pPr>
      <w:r w:rsidRPr="00574D45">
        <w:rPr>
          <w:rFonts w:cs="Arial"/>
          <w:color w:val="auto"/>
          <w:sz w:val="18"/>
          <w:szCs w:val="18"/>
        </w:rPr>
        <w:t>The authority’s expenditure and income is analysed as follows:-</w:t>
      </w:r>
    </w:p>
    <w:tbl>
      <w:tblPr>
        <w:tblStyle w:val="ListTable3-Accent51"/>
        <w:tblpPr w:leftFromText="180" w:rightFromText="180" w:vertAnchor="text" w:tblpX="642" w:tblpY="268"/>
        <w:tblW w:w="9230" w:type="dxa"/>
        <w:tblLook w:val="00A0" w:firstRow="1" w:lastRow="0" w:firstColumn="1" w:lastColumn="0" w:noHBand="0" w:noVBand="0"/>
      </w:tblPr>
      <w:tblGrid>
        <w:gridCol w:w="1318"/>
        <w:gridCol w:w="6593"/>
        <w:gridCol w:w="1319"/>
      </w:tblGrid>
      <w:tr w:rsidR="00EE0B7E" w:rsidRPr="00574D45" w:rsidTr="00855361">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1318" w:type="dxa"/>
          </w:tcPr>
          <w:p w:rsidR="00EE0B7E" w:rsidRPr="00574D45" w:rsidRDefault="00574D45" w:rsidP="00855361">
            <w:pPr>
              <w:pStyle w:val="ExampleSub"/>
              <w:keepNext w:val="0"/>
              <w:keepLines w:val="0"/>
              <w:spacing w:line="240" w:lineRule="auto"/>
              <w:ind w:left="0"/>
              <w:jc w:val="center"/>
              <w:rPr>
                <w:rFonts w:ascii="Arial" w:hAnsi="Arial" w:cs="Arial"/>
                <w:color w:val="auto"/>
                <w:sz w:val="18"/>
                <w:szCs w:val="18"/>
              </w:rPr>
            </w:pPr>
            <w:r w:rsidRPr="00574D45">
              <w:rPr>
                <w:rFonts w:ascii="Arial" w:hAnsi="Arial" w:cs="Arial"/>
                <w:color w:val="auto"/>
                <w:sz w:val="18"/>
                <w:szCs w:val="18"/>
              </w:rPr>
              <w:t>2016/17</w:t>
            </w:r>
            <w:r w:rsidR="00EE0B7E" w:rsidRPr="00574D45">
              <w:rPr>
                <w:rFonts w:ascii="Arial" w:hAnsi="Arial" w:cs="Arial"/>
                <w:color w:val="auto"/>
                <w:sz w:val="18"/>
                <w:szCs w:val="18"/>
              </w:rPr>
              <w:t xml:space="preserve"> </w:t>
            </w:r>
          </w:p>
          <w:p w:rsidR="00EE0B7E" w:rsidRPr="00574D45" w:rsidRDefault="00EE0B7E" w:rsidP="00855361">
            <w:pPr>
              <w:pStyle w:val="ExampleSub"/>
              <w:keepNext w:val="0"/>
              <w:keepLines w:val="0"/>
              <w:spacing w:line="240" w:lineRule="auto"/>
              <w:ind w:left="0"/>
              <w:jc w:val="center"/>
              <w:rPr>
                <w:rFonts w:ascii="Arial" w:hAnsi="Arial" w:cs="Arial"/>
                <w:color w:val="auto"/>
                <w:sz w:val="18"/>
                <w:szCs w:val="18"/>
              </w:rPr>
            </w:pPr>
            <w:r w:rsidRPr="00574D45">
              <w:rPr>
                <w:rFonts w:ascii="Arial" w:hAnsi="Arial" w:cs="Arial"/>
                <w:color w:val="auto"/>
                <w:sz w:val="18"/>
                <w:szCs w:val="18"/>
              </w:rPr>
              <w:t>£m</w:t>
            </w:r>
          </w:p>
        </w:tc>
        <w:tc>
          <w:tcPr>
            <w:cnfStyle w:val="000010000000" w:firstRow="0" w:lastRow="0" w:firstColumn="0" w:lastColumn="0" w:oddVBand="1" w:evenVBand="0" w:oddHBand="0" w:evenHBand="0" w:firstRowFirstColumn="0" w:firstRowLastColumn="0" w:lastRowFirstColumn="0" w:lastRowLastColumn="0"/>
            <w:tcW w:w="6593" w:type="dxa"/>
          </w:tcPr>
          <w:p w:rsidR="00EE0B7E" w:rsidRPr="00574D45" w:rsidRDefault="00EE0B7E" w:rsidP="00855361">
            <w:pPr>
              <w:pStyle w:val="ExampleSub"/>
              <w:keepNext w:val="0"/>
              <w:keepLines w:val="0"/>
              <w:spacing w:line="240" w:lineRule="auto"/>
              <w:ind w:left="0"/>
              <w:rPr>
                <w:rFonts w:ascii="Arial" w:hAnsi="Arial" w:cs="Arial"/>
                <w:color w:val="auto"/>
                <w:sz w:val="18"/>
                <w:szCs w:val="18"/>
              </w:rPr>
            </w:pPr>
          </w:p>
        </w:tc>
        <w:tc>
          <w:tcPr>
            <w:tcW w:w="1319" w:type="dxa"/>
          </w:tcPr>
          <w:p w:rsidR="00EE0B7E" w:rsidRPr="00574D45" w:rsidRDefault="00574D45" w:rsidP="00855361">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574D45">
              <w:rPr>
                <w:rFonts w:ascii="Arial" w:hAnsi="Arial" w:cs="Arial"/>
                <w:color w:val="auto"/>
                <w:sz w:val="18"/>
                <w:szCs w:val="18"/>
              </w:rPr>
              <w:t>2017/18</w:t>
            </w:r>
            <w:r w:rsidR="00EE0B7E" w:rsidRPr="00574D45">
              <w:rPr>
                <w:rFonts w:ascii="Arial" w:hAnsi="Arial" w:cs="Arial"/>
                <w:color w:val="auto"/>
                <w:sz w:val="18"/>
                <w:szCs w:val="18"/>
              </w:rPr>
              <w:t xml:space="preserve"> </w:t>
            </w:r>
          </w:p>
          <w:p w:rsidR="00EE0B7E" w:rsidRPr="00574D45" w:rsidRDefault="00EE0B7E" w:rsidP="00855361">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574D45">
              <w:rPr>
                <w:rFonts w:ascii="Arial" w:hAnsi="Arial" w:cs="Arial"/>
                <w:color w:val="auto"/>
                <w:sz w:val="18"/>
                <w:szCs w:val="18"/>
              </w:rPr>
              <w:t>£m</w:t>
            </w:r>
          </w:p>
        </w:tc>
      </w:tr>
      <w:tr w:rsidR="00EE0B7E" w:rsidRPr="00574D45" w:rsidTr="0085536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18" w:type="dxa"/>
          </w:tcPr>
          <w:p w:rsidR="00EE0B7E" w:rsidRPr="00574D45" w:rsidRDefault="00EE0B7E" w:rsidP="00855361">
            <w:pPr>
              <w:widowControl w:val="0"/>
              <w:spacing w:after="0" w:line="240" w:lineRule="auto"/>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6593" w:type="dxa"/>
          </w:tcPr>
          <w:p w:rsidR="00EE0B7E" w:rsidRPr="00574D45" w:rsidRDefault="00EE0B7E" w:rsidP="00855361">
            <w:pPr>
              <w:widowControl w:val="0"/>
              <w:spacing w:after="0" w:line="240" w:lineRule="auto"/>
              <w:rPr>
                <w:rFonts w:cs="Arial"/>
                <w:b/>
                <w:color w:val="auto"/>
                <w:sz w:val="20"/>
                <w:szCs w:val="20"/>
                <w:lang w:eastAsia="en-GB"/>
              </w:rPr>
            </w:pPr>
            <w:r w:rsidRPr="00574D45">
              <w:rPr>
                <w:rFonts w:cs="Arial"/>
                <w:b/>
                <w:color w:val="auto"/>
                <w:sz w:val="20"/>
                <w:szCs w:val="20"/>
                <w:lang w:eastAsia="en-GB"/>
              </w:rPr>
              <w:t>Expenditure</w:t>
            </w:r>
          </w:p>
        </w:tc>
        <w:tc>
          <w:tcPr>
            <w:tcW w:w="1319" w:type="dxa"/>
          </w:tcPr>
          <w:p w:rsidR="00EE0B7E" w:rsidRPr="00574D45" w:rsidRDefault="00EE0B7E" w:rsidP="002B657F">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p>
        </w:tc>
      </w:tr>
      <w:tr w:rsidR="00574D45" w:rsidRPr="00574D45" w:rsidTr="00855361">
        <w:trPr>
          <w:trHeight w:val="279"/>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59.9</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color w:val="auto"/>
                <w:sz w:val="20"/>
                <w:szCs w:val="20"/>
                <w:lang w:eastAsia="en-GB"/>
              </w:rPr>
            </w:pPr>
            <w:r w:rsidRPr="00574D45">
              <w:rPr>
                <w:rFonts w:cs="Arial"/>
                <w:color w:val="auto"/>
                <w:sz w:val="20"/>
                <w:szCs w:val="20"/>
                <w:lang w:eastAsia="en-GB"/>
              </w:rPr>
              <w:t>Employee benefits expenses</w:t>
            </w:r>
          </w:p>
        </w:tc>
        <w:tc>
          <w:tcPr>
            <w:tcW w:w="1319" w:type="dxa"/>
          </w:tcPr>
          <w:p w:rsidR="00574D45" w:rsidRPr="00574D45" w:rsidRDefault="006545F5"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58.2</w:t>
            </w:r>
          </w:p>
        </w:tc>
      </w:tr>
      <w:tr w:rsidR="00574D45" w:rsidRPr="00574D45" w:rsidTr="0085536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207.3</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color w:val="auto"/>
                <w:sz w:val="20"/>
                <w:szCs w:val="20"/>
                <w:lang w:eastAsia="en-GB"/>
              </w:rPr>
            </w:pPr>
            <w:r w:rsidRPr="00574D45">
              <w:rPr>
                <w:rFonts w:cs="Arial"/>
                <w:color w:val="auto"/>
                <w:sz w:val="20"/>
                <w:szCs w:val="20"/>
                <w:lang w:eastAsia="en-GB"/>
              </w:rPr>
              <w:t>Other services expenses</w:t>
            </w:r>
          </w:p>
        </w:tc>
        <w:tc>
          <w:tcPr>
            <w:tcW w:w="1319" w:type="dxa"/>
          </w:tcPr>
          <w:p w:rsidR="00574D45" w:rsidRPr="00574D45" w:rsidRDefault="006545F5" w:rsidP="00906A8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2</w:t>
            </w:r>
            <w:r w:rsidR="00376988">
              <w:rPr>
                <w:rFonts w:cs="Arial"/>
                <w:color w:val="auto"/>
                <w:sz w:val="20"/>
                <w:szCs w:val="20"/>
                <w:lang w:eastAsia="en-GB"/>
              </w:rPr>
              <w:t>22.6</w:t>
            </w:r>
          </w:p>
        </w:tc>
      </w:tr>
      <w:tr w:rsidR="00574D45" w:rsidRPr="00574D45" w:rsidTr="00855361">
        <w:trPr>
          <w:trHeight w:val="248"/>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color w:val="auto"/>
                <w:sz w:val="20"/>
                <w:szCs w:val="20"/>
                <w:lang w:eastAsia="en-GB"/>
              </w:rPr>
            </w:pPr>
            <w:r w:rsidRPr="00574D45">
              <w:rPr>
                <w:rFonts w:cs="Arial"/>
                <w:color w:val="auto"/>
                <w:sz w:val="20"/>
                <w:szCs w:val="20"/>
                <w:lang w:eastAsia="en-GB"/>
              </w:rPr>
              <w:t>Support service recharges</w:t>
            </w:r>
          </w:p>
        </w:tc>
        <w:tc>
          <w:tcPr>
            <w:tcW w:w="1319" w:type="dxa"/>
          </w:tcPr>
          <w:p w:rsidR="00574D45" w:rsidRPr="00574D45" w:rsidRDefault="006545F5"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1.6</w:t>
            </w:r>
          </w:p>
        </w:tc>
      </w:tr>
      <w:tr w:rsidR="00574D45" w:rsidRPr="00574D45" w:rsidTr="0085536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14.3</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color w:val="auto"/>
                <w:sz w:val="20"/>
                <w:szCs w:val="20"/>
                <w:lang w:eastAsia="en-GB"/>
              </w:rPr>
            </w:pPr>
            <w:r w:rsidRPr="00574D45">
              <w:rPr>
                <w:rFonts w:cs="Arial"/>
                <w:color w:val="auto"/>
                <w:sz w:val="20"/>
                <w:szCs w:val="20"/>
                <w:lang w:eastAsia="en-GB"/>
              </w:rPr>
              <w:t>Depreciation, amortisation, impairment</w:t>
            </w:r>
          </w:p>
        </w:tc>
        <w:tc>
          <w:tcPr>
            <w:tcW w:w="1319" w:type="dxa"/>
          </w:tcPr>
          <w:p w:rsidR="00574D45" w:rsidRPr="00574D45" w:rsidRDefault="00376988" w:rsidP="00574D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21.2</w:t>
            </w:r>
          </w:p>
        </w:tc>
      </w:tr>
      <w:tr w:rsidR="00574D45" w:rsidRPr="00574D45"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13.0</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color w:val="auto"/>
                <w:sz w:val="20"/>
                <w:szCs w:val="20"/>
                <w:lang w:eastAsia="en-GB"/>
              </w:rPr>
            </w:pPr>
            <w:r w:rsidRPr="00574D45">
              <w:rPr>
                <w:rFonts w:cs="Arial"/>
                <w:color w:val="auto"/>
                <w:sz w:val="20"/>
                <w:szCs w:val="20"/>
                <w:lang w:eastAsia="en-GB"/>
              </w:rPr>
              <w:t>Interest payments</w:t>
            </w:r>
          </w:p>
        </w:tc>
        <w:tc>
          <w:tcPr>
            <w:tcW w:w="1319" w:type="dxa"/>
          </w:tcPr>
          <w:p w:rsidR="00574D45" w:rsidRPr="00574D45" w:rsidRDefault="006545F5"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9.5</w:t>
            </w:r>
          </w:p>
        </w:tc>
      </w:tr>
      <w:tr w:rsidR="00574D45" w:rsidRPr="00574D45"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0.3</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color w:val="auto"/>
                <w:sz w:val="20"/>
                <w:szCs w:val="20"/>
                <w:lang w:eastAsia="en-GB"/>
              </w:rPr>
            </w:pPr>
            <w:r w:rsidRPr="00574D45">
              <w:rPr>
                <w:rFonts w:cs="Arial"/>
                <w:color w:val="auto"/>
                <w:sz w:val="20"/>
                <w:szCs w:val="20"/>
                <w:lang w:eastAsia="en-GB"/>
              </w:rPr>
              <w:t>Precepts and levies</w:t>
            </w:r>
          </w:p>
        </w:tc>
        <w:tc>
          <w:tcPr>
            <w:tcW w:w="1319" w:type="dxa"/>
          </w:tcPr>
          <w:p w:rsidR="00574D45" w:rsidRPr="00574D45" w:rsidRDefault="006545F5" w:rsidP="00574D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0.4</w:t>
            </w:r>
          </w:p>
        </w:tc>
      </w:tr>
      <w:tr w:rsidR="00574D45" w:rsidRPr="00574D45"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1.1</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color w:val="auto"/>
                <w:sz w:val="20"/>
                <w:szCs w:val="20"/>
                <w:lang w:eastAsia="en-GB"/>
              </w:rPr>
            </w:pPr>
            <w:r w:rsidRPr="00574D45">
              <w:rPr>
                <w:rFonts w:cs="Arial"/>
                <w:color w:val="auto"/>
                <w:sz w:val="20"/>
                <w:szCs w:val="20"/>
                <w:lang w:eastAsia="en-GB"/>
              </w:rPr>
              <w:t>Written out of accounts  on the disposal of assets</w:t>
            </w:r>
          </w:p>
        </w:tc>
        <w:tc>
          <w:tcPr>
            <w:tcW w:w="1319" w:type="dxa"/>
          </w:tcPr>
          <w:p w:rsidR="00574D45" w:rsidRPr="00574D45" w:rsidRDefault="006545F5" w:rsidP="00906A8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906A81">
              <w:rPr>
                <w:rFonts w:cs="Arial"/>
                <w:color w:val="auto"/>
                <w:sz w:val="20"/>
                <w:szCs w:val="20"/>
                <w:lang w:eastAsia="en-GB"/>
              </w:rPr>
              <w:t>7.7</w:t>
            </w:r>
          </w:p>
        </w:tc>
      </w:tr>
      <w:tr w:rsidR="00574D45" w:rsidRPr="00574D45"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296.7</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b/>
                <w:color w:val="auto"/>
                <w:sz w:val="20"/>
                <w:szCs w:val="20"/>
                <w:lang w:eastAsia="en-GB"/>
              </w:rPr>
            </w:pPr>
            <w:r w:rsidRPr="00574D45">
              <w:rPr>
                <w:rFonts w:cs="Arial"/>
                <w:b/>
                <w:color w:val="auto"/>
                <w:sz w:val="20"/>
                <w:szCs w:val="20"/>
                <w:lang w:eastAsia="en-GB"/>
              </w:rPr>
              <w:t>Total Expenditure</w:t>
            </w:r>
          </w:p>
        </w:tc>
        <w:tc>
          <w:tcPr>
            <w:tcW w:w="1319" w:type="dxa"/>
          </w:tcPr>
          <w:p w:rsidR="00574D45" w:rsidRPr="00574D45" w:rsidRDefault="006545F5" w:rsidP="003769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3</w:t>
            </w:r>
            <w:r w:rsidR="00376988">
              <w:rPr>
                <w:rFonts w:cs="Arial"/>
                <w:b/>
                <w:color w:val="auto"/>
                <w:sz w:val="20"/>
                <w:szCs w:val="20"/>
                <w:lang w:eastAsia="en-GB"/>
              </w:rPr>
              <w:t>21.2</w:t>
            </w:r>
          </w:p>
        </w:tc>
      </w:tr>
      <w:tr w:rsidR="00574D45" w:rsidRPr="00574D45"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b/>
                <w:color w:val="auto"/>
                <w:sz w:val="20"/>
                <w:szCs w:val="20"/>
                <w:lang w:eastAsia="en-GB"/>
              </w:rPr>
            </w:pPr>
            <w:r w:rsidRPr="00574D45">
              <w:rPr>
                <w:rFonts w:cs="Arial"/>
                <w:b/>
                <w:color w:val="auto"/>
                <w:sz w:val="20"/>
                <w:szCs w:val="20"/>
                <w:lang w:eastAsia="en-GB"/>
              </w:rPr>
              <w:t>Income</w:t>
            </w:r>
          </w:p>
        </w:tc>
        <w:tc>
          <w:tcPr>
            <w:tcW w:w="1319" w:type="dxa"/>
          </w:tcPr>
          <w:p w:rsidR="00574D45" w:rsidRPr="00574D45" w:rsidRDefault="00574D45"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p>
        </w:tc>
      </w:tr>
      <w:tr w:rsidR="00574D45" w:rsidRPr="00574D45"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(35.3)</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color w:val="auto"/>
                <w:sz w:val="20"/>
                <w:szCs w:val="20"/>
                <w:lang w:eastAsia="en-GB"/>
              </w:rPr>
            </w:pPr>
            <w:r w:rsidRPr="00574D45">
              <w:rPr>
                <w:rFonts w:cs="Arial"/>
                <w:color w:val="auto"/>
                <w:sz w:val="20"/>
                <w:szCs w:val="20"/>
                <w:lang w:eastAsia="en-GB"/>
              </w:rPr>
              <w:t>Fees, charges and other service income</w:t>
            </w:r>
          </w:p>
        </w:tc>
        <w:tc>
          <w:tcPr>
            <w:tcW w:w="1319" w:type="dxa"/>
          </w:tcPr>
          <w:p w:rsidR="00574D45" w:rsidRPr="00574D45" w:rsidRDefault="006545F5" w:rsidP="00E6099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w:t>
            </w:r>
            <w:r w:rsidR="00E60990">
              <w:rPr>
                <w:rFonts w:cs="Arial"/>
                <w:color w:val="auto"/>
                <w:sz w:val="20"/>
                <w:szCs w:val="20"/>
                <w:lang w:eastAsia="en-GB"/>
              </w:rPr>
              <w:t>34.9</w:t>
            </w:r>
            <w:r>
              <w:rPr>
                <w:rFonts w:cs="Arial"/>
                <w:color w:val="auto"/>
                <w:sz w:val="20"/>
                <w:szCs w:val="20"/>
                <w:lang w:eastAsia="en-GB"/>
              </w:rPr>
              <w:t>)</w:t>
            </w:r>
          </w:p>
        </w:tc>
      </w:tr>
      <w:tr w:rsidR="00574D45" w:rsidRPr="00574D45"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color w:val="auto"/>
                <w:sz w:val="20"/>
                <w:szCs w:val="20"/>
                <w:lang w:eastAsia="en-GB"/>
              </w:rPr>
            </w:pPr>
            <w:r w:rsidRPr="00574D45">
              <w:rPr>
                <w:rFonts w:cs="Arial"/>
                <w:color w:val="auto"/>
                <w:sz w:val="20"/>
                <w:szCs w:val="20"/>
                <w:lang w:eastAsia="en-GB"/>
              </w:rPr>
              <w:t>Support service recharges</w:t>
            </w:r>
          </w:p>
        </w:tc>
        <w:tc>
          <w:tcPr>
            <w:tcW w:w="1319" w:type="dxa"/>
          </w:tcPr>
          <w:p w:rsidR="00574D45" w:rsidRPr="00574D45" w:rsidRDefault="006545F5"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(1.6)</w:t>
            </w:r>
          </w:p>
        </w:tc>
      </w:tr>
      <w:tr w:rsidR="00574D45" w:rsidRPr="00574D45"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(1.0)</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B73016" w:rsidP="00E60990">
            <w:pPr>
              <w:widowControl w:val="0"/>
              <w:spacing w:after="0" w:line="240" w:lineRule="auto"/>
              <w:rPr>
                <w:rFonts w:cs="Arial"/>
                <w:color w:val="auto"/>
                <w:sz w:val="20"/>
                <w:szCs w:val="20"/>
                <w:lang w:eastAsia="en-GB"/>
              </w:rPr>
            </w:pPr>
            <w:r>
              <w:rPr>
                <w:rFonts w:cs="Arial"/>
                <w:color w:val="auto"/>
                <w:sz w:val="20"/>
                <w:szCs w:val="20"/>
                <w:lang w:eastAsia="en-GB"/>
              </w:rPr>
              <w:t>Financing</w:t>
            </w:r>
            <w:r w:rsidR="00E60990">
              <w:rPr>
                <w:rFonts w:cs="Arial"/>
                <w:color w:val="auto"/>
                <w:sz w:val="20"/>
                <w:szCs w:val="20"/>
                <w:lang w:eastAsia="en-GB"/>
              </w:rPr>
              <w:t xml:space="preserve"> &amp; Investment Income and Other Operating Income</w:t>
            </w:r>
          </w:p>
        </w:tc>
        <w:tc>
          <w:tcPr>
            <w:tcW w:w="1319" w:type="dxa"/>
          </w:tcPr>
          <w:p w:rsidR="00574D45" w:rsidRPr="00574D45" w:rsidRDefault="006545F5" w:rsidP="003769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w:t>
            </w:r>
            <w:r w:rsidR="00E60990">
              <w:rPr>
                <w:rFonts w:cs="Arial"/>
                <w:color w:val="auto"/>
                <w:sz w:val="20"/>
                <w:szCs w:val="20"/>
                <w:lang w:eastAsia="en-GB"/>
              </w:rPr>
              <w:t>9.</w:t>
            </w:r>
            <w:r w:rsidR="00376988">
              <w:rPr>
                <w:rFonts w:cs="Arial"/>
                <w:color w:val="auto"/>
                <w:sz w:val="20"/>
                <w:szCs w:val="20"/>
                <w:lang w:eastAsia="en-GB"/>
              </w:rPr>
              <w:t>2</w:t>
            </w:r>
            <w:r>
              <w:rPr>
                <w:rFonts w:cs="Arial"/>
                <w:color w:val="auto"/>
                <w:sz w:val="20"/>
                <w:szCs w:val="20"/>
                <w:lang w:eastAsia="en-GB"/>
              </w:rPr>
              <w:t>)</w:t>
            </w:r>
          </w:p>
        </w:tc>
      </w:tr>
      <w:tr w:rsidR="00574D45" w:rsidRPr="00574D45"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(89.3)</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B73016" w:rsidP="00574D45">
            <w:pPr>
              <w:widowControl w:val="0"/>
              <w:spacing w:after="0" w:line="240" w:lineRule="auto"/>
              <w:rPr>
                <w:rFonts w:cs="Arial"/>
                <w:color w:val="auto"/>
                <w:sz w:val="20"/>
                <w:szCs w:val="20"/>
                <w:lang w:eastAsia="en-GB"/>
              </w:rPr>
            </w:pPr>
            <w:r>
              <w:rPr>
                <w:rFonts w:cs="Arial"/>
                <w:color w:val="auto"/>
                <w:sz w:val="20"/>
                <w:szCs w:val="20"/>
                <w:lang w:eastAsia="en-GB"/>
              </w:rPr>
              <w:t>C</w:t>
            </w:r>
            <w:r w:rsidR="00574D45" w:rsidRPr="00574D45">
              <w:rPr>
                <w:rFonts w:cs="Arial"/>
                <w:color w:val="auto"/>
                <w:sz w:val="20"/>
                <w:szCs w:val="20"/>
                <w:lang w:eastAsia="en-GB"/>
              </w:rPr>
              <w:t xml:space="preserve">ouncil tax and </w:t>
            </w:r>
            <w:proofErr w:type="spellStart"/>
            <w:r w:rsidR="00574D45" w:rsidRPr="00574D45">
              <w:rPr>
                <w:rFonts w:cs="Arial"/>
                <w:color w:val="auto"/>
                <w:sz w:val="20"/>
                <w:szCs w:val="20"/>
                <w:lang w:eastAsia="en-GB"/>
              </w:rPr>
              <w:t>non domestic</w:t>
            </w:r>
            <w:proofErr w:type="spellEnd"/>
            <w:r w:rsidR="00574D45" w:rsidRPr="00574D45">
              <w:rPr>
                <w:rFonts w:cs="Arial"/>
                <w:color w:val="auto"/>
                <w:sz w:val="20"/>
                <w:szCs w:val="20"/>
                <w:lang w:eastAsia="en-GB"/>
              </w:rPr>
              <w:t xml:space="preserve"> rates</w:t>
            </w:r>
          </w:p>
        </w:tc>
        <w:tc>
          <w:tcPr>
            <w:tcW w:w="1319" w:type="dxa"/>
          </w:tcPr>
          <w:p w:rsidR="00574D45" w:rsidRPr="00574D45" w:rsidRDefault="00B73016"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(98.5)</w:t>
            </w:r>
          </w:p>
        </w:tc>
      </w:tr>
      <w:tr w:rsidR="00574D45" w:rsidRPr="00574D45"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194E" w:rsidRDefault="00574D45" w:rsidP="00574D45">
            <w:pPr>
              <w:widowControl w:val="0"/>
              <w:spacing w:after="0" w:line="240" w:lineRule="auto"/>
              <w:jc w:val="center"/>
              <w:rPr>
                <w:rFonts w:cs="Arial"/>
                <w:b w:val="0"/>
                <w:color w:val="auto"/>
                <w:sz w:val="20"/>
                <w:szCs w:val="20"/>
                <w:lang w:eastAsia="en-GB"/>
              </w:rPr>
            </w:pPr>
            <w:r w:rsidRPr="0057194E">
              <w:rPr>
                <w:rFonts w:cs="Arial"/>
                <w:b w:val="0"/>
                <w:color w:val="auto"/>
                <w:sz w:val="20"/>
                <w:szCs w:val="20"/>
                <w:lang w:eastAsia="en-GB"/>
              </w:rPr>
              <w:t>(159.3)</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color w:val="auto"/>
                <w:sz w:val="20"/>
                <w:szCs w:val="20"/>
                <w:lang w:eastAsia="en-GB"/>
              </w:rPr>
            </w:pPr>
            <w:r w:rsidRPr="00574D45">
              <w:rPr>
                <w:rFonts w:cs="Arial"/>
                <w:color w:val="auto"/>
                <w:sz w:val="20"/>
                <w:szCs w:val="20"/>
                <w:lang w:eastAsia="en-GB"/>
              </w:rPr>
              <w:t>Government grants and contributions</w:t>
            </w:r>
          </w:p>
        </w:tc>
        <w:tc>
          <w:tcPr>
            <w:tcW w:w="1319" w:type="dxa"/>
          </w:tcPr>
          <w:p w:rsidR="00574D45" w:rsidRPr="00574D45" w:rsidRDefault="006545F5" w:rsidP="003769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(1</w:t>
            </w:r>
            <w:r w:rsidR="00B73016">
              <w:rPr>
                <w:rFonts w:cs="Arial"/>
                <w:color w:val="auto"/>
                <w:sz w:val="20"/>
                <w:szCs w:val="20"/>
                <w:lang w:eastAsia="en-GB"/>
              </w:rPr>
              <w:t>5</w:t>
            </w:r>
            <w:r w:rsidR="00376988">
              <w:rPr>
                <w:rFonts w:cs="Arial"/>
                <w:color w:val="auto"/>
                <w:sz w:val="20"/>
                <w:szCs w:val="20"/>
                <w:lang w:eastAsia="en-GB"/>
              </w:rPr>
              <w:t>0.8</w:t>
            </w:r>
            <w:r>
              <w:rPr>
                <w:rFonts w:cs="Arial"/>
                <w:color w:val="auto"/>
                <w:sz w:val="20"/>
                <w:szCs w:val="20"/>
                <w:lang w:eastAsia="en-GB"/>
              </w:rPr>
              <w:t>)</w:t>
            </w:r>
          </w:p>
        </w:tc>
      </w:tr>
      <w:tr w:rsidR="00574D45" w:rsidRPr="00574D45" w:rsidTr="00855361">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4D45" w:rsidRDefault="00574D45" w:rsidP="00574D45">
            <w:pPr>
              <w:widowControl w:val="0"/>
              <w:spacing w:after="0" w:line="240" w:lineRule="auto"/>
              <w:jc w:val="center"/>
              <w:rPr>
                <w:rFonts w:cs="Arial"/>
                <w:b w:val="0"/>
                <w:color w:val="auto"/>
                <w:sz w:val="20"/>
                <w:szCs w:val="20"/>
                <w:lang w:eastAsia="en-GB"/>
              </w:rPr>
            </w:pPr>
            <w:r w:rsidRPr="00574D45">
              <w:rPr>
                <w:rFonts w:cs="Arial"/>
                <w:b w:val="0"/>
                <w:color w:val="auto"/>
                <w:sz w:val="20"/>
                <w:szCs w:val="20"/>
                <w:lang w:eastAsia="en-GB"/>
              </w:rPr>
              <w:t>(285.7)</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b/>
                <w:color w:val="auto"/>
                <w:sz w:val="20"/>
                <w:szCs w:val="20"/>
                <w:lang w:eastAsia="en-GB"/>
              </w:rPr>
            </w:pPr>
            <w:r w:rsidRPr="00574D45">
              <w:rPr>
                <w:rFonts w:cs="Arial"/>
                <w:b/>
                <w:color w:val="auto"/>
                <w:sz w:val="20"/>
                <w:szCs w:val="20"/>
                <w:lang w:eastAsia="en-GB"/>
              </w:rPr>
              <w:t>Total Income</w:t>
            </w:r>
          </w:p>
        </w:tc>
        <w:tc>
          <w:tcPr>
            <w:tcW w:w="1319" w:type="dxa"/>
          </w:tcPr>
          <w:p w:rsidR="00574D45" w:rsidRDefault="006545F5"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(295.</w:t>
            </w:r>
            <w:r w:rsidR="00376988">
              <w:rPr>
                <w:rFonts w:cs="Arial"/>
                <w:b/>
                <w:color w:val="auto"/>
                <w:sz w:val="20"/>
                <w:szCs w:val="20"/>
                <w:lang w:eastAsia="en-GB"/>
              </w:rPr>
              <w:t>0</w:t>
            </w:r>
            <w:r>
              <w:rPr>
                <w:rFonts w:cs="Arial"/>
                <w:b/>
                <w:color w:val="auto"/>
                <w:sz w:val="20"/>
                <w:szCs w:val="20"/>
                <w:lang w:eastAsia="en-GB"/>
              </w:rPr>
              <w:t>)</w:t>
            </w:r>
          </w:p>
          <w:p w:rsidR="006545F5" w:rsidRPr="00574D45" w:rsidRDefault="006545F5" w:rsidP="00574D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p>
        </w:tc>
      </w:tr>
      <w:tr w:rsidR="00574D45" w:rsidRPr="00574D45" w:rsidTr="0085536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574D45" w:rsidRPr="00574D45" w:rsidRDefault="00574D45" w:rsidP="00574D45">
            <w:pPr>
              <w:widowControl w:val="0"/>
              <w:spacing w:after="0" w:line="240" w:lineRule="auto"/>
              <w:jc w:val="center"/>
              <w:rPr>
                <w:rFonts w:cs="Arial"/>
                <w:b w:val="0"/>
                <w:color w:val="auto"/>
                <w:sz w:val="20"/>
                <w:szCs w:val="20"/>
                <w:lang w:eastAsia="en-GB"/>
              </w:rPr>
            </w:pPr>
            <w:r w:rsidRPr="00574D45">
              <w:rPr>
                <w:rFonts w:cs="Arial"/>
                <w:b w:val="0"/>
                <w:color w:val="auto"/>
                <w:sz w:val="20"/>
                <w:szCs w:val="20"/>
                <w:lang w:eastAsia="en-GB"/>
              </w:rPr>
              <w:t>11.0</w:t>
            </w:r>
          </w:p>
        </w:tc>
        <w:tc>
          <w:tcPr>
            <w:cnfStyle w:val="000010000000" w:firstRow="0" w:lastRow="0" w:firstColumn="0" w:lastColumn="0" w:oddVBand="1" w:evenVBand="0" w:oddHBand="0" w:evenHBand="0" w:firstRowFirstColumn="0" w:firstRowLastColumn="0" w:lastRowFirstColumn="0" w:lastRowLastColumn="0"/>
            <w:tcW w:w="6593" w:type="dxa"/>
          </w:tcPr>
          <w:p w:rsidR="00574D45" w:rsidRPr="00574D45" w:rsidRDefault="00574D45" w:rsidP="00574D45">
            <w:pPr>
              <w:widowControl w:val="0"/>
              <w:spacing w:after="0" w:line="240" w:lineRule="auto"/>
              <w:rPr>
                <w:rFonts w:cs="Arial"/>
                <w:b/>
                <w:color w:val="auto"/>
                <w:sz w:val="20"/>
                <w:szCs w:val="20"/>
                <w:lang w:eastAsia="en-GB"/>
              </w:rPr>
            </w:pPr>
            <w:r w:rsidRPr="00574D45">
              <w:rPr>
                <w:rFonts w:cs="Arial"/>
                <w:b/>
                <w:color w:val="auto"/>
                <w:sz w:val="20"/>
                <w:szCs w:val="20"/>
                <w:lang w:eastAsia="en-GB"/>
              </w:rPr>
              <w:t>(Surplus) or Deficit on the Provision of Service</w:t>
            </w:r>
          </w:p>
        </w:tc>
        <w:tc>
          <w:tcPr>
            <w:tcW w:w="1319" w:type="dxa"/>
          </w:tcPr>
          <w:p w:rsidR="00574D45" w:rsidRPr="00574D45" w:rsidRDefault="00376988" w:rsidP="00574D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26.2</w:t>
            </w:r>
          </w:p>
        </w:tc>
      </w:tr>
    </w:tbl>
    <w:p w:rsidR="00A52CDC" w:rsidRPr="006E76C9" w:rsidRDefault="00A52CDC" w:rsidP="001826F1">
      <w:pPr>
        <w:pStyle w:val="Subtitle"/>
        <w:spacing w:after="120"/>
        <w:rPr>
          <w:rFonts w:eastAsia="Arial"/>
          <w:iCs w:val="0"/>
          <w:color w:val="auto"/>
          <w:sz w:val="20"/>
          <w:szCs w:val="20"/>
        </w:rPr>
      </w:pPr>
    </w:p>
    <w:p w:rsidR="009C5858" w:rsidRDefault="001826F1" w:rsidP="001826F1">
      <w:pPr>
        <w:pStyle w:val="Subtitle"/>
        <w:spacing w:after="120"/>
        <w:rPr>
          <w:b/>
          <w:color w:val="auto"/>
          <w:sz w:val="22"/>
          <w:szCs w:val="22"/>
        </w:rPr>
      </w:pPr>
      <w:r w:rsidRPr="006E76C9">
        <w:rPr>
          <w:b/>
          <w:color w:val="auto"/>
          <w:sz w:val="22"/>
          <w:szCs w:val="22"/>
        </w:rPr>
        <w:t xml:space="preserve">   </w:t>
      </w:r>
    </w:p>
    <w:p w:rsidR="009C5858" w:rsidRDefault="009C5858" w:rsidP="001826F1">
      <w:pPr>
        <w:pStyle w:val="Subtitle"/>
        <w:spacing w:after="120"/>
        <w:rPr>
          <w:b/>
          <w:color w:val="auto"/>
          <w:sz w:val="22"/>
          <w:szCs w:val="22"/>
        </w:rPr>
      </w:pPr>
    </w:p>
    <w:p w:rsidR="009C5858" w:rsidRDefault="009C5858" w:rsidP="001826F1">
      <w:pPr>
        <w:pStyle w:val="Subtitle"/>
        <w:spacing w:after="120"/>
        <w:rPr>
          <w:b/>
          <w:color w:val="auto"/>
          <w:sz w:val="22"/>
          <w:szCs w:val="22"/>
        </w:rPr>
      </w:pPr>
    </w:p>
    <w:p w:rsidR="009C5858" w:rsidRDefault="009C5858" w:rsidP="001826F1">
      <w:pPr>
        <w:pStyle w:val="Subtitle"/>
        <w:spacing w:after="120"/>
        <w:rPr>
          <w:b/>
          <w:color w:val="auto"/>
          <w:sz w:val="22"/>
          <w:szCs w:val="22"/>
        </w:rPr>
      </w:pPr>
    </w:p>
    <w:p w:rsidR="009C5858" w:rsidRDefault="009C5858" w:rsidP="001826F1">
      <w:pPr>
        <w:pStyle w:val="Subtitle"/>
        <w:spacing w:after="120"/>
        <w:rPr>
          <w:b/>
          <w:color w:val="auto"/>
          <w:sz w:val="22"/>
          <w:szCs w:val="22"/>
        </w:rPr>
      </w:pPr>
    </w:p>
    <w:p w:rsidR="009C5858" w:rsidRDefault="009C5858" w:rsidP="001826F1">
      <w:pPr>
        <w:pStyle w:val="Subtitle"/>
        <w:spacing w:after="120"/>
        <w:rPr>
          <w:b/>
          <w:color w:val="auto"/>
          <w:sz w:val="22"/>
          <w:szCs w:val="22"/>
        </w:rPr>
      </w:pPr>
    </w:p>
    <w:p w:rsidR="009C5858" w:rsidRDefault="009C5858" w:rsidP="009C5858">
      <w:pPr>
        <w:pStyle w:val="BodyText"/>
      </w:pPr>
    </w:p>
    <w:p w:rsidR="009C5858" w:rsidRDefault="009C5858" w:rsidP="009C5858">
      <w:pPr>
        <w:pStyle w:val="BodyText"/>
      </w:pPr>
    </w:p>
    <w:p w:rsidR="009C5858" w:rsidRDefault="009C5858" w:rsidP="009C5858">
      <w:pPr>
        <w:pStyle w:val="BodyText"/>
      </w:pPr>
    </w:p>
    <w:p w:rsidR="009C5858" w:rsidRDefault="009C5858" w:rsidP="009C5858">
      <w:pPr>
        <w:pStyle w:val="BodyText"/>
      </w:pPr>
    </w:p>
    <w:p w:rsidR="009C5858" w:rsidRDefault="009C5858" w:rsidP="009C5858">
      <w:pPr>
        <w:pStyle w:val="BodyText"/>
      </w:pPr>
    </w:p>
    <w:p w:rsidR="009C5858" w:rsidRDefault="009C5858" w:rsidP="009C5858">
      <w:pPr>
        <w:pStyle w:val="BodyText"/>
      </w:pPr>
    </w:p>
    <w:p w:rsidR="009C5858" w:rsidRDefault="009C5858" w:rsidP="009C5858">
      <w:pPr>
        <w:pStyle w:val="BodyText"/>
      </w:pPr>
    </w:p>
    <w:p w:rsidR="009C5858" w:rsidRDefault="009C5858" w:rsidP="009C5858">
      <w:pPr>
        <w:pStyle w:val="BodyText"/>
      </w:pPr>
    </w:p>
    <w:p w:rsidR="009C5858" w:rsidRDefault="009C5858" w:rsidP="001826F1">
      <w:pPr>
        <w:pStyle w:val="Subtitle"/>
        <w:spacing w:after="120"/>
        <w:rPr>
          <w:b/>
          <w:color w:val="auto"/>
          <w:sz w:val="22"/>
          <w:szCs w:val="22"/>
        </w:rPr>
      </w:pPr>
    </w:p>
    <w:p w:rsidR="00777F33" w:rsidRPr="006E76C9" w:rsidRDefault="00777F33" w:rsidP="009C5858">
      <w:pPr>
        <w:pStyle w:val="Subtitle"/>
        <w:spacing w:after="120"/>
        <w:ind w:firstLine="567"/>
        <w:rPr>
          <w:b/>
          <w:color w:val="auto"/>
          <w:sz w:val="22"/>
          <w:szCs w:val="22"/>
        </w:rPr>
      </w:pPr>
      <w:r w:rsidRPr="006E76C9">
        <w:rPr>
          <w:b/>
          <w:color w:val="auto"/>
          <w:sz w:val="22"/>
          <w:szCs w:val="22"/>
        </w:rPr>
        <w:t>Segmental Income of Fees, charges and other service income</w:t>
      </w:r>
    </w:p>
    <w:p w:rsidR="00777F33" w:rsidRPr="006E76C9" w:rsidRDefault="00777F33" w:rsidP="00777F33">
      <w:pPr>
        <w:pStyle w:val="BodyText"/>
        <w:spacing w:after="0" w:line="240" w:lineRule="auto"/>
        <w:ind w:firstLine="567"/>
        <w:rPr>
          <w:rFonts w:eastAsia="Times New Roman"/>
          <w:iCs/>
          <w:color w:val="auto"/>
          <w:sz w:val="18"/>
          <w:szCs w:val="18"/>
        </w:rPr>
      </w:pPr>
      <w:r w:rsidRPr="006E76C9">
        <w:rPr>
          <w:rFonts w:eastAsia="Times New Roman"/>
          <w:iCs/>
          <w:color w:val="auto"/>
          <w:sz w:val="18"/>
          <w:szCs w:val="18"/>
        </w:rPr>
        <w:t>Income received on a segmental basis</w:t>
      </w:r>
      <w:r w:rsidR="001826F1" w:rsidRPr="006E76C9">
        <w:rPr>
          <w:rFonts w:eastAsia="Times New Roman"/>
          <w:iCs/>
          <w:color w:val="auto"/>
          <w:sz w:val="18"/>
          <w:szCs w:val="18"/>
        </w:rPr>
        <w:t>,</w:t>
      </w:r>
      <w:r w:rsidRPr="006E76C9">
        <w:rPr>
          <w:rFonts w:eastAsia="Times New Roman"/>
          <w:iCs/>
          <w:color w:val="auto"/>
          <w:sz w:val="18"/>
          <w:szCs w:val="18"/>
        </w:rPr>
        <w:t xml:space="preserve"> </w:t>
      </w:r>
      <w:r w:rsidR="001826F1" w:rsidRPr="006E76C9">
        <w:rPr>
          <w:rFonts w:eastAsia="Times New Roman"/>
          <w:iCs/>
          <w:color w:val="auto"/>
          <w:sz w:val="18"/>
          <w:szCs w:val="18"/>
        </w:rPr>
        <w:t xml:space="preserve">primarily from external customers, </w:t>
      </w:r>
      <w:r w:rsidRPr="006E76C9">
        <w:rPr>
          <w:rFonts w:eastAsia="Times New Roman"/>
          <w:iCs/>
          <w:color w:val="auto"/>
          <w:sz w:val="18"/>
          <w:szCs w:val="18"/>
        </w:rPr>
        <w:t>is analysed below:</w:t>
      </w:r>
    </w:p>
    <w:tbl>
      <w:tblPr>
        <w:tblStyle w:val="ListTable3-Accent51"/>
        <w:tblpPr w:leftFromText="180" w:rightFromText="180" w:vertAnchor="text" w:tblpX="642" w:tblpY="268"/>
        <w:tblW w:w="9230" w:type="dxa"/>
        <w:tblLook w:val="00A0" w:firstRow="1" w:lastRow="0" w:firstColumn="1" w:lastColumn="0" w:noHBand="0" w:noVBand="0"/>
      </w:tblPr>
      <w:tblGrid>
        <w:gridCol w:w="1318"/>
        <w:gridCol w:w="6593"/>
        <w:gridCol w:w="1319"/>
      </w:tblGrid>
      <w:tr w:rsidR="00777F33" w:rsidRPr="006E76C9" w:rsidTr="00DC2583">
        <w:trPr>
          <w:cnfStyle w:val="100000000000" w:firstRow="1" w:lastRow="0" w:firstColumn="0" w:lastColumn="0" w:oddVBand="0" w:evenVBand="0" w:oddHBand="0" w:evenHBand="0" w:firstRowFirstColumn="0" w:firstRowLastColumn="0" w:lastRowFirstColumn="0" w:lastRowLastColumn="0"/>
          <w:trHeight w:val="561"/>
        </w:trPr>
        <w:tc>
          <w:tcPr>
            <w:cnfStyle w:val="001000000100" w:firstRow="0" w:lastRow="0" w:firstColumn="1" w:lastColumn="0" w:oddVBand="0" w:evenVBand="0" w:oddHBand="0" w:evenHBand="0" w:firstRowFirstColumn="1" w:firstRowLastColumn="0" w:lastRowFirstColumn="0" w:lastRowLastColumn="0"/>
            <w:tcW w:w="1318" w:type="dxa"/>
          </w:tcPr>
          <w:p w:rsidR="00777F33" w:rsidRPr="006E76C9" w:rsidRDefault="006E76C9" w:rsidP="00957739">
            <w:pPr>
              <w:pStyle w:val="ExampleSub"/>
              <w:keepNext w:val="0"/>
              <w:keepLines w:val="0"/>
              <w:spacing w:line="240" w:lineRule="auto"/>
              <w:ind w:left="0"/>
              <w:jc w:val="center"/>
              <w:rPr>
                <w:rFonts w:ascii="Arial" w:hAnsi="Arial" w:cs="Arial"/>
                <w:color w:val="auto"/>
                <w:sz w:val="18"/>
                <w:szCs w:val="18"/>
              </w:rPr>
            </w:pPr>
            <w:r w:rsidRPr="006E76C9">
              <w:rPr>
                <w:rFonts w:ascii="Arial" w:hAnsi="Arial" w:cs="Arial"/>
                <w:color w:val="auto"/>
                <w:sz w:val="18"/>
                <w:szCs w:val="18"/>
              </w:rPr>
              <w:t>2016/17</w:t>
            </w:r>
          </w:p>
          <w:p w:rsidR="00777F33" w:rsidRPr="006E76C9" w:rsidRDefault="00777F33" w:rsidP="00957739">
            <w:pPr>
              <w:pStyle w:val="ExampleSub"/>
              <w:keepNext w:val="0"/>
              <w:keepLines w:val="0"/>
              <w:spacing w:line="240" w:lineRule="auto"/>
              <w:ind w:left="0"/>
              <w:jc w:val="center"/>
              <w:rPr>
                <w:rFonts w:ascii="Arial" w:hAnsi="Arial" w:cs="Arial"/>
                <w:color w:val="auto"/>
                <w:sz w:val="18"/>
                <w:szCs w:val="18"/>
              </w:rPr>
            </w:pPr>
            <w:r w:rsidRPr="006E76C9">
              <w:rPr>
                <w:rFonts w:ascii="Arial" w:hAnsi="Arial" w:cs="Arial"/>
                <w:color w:val="auto"/>
                <w:sz w:val="18"/>
                <w:szCs w:val="18"/>
              </w:rPr>
              <w:t>£m</w:t>
            </w:r>
          </w:p>
        </w:tc>
        <w:tc>
          <w:tcPr>
            <w:cnfStyle w:val="000010000000" w:firstRow="0" w:lastRow="0" w:firstColumn="0" w:lastColumn="0" w:oddVBand="1" w:evenVBand="0" w:oddHBand="0" w:evenHBand="0" w:firstRowFirstColumn="0" w:firstRowLastColumn="0" w:lastRowFirstColumn="0" w:lastRowLastColumn="0"/>
            <w:tcW w:w="6593" w:type="dxa"/>
          </w:tcPr>
          <w:p w:rsidR="00777F33" w:rsidRPr="006E76C9" w:rsidRDefault="00777F33" w:rsidP="00957739">
            <w:pPr>
              <w:pStyle w:val="ExampleSub"/>
              <w:keepNext w:val="0"/>
              <w:keepLines w:val="0"/>
              <w:spacing w:line="240" w:lineRule="auto"/>
              <w:ind w:left="0"/>
              <w:rPr>
                <w:rFonts w:ascii="Arial" w:hAnsi="Arial" w:cs="Arial"/>
                <w:color w:val="auto"/>
                <w:sz w:val="18"/>
                <w:szCs w:val="18"/>
              </w:rPr>
            </w:pPr>
          </w:p>
        </w:tc>
        <w:tc>
          <w:tcPr>
            <w:tcW w:w="1319" w:type="dxa"/>
          </w:tcPr>
          <w:p w:rsidR="00777F33" w:rsidRPr="006E76C9" w:rsidRDefault="006E76C9" w:rsidP="00957739">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E76C9">
              <w:rPr>
                <w:rFonts w:ascii="Arial" w:hAnsi="Arial" w:cs="Arial"/>
                <w:color w:val="auto"/>
                <w:sz w:val="18"/>
                <w:szCs w:val="18"/>
              </w:rPr>
              <w:t>2017/18</w:t>
            </w:r>
          </w:p>
          <w:p w:rsidR="00777F33" w:rsidRPr="006E76C9" w:rsidRDefault="00777F33" w:rsidP="00957739">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6E76C9">
              <w:rPr>
                <w:rFonts w:ascii="Arial" w:hAnsi="Arial" w:cs="Arial"/>
                <w:color w:val="auto"/>
                <w:sz w:val="18"/>
                <w:szCs w:val="18"/>
              </w:rPr>
              <w:t>£m</w:t>
            </w:r>
          </w:p>
        </w:tc>
      </w:tr>
      <w:tr w:rsidR="00777F33" w:rsidRPr="006E76C9" w:rsidTr="0095773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18" w:type="dxa"/>
          </w:tcPr>
          <w:p w:rsidR="00777F33" w:rsidRPr="006E76C9" w:rsidRDefault="00777F33" w:rsidP="0008264D">
            <w:pPr>
              <w:widowControl w:val="0"/>
              <w:spacing w:after="0" w:line="240" w:lineRule="auto"/>
              <w:jc w:val="center"/>
              <w:rPr>
                <w:rFonts w:cs="Arial"/>
                <w:b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6593" w:type="dxa"/>
          </w:tcPr>
          <w:p w:rsidR="00777F33" w:rsidRPr="006E76C9" w:rsidRDefault="00777F33" w:rsidP="00957739">
            <w:pPr>
              <w:widowControl w:val="0"/>
              <w:spacing w:after="0" w:line="240" w:lineRule="auto"/>
              <w:rPr>
                <w:rFonts w:cs="Arial"/>
                <w:b/>
                <w:color w:val="auto"/>
                <w:sz w:val="20"/>
                <w:szCs w:val="20"/>
                <w:lang w:eastAsia="en-GB"/>
              </w:rPr>
            </w:pPr>
            <w:r w:rsidRPr="006E76C9">
              <w:rPr>
                <w:rFonts w:cs="Arial"/>
                <w:b/>
                <w:color w:val="auto"/>
                <w:sz w:val="20"/>
                <w:szCs w:val="20"/>
                <w:lang w:eastAsia="en-GB"/>
              </w:rPr>
              <w:t>Joint Commissioning:-</w:t>
            </w:r>
          </w:p>
        </w:tc>
        <w:tc>
          <w:tcPr>
            <w:tcW w:w="1319" w:type="dxa"/>
          </w:tcPr>
          <w:p w:rsidR="00777F33" w:rsidRPr="006E76C9" w:rsidRDefault="00777F33" w:rsidP="0095773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p>
        </w:tc>
      </w:tr>
      <w:tr w:rsidR="006E76C9" w:rsidRPr="006E76C9" w:rsidTr="00957739">
        <w:trPr>
          <w:trHeight w:val="279"/>
        </w:trPr>
        <w:tc>
          <w:tcPr>
            <w:cnfStyle w:val="001000000000" w:firstRow="0" w:lastRow="0" w:firstColumn="1" w:lastColumn="0" w:oddVBand="0" w:evenVBand="0" w:oddHBand="0" w:evenHBand="0" w:firstRowFirstColumn="0" w:firstRowLastColumn="0" w:lastRowFirstColumn="0" w:lastRowLastColumn="0"/>
            <w:tcW w:w="1318" w:type="dxa"/>
          </w:tcPr>
          <w:p w:rsidR="006E76C9" w:rsidRPr="006E76C9" w:rsidRDefault="006E76C9" w:rsidP="006E76C9">
            <w:pPr>
              <w:widowControl w:val="0"/>
              <w:spacing w:after="0" w:line="240" w:lineRule="auto"/>
              <w:jc w:val="center"/>
              <w:rPr>
                <w:rFonts w:cs="Arial"/>
                <w:b w:val="0"/>
                <w:color w:val="auto"/>
                <w:sz w:val="20"/>
                <w:szCs w:val="20"/>
                <w:lang w:eastAsia="en-GB"/>
              </w:rPr>
            </w:pPr>
            <w:r w:rsidRPr="006E76C9">
              <w:rPr>
                <w:rFonts w:cs="Arial"/>
                <w:b w:val="0"/>
                <w:color w:val="auto"/>
                <w:sz w:val="20"/>
                <w:szCs w:val="20"/>
                <w:lang w:eastAsia="en-GB"/>
              </w:rPr>
              <w:t>(1.2)</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6E76C9" w:rsidRDefault="006E76C9" w:rsidP="006E76C9">
            <w:pPr>
              <w:widowControl w:val="0"/>
              <w:spacing w:after="0" w:line="240" w:lineRule="auto"/>
              <w:rPr>
                <w:rFonts w:cs="Arial"/>
                <w:color w:val="auto"/>
                <w:sz w:val="20"/>
                <w:szCs w:val="20"/>
                <w:lang w:eastAsia="en-GB"/>
              </w:rPr>
            </w:pPr>
            <w:r w:rsidRPr="006E76C9">
              <w:rPr>
                <w:rFonts w:cs="Arial"/>
                <w:color w:val="auto"/>
                <w:sz w:val="20"/>
                <w:szCs w:val="20"/>
                <w:lang w:eastAsia="en-GB"/>
              </w:rPr>
              <w:t>Adult’s Services</w:t>
            </w:r>
          </w:p>
        </w:tc>
        <w:tc>
          <w:tcPr>
            <w:tcW w:w="1319" w:type="dxa"/>
          </w:tcPr>
          <w:p w:rsidR="006E76C9" w:rsidRPr="006E76C9" w:rsidRDefault="00C56E2F" w:rsidP="00E6099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(4.</w:t>
            </w:r>
            <w:r w:rsidR="00E60990">
              <w:rPr>
                <w:rFonts w:cs="Arial"/>
                <w:b/>
                <w:color w:val="auto"/>
                <w:sz w:val="20"/>
                <w:szCs w:val="20"/>
                <w:lang w:eastAsia="en-GB"/>
              </w:rPr>
              <w:t>4</w:t>
            </w:r>
            <w:r>
              <w:rPr>
                <w:rFonts w:cs="Arial"/>
                <w:b/>
                <w:color w:val="auto"/>
                <w:sz w:val="20"/>
                <w:szCs w:val="20"/>
                <w:lang w:eastAsia="en-GB"/>
              </w:rPr>
              <w:t>)</w:t>
            </w:r>
          </w:p>
        </w:tc>
      </w:tr>
      <w:tr w:rsidR="006E76C9" w:rsidRPr="006E76C9" w:rsidTr="0095773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18" w:type="dxa"/>
          </w:tcPr>
          <w:p w:rsidR="006E76C9" w:rsidRPr="006E76C9" w:rsidRDefault="006E76C9" w:rsidP="006E76C9">
            <w:pPr>
              <w:widowControl w:val="0"/>
              <w:spacing w:after="0" w:line="240" w:lineRule="auto"/>
              <w:jc w:val="center"/>
              <w:rPr>
                <w:rFonts w:cs="Arial"/>
                <w:b w:val="0"/>
                <w:color w:val="auto"/>
                <w:sz w:val="20"/>
                <w:szCs w:val="20"/>
                <w:lang w:eastAsia="en-GB"/>
              </w:rPr>
            </w:pPr>
            <w:r w:rsidRPr="006E76C9">
              <w:rPr>
                <w:rFonts w:cs="Arial"/>
                <w:b w:val="0"/>
                <w:color w:val="auto"/>
                <w:sz w:val="20"/>
                <w:szCs w:val="20"/>
                <w:lang w:eastAsia="en-GB"/>
              </w:rPr>
              <w:t>(4.3)</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6E76C9" w:rsidRDefault="006E76C9" w:rsidP="006E76C9">
            <w:pPr>
              <w:widowControl w:val="0"/>
              <w:spacing w:after="0" w:line="240" w:lineRule="auto"/>
              <w:rPr>
                <w:rFonts w:cs="Arial"/>
                <w:color w:val="auto"/>
                <w:sz w:val="20"/>
                <w:szCs w:val="20"/>
                <w:lang w:eastAsia="en-GB"/>
              </w:rPr>
            </w:pPr>
            <w:r w:rsidRPr="006E76C9">
              <w:rPr>
                <w:rFonts w:cs="Arial"/>
                <w:color w:val="auto"/>
                <w:sz w:val="20"/>
                <w:szCs w:val="20"/>
                <w:lang w:eastAsia="en-GB"/>
              </w:rPr>
              <w:t>Children’s Services</w:t>
            </w:r>
          </w:p>
        </w:tc>
        <w:tc>
          <w:tcPr>
            <w:tcW w:w="1319" w:type="dxa"/>
          </w:tcPr>
          <w:p w:rsidR="006E76C9" w:rsidRPr="006E76C9" w:rsidRDefault="00E60990" w:rsidP="006E76C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(4.2)</w:t>
            </w:r>
          </w:p>
        </w:tc>
      </w:tr>
      <w:tr w:rsidR="006E76C9" w:rsidRPr="006E76C9" w:rsidTr="00957739">
        <w:trPr>
          <w:trHeight w:val="248"/>
        </w:trPr>
        <w:tc>
          <w:tcPr>
            <w:cnfStyle w:val="001000000000" w:firstRow="0" w:lastRow="0" w:firstColumn="1" w:lastColumn="0" w:oddVBand="0" w:evenVBand="0" w:oddHBand="0" w:evenHBand="0" w:firstRowFirstColumn="0" w:firstRowLastColumn="0" w:lastRowFirstColumn="0" w:lastRowLastColumn="0"/>
            <w:tcW w:w="1318" w:type="dxa"/>
          </w:tcPr>
          <w:p w:rsidR="006E76C9" w:rsidRPr="006E76C9" w:rsidRDefault="006E76C9" w:rsidP="006E76C9">
            <w:pPr>
              <w:widowControl w:val="0"/>
              <w:spacing w:after="0" w:line="240" w:lineRule="auto"/>
              <w:jc w:val="center"/>
              <w:rPr>
                <w:rFonts w:cs="Arial"/>
                <w:b w:val="0"/>
                <w:color w:val="auto"/>
                <w:sz w:val="20"/>
                <w:szCs w:val="20"/>
                <w:lang w:eastAsia="en-GB"/>
              </w:rPr>
            </w:pPr>
            <w:r w:rsidRPr="006E76C9">
              <w:rPr>
                <w:rFonts w:cs="Arial"/>
                <w:b w:val="0"/>
                <w:color w:val="auto"/>
                <w:sz w:val="20"/>
                <w:szCs w:val="20"/>
                <w:lang w:eastAsia="en-GB"/>
              </w:rPr>
              <w:t>(0.6)</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6E76C9" w:rsidRDefault="006E76C9" w:rsidP="006E76C9">
            <w:pPr>
              <w:widowControl w:val="0"/>
              <w:spacing w:after="0" w:line="240" w:lineRule="auto"/>
              <w:rPr>
                <w:rFonts w:cs="Arial"/>
                <w:color w:val="auto"/>
                <w:sz w:val="20"/>
                <w:szCs w:val="20"/>
                <w:lang w:eastAsia="en-GB"/>
              </w:rPr>
            </w:pPr>
            <w:r w:rsidRPr="006E76C9">
              <w:rPr>
                <w:rFonts w:cs="Arial"/>
                <w:color w:val="auto"/>
                <w:sz w:val="20"/>
                <w:szCs w:val="20"/>
                <w:lang w:eastAsia="en-GB"/>
              </w:rPr>
              <w:t>Public Health</w:t>
            </w:r>
          </w:p>
        </w:tc>
        <w:tc>
          <w:tcPr>
            <w:tcW w:w="1319" w:type="dxa"/>
          </w:tcPr>
          <w:p w:rsidR="006E76C9" w:rsidRPr="006E76C9" w:rsidRDefault="00E60990" w:rsidP="006E76C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(0.5)</w:t>
            </w:r>
          </w:p>
        </w:tc>
      </w:tr>
      <w:tr w:rsidR="006E76C9" w:rsidRPr="006E76C9" w:rsidTr="0095773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18" w:type="dxa"/>
          </w:tcPr>
          <w:p w:rsidR="006E76C9" w:rsidRPr="006E76C9" w:rsidRDefault="00045992" w:rsidP="006E76C9">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(28.3)</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6E76C9" w:rsidRDefault="006E76C9" w:rsidP="006E76C9">
            <w:pPr>
              <w:widowControl w:val="0"/>
              <w:spacing w:after="0" w:line="240" w:lineRule="auto"/>
              <w:rPr>
                <w:rFonts w:cs="Arial"/>
                <w:b/>
                <w:color w:val="auto"/>
                <w:sz w:val="20"/>
                <w:szCs w:val="20"/>
                <w:lang w:eastAsia="en-GB"/>
              </w:rPr>
            </w:pPr>
            <w:r w:rsidRPr="006E76C9">
              <w:rPr>
                <w:rFonts w:cs="Arial"/>
                <w:b/>
                <w:color w:val="auto"/>
                <w:sz w:val="20"/>
                <w:szCs w:val="20"/>
                <w:lang w:eastAsia="en-GB"/>
              </w:rPr>
              <w:t>Joint Operations:-</w:t>
            </w:r>
          </w:p>
        </w:tc>
        <w:tc>
          <w:tcPr>
            <w:tcW w:w="1319" w:type="dxa"/>
          </w:tcPr>
          <w:p w:rsidR="006E76C9" w:rsidRPr="006E76C9" w:rsidRDefault="00E60990" w:rsidP="006E76C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(27.4)</w:t>
            </w:r>
          </w:p>
        </w:tc>
      </w:tr>
      <w:tr w:rsidR="006E76C9" w:rsidRPr="006E76C9" w:rsidTr="00957739">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6E76C9" w:rsidRPr="006E76C9" w:rsidRDefault="006E76C9" w:rsidP="006E76C9">
            <w:pPr>
              <w:widowControl w:val="0"/>
              <w:spacing w:after="0" w:line="240" w:lineRule="auto"/>
              <w:jc w:val="center"/>
              <w:rPr>
                <w:rFonts w:cs="Arial"/>
                <w:b w:val="0"/>
                <w:color w:val="auto"/>
                <w:sz w:val="20"/>
                <w:szCs w:val="20"/>
                <w:lang w:eastAsia="en-GB"/>
              </w:rPr>
            </w:pPr>
            <w:r w:rsidRPr="006E76C9">
              <w:rPr>
                <w:rFonts w:cs="Arial"/>
                <w:b w:val="0"/>
                <w:color w:val="auto"/>
                <w:sz w:val="20"/>
                <w:szCs w:val="20"/>
                <w:lang w:eastAsia="en-GB"/>
              </w:rPr>
              <w:t>(1.6)</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232265" w:rsidRDefault="006E76C9" w:rsidP="006E76C9">
            <w:pPr>
              <w:widowControl w:val="0"/>
              <w:spacing w:after="0" w:line="240" w:lineRule="auto"/>
              <w:rPr>
                <w:rFonts w:cs="Arial"/>
                <w:color w:val="auto"/>
                <w:sz w:val="20"/>
                <w:szCs w:val="20"/>
                <w:lang w:eastAsia="en-GB"/>
              </w:rPr>
            </w:pPr>
            <w:r w:rsidRPr="00232265">
              <w:rPr>
                <w:rFonts w:cs="Arial"/>
                <w:color w:val="auto"/>
                <w:sz w:val="20"/>
                <w:szCs w:val="20"/>
                <w:lang w:eastAsia="en-GB"/>
              </w:rPr>
              <w:t>Financing and Investment</w:t>
            </w:r>
          </w:p>
        </w:tc>
        <w:tc>
          <w:tcPr>
            <w:tcW w:w="1319" w:type="dxa"/>
          </w:tcPr>
          <w:p w:rsidR="006E76C9" w:rsidRPr="006E76C9" w:rsidRDefault="00C56E2F" w:rsidP="00E6099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w:t>
            </w:r>
            <w:r w:rsidR="00E60990">
              <w:rPr>
                <w:rFonts w:cs="Arial"/>
                <w:b/>
                <w:color w:val="auto"/>
                <w:sz w:val="20"/>
                <w:szCs w:val="20"/>
                <w:lang w:eastAsia="en-GB"/>
              </w:rPr>
              <w:t>8</w:t>
            </w:r>
            <w:r>
              <w:rPr>
                <w:rFonts w:cs="Arial"/>
                <w:b/>
                <w:color w:val="auto"/>
                <w:sz w:val="20"/>
                <w:szCs w:val="20"/>
                <w:lang w:eastAsia="en-GB"/>
              </w:rPr>
              <w:t>.1)</w:t>
            </w:r>
          </w:p>
        </w:tc>
      </w:tr>
      <w:tr w:rsidR="006E76C9" w:rsidRPr="006E76C9" w:rsidTr="0095773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318" w:type="dxa"/>
          </w:tcPr>
          <w:p w:rsidR="006E76C9" w:rsidRPr="006E76C9" w:rsidRDefault="006E76C9" w:rsidP="006E76C9">
            <w:pPr>
              <w:widowControl w:val="0"/>
              <w:spacing w:after="0" w:line="240" w:lineRule="auto"/>
              <w:jc w:val="center"/>
              <w:rPr>
                <w:rFonts w:cs="Arial"/>
                <w:b w:val="0"/>
                <w:color w:val="auto"/>
                <w:sz w:val="20"/>
                <w:szCs w:val="20"/>
                <w:lang w:eastAsia="en-GB"/>
              </w:rPr>
            </w:pPr>
            <w:r w:rsidRPr="006E76C9">
              <w:rPr>
                <w:rFonts w:cs="Arial"/>
                <w:b w:val="0"/>
                <w:color w:val="auto"/>
                <w:sz w:val="20"/>
                <w:szCs w:val="20"/>
                <w:lang w:eastAsia="en-GB"/>
              </w:rPr>
              <w:t>(0.1)</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232265" w:rsidRDefault="006E76C9" w:rsidP="006E76C9">
            <w:pPr>
              <w:widowControl w:val="0"/>
              <w:spacing w:after="0" w:line="240" w:lineRule="auto"/>
              <w:rPr>
                <w:rFonts w:cs="Arial"/>
                <w:color w:val="auto"/>
                <w:sz w:val="20"/>
                <w:szCs w:val="20"/>
                <w:lang w:eastAsia="en-GB"/>
              </w:rPr>
            </w:pPr>
            <w:r w:rsidRPr="00232265">
              <w:rPr>
                <w:rFonts w:cs="Arial"/>
                <w:color w:val="auto"/>
                <w:sz w:val="20"/>
                <w:szCs w:val="20"/>
                <w:lang w:eastAsia="en-GB"/>
              </w:rPr>
              <w:t>Other operating income and expenditure</w:t>
            </w:r>
          </w:p>
        </w:tc>
        <w:tc>
          <w:tcPr>
            <w:tcW w:w="1319" w:type="dxa"/>
          </w:tcPr>
          <w:p w:rsidR="006E76C9" w:rsidRPr="006E76C9" w:rsidRDefault="00E60990" w:rsidP="00B24F1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(1.</w:t>
            </w:r>
            <w:r w:rsidR="00B24F1C">
              <w:rPr>
                <w:rFonts w:cs="Arial"/>
                <w:b/>
                <w:color w:val="auto"/>
                <w:sz w:val="20"/>
                <w:szCs w:val="20"/>
                <w:lang w:eastAsia="en-GB"/>
              </w:rPr>
              <w:t>1</w:t>
            </w:r>
            <w:r>
              <w:rPr>
                <w:rFonts w:cs="Arial"/>
                <w:b/>
                <w:color w:val="auto"/>
                <w:sz w:val="20"/>
                <w:szCs w:val="20"/>
                <w:lang w:eastAsia="en-GB"/>
              </w:rPr>
              <w:t>)</w:t>
            </w:r>
          </w:p>
        </w:tc>
      </w:tr>
      <w:tr w:rsidR="006E76C9" w:rsidRPr="006E76C9" w:rsidTr="00957739">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6E76C9" w:rsidRPr="006E76C9" w:rsidRDefault="006E76C9" w:rsidP="006E76C9">
            <w:pPr>
              <w:widowControl w:val="0"/>
              <w:spacing w:after="0" w:line="240" w:lineRule="auto"/>
              <w:jc w:val="center"/>
              <w:rPr>
                <w:rFonts w:cs="Arial"/>
                <w:b w:val="0"/>
                <w:color w:val="auto"/>
                <w:sz w:val="20"/>
                <w:szCs w:val="20"/>
                <w:lang w:eastAsia="en-GB"/>
              </w:rPr>
            </w:pPr>
            <w:r w:rsidRPr="006E76C9">
              <w:rPr>
                <w:rFonts w:cs="Arial"/>
                <w:b w:val="0"/>
                <w:color w:val="auto"/>
                <w:sz w:val="20"/>
                <w:szCs w:val="20"/>
                <w:lang w:eastAsia="en-GB"/>
              </w:rPr>
              <w:t>(36.1)</w:t>
            </w:r>
          </w:p>
        </w:tc>
        <w:tc>
          <w:tcPr>
            <w:cnfStyle w:val="000010000000" w:firstRow="0" w:lastRow="0" w:firstColumn="0" w:lastColumn="0" w:oddVBand="1" w:evenVBand="0" w:oddHBand="0" w:evenHBand="0" w:firstRowFirstColumn="0" w:firstRowLastColumn="0" w:lastRowFirstColumn="0" w:lastRowLastColumn="0"/>
            <w:tcW w:w="6593" w:type="dxa"/>
          </w:tcPr>
          <w:p w:rsidR="006E76C9" w:rsidRPr="006E76C9" w:rsidRDefault="006E76C9" w:rsidP="006E76C9">
            <w:pPr>
              <w:widowControl w:val="0"/>
              <w:spacing w:after="0" w:line="240" w:lineRule="auto"/>
              <w:rPr>
                <w:rFonts w:cs="Arial"/>
                <w:b/>
                <w:color w:val="auto"/>
                <w:sz w:val="20"/>
                <w:szCs w:val="20"/>
                <w:lang w:eastAsia="en-GB"/>
              </w:rPr>
            </w:pPr>
            <w:r w:rsidRPr="006E76C9">
              <w:rPr>
                <w:rFonts w:cs="Arial"/>
                <w:b/>
                <w:color w:val="auto"/>
                <w:sz w:val="20"/>
                <w:szCs w:val="20"/>
                <w:lang w:eastAsia="en-GB"/>
              </w:rPr>
              <w:t>Total income analysed on a segmental basis</w:t>
            </w:r>
          </w:p>
        </w:tc>
        <w:tc>
          <w:tcPr>
            <w:tcW w:w="1319" w:type="dxa"/>
          </w:tcPr>
          <w:p w:rsidR="006E76C9" w:rsidRPr="006E76C9" w:rsidRDefault="00E60990" w:rsidP="00B24F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Pr>
                <w:rFonts w:cs="Arial"/>
                <w:b/>
                <w:color w:val="auto"/>
                <w:sz w:val="20"/>
                <w:szCs w:val="20"/>
                <w:lang w:eastAsia="en-GB"/>
              </w:rPr>
              <w:t>(45.</w:t>
            </w:r>
            <w:r w:rsidR="00B24F1C">
              <w:rPr>
                <w:rFonts w:cs="Arial"/>
                <w:b/>
                <w:color w:val="auto"/>
                <w:sz w:val="20"/>
                <w:szCs w:val="20"/>
                <w:lang w:eastAsia="en-GB"/>
              </w:rPr>
              <w:t>7</w:t>
            </w:r>
            <w:r>
              <w:rPr>
                <w:rFonts w:cs="Arial"/>
                <w:b/>
                <w:color w:val="auto"/>
                <w:sz w:val="20"/>
                <w:szCs w:val="20"/>
                <w:lang w:eastAsia="en-GB"/>
              </w:rPr>
              <w:t>)</w:t>
            </w:r>
          </w:p>
        </w:tc>
      </w:tr>
    </w:tbl>
    <w:p w:rsidR="00A52CDC" w:rsidRPr="006E76C9" w:rsidRDefault="00A52CDC" w:rsidP="00DC2583">
      <w:pPr>
        <w:pStyle w:val="Subtitle"/>
        <w:spacing w:after="0"/>
        <w:outlineLvl w:val="0"/>
        <w:rPr>
          <w:b/>
          <w:color w:val="auto"/>
          <w:sz w:val="22"/>
          <w:szCs w:val="22"/>
        </w:rPr>
      </w:pPr>
    </w:p>
    <w:p w:rsidR="00DC2583" w:rsidRPr="0005794A" w:rsidRDefault="00DC2583" w:rsidP="00DC2583">
      <w:pPr>
        <w:pStyle w:val="Subtitle"/>
        <w:spacing w:after="80"/>
        <w:outlineLvl w:val="0"/>
        <w:rPr>
          <w:b/>
          <w:color w:val="548DD4" w:themeColor="text2" w:themeTint="99"/>
          <w:sz w:val="22"/>
          <w:szCs w:val="22"/>
        </w:rPr>
      </w:pPr>
    </w:p>
    <w:p w:rsidR="009C5858" w:rsidRDefault="009C5858" w:rsidP="005253A3">
      <w:pPr>
        <w:pStyle w:val="Subtitle"/>
        <w:spacing w:after="120"/>
        <w:rPr>
          <w:b/>
          <w:color w:val="auto"/>
          <w:sz w:val="22"/>
          <w:szCs w:val="22"/>
        </w:rPr>
      </w:pPr>
    </w:p>
    <w:p w:rsidR="009C5858" w:rsidRDefault="009C5858" w:rsidP="005253A3">
      <w:pPr>
        <w:pStyle w:val="Subtitle"/>
        <w:spacing w:after="120"/>
        <w:rPr>
          <w:b/>
          <w:color w:val="auto"/>
          <w:sz w:val="22"/>
          <w:szCs w:val="22"/>
        </w:rPr>
      </w:pPr>
    </w:p>
    <w:p w:rsidR="009C5858" w:rsidRDefault="009C5858" w:rsidP="005253A3">
      <w:pPr>
        <w:pStyle w:val="Subtitle"/>
        <w:spacing w:after="120"/>
        <w:rPr>
          <w:b/>
          <w:color w:val="auto"/>
          <w:sz w:val="22"/>
          <w:szCs w:val="22"/>
        </w:rPr>
      </w:pPr>
    </w:p>
    <w:p w:rsidR="009C5858" w:rsidRDefault="009C5858" w:rsidP="005253A3">
      <w:pPr>
        <w:pStyle w:val="Subtitle"/>
        <w:spacing w:after="120"/>
        <w:rPr>
          <w:b/>
          <w:color w:val="auto"/>
          <w:sz w:val="22"/>
          <w:szCs w:val="22"/>
        </w:rPr>
      </w:pPr>
    </w:p>
    <w:p w:rsidR="009C5858" w:rsidRDefault="009C5858" w:rsidP="005253A3">
      <w:pPr>
        <w:pStyle w:val="Subtitle"/>
        <w:spacing w:after="120"/>
        <w:rPr>
          <w:b/>
          <w:color w:val="auto"/>
          <w:sz w:val="22"/>
          <w:szCs w:val="22"/>
        </w:rPr>
      </w:pPr>
    </w:p>
    <w:p w:rsidR="009C5858" w:rsidRDefault="009C5858" w:rsidP="005253A3">
      <w:pPr>
        <w:pStyle w:val="Subtitle"/>
        <w:spacing w:after="120"/>
        <w:rPr>
          <w:b/>
          <w:color w:val="auto"/>
          <w:sz w:val="22"/>
          <w:szCs w:val="22"/>
        </w:rPr>
      </w:pPr>
    </w:p>
    <w:p w:rsidR="009C5858" w:rsidRDefault="009C5858" w:rsidP="005253A3">
      <w:pPr>
        <w:pStyle w:val="Subtitle"/>
        <w:spacing w:after="120"/>
        <w:rPr>
          <w:b/>
          <w:color w:val="auto"/>
          <w:sz w:val="22"/>
          <w:szCs w:val="22"/>
        </w:rPr>
      </w:pPr>
    </w:p>
    <w:p w:rsidR="009C5858" w:rsidRDefault="009C5858" w:rsidP="005253A3">
      <w:pPr>
        <w:pStyle w:val="Subtitle"/>
        <w:spacing w:after="120"/>
        <w:rPr>
          <w:b/>
          <w:color w:val="auto"/>
          <w:sz w:val="22"/>
          <w:szCs w:val="22"/>
        </w:rPr>
      </w:pPr>
    </w:p>
    <w:p w:rsidR="009C5858" w:rsidRDefault="009C5858" w:rsidP="005253A3">
      <w:pPr>
        <w:pStyle w:val="Subtitle"/>
        <w:spacing w:after="120"/>
        <w:rPr>
          <w:b/>
          <w:color w:val="auto"/>
          <w:sz w:val="22"/>
          <w:szCs w:val="22"/>
        </w:rPr>
      </w:pPr>
    </w:p>
    <w:p w:rsidR="00AA7699" w:rsidRPr="006E76C9" w:rsidRDefault="00AA7699" w:rsidP="005253A3">
      <w:pPr>
        <w:pStyle w:val="Subtitle"/>
        <w:spacing w:after="120"/>
        <w:rPr>
          <w:b/>
          <w:color w:val="auto"/>
          <w:sz w:val="22"/>
          <w:szCs w:val="22"/>
        </w:rPr>
      </w:pPr>
      <w:r w:rsidRPr="006E76C9">
        <w:rPr>
          <w:b/>
          <w:color w:val="auto"/>
          <w:sz w:val="22"/>
          <w:szCs w:val="22"/>
        </w:rPr>
        <w:t>9.</w:t>
      </w:r>
      <w:r w:rsidRPr="006E76C9">
        <w:rPr>
          <w:b/>
          <w:color w:val="auto"/>
          <w:sz w:val="22"/>
          <w:szCs w:val="22"/>
        </w:rPr>
        <w:tab/>
      </w:r>
      <w:r w:rsidR="005253A3" w:rsidRPr="006E76C9">
        <w:rPr>
          <w:b/>
          <w:color w:val="auto"/>
          <w:sz w:val="22"/>
          <w:szCs w:val="22"/>
        </w:rPr>
        <w:t>Adjustments between Accounting Basis and Funding Basis under Regulations</w:t>
      </w:r>
    </w:p>
    <w:p w:rsidR="005253A3" w:rsidRPr="006E76C9" w:rsidRDefault="005253A3" w:rsidP="005253A3">
      <w:pPr>
        <w:pStyle w:val="BodyText"/>
        <w:ind w:left="720"/>
        <w:rPr>
          <w:color w:val="auto"/>
        </w:rPr>
        <w:sectPr w:rsidR="005253A3" w:rsidRPr="006E76C9" w:rsidSect="00AA7699">
          <w:headerReference w:type="default" r:id="rId41"/>
          <w:headerReference w:type="first" r:id="rId42"/>
          <w:pgSz w:w="11906" w:h="16838" w:code="9"/>
          <w:pgMar w:top="1440" w:right="1440" w:bottom="1440" w:left="1440" w:header="544" w:footer="544" w:gutter="0"/>
          <w:cols w:space="708"/>
          <w:titlePg/>
          <w:docGrid w:linePitch="360"/>
        </w:sectPr>
      </w:pPr>
      <w:r w:rsidRPr="006E76C9">
        <w:rPr>
          <w:rFonts w:eastAsia="Times New Roman"/>
          <w:iCs/>
          <w:color w:val="auto"/>
          <w:sz w:val="18"/>
          <w:szCs w:val="18"/>
        </w:rPr>
        <w:t>This note details the adjustments that are made to the total comprehensive income and expenditure recognised by the Council in the year in accordance with proper accounting practice to the resources that are specified by statutory provisions as being available to the Council to meet future capital and revenue expenditure. Other</w:t>
      </w:r>
      <w:r w:rsidRPr="006E76C9">
        <w:rPr>
          <w:color w:val="auto"/>
          <w:sz w:val="18"/>
          <w:szCs w:val="18"/>
        </w:rPr>
        <w:t xml:space="preserve"> includes: Accumulated Absences Adjustment Account, Collection Fund Adjustment Account and Financial Instruments Adjustment Account.</w:t>
      </w:r>
    </w:p>
    <w:tbl>
      <w:tblPr>
        <w:tblStyle w:val="ListTable3-Accent51"/>
        <w:tblW w:w="14961" w:type="dxa"/>
        <w:tblInd w:w="-536" w:type="dxa"/>
        <w:tblBorders>
          <w:top w:val="single" w:sz="4" w:space="0" w:color="4BACC6"/>
          <w:left w:val="single" w:sz="4" w:space="0" w:color="4BACC6"/>
          <w:bottom w:val="single" w:sz="4" w:space="0" w:color="4BACC6"/>
          <w:right w:val="single" w:sz="4" w:space="0" w:color="4BACC6"/>
        </w:tblBorders>
        <w:tblLayout w:type="fixed"/>
        <w:tblLook w:val="04A0" w:firstRow="1" w:lastRow="0" w:firstColumn="1" w:lastColumn="0" w:noHBand="0" w:noVBand="1"/>
      </w:tblPr>
      <w:tblGrid>
        <w:gridCol w:w="911"/>
        <w:gridCol w:w="700"/>
        <w:gridCol w:w="872"/>
        <w:gridCol w:w="686"/>
        <w:gridCol w:w="853"/>
        <w:gridCol w:w="218"/>
        <w:gridCol w:w="491"/>
        <w:gridCol w:w="5227"/>
        <w:gridCol w:w="154"/>
        <w:gridCol w:w="30"/>
        <w:gridCol w:w="111"/>
        <w:gridCol w:w="30"/>
        <w:gridCol w:w="106"/>
        <w:gridCol w:w="133"/>
        <w:gridCol w:w="440"/>
        <w:gridCol w:w="30"/>
        <w:gridCol w:w="121"/>
        <w:gridCol w:w="145"/>
        <w:gridCol w:w="422"/>
        <w:gridCol w:w="21"/>
        <w:gridCol w:w="136"/>
        <w:gridCol w:w="144"/>
        <w:gridCol w:w="712"/>
        <w:gridCol w:w="709"/>
        <w:gridCol w:w="142"/>
        <w:gridCol w:w="567"/>
        <w:gridCol w:w="141"/>
        <w:gridCol w:w="709"/>
      </w:tblGrid>
      <w:tr w:rsidR="002137DD" w:rsidRPr="0005794A" w:rsidTr="008A25D1">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100" w:firstRow="0" w:lastRow="0" w:firstColumn="1" w:lastColumn="0" w:oddVBand="0" w:evenVBand="0" w:oddHBand="0" w:evenHBand="0" w:firstRowFirstColumn="1" w:firstRowLastColumn="0" w:lastRowFirstColumn="0" w:lastRowLastColumn="0"/>
            <w:tcW w:w="4240" w:type="dxa"/>
            <w:gridSpan w:val="6"/>
            <w:tcBorders>
              <w:bottom w:val="none" w:sz="0" w:space="0" w:color="auto"/>
              <w:right w:val="none" w:sz="0" w:space="0" w:color="auto"/>
            </w:tcBorders>
          </w:tcPr>
          <w:p w:rsidR="002137DD" w:rsidRPr="006E76C9" w:rsidRDefault="00974DAF" w:rsidP="00081C5C">
            <w:pPr>
              <w:pStyle w:val="BodyText"/>
              <w:widowControl w:val="0"/>
              <w:ind w:left="-1276" w:firstLine="1843"/>
              <w:jc w:val="center"/>
              <w:rPr>
                <w:rFonts w:cs="Arial"/>
                <w:b w:val="0"/>
                <w:bCs w:val="0"/>
                <w:color w:val="auto"/>
                <w:sz w:val="20"/>
                <w:szCs w:val="20"/>
              </w:rPr>
            </w:pPr>
            <w:r w:rsidRPr="006E76C9">
              <w:rPr>
                <w:color w:val="auto"/>
                <w:sz w:val="20"/>
                <w:szCs w:val="20"/>
              </w:rPr>
              <w:lastRenderedPageBreak/>
              <w:br w:type="page"/>
            </w:r>
            <w:r w:rsidR="006E76C9" w:rsidRPr="006E76C9">
              <w:rPr>
                <w:rFonts w:cs="Arial"/>
                <w:b w:val="0"/>
                <w:bCs w:val="0"/>
                <w:color w:val="auto"/>
                <w:sz w:val="20"/>
                <w:szCs w:val="20"/>
              </w:rPr>
              <w:t>2016</w:t>
            </w:r>
            <w:r w:rsidR="003501DA" w:rsidRPr="006E76C9">
              <w:rPr>
                <w:rFonts w:cs="Arial"/>
                <w:b w:val="0"/>
                <w:bCs w:val="0"/>
                <w:color w:val="auto"/>
                <w:sz w:val="20"/>
                <w:szCs w:val="20"/>
              </w:rPr>
              <w:t>/1</w:t>
            </w:r>
            <w:r w:rsidR="006E76C9" w:rsidRPr="006E76C9">
              <w:rPr>
                <w:rFonts w:cs="Arial"/>
                <w:b w:val="0"/>
                <w:bCs w:val="0"/>
                <w:color w:val="auto"/>
                <w:sz w:val="20"/>
                <w:szCs w:val="20"/>
              </w:rPr>
              <w:t>7</w:t>
            </w:r>
          </w:p>
        </w:tc>
        <w:tc>
          <w:tcPr>
            <w:tcW w:w="491" w:type="dxa"/>
          </w:tcPr>
          <w:p w:rsidR="002137DD" w:rsidRPr="006E76C9" w:rsidRDefault="002137DD" w:rsidP="005B7422">
            <w:pPr>
              <w:pStyle w:val="BodyText"/>
              <w:widowControl w:val="0"/>
              <w:ind w:left="-1276" w:firstLine="1843"/>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c>
          <w:tcPr>
            <w:tcW w:w="5227" w:type="dxa"/>
          </w:tcPr>
          <w:p w:rsidR="002137DD" w:rsidRPr="006E76C9" w:rsidRDefault="002137DD" w:rsidP="005B7422">
            <w:pPr>
              <w:pStyle w:val="BodyText"/>
              <w:widowControl w:val="0"/>
              <w:ind w:left="-1276" w:firstLine="1843"/>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c>
          <w:tcPr>
            <w:tcW w:w="5003" w:type="dxa"/>
            <w:gridSpan w:val="20"/>
          </w:tcPr>
          <w:p w:rsidR="002137DD" w:rsidRPr="006E76C9" w:rsidRDefault="002137DD" w:rsidP="00081C5C">
            <w:pPr>
              <w:pStyle w:val="BodyText"/>
              <w:widowControl w:val="0"/>
              <w:ind w:left="-1276" w:firstLine="1843"/>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6E76C9">
              <w:rPr>
                <w:rFonts w:cs="Arial"/>
                <w:bCs w:val="0"/>
                <w:color w:val="auto"/>
                <w:sz w:val="20"/>
                <w:szCs w:val="20"/>
              </w:rPr>
              <w:t>201</w:t>
            </w:r>
            <w:r w:rsidR="006E76C9" w:rsidRPr="006E76C9">
              <w:rPr>
                <w:rFonts w:cs="Arial"/>
                <w:bCs w:val="0"/>
                <w:color w:val="auto"/>
                <w:sz w:val="20"/>
                <w:szCs w:val="20"/>
              </w:rPr>
              <w:t>7</w:t>
            </w:r>
            <w:r w:rsidR="00081C5C" w:rsidRPr="006E76C9">
              <w:rPr>
                <w:rFonts w:cs="Arial"/>
                <w:bCs w:val="0"/>
                <w:color w:val="auto"/>
                <w:sz w:val="20"/>
                <w:szCs w:val="20"/>
              </w:rPr>
              <w:t>/</w:t>
            </w:r>
            <w:r w:rsidRPr="006E76C9">
              <w:rPr>
                <w:rFonts w:cs="Arial"/>
                <w:bCs w:val="0"/>
                <w:color w:val="auto"/>
                <w:sz w:val="20"/>
                <w:szCs w:val="20"/>
              </w:rPr>
              <w:t>1</w:t>
            </w:r>
            <w:r w:rsidR="006E76C9" w:rsidRPr="006E76C9">
              <w:rPr>
                <w:rFonts w:cs="Arial"/>
                <w:bCs w:val="0"/>
                <w:color w:val="auto"/>
                <w:sz w:val="20"/>
                <w:szCs w:val="20"/>
              </w:rPr>
              <w:t>8</w:t>
            </w:r>
          </w:p>
        </w:tc>
      </w:tr>
      <w:tr w:rsidR="00E1210A" w:rsidRPr="0005794A" w:rsidTr="008A25D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483" w:type="dxa"/>
            <w:gridSpan w:val="3"/>
            <w:tcBorders>
              <w:top w:val="none" w:sz="0" w:space="0" w:color="auto"/>
              <w:bottom w:val="none" w:sz="0" w:space="0" w:color="auto"/>
              <w:right w:val="none" w:sz="0" w:space="0" w:color="auto"/>
            </w:tcBorders>
            <w:shd w:val="clear" w:color="auto" w:fill="4BACC6" w:themeFill="accent5"/>
          </w:tcPr>
          <w:p w:rsidR="00E1210A" w:rsidRPr="006E76C9" w:rsidRDefault="00BD1281" w:rsidP="006055F2">
            <w:pPr>
              <w:pStyle w:val="ExampleSub"/>
              <w:keepNext w:val="0"/>
              <w:keepLines w:val="0"/>
              <w:ind w:left="0"/>
              <w:jc w:val="center"/>
              <w:rPr>
                <w:rFonts w:ascii="Arial" w:hAnsi="Arial" w:cs="Arial"/>
                <w:color w:val="auto"/>
                <w:sz w:val="20"/>
                <w:szCs w:val="20"/>
              </w:rPr>
            </w:pPr>
            <w:r w:rsidRPr="006E76C9">
              <w:rPr>
                <w:rFonts w:ascii="Arial" w:hAnsi="Arial" w:cs="Arial"/>
                <w:color w:val="auto"/>
                <w:sz w:val="18"/>
                <w:szCs w:val="18"/>
              </w:rPr>
              <w:t>Us</w:t>
            </w:r>
            <w:r w:rsidR="00E1210A" w:rsidRPr="006E76C9">
              <w:rPr>
                <w:rFonts w:ascii="Arial" w:hAnsi="Arial" w:cs="Arial"/>
                <w:color w:val="auto"/>
                <w:sz w:val="18"/>
                <w:szCs w:val="18"/>
              </w:rPr>
              <w:t>able Reserves</w:t>
            </w:r>
          </w:p>
        </w:tc>
        <w:tc>
          <w:tcPr>
            <w:tcW w:w="2248" w:type="dxa"/>
            <w:gridSpan w:val="4"/>
            <w:tcBorders>
              <w:top w:val="none" w:sz="0" w:space="0" w:color="auto"/>
              <w:bottom w:val="none" w:sz="0" w:space="0" w:color="auto"/>
            </w:tcBorders>
            <w:shd w:val="clear" w:color="auto" w:fill="4BACC6" w:themeFill="accent5"/>
          </w:tcPr>
          <w:p w:rsidR="00E1210A" w:rsidRPr="006E76C9" w:rsidRDefault="00E1210A" w:rsidP="00AF7FA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4"/>
                <w:szCs w:val="24"/>
              </w:rPr>
            </w:pPr>
            <w:r w:rsidRPr="006E76C9">
              <w:rPr>
                <w:rFonts w:ascii="Arial" w:hAnsi="Arial" w:cs="Arial"/>
                <w:b w:val="0"/>
                <w:bCs w:val="0"/>
                <w:color w:val="auto"/>
                <w:sz w:val="18"/>
                <w:szCs w:val="18"/>
              </w:rPr>
              <w:t>Unusable Reserves</w:t>
            </w:r>
          </w:p>
        </w:tc>
        <w:tc>
          <w:tcPr>
            <w:tcW w:w="5791" w:type="dxa"/>
            <w:gridSpan w:val="7"/>
            <w:tcBorders>
              <w:top w:val="none" w:sz="0" w:space="0" w:color="auto"/>
              <w:bottom w:val="none" w:sz="0" w:space="0" w:color="auto"/>
            </w:tcBorders>
            <w:shd w:val="clear" w:color="auto" w:fill="4BACC6" w:themeFill="accent5"/>
          </w:tcPr>
          <w:p w:rsidR="00E1210A" w:rsidRPr="006E76C9" w:rsidRDefault="00E1210A" w:rsidP="006055F2">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2171" w:type="dxa"/>
            <w:gridSpan w:val="9"/>
            <w:tcBorders>
              <w:top w:val="none" w:sz="0" w:space="0" w:color="auto"/>
              <w:bottom w:val="none" w:sz="0" w:space="0" w:color="auto"/>
            </w:tcBorders>
            <w:shd w:val="clear" w:color="auto" w:fill="4BACC6" w:themeFill="accent5"/>
          </w:tcPr>
          <w:p w:rsidR="00E1210A" w:rsidRPr="006E76C9" w:rsidRDefault="00BD1281" w:rsidP="006055F2">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Us</w:t>
            </w:r>
            <w:r w:rsidR="00E1210A" w:rsidRPr="006E76C9">
              <w:rPr>
                <w:rFonts w:ascii="Arial" w:hAnsi="Arial" w:cs="Arial"/>
                <w:bCs w:val="0"/>
                <w:color w:val="auto"/>
                <w:sz w:val="20"/>
                <w:szCs w:val="20"/>
              </w:rPr>
              <w:t>able Reserves</w:t>
            </w:r>
          </w:p>
        </w:tc>
        <w:tc>
          <w:tcPr>
            <w:tcW w:w="2268" w:type="dxa"/>
            <w:gridSpan w:val="5"/>
            <w:tcBorders>
              <w:top w:val="none" w:sz="0" w:space="0" w:color="auto"/>
              <w:bottom w:val="none" w:sz="0" w:space="0" w:color="auto"/>
            </w:tcBorders>
            <w:shd w:val="clear" w:color="auto" w:fill="4BACC6" w:themeFill="accent5"/>
          </w:tcPr>
          <w:p w:rsidR="00E1210A" w:rsidRPr="006E76C9" w:rsidRDefault="00BD1281" w:rsidP="00924FCE">
            <w:pPr>
              <w:pStyle w:val="ExampleSub"/>
              <w:ind w:left="0"/>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Unus</w:t>
            </w:r>
            <w:r w:rsidR="00E1210A" w:rsidRPr="006E76C9">
              <w:rPr>
                <w:rFonts w:ascii="Arial" w:hAnsi="Arial" w:cs="Arial"/>
                <w:bCs w:val="0"/>
                <w:color w:val="auto"/>
                <w:sz w:val="20"/>
                <w:szCs w:val="20"/>
              </w:rPr>
              <w:t>able Reserve</w:t>
            </w:r>
            <w:r w:rsidR="00924FCE" w:rsidRPr="006E76C9">
              <w:rPr>
                <w:rFonts w:ascii="Arial" w:hAnsi="Arial" w:cs="Arial"/>
                <w:bCs w:val="0"/>
                <w:color w:val="auto"/>
                <w:sz w:val="20"/>
                <w:szCs w:val="20"/>
              </w:rPr>
              <w:t>s</w:t>
            </w:r>
          </w:p>
        </w:tc>
      </w:tr>
      <w:tr w:rsidR="00DA4D87" w:rsidRPr="0005794A" w:rsidTr="008A25D1">
        <w:trPr>
          <w:trHeight w:val="1701"/>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shd w:val="clear" w:color="auto" w:fill="4BACC6" w:themeFill="accent5"/>
            <w:textDirection w:val="btLr"/>
          </w:tcPr>
          <w:p w:rsidR="00D25A5A" w:rsidRPr="006E76C9" w:rsidRDefault="00D25A5A" w:rsidP="00C959F0">
            <w:pPr>
              <w:pStyle w:val="ExampleSub"/>
              <w:keepNext w:val="0"/>
              <w:keepLines w:val="0"/>
              <w:ind w:left="113" w:right="113"/>
              <w:rPr>
                <w:rFonts w:ascii="Arial" w:hAnsi="Arial" w:cs="Arial"/>
                <w:color w:val="auto"/>
                <w:sz w:val="20"/>
                <w:szCs w:val="20"/>
              </w:rPr>
            </w:pPr>
            <w:r w:rsidRPr="006E76C9">
              <w:rPr>
                <w:rFonts w:ascii="Arial" w:hAnsi="Arial" w:cs="Arial"/>
                <w:color w:val="auto"/>
                <w:sz w:val="20"/>
                <w:szCs w:val="20"/>
              </w:rPr>
              <w:t>General Fund</w:t>
            </w:r>
          </w:p>
        </w:tc>
        <w:tc>
          <w:tcPr>
            <w:tcW w:w="700" w:type="dxa"/>
            <w:shd w:val="clear" w:color="auto" w:fill="4BACC6" w:themeFill="accent5"/>
            <w:textDirection w:val="btLr"/>
          </w:tcPr>
          <w:p w:rsidR="00D25A5A" w:rsidRPr="006E76C9"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Receipts</w:t>
            </w:r>
          </w:p>
        </w:tc>
        <w:tc>
          <w:tcPr>
            <w:tcW w:w="872" w:type="dxa"/>
            <w:shd w:val="clear" w:color="auto" w:fill="4BACC6" w:themeFill="accent5"/>
            <w:textDirection w:val="btLr"/>
          </w:tcPr>
          <w:p w:rsidR="00D25A5A" w:rsidRPr="006E76C9" w:rsidRDefault="00D25A5A" w:rsidP="00E1210A">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Capital Grants </w:t>
            </w:r>
            <w:proofErr w:type="spellStart"/>
            <w:r w:rsidRPr="006E76C9">
              <w:rPr>
                <w:rFonts w:ascii="Arial" w:hAnsi="Arial" w:cs="Arial"/>
                <w:b w:val="0"/>
                <w:bCs w:val="0"/>
                <w:color w:val="auto"/>
                <w:sz w:val="20"/>
                <w:szCs w:val="20"/>
              </w:rPr>
              <w:t>Unappl’d</w:t>
            </w:r>
            <w:proofErr w:type="spellEnd"/>
          </w:p>
        </w:tc>
        <w:tc>
          <w:tcPr>
            <w:tcW w:w="686" w:type="dxa"/>
            <w:shd w:val="clear" w:color="auto" w:fill="4BACC6" w:themeFill="accent5"/>
            <w:textDirection w:val="btLr"/>
          </w:tcPr>
          <w:p w:rsidR="00D25A5A" w:rsidRPr="006E76C9"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CAA</w:t>
            </w:r>
          </w:p>
        </w:tc>
        <w:tc>
          <w:tcPr>
            <w:tcW w:w="853" w:type="dxa"/>
            <w:shd w:val="clear" w:color="auto" w:fill="4BACC6" w:themeFill="accent5"/>
            <w:textDirection w:val="btLr"/>
          </w:tcPr>
          <w:p w:rsidR="00D25A5A" w:rsidRPr="006E76C9"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2"/>
                <w:szCs w:val="22"/>
              </w:rPr>
            </w:pPr>
            <w:r w:rsidRPr="006E76C9">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D25A5A" w:rsidRPr="006E76C9"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Other</w:t>
            </w:r>
          </w:p>
        </w:tc>
        <w:tc>
          <w:tcPr>
            <w:tcW w:w="5381" w:type="dxa"/>
            <w:gridSpan w:val="2"/>
            <w:shd w:val="clear" w:color="auto" w:fill="4BACC6" w:themeFill="accent5"/>
            <w:textDirection w:val="btLr"/>
          </w:tcPr>
          <w:p w:rsidR="00D25A5A" w:rsidRPr="006E76C9"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p>
        </w:tc>
        <w:tc>
          <w:tcPr>
            <w:tcW w:w="850" w:type="dxa"/>
            <w:gridSpan w:val="6"/>
            <w:shd w:val="clear" w:color="auto" w:fill="4BACC6" w:themeFill="accent5"/>
            <w:textDirection w:val="btLr"/>
          </w:tcPr>
          <w:p w:rsidR="00D25A5A" w:rsidRPr="006E76C9"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General Fund</w:t>
            </w:r>
          </w:p>
        </w:tc>
        <w:tc>
          <w:tcPr>
            <w:tcW w:w="718" w:type="dxa"/>
            <w:gridSpan w:val="4"/>
            <w:shd w:val="clear" w:color="auto" w:fill="4BACC6" w:themeFill="accent5"/>
            <w:textDirection w:val="btLr"/>
          </w:tcPr>
          <w:p w:rsidR="00D25A5A" w:rsidRPr="006E76C9" w:rsidRDefault="00D25A5A" w:rsidP="00AF7FAC">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Receipts</w:t>
            </w:r>
          </w:p>
        </w:tc>
        <w:tc>
          <w:tcPr>
            <w:tcW w:w="1013" w:type="dxa"/>
            <w:gridSpan w:val="4"/>
            <w:shd w:val="clear" w:color="auto" w:fill="4BACC6" w:themeFill="accent5"/>
            <w:textDirection w:val="btLr"/>
          </w:tcPr>
          <w:p w:rsidR="00D25A5A" w:rsidRPr="006E76C9" w:rsidRDefault="00D25A5A" w:rsidP="00E5302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Capital </w:t>
            </w:r>
            <w:r w:rsidR="00E53028" w:rsidRPr="006E76C9">
              <w:rPr>
                <w:rFonts w:ascii="Arial" w:hAnsi="Arial" w:cs="Arial"/>
                <w:b w:val="0"/>
                <w:bCs w:val="0"/>
                <w:color w:val="auto"/>
                <w:sz w:val="20"/>
                <w:szCs w:val="20"/>
              </w:rPr>
              <w:t>Grants</w:t>
            </w:r>
            <w:r w:rsidRPr="006E76C9">
              <w:rPr>
                <w:rFonts w:ascii="Arial" w:hAnsi="Arial" w:cs="Arial"/>
                <w:b w:val="0"/>
                <w:bCs w:val="0"/>
                <w:color w:val="auto"/>
                <w:sz w:val="20"/>
                <w:szCs w:val="20"/>
              </w:rPr>
              <w:t xml:space="preserve"> </w:t>
            </w:r>
            <w:proofErr w:type="spellStart"/>
            <w:r w:rsidRPr="006E76C9">
              <w:rPr>
                <w:rFonts w:ascii="Arial" w:hAnsi="Arial" w:cs="Arial"/>
                <w:b w:val="0"/>
                <w:bCs w:val="0"/>
                <w:color w:val="auto"/>
                <w:sz w:val="20"/>
                <w:szCs w:val="20"/>
              </w:rPr>
              <w:t>Unappl’d</w:t>
            </w:r>
            <w:proofErr w:type="spellEnd"/>
          </w:p>
        </w:tc>
        <w:tc>
          <w:tcPr>
            <w:tcW w:w="709" w:type="dxa"/>
            <w:shd w:val="clear" w:color="auto" w:fill="4BACC6" w:themeFill="accent5"/>
            <w:textDirection w:val="btLr"/>
          </w:tcPr>
          <w:p w:rsidR="00D25A5A" w:rsidRPr="006E76C9"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CAA</w:t>
            </w:r>
          </w:p>
        </w:tc>
        <w:tc>
          <w:tcPr>
            <w:tcW w:w="709" w:type="dxa"/>
            <w:gridSpan w:val="2"/>
            <w:shd w:val="clear" w:color="auto" w:fill="4BACC6" w:themeFill="accent5"/>
            <w:textDirection w:val="btLr"/>
          </w:tcPr>
          <w:p w:rsidR="00D25A5A" w:rsidRPr="006E76C9"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Pension</w:t>
            </w:r>
          </w:p>
        </w:tc>
        <w:tc>
          <w:tcPr>
            <w:tcW w:w="850" w:type="dxa"/>
            <w:gridSpan w:val="2"/>
            <w:shd w:val="clear" w:color="auto" w:fill="4BACC6" w:themeFill="accent5"/>
            <w:textDirection w:val="btLr"/>
          </w:tcPr>
          <w:p w:rsidR="00D25A5A" w:rsidRPr="006E76C9" w:rsidRDefault="00D25A5A" w:rsidP="00C959F0">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Other</w:t>
            </w:r>
          </w:p>
        </w:tc>
      </w:tr>
      <w:tr w:rsidR="00DA4D87" w:rsidRPr="0005794A" w:rsidTr="008A25D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shd w:val="clear" w:color="auto" w:fill="4BACC6" w:themeFill="accent5"/>
          </w:tcPr>
          <w:p w:rsidR="00D25A5A" w:rsidRPr="006E76C9" w:rsidRDefault="00D25A5A" w:rsidP="009E1013">
            <w:pPr>
              <w:pStyle w:val="ExampleSub"/>
              <w:keepNext w:val="0"/>
              <w:keepLines w:val="0"/>
              <w:ind w:left="0"/>
              <w:jc w:val="center"/>
              <w:rPr>
                <w:rFonts w:ascii="Arial" w:hAnsi="Arial" w:cs="Arial"/>
                <w:color w:val="auto"/>
                <w:sz w:val="18"/>
                <w:szCs w:val="18"/>
              </w:rPr>
            </w:pPr>
            <w:r w:rsidRPr="006E76C9">
              <w:rPr>
                <w:rFonts w:ascii="Arial" w:hAnsi="Arial" w:cs="Arial"/>
                <w:color w:val="auto"/>
                <w:sz w:val="18"/>
                <w:szCs w:val="18"/>
              </w:rPr>
              <w:t>£m</w:t>
            </w:r>
          </w:p>
        </w:tc>
        <w:tc>
          <w:tcPr>
            <w:tcW w:w="700" w:type="dxa"/>
            <w:tcBorders>
              <w:top w:val="none" w:sz="0" w:space="0" w:color="auto"/>
              <w:bottom w:val="none" w:sz="0" w:space="0" w:color="auto"/>
            </w:tcBorders>
            <w:shd w:val="clear" w:color="auto" w:fill="4BACC6" w:themeFill="accent5"/>
          </w:tcPr>
          <w:p w:rsidR="00D25A5A" w:rsidRPr="006E76C9"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72" w:type="dxa"/>
            <w:tcBorders>
              <w:top w:val="none" w:sz="0" w:space="0" w:color="auto"/>
              <w:bottom w:val="none" w:sz="0" w:space="0" w:color="auto"/>
            </w:tcBorders>
            <w:shd w:val="clear" w:color="auto" w:fill="4BACC6" w:themeFill="accent5"/>
          </w:tcPr>
          <w:p w:rsidR="00D25A5A" w:rsidRPr="006E76C9"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686" w:type="dxa"/>
            <w:tcBorders>
              <w:top w:val="none" w:sz="0" w:space="0" w:color="auto"/>
              <w:bottom w:val="none" w:sz="0" w:space="0" w:color="auto"/>
            </w:tcBorders>
            <w:shd w:val="clear" w:color="auto" w:fill="4BACC6" w:themeFill="accent5"/>
          </w:tcPr>
          <w:p w:rsidR="00D25A5A" w:rsidRPr="006E76C9"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3" w:type="dxa"/>
            <w:tcBorders>
              <w:top w:val="none" w:sz="0" w:space="0" w:color="auto"/>
              <w:bottom w:val="none" w:sz="0" w:space="0" w:color="auto"/>
            </w:tcBorders>
            <w:shd w:val="clear" w:color="auto" w:fill="4BACC6" w:themeFill="accent5"/>
          </w:tcPr>
          <w:p w:rsidR="00D25A5A" w:rsidRPr="006E76C9"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6E76C9">
              <w:rPr>
                <w:rFonts w:ascii="Arial" w:hAnsi="Arial" w:cs="Arial"/>
                <w:b w:val="0"/>
                <w:color w:val="auto"/>
                <w:sz w:val="18"/>
                <w:szCs w:val="18"/>
              </w:rPr>
              <w:t>£m</w:t>
            </w:r>
          </w:p>
        </w:tc>
        <w:tc>
          <w:tcPr>
            <w:tcW w:w="709" w:type="dxa"/>
            <w:gridSpan w:val="2"/>
            <w:tcBorders>
              <w:top w:val="none" w:sz="0" w:space="0" w:color="auto"/>
              <w:bottom w:val="none" w:sz="0" w:space="0" w:color="auto"/>
            </w:tcBorders>
            <w:shd w:val="clear" w:color="auto" w:fill="4BACC6" w:themeFill="accent5"/>
          </w:tcPr>
          <w:p w:rsidR="00D25A5A" w:rsidRPr="006E76C9"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6E76C9">
              <w:rPr>
                <w:rFonts w:ascii="Arial" w:hAnsi="Arial" w:cs="Arial"/>
                <w:b w:val="0"/>
                <w:color w:val="auto"/>
                <w:sz w:val="18"/>
                <w:szCs w:val="18"/>
              </w:rPr>
              <w:t>£m</w:t>
            </w:r>
          </w:p>
        </w:tc>
        <w:tc>
          <w:tcPr>
            <w:tcW w:w="5381" w:type="dxa"/>
            <w:gridSpan w:val="2"/>
            <w:tcBorders>
              <w:top w:val="none" w:sz="0" w:space="0" w:color="auto"/>
              <w:bottom w:val="none" w:sz="0" w:space="0" w:color="auto"/>
            </w:tcBorders>
            <w:shd w:val="clear" w:color="auto" w:fill="4BACC6" w:themeFill="accent5"/>
          </w:tcPr>
          <w:p w:rsidR="00D25A5A" w:rsidRPr="006E76C9"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p>
        </w:tc>
        <w:tc>
          <w:tcPr>
            <w:tcW w:w="850" w:type="dxa"/>
            <w:gridSpan w:val="6"/>
            <w:tcBorders>
              <w:top w:val="none" w:sz="0" w:space="0" w:color="auto"/>
              <w:bottom w:val="none" w:sz="0" w:space="0" w:color="auto"/>
            </w:tcBorders>
            <w:shd w:val="clear" w:color="auto" w:fill="4BACC6" w:themeFill="accent5"/>
          </w:tcPr>
          <w:p w:rsidR="00D25A5A" w:rsidRPr="006E76C9"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18" w:type="dxa"/>
            <w:gridSpan w:val="4"/>
            <w:tcBorders>
              <w:top w:val="none" w:sz="0" w:space="0" w:color="auto"/>
              <w:bottom w:val="none" w:sz="0" w:space="0" w:color="auto"/>
            </w:tcBorders>
            <w:shd w:val="clear" w:color="auto" w:fill="4BACC6" w:themeFill="accent5"/>
          </w:tcPr>
          <w:p w:rsidR="00D25A5A" w:rsidRPr="006E76C9" w:rsidRDefault="00D25A5A" w:rsidP="00AF7FA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1013" w:type="dxa"/>
            <w:gridSpan w:val="4"/>
            <w:tcBorders>
              <w:top w:val="none" w:sz="0" w:space="0" w:color="auto"/>
              <w:bottom w:val="none" w:sz="0" w:space="0" w:color="auto"/>
            </w:tcBorders>
            <w:shd w:val="clear" w:color="auto" w:fill="4BACC6" w:themeFill="accent5"/>
          </w:tcPr>
          <w:p w:rsidR="00D25A5A" w:rsidRPr="006E76C9" w:rsidRDefault="00D25A5A" w:rsidP="00AF7FA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09" w:type="dxa"/>
            <w:tcBorders>
              <w:top w:val="none" w:sz="0" w:space="0" w:color="auto"/>
              <w:bottom w:val="none" w:sz="0" w:space="0" w:color="auto"/>
            </w:tcBorders>
            <w:shd w:val="clear" w:color="auto" w:fill="4BACC6" w:themeFill="accent5"/>
          </w:tcPr>
          <w:p w:rsidR="00D25A5A" w:rsidRPr="006E76C9"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09" w:type="dxa"/>
            <w:gridSpan w:val="2"/>
            <w:tcBorders>
              <w:top w:val="none" w:sz="0" w:space="0" w:color="auto"/>
              <w:bottom w:val="none" w:sz="0" w:space="0" w:color="auto"/>
            </w:tcBorders>
            <w:shd w:val="clear" w:color="auto" w:fill="4BACC6" w:themeFill="accent5"/>
          </w:tcPr>
          <w:p w:rsidR="00D25A5A" w:rsidRPr="006E76C9"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0" w:type="dxa"/>
            <w:gridSpan w:val="2"/>
            <w:tcBorders>
              <w:top w:val="none" w:sz="0" w:space="0" w:color="auto"/>
              <w:bottom w:val="none" w:sz="0" w:space="0" w:color="auto"/>
            </w:tcBorders>
            <w:shd w:val="clear" w:color="auto" w:fill="4BACC6" w:themeFill="accent5"/>
          </w:tcPr>
          <w:p w:rsidR="00D25A5A" w:rsidRPr="006E76C9" w:rsidRDefault="00D25A5A" w:rsidP="009E10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r>
      <w:tr w:rsidR="00D25A5A" w:rsidRPr="0005794A" w:rsidTr="008A25D1">
        <w:trPr>
          <w:trHeight w:val="601"/>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D25A5A" w:rsidRPr="006E76C9" w:rsidRDefault="00D25A5A" w:rsidP="00262069">
            <w:pPr>
              <w:pStyle w:val="ExampleSub"/>
              <w:keepNext w:val="0"/>
              <w:keepLines w:val="0"/>
              <w:ind w:left="0"/>
              <w:jc w:val="right"/>
              <w:rPr>
                <w:rFonts w:ascii="Arial" w:hAnsi="Arial" w:cs="Arial"/>
                <w:color w:val="auto"/>
                <w:sz w:val="20"/>
                <w:szCs w:val="20"/>
              </w:rPr>
            </w:pPr>
          </w:p>
        </w:tc>
        <w:tc>
          <w:tcPr>
            <w:tcW w:w="700" w:type="dxa"/>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72" w:type="dxa"/>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686" w:type="dxa"/>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3" w:type="dxa"/>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4"/>
                <w:szCs w:val="24"/>
              </w:rPr>
            </w:pPr>
          </w:p>
        </w:tc>
        <w:tc>
          <w:tcPr>
            <w:tcW w:w="709" w:type="dxa"/>
            <w:gridSpan w:val="2"/>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4"/>
                <w:szCs w:val="24"/>
              </w:rPr>
            </w:pPr>
          </w:p>
        </w:tc>
        <w:tc>
          <w:tcPr>
            <w:tcW w:w="5381" w:type="dxa"/>
            <w:gridSpan w:val="2"/>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E76C9">
              <w:rPr>
                <w:rFonts w:ascii="Arial" w:hAnsi="Arial" w:cs="Arial"/>
                <w:color w:val="auto"/>
                <w:sz w:val="22"/>
                <w:szCs w:val="22"/>
              </w:rPr>
              <w:t>Adjustments involving the Capital Adjustment Account:</w:t>
            </w:r>
          </w:p>
        </w:tc>
        <w:tc>
          <w:tcPr>
            <w:tcW w:w="850" w:type="dxa"/>
            <w:gridSpan w:val="6"/>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18" w:type="dxa"/>
            <w:gridSpan w:val="4"/>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1013" w:type="dxa"/>
            <w:gridSpan w:val="4"/>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0" w:type="dxa"/>
            <w:gridSpan w:val="2"/>
          </w:tcPr>
          <w:p w:rsidR="00D25A5A" w:rsidRPr="006E76C9" w:rsidRDefault="00D25A5A"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D25A5A" w:rsidRPr="0005794A" w:rsidTr="008A25D1">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D25A5A" w:rsidRPr="006E76C9" w:rsidRDefault="00D25A5A" w:rsidP="000D1F14">
            <w:pPr>
              <w:pStyle w:val="ExampleSub"/>
              <w:keepNext w:val="0"/>
              <w:keepLines w:val="0"/>
              <w:ind w:left="0"/>
              <w:jc w:val="center"/>
              <w:rPr>
                <w:rFonts w:ascii="Arial" w:hAnsi="Arial" w:cs="Arial"/>
                <w:color w:val="auto"/>
                <w:sz w:val="20"/>
                <w:szCs w:val="20"/>
              </w:rPr>
            </w:pPr>
          </w:p>
        </w:tc>
        <w:tc>
          <w:tcPr>
            <w:tcW w:w="700" w:type="dxa"/>
            <w:tcBorders>
              <w:top w:val="none" w:sz="0" w:space="0" w:color="auto"/>
              <w:bottom w:val="none" w:sz="0" w:space="0" w:color="auto"/>
            </w:tcBorders>
          </w:tcPr>
          <w:p w:rsidR="00D25A5A" w:rsidRPr="006E76C9" w:rsidRDefault="00D25A5A" w:rsidP="000D1F1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872" w:type="dxa"/>
            <w:tcBorders>
              <w:top w:val="none" w:sz="0" w:space="0" w:color="auto"/>
              <w:bottom w:val="none" w:sz="0" w:space="0" w:color="auto"/>
            </w:tcBorders>
          </w:tcPr>
          <w:p w:rsidR="00D25A5A" w:rsidRPr="006E76C9" w:rsidRDefault="00D25A5A" w:rsidP="000D1F1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686" w:type="dxa"/>
            <w:tcBorders>
              <w:top w:val="none" w:sz="0" w:space="0" w:color="auto"/>
              <w:bottom w:val="none" w:sz="0" w:space="0" w:color="auto"/>
            </w:tcBorders>
          </w:tcPr>
          <w:p w:rsidR="00D25A5A" w:rsidRPr="006E76C9" w:rsidRDefault="00D25A5A" w:rsidP="000D1F1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853" w:type="dxa"/>
            <w:tcBorders>
              <w:top w:val="none" w:sz="0" w:space="0" w:color="auto"/>
              <w:bottom w:val="none" w:sz="0" w:space="0" w:color="auto"/>
            </w:tcBorders>
          </w:tcPr>
          <w:p w:rsidR="00D25A5A" w:rsidRPr="006E76C9" w:rsidRDefault="00D25A5A" w:rsidP="009429B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2"/>
                <w:szCs w:val="22"/>
              </w:rPr>
            </w:pPr>
          </w:p>
        </w:tc>
        <w:tc>
          <w:tcPr>
            <w:tcW w:w="709" w:type="dxa"/>
            <w:gridSpan w:val="2"/>
            <w:tcBorders>
              <w:top w:val="none" w:sz="0" w:space="0" w:color="auto"/>
              <w:bottom w:val="none" w:sz="0" w:space="0" w:color="auto"/>
            </w:tcBorders>
          </w:tcPr>
          <w:p w:rsidR="00D25A5A" w:rsidRPr="006E76C9" w:rsidRDefault="00D25A5A" w:rsidP="009429B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2"/>
                <w:szCs w:val="22"/>
              </w:rPr>
            </w:pPr>
          </w:p>
        </w:tc>
        <w:tc>
          <w:tcPr>
            <w:tcW w:w="5381" w:type="dxa"/>
            <w:gridSpan w:val="2"/>
            <w:tcBorders>
              <w:top w:val="none" w:sz="0" w:space="0" w:color="auto"/>
              <w:bottom w:val="none" w:sz="0" w:space="0" w:color="auto"/>
            </w:tcBorders>
          </w:tcPr>
          <w:p w:rsidR="00D25A5A" w:rsidRPr="006E76C9" w:rsidRDefault="00D25A5A" w:rsidP="001F78D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Cs w:val="0"/>
                <w:color w:val="auto"/>
                <w:sz w:val="20"/>
                <w:szCs w:val="20"/>
              </w:rPr>
              <w:t xml:space="preserve">Reversal of items debited or credited to the Comprehensive Income </w:t>
            </w:r>
            <w:r w:rsidR="001F78DA">
              <w:rPr>
                <w:rFonts w:ascii="Arial" w:hAnsi="Arial" w:cs="Arial"/>
                <w:bCs w:val="0"/>
                <w:color w:val="auto"/>
                <w:sz w:val="20"/>
                <w:szCs w:val="20"/>
              </w:rPr>
              <w:t xml:space="preserve">&amp; </w:t>
            </w:r>
            <w:r w:rsidRPr="006E76C9">
              <w:rPr>
                <w:rFonts w:ascii="Arial" w:hAnsi="Arial" w:cs="Arial"/>
                <w:bCs w:val="0"/>
                <w:color w:val="auto"/>
                <w:sz w:val="20"/>
                <w:szCs w:val="20"/>
              </w:rPr>
              <w:t>Expenditure Statement (CI&amp;E):</w:t>
            </w:r>
          </w:p>
        </w:tc>
        <w:tc>
          <w:tcPr>
            <w:tcW w:w="850" w:type="dxa"/>
            <w:gridSpan w:val="6"/>
            <w:tcBorders>
              <w:top w:val="none" w:sz="0" w:space="0" w:color="auto"/>
              <w:bottom w:val="none" w:sz="0" w:space="0" w:color="auto"/>
            </w:tcBorders>
          </w:tcPr>
          <w:p w:rsidR="00D25A5A" w:rsidRPr="006E76C9"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18" w:type="dxa"/>
            <w:gridSpan w:val="4"/>
            <w:tcBorders>
              <w:top w:val="none" w:sz="0" w:space="0" w:color="auto"/>
              <w:bottom w:val="none" w:sz="0" w:space="0" w:color="auto"/>
            </w:tcBorders>
          </w:tcPr>
          <w:p w:rsidR="00D25A5A" w:rsidRPr="006E76C9"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1013" w:type="dxa"/>
            <w:gridSpan w:val="4"/>
            <w:tcBorders>
              <w:top w:val="none" w:sz="0" w:space="0" w:color="auto"/>
              <w:bottom w:val="none" w:sz="0" w:space="0" w:color="auto"/>
            </w:tcBorders>
          </w:tcPr>
          <w:p w:rsidR="00D25A5A" w:rsidRPr="006E76C9"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tcBorders>
              <w:top w:val="none" w:sz="0" w:space="0" w:color="auto"/>
              <w:bottom w:val="none" w:sz="0" w:space="0" w:color="auto"/>
            </w:tcBorders>
          </w:tcPr>
          <w:p w:rsidR="00D25A5A" w:rsidRPr="006E76C9"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gridSpan w:val="2"/>
            <w:tcBorders>
              <w:top w:val="none" w:sz="0" w:space="0" w:color="auto"/>
              <w:bottom w:val="none" w:sz="0" w:space="0" w:color="auto"/>
            </w:tcBorders>
          </w:tcPr>
          <w:p w:rsidR="00D25A5A" w:rsidRPr="006E76C9"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850" w:type="dxa"/>
            <w:gridSpan w:val="2"/>
            <w:tcBorders>
              <w:top w:val="none" w:sz="0" w:space="0" w:color="auto"/>
              <w:bottom w:val="none" w:sz="0" w:space="0" w:color="auto"/>
            </w:tcBorders>
          </w:tcPr>
          <w:p w:rsidR="00D25A5A" w:rsidRPr="006E76C9" w:rsidRDefault="00D25A5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r>
      <w:tr w:rsidR="00947988" w:rsidRPr="0005794A" w:rsidTr="008A25D1">
        <w:trPr>
          <w:trHeight w:val="397"/>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947988" w:rsidRPr="006E76C9" w:rsidRDefault="00947988" w:rsidP="000D1F14">
            <w:pPr>
              <w:pStyle w:val="ExampleSub"/>
              <w:keepNext w:val="0"/>
              <w:keepLines w:val="0"/>
              <w:ind w:left="0"/>
              <w:jc w:val="center"/>
              <w:rPr>
                <w:rFonts w:ascii="Arial" w:hAnsi="Arial" w:cs="Arial"/>
                <w:color w:val="auto"/>
                <w:sz w:val="20"/>
                <w:szCs w:val="20"/>
              </w:rPr>
            </w:pPr>
          </w:p>
        </w:tc>
        <w:tc>
          <w:tcPr>
            <w:tcW w:w="700" w:type="dxa"/>
          </w:tcPr>
          <w:p w:rsidR="00947988" w:rsidRPr="006E76C9" w:rsidRDefault="00947988" w:rsidP="000D1F1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72" w:type="dxa"/>
          </w:tcPr>
          <w:p w:rsidR="00947988" w:rsidRPr="006E76C9" w:rsidRDefault="00947988" w:rsidP="000D1F1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686" w:type="dxa"/>
            <w:shd w:val="clear" w:color="auto" w:fill="auto"/>
          </w:tcPr>
          <w:p w:rsidR="00947988" w:rsidRPr="006E76C9" w:rsidRDefault="00947988" w:rsidP="000D1F1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3" w:type="dxa"/>
          </w:tcPr>
          <w:p w:rsidR="00947988" w:rsidRPr="006E76C9"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947988" w:rsidRPr="006E76C9"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381" w:type="dxa"/>
            <w:gridSpan w:val="2"/>
          </w:tcPr>
          <w:p w:rsidR="00947988" w:rsidRPr="006E76C9"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u w:val="single"/>
              </w:rPr>
            </w:pPr>
            <w:r w:rsidRPr="006E76C9">
              <w:rPr>
                <w:rFonts w:ascii="Arial" w:hAnsi="Arial" w:cs="Arial"/>
                <w:b w:val="0"/>
                <w:bCs w:val="0"/>
                <w:color w:val="auto"/>
                <w:sz w:val="20"/>
                <w:szCs w:val="20"/>
                <w:u w:val="single"/>
              </w:rPr>
              <w:t>Items relating to capital expenditure</w:t>
            </w:r>
          </w:p>
        </w:tc>
        <w:tc>
          <w:tcPr>
            <w:tcW w:w="850" w:type="dxa"/>
            <w:gridSpan w:val="6"/>
          </w:tcPr>
          <w:p w:rsidR="00947988" w:rsidRPr="006E76C9"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18" w:type="dxa"/>
            <w:gridSpan w:val="4"/>
          </w:tcPr>
          <w:p w:rsidR="00947988" w:rsidRPr="006E76C9"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1013" w:type="dxa"/>
            <w:gridSpan w:val="4"/>
          </w:tcPr>
          <w:p w:rsidR="00947988" w:rsidRPr="006E76C9"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947988" w:rsidRPr="006E76C9"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947988" w:rsidRPr="006E76C9"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0" w:type="dxa"/>
            <w:gridSpan w:val="2"/>
          </w:tcPr>
          <w:p w:rsidR="00947988" w:rsidRPr="006E76C9" w:rsidRDefault="00947988"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(14.2)</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686" w:type="dxa"/>
            <w:tcBorders>
              <w:top w:val="none" w:sz="0" w:space="0" w:color="auto"/>
              <w:bottom w:val="none" w:sz="0" w:space="0" w:color="auto"/>
            </w:tcBorders>
            <w:shd w:val="clear" w:color="auto" w:fill="auto"/>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14.2</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5381" w:type="dxa"/>
            <w:gridSpan w:val="2"/>
            <w:tcBorders>
              <w:top w:val="none" w:sz="0" w:space="0" w:color="auto"/>
              <w:bottom w:val="none" w:sz="0" w:space="0" w:color="auto"/>
            </w:tcBorders>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Charges for depreciation and impairment of </w:t>
            </w:r>
            <w:proofErr w:type="spellStart"/>
            <w:r w:rsidRPr="006E76C9">
              <w:rPr>
                <w:rFonts w:ascii="Arial" w:hAnsi="Arial" w:cs="Arial"/>
                <w:b w:val="0"/>
                <w:bCs w:val="0"/>
                <w:color w:val="auto"/>
                <w:sz w:val="20"/>
                <w:szCs w:val="20"/>
              </w:rPr>
              <w:t>non current</w:t>
            </w:r>
            <w:proofErr w:type="spellEnd"/>
            <w:r w:rsidRPr="006E76C9">
              <w:rPr>
                <w:rFonts w:ascii="Arial" w:hAnsi="Arial" w:cs="Arial"/>
                <w:b w:val="0"/>
                <w:bCs w:val="0"/>
                <w:color w:val="auto"/>
                <w:sz w:val="20"/>
                <w:szCs w:val="20"/>
              </w:rPr>
              <w:t xml:space="preserve"> assets</w:t>
            </w:r>
          </w:p>
        </w:tc>
        <w:tc>
          <w:tcPr>
            <w:tcW w:w="850" w:type="dxa"/>
            <w:gridSpan w:val="6"/>
            <w:tcBorders>
              <w:top w:val="none" w:sz="0" w:space="0" w:color="auto"/>
              <w:bottom w:val="none" w:sz="0" w:space="0" w:color="auto"/>
            </w:tcBorders>
          </w:tcPr>
          <w:p w:rsidR="006E76C9" w:rsidRPr="006E76C9" w:rsidRDefault="001F78DA" w:rsidP="009872D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r w:rsidR="009872DE">
              <w:rPr>
                <w:rFonts w:ascii="Arial" w:hAnsi="Arial" w:cs="Arial"/>
                <w:bCs w:val="0"/>
                <w:color w:val="auto"/>
                <w:sz w:val="20"/>
                <w:szCs w:val="20"/>
              </w:rPr>
              <w:t>21.2</w:t>
            </w:r>
            <w:r>
              <w:rPr>
                <w:rFonts w:ascii="Arial" w:hAnsi="Arial" w:cs="Arial"/>
                <w:bCs w:val="0"/>
                <w:color w:val="auto"/>
                <w:sz w:val="20"/>
                <w:szCs w:val="20"/>
              </w:rPr>
              <w:t>)</w:t>
            </w:r>
          </w:p>
        </w:tc>
        <w:tc>
          <w:tcPr>
            <w:tcW w:w="718" w:type="dxa"/>
            <w:gridSpan w:val="4"/>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1013" w:type="dxa"/>
            <w:gridSpan w:val="4"/>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709" w:type="dxa"/>
            <w:tcBorders>
              <w:top w:val="none" w:sz="0" w:space="0" w:color="auto"/>
              <w:bottom w:val="none" w:sz="0" w:space="0" w:color="auto"/>
            </w:tcBorders>
          </w:tcPr>
          <w:p w:rsidR="006E76C9" w:rsidRPr="006E76C9" w:rsidRDefault="009872DE" w:rsidP="009872D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21.2</w:t>
            </w:r>
          </w:p>
        </w:tc>
        <w:tc>
          <w:tcPr>
            <w:tcW w:w="709" w:type="dxa"/>
            <w:gridSpan w:val="2"/>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r>
      <w:tr w:rsidR="006E76C9" w:rsidRPr="0005794A" w:rsidTr="008A25D1">
        <w:trPr>
          <w:trHeight w:val="397"/>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(0.1)</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686" w:type="dxa"/>
            <w:shd w:val="clear" w:color="auto" w:fill="auto"/>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0.1</w:t>
            </w: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5381" w:type="dxa"/>
            <w:gridSpan w:val="2"/>
          </w:tcPr>
          <w:p w:rsidR="006E76C9" w:rsidRPr="006E76C9" w:rsidRDefault="006E76C9" w:rsidP="0094798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color w:val="auto"/>
                <w:sz w:val="20"/>
                <w:szCs w:val="20"/>
              </w:rPr>
              <w:t>Amortisation of intangible assets</w:t>
            </w:r>
          </w:p>
        </w:tc>
        <w:tc>
          <w:tcPr>
            <w:tcW w:w="850" w:type="dxa"/>
            <w:gridSpan w:val="6"/>
          </w:tcPr>
          <w:p w:rsidR="006E76C9" w:rsidRPr="006E76C9" w:rsidRDefault="001F78DA" w:rsidP="00E022B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718" w:type="dxa"/>
            <w:gridSpan w:val="4"/>
          </w:tcPr>
          <w:p w:rsidR="006E76C9" w:rsidRPr="006E76C9" w:rsidRDefault="001F78DA"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1013" w:type="dxa"/>
            <w:gridSpan w:val="4"/>
          </w:tcPr>
          <w:p w:rsidR="006E76C9" w:rsidRPr="006E76C9" w:rsidRDefault="001F78DA"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709" w:type="dxa"/>
          </w:tcPr>
          <w:p w:rsidR="006E76C9" w:rsidRPr="006E76C9" w:rsidRDefault="001F78DA" w:rsidP="00E022B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709" w:type="dxa"/>
            <w:gridSpan w:val="2"/>
          </w:tcPr>
          <w:p w:rsidR="006E76C9" w:rsidRPr="006E76C9" w:rsidRDefault="001F78DA"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Pr>
          <w:p w:rsidR="006E76C9" w:rsidRPr="006E76C9" w:rsidRDefault="001F78DA"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(6.8)</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686" w:type="dxa"/>
            <w:tcBorders>
              <w:top w:val="none" w:sz="0" w:space="0" w:color="auto"/>
              <w:bottom w:val="none" w:sz="0" w:space="0" w:color="auto"/>
            </w:tcBorders>
            <w:shd w:val="clear" w:color="auto" w:fill="auto"/>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6.8</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5381" w:type="dxa"/>
            <w:gridSpan w:val="2"/>
            <w:tcBorders>
              <w:top w:val="none" w:sz="0" w:space="0" w:color="auto"/>
              <w:bottom w:val="none" w:sz="0" w:space="0" w:color="auto"/>
            </w:tcBorders>
          </w:tcPr>
          <w:p w:rsidR="006E76C9" w:rsidRPr="006E76C9" w:rsidRDefault="006E76C9" w:rsidP="0094798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20"/>
              </w:rPr>
            </w:pPr>
            <w:r w:rsidRPr="006E76C9">
              <w:rPr>
                <w:rFonts w:ascii="Arial" w:hAnsi="Arial" w:cs="Arial"/>
                <w:b w:val="0"/>
                <w:color w:val="auto"/>
                <w:sz w:val="18"/>
                <w:szCs w:val="20"/>
              </w:rPr>
              <w:t>Revenue expenditure funded from capital under statute</w:t>
            </w:r>
          </w:p>
        </w:tc>
        <w:tc>
          <w:tcPr>
            <w:tcW w:w="850" w:type="dxa"/>
            <w:gridSpan w:val="6"/>
            <w:tcBorders>
              <w:top w:val="none" w:sz="0" w:space="0" w:color="auto"/>
              <w:bottom w:val="none" w:sz="0" w:space="0" w:color="auto"/>
            </w:tcBorders>
          </w:tcPr>
          <w:p w:rsidR="006E76C9" w:rsidRPr="006E76C9" w:rsidRDefault="001F78DA" w:rsidP="007F52A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r w:rsidR="007F52A7">
              <w:rPr>
                <w:rFonts w:ascii="Arial" w:hAnsi="Arial" w:cs="Arial"/>
                <w:bCs w:val="0"/>
                <w:color w:val="auto"/>
                <w:sz w:val="20"/>
                <w:szCs w:val="20"/>
              </w:rPr>
              <w:t>3.0</w:t>
            </w:r>
            <w:r>
              <w:rPr>
                <w:rFonts w:ascii="Arial" w:hAnsi="Arial" w:cs="Arial"/>
                <w:bCs w:val="0"/>
                <w:color w:val="auto"/>
                <w:sz w:val="20"/>
                <w:szCs w:val="20"/>
              </w:rPr>
              <w:t>)</w:t>
            </w:r>
          </w:p>
        </w:tc>
        <w:tc>
          <w:tcPr>
            <w:tcW w:w="718" w:type="dxa"/>
            <w:gridSpan w:val="4"/>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1013" w:type="dxa"/>
            <w:gridSpan w:val="4"/>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709" w:type="dxa"/>
            <w:tcBorders>
              <w:top w:val="none" w:sz="0" w:space="0" w:color="auto"/>
              <w:bottom w:val="none" w:sz="0" w:space="0" w:color="auto"/>
            </w:tcBorders>
          </w:tcPr>
          <w:p w:rsidR="006E76C9" w:rsidRPr="006E76C9" w:rsidRDefault="007F52A7" w:rsidP="002F5A1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3.0</w:t>
            </w:r>
          </w:p>
        </w:tc>
        <w:tc>
          <w:tcPr>
            <w:tcW w:w="709" w:type="dxa"/>
            <w:gridSpan w:val="2"/>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r>
      <w:tr w:rsidR="006E76C9" w:rsidRPr="0005794A" w:rsidTr="008A25D1">
        <w:trPr>
          <w:trHeight w:val="397"/>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(1.3)</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686" w:type="dxa"/>
            <w:shd w:val="clear" w:color="auto" w:fill="auto"/>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1.3</w:t>
            </w: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5381" w:type="dxa"/>
            <w:gridSpan w:val="2"/>
          </w:tcPr>
          <w:p w:rsidR="006E76C9" w:rsidRPr="006E76C9" w:rsidRDefault="006E76C9" w:rsidP="0094798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 xml:space="preserve">Amounts of </w:t>
            </w:r>
            <w:proofErr w:type="spellStart"/>
            <w:r w:rsidRPr="006E76C9">
              <w:rPr>
                <w:rFonts w:ascii="Arial" w:hAnsi="Arial" w:cs="Arial"/>
                <w:b w:val="0"/>
                <w:color w:val="auto"/>
                <w:sz w:val="20"/>
                <w:szCs w:val="20"/>
              </w:rPr>
              <w:t>non current</w:t>
            </w:r>
            <w:proofErr w:type="spellEnd"/>
            <w:r w:rsidRPr="006E76C9">
              <w:rPr>
                <w:rFonts w:ascii="Arial" w:hAnsi="Arial" w:cs="Arial"/>
                <w:b w:val="0"/>
                <w:color w:val="auto"/>
                <w:sz w:val="20"/>
                <w:szCs w:val="20"/>
              </w:rPr>
              <w:t xml:space="preserve"> assets written off on disposal/sale as part of the gain/loss on disposal to the CI&amp;E statement</w:t>
            </w:r>
          </w:p>
        </w:tc>
        <w:tc>
          <w:tcPr>
            <w:tcW w:w="850" w:type="dxa"/>
            <w:gridSpan w:val="6"/>
          </w:tcPr>
          <w:p w:rsidR="006E76C9" w:rsidRPr="006E76C9" w:rsidRDefault="001F78DA" w:rsidP="006D4D2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(7.7)</w:t>
            </w:r>
          </w:p>
        </w:tc>
        <w:tc>
          <w:tcPr>
            <w:tcW w:w="718" w:type="dxa"/>
            <w:gridSpan w:val="4"/>
          </w:tcPr>
          <w:p w:rsidR="006E76C9" w:rsidRPr="006E76C9" w:rsidRDefault="001F78DA"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1013" w:type="dxa"/>
            <w:gridSpan w:val="4"/>
          </w:tcPr>
          <w:p w:rsidR="006E76C9" w:rsidRPr="006E76C9" w:rsidRDefault="001F78DA"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709" w:type="dxa"/>
          </w:tcPr>
          <w:p w:rsidR="006E76C9" w:rsidRPr="006E76C9" w:rsidRDefault="001F78DA" w:rsidP="006D4D2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7.7</w:t>
            </w:r>
          </w:p>
        </w:tc>
        <w:tc>
          <w:tcPr>
            <w:tcW w:w="709" w:type="dxa"/>
            <w:gridSpan w:val="2"/>
          </w:tcPr>
          <w:p w:rsidR="006E76C9" w:rsidRPr="006E76C9" w:rsidRDefault="001F78DA"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Pr>
          <w:p w:rsidR="006E76C9" w:rsidRPr="006E76C9" w:rsidRDefault="001F78DA"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0.1</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686" w:type="dxa"/>
            <w:tcBorders>
              <w:top w:val="none" w:sz="0" w:space="0" w:color="auto"/>
              <w:bottom w:val="none" w:sz="0" w:space="0" w:color="auto"/>
            </w:tcBorders>
            <w:shd w:val="clear" w:color="auto" w:fill="auto"/>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(0.1)</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5381" w:type="dxa"/>
            <w:gridSpan w:val="2"/>
            <w:tcBorders>
              <w:top w:val="none" w:sz="0" w:space="0" w:color="auto"/>
              <w:bottom w:val="none" w:sz="0" w:space="0" w:color="auto"/>
            </w:tcBorders>
          </w:tcPr>
          <w:p w:rsidR="006E76C9" w:rsidRPr="006E76C9" w:rsidRDefault="006E76C9" w:rsidP="0094798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Notional Rent Credit</w:t>
            </w:r>
          </w:p>
        </w:tc>
        <w:tc>
          <w:tcPr>
            <w:tcW w:w="850" w:type="dxa"/>
            <w:gridSpan w:val="6"/>
            <w:tcBorders>
              <w:top w:val="none" w:sz="0" w:space="0" w:color="auto"/>
              <w:bottom w:val="none" w:sz="0" w:space="0" w:color="auto"/>
            </w:tcBorders>
          </w:tcPr>
          <w:p w:rsidR="006E76C9" w:rsidRPr="006E76C9" w:rsidRDefault="001F78DA" w:rsidP="009872D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r w:rsidR="00E022B7">
              <w:rPr>
                <w:rFonts w:ascii="Arial" w:hAnsi="Arial" w:cs="Arial"/>
                <w:bCs w:val="0"/>
                <w:color w:val="auto"/>
                <w:sz w:val="20"/>
                <w:szCs w:val="20"/>
              </w:rPr>
              <w:t>.1</w:t>
            </w:r>
          </w:p>
        </w:tc>
        <w:tc>
          <w:tcPr>
            <w:tcW w:w="718" w:type="dxa"/>
            <w:gridSpan w:val="4"/>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1013" w:type="dxa"/>
            <w:gridSpan w:val="4"/>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709" w:type="dxa"/>
            <w:tcBorders>
              <w:top w:val="none" w:sz="0" w:space="0" w:color="auto"/>
              <w:bottom w:val="none" w:sz="0" w:space="0" w:color="auto"/>
            </w:tcBorders>
          </w:tcPr>
          <w:p w:rsidR="006E76C9" w:rsidRPr="006E76C9" w:rsidRDefault="00E022B7" w:rsidP="009872D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r w:rsidR="009872DE">
              <w:rPr>
                <w:rFonts w:ascii="Arial" w:hAnsi="Arial" w:cs="Arial"/>
                <w:bCs w:val="0"/>
                <w:color w:val="auto"/>
                <w:sz w:val="20"/>
                <w:szCs w:val="20"/>
              </w:rPr>
              <w:t>0</w:t>
            </w:r>
            <w:r>
              <w:rPr>
                <w:rFonts w:ascii="Arial" w:hAnsi="Arial" w:cs="Arial"/>
                <w:bCs w:val="0"/>
                <w:color w:val="auto"/>
                <w:sz w:val="20"/>
                <w:szCs w:val="20"/>
              </w:rPr>
              <w:t>.1)</w:t>
            </w:r>
          </w:p>
        </w:tc>
        <w:tc>
          <w:tcPr>
            <w:tcW w:w="709" w:type="dxa"/>
            <w:gridSpan w:val="2"/>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r>
      <w:tr w:rsidR="006E76C9" w:rsidRPr="0005794A" w:rsidTr="008A25D1">
        <w:trPr>
          <w:trHeight w:val="397"/>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3E75F7">
            <w:pPr>
              <w:pStyle w:val="ExampleSub"/>
              <w:keepNext w:val="0"/>
              <w:keepLines w:val="0"/>
              <w:ind w:left="0"/>
              <w:jc w:val="center"/>
              <w:rPr>
                <w:rFonts w:ascii="Arial" w:hAnsi="Arial" w:cs="Arial"/>
                <w:color w:val="auto"/>
                <w:sz w:val="20"/>
                <w:szCs w:val="20"/>
              </w:rPr>
            </w:pPr>
          </w:p>
        </w:tc>
        <w:tc>
          <w:tcPr>
            <w:tcW w:w="700" w:type="dxa"/>
          </w:tcPr>
          <w:p w:rsidR="006E76C9" w:rsidRPr="006E76C9" w:rsidRDefault="006E76C9" w:rsidP="003E75F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72" w:type="dxa"/>
          </w:tcPr>
          <w:p w:rsidR="006E76C9" w:rsidRPr="006E76C9" w:rsidRDefault="006E76C9" w:rsidP="003E75F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686" w:type="dxa"/>
            <w:shd w:val="clear" w:color="auto" w:fill="auto"/>
          </w:tcPr>
          <w:p w:rsidR="006E76C9" w:rsidRPr="006E76C9" w:rsidRDefault="006E76C9" w:rsidP="003E75F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3" w:type="dxa"/>
          </w:tcPr>
          <w:p w:rsidR="006E76C9" w:rsidRPr="006E76C9" w:rsidRDefault="006E76C9" w:rsidP="0094798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94798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381" w:type="dxa"/>
            <w:gridSpan w:val="2"/>
          </w:tcPr>
          <w:p w:rsidR="006E76C9" w:rsidRPr="006E76C9" w:rsidRDefault="006E76C9" w:rsidP="0094798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p>
        </w:tc>
        <w:tc>
          <w:tcPr>
            <w:tcW w:w="850" w:type="dxa"/>
            <w:gridSpan w:val="6"/>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18" w:type="dxa"/>
            <w:gridSpan w:val="4"/>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1013" w:type="dxa"/>
            <w:gridSpan w:val="4"/>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6E76C9" w:rsidRPr="006E76C9" w:rsidRDefault="006E76C9" w:rsidP="002F158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0"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483" w:type="dxa"/>
            <w:gridSpan w:val="3"/>
            <w:tcBorders>
              <w:top w:val="none" w:sz="0" w:space="0" w:color="auto"/>
              <w:bottom w:val="none" w:sz="0" w:space="0" w:color="auto"/>
              <w:right w:val="none" w:sz="0" w:space="0" w:color="auto"/>
            </w:tcBorders>
            <w:shd w:val="clear" w:color="auto" w:fill="4BACC6" w:themeFill="accent5"/>
          </w:tcPr>
          <w:p w:rsidR="006E76C9" w:rsidRPr="006E76C9" w:rsidRDefault="006E76C9" w:rsidP="00AA5926">
            <w:pPr>
              <w:pStyle w:val="ExampleSub"/>
              <w:keepNext w:val="0"/>
              <w:keepLines w:val="0"/>
              <w:ind w:left="0"/>
              <w:jc w:val="center"/>
              <w:rPr>
                <w:rFonts w:ascii="Arial" w:hAnsi="Arial" w:cs="Arial"/>
                <w:color w:val="auto"/>
                <w:sz w:val="20"/>
                <w:szCs w:val="20"/>
              </w:rPr>
            </w:pPr>
            <w:r w:rsidRPr="006E76C9">
              <w:rPr>
                <w:rFonts w:ascii="Arial" w:hAnsi="Arial" w:cs="Arial"/>
                <w:color w:val="auto"/>
                <w:sz w:val="18"/>
                <w:szCs w:val="18"/>
              </w:rPr>
              <w:lastRenderedPageBreak/>
              <w:t>Usable Reserves</w:t>
            </w:r>
          </w:p>
        </w:tc>
        <w:tc>
          <w:tcPr>
            <w:tcW w:w="2248" w:type="dxa"/>
            <w:gridSpan w:val="4"/>
            <w:tcBorders>
              <w:top w:val="none" w:sz="0" w:space="0" w:color="auto"/>
              <w:bottom w:val="none" w:sz="0" w:space="0" w:color="auto"/>
            </w:tcBorders>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6E76C9">
              <w:rPr>
                <w:rFonts w:ascii="Arial" w:hAnsi="Arial" w:cs="Arial"/>
                <w:bCs w:val="0"/>
                <w:color w:val="auto"/>
                <w:sz w:val="18"/>
                <w:szCs w:val="18"/>
              </w:rPr>
              <w:t>Unusable Reserves</w:t>
            </w:r>
          </w:p>
        </w:tc>
        <w:tc>
          <w:tcPr>
            <w:tcW w:w="5791" w:type="dxa"/>
            <w:gridSpan w:val="7"/>
            <w:tcBorders>
              <w:top w:val="none" w:sz="0" w:space="0" w:color="auto"/>
              <w:bottom w:val="none" w:sz="0" w:space="0" w:color="auto"/>
            </w:tcBorders>
            <w:shd w:val="clear" w:color="auto" w:fill="4BACC6" w:themeFill="accent5"/>
          </w:tcPr>
          <w:p w:rsidR="006E76C9" w:rsidRPr="006E76C9" w:rsidRDefault="006E76C9" w:rsidP="00AA5926">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2171" w:type="dxa"/>
            <w:gridSpan w:val="9"/>
            <w:tcBorders>
              <w:top w:val="none" w:sz="0" w:space="0" w:color="auto"/>
              <w:bottom w:val="none" w:sz="0" w:space="0" w:color="auto"/>
            </w:tcBorders>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Usable Reserves</w:t>
            </w:r>
          </w:p>
        </w:tc>
        <w:tc>
          <w:tcPr>
            <w:tcW w:w="2268" w:type="dxa"/>
            <w:gridSpan w:val="5"/>
            <w:tcBorders>
              <w:top w:val="none" w:sz="0" w:space="0" w:color="auto"/>
              <w:bottom w:val="none" w:sz="0" w:space="0" w:color="auto"/>
            </w:tcBorders>
            <w:shd w:val="clear" w:color="auto" w:fill="4BACC6" w:themeFill="accent5"/>
          </w:tcPr>
          <w:p w:rsidR="006E76C9" w:rsidRPr="006E76C9" w:rsidRDefault="006E76C9" w:rsidP="00AA5926">
            <w:pPr>
              <w:pStyle w:val="ExampleSub"/>
              <w:ind w:left="0"/>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Unusable Reserves</w:t>
            </w:r>
          </w:p>
        </w:tc>
      </w:tr>
      <w:tr w:rsidR="006E76C9" w:rsidRPr="0005794A" w:rsidTr="008A25D1">
        <w:trPr>
          <w:trHeight w:val="1701"/>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shd w:val="clear" w:color="auto" w:fill="4BACC6" w:themeFill="accent5"/>
            <w:textDirection w:val="btLr"/>
          </w:tcPr>
          <w:p w:rsidR="006E76C9" w:rsidRPr="006E76C9" w:rsidRDefault="006E76C9" w:rsidP="00AA5926">
            <w:pPr>
              <w:pStyle w:val="ExampleSub"/>
              <w:keepNext w:val="0"/>
              <w:keepLines w:val="0"/>
              <w:ind w:left="113" w:right="113"/>
              <w:rPr>
                <w:rFonts w:ascii="Arial" w:hAnsi="Arial" w:cs="Arial"/>
                <w:color w:val="auto"/>
                <w:sz w:val="20"/>
                <w:szCs w:val="20"/>
              </w:rPr>
            </w:pPr>
            <w:r w:rsidRPr="006E76C9">
              <w:rPr>
                <w:rFonts w:ascii="Arial" w:hAnsi="Arial" w:cs="Arial"/>
                <w:color w:val="auto"/>
                <w:sz w:val="20"/>
                <w:szCs w:val="20"/>
              </w:rPr>
              <w:t>General Fund</w:t>
            </w:r>
          </w:p>
        </w:tc>
        <w:tc>
          <w:tcPr>
            <w:tcW w:w="700" w:type="dxa"/>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Receipts</w:t>
            </w:r>
          </w:p>
        </w:tc>
        <w:tc>
          <w:tcPr>
            <w:tcW w:w="872" w:type="dxa"/>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Capital Grants </w:t>
            </w:r>
            <w:proofErr w:type="spellStart"/>
            <w:r w:rsidRPr="006E76C9">
              <w:rPr>
                <w:rFonts w:ascii="Arial" w:hAnsi="Arial" w:cs="Arial"/>
                <w:b w:val="0"/>
                <w:bCs w:val="0"/>
                <w:color w:val="auto"/>
                <w:sz w:val="20"/>
                <w:szCs w:val="20"/>
              </w:rPr>
              <w:t>Unappl’d</w:t>
            </w:r>
            <w:proofErr w:type="spellEnd"/>
          </w:p>
        </w:tc>
        <w:tc>
          <w:tcPr>
            <w:tcW w:w="686" w:type="dxa"/>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CAA</w:t>
            </w:r>
          </w:p>
        </w:tc>
        <w:tc>
          <w:tcPr>
            <w:tcW w:w="853" w:type="dxa"/>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sidRPr="006E76C9">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Other</w:t>
            </w:r>
          </w:p>
        </w:tc>
        <w:tc>
          <w:tcPr>
            <w:tcW w:w="5411" w:type="dxa"/>
            <w:gridSpan w:val="3"/>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2"/>
                <w:szCs w:val="22"/>
              </w:rPr>
            </w:pPr>
          </w:p>
        </w:tc>
        <w:tc>
          <w:tcPr>
            <w:tcW w:w="850" w:type="dxa"/>
            <w:gridSpan w:val="6"/>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General Fund</w:t>
            </w:r>
          </w:p>
        </w:tc>
        <w:tc>
          <w:tcPr>
            <w:tcW w:w="709" w:type="dxa"/>
            <w:gridSpan w:val="4"/>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Receipts</w:t>
            </w:r>
          </w:p>
        </w:tc>
        <w:tc>
          <w:tcPr>
            <w:tcW w:w="992" w:type="dxa"/>
            <w:gridSpan w:val="3"/>
            <w:shd w:val="clear" w:color="auto" w:fill="4BACC6" w:themeFill="accent5"/>
            <w:textDirection w:val="btLr"/>
          </w:tcPr>
          <w:p w:rsidR="006E76C9" w:rsidRPr="006E76C9" w:rsidRDefault="006E76C9" w:rsidP="00E53028">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Capital Grants </w:t>
            </w:r>
            <w:proofErr w:type="spellStart"/>
            <w:r w:rsidRPr="006E76C9">
              <w:rPr>
                <w:rFonts w:ascii="Arial" w:hAnsi="Arial" w:cs="Arial"/>
                <w:b w:val="0"/>
                <w:bCs w:val="0"/>
                <w:color w:val="auto"/>
                <w:sz w:val="20"/>
                <w:szCs w:val="20"/>
              </w:rPr>
              <w:t>Unappl’d</w:t>
            </w:r>
            <w:proofErr w:type="spellEnd"/>
          </w:p>
        </w:tc>
        <w:tc>
          <w:tcPr>
            <w:tcW w:w="851" w:type="dxa"/>
            <w:gridSpan w:val="2"/>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CAA</w:t>
            </w:r>
          </w:p>
        </w:tc>
        <w:tc>
          <w:tcPr>
            <w:tcW w:w="567" w:type="dxa"/>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Pension</w:t>
            </w:r>
          </w:p>
        </w:tc>
        <w:tc>
          <w:tcPr>
            <w:tcW w:w="850" w:type="dxa"/>
            <w:gridSpan w:val="2"/>
            <w:shd w:val="clear" w:color="auto" w:fill="4BACC6" w:themeFill="accent5"/>
            <w:textDirection w:val="btLr"/>
          </w:tcPr>
          <w:p w:rsidR="006E76C9" w:rsidRPr="006E76C9" w:rsidRDefault="006E76C9" w:rsidP="00AA5926">
            <w:pPr>
              <w:pStyle w:val="ExampleSub"/>
              <w:keepNext w:val="0"/>
              <w:keepLines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Other</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cPr>
          <w:p w:rsidR="006E76C9" w:rsidRPr="006E76C9" w:rsidRDefault="006E76C9" w:rsidP="00AA5926">
            <w:pPr>
              <w:pStyle w:val="ExampleSub"/>
              <w:keepNext w:val="0"/>
              <w:keepLines w:val="0"/>
              <w:ind w:left="0"/>
              <w:jc w:val="center"/>
              <w:rPr>
                <w:rFonts w:ascii="Arial" w:hAnsi="Arial" w:cs="Arial"/>
                <w:color w:val="auto"/>
                <w:sz w:val="18"/>
                <w:szCs w:val="18"/>
              </w:rPr>
            </w:pPr>
            <w:r w:rsidRPr="006E76C9">
              <w:rPr>
                <w:rFonts w:ascii="Arial" w:hAnsi="Arial" w:cs="Arial"/>
                <w:color w:val="auto"/>
                <w:sz w:val="18"/>
                <w:szCs w:val="18"/>
              </w:rPr>
              <w:t>£m</w:t>
            </w:r>
          </w:p>
        </w:tc>
        <w:tc>
          <w:tcPr>
            <w:tcW w:w="700" w:type="dxa"/>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72" w:type="dxa"/>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686" w:type="dxa"/>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3" w:type="dxa"/>
            <w:shd w:val="clear" w:color="auto" w:fill="4BACC6" w:themeFill="accent5"/>
          </w:tcPr>
          <w:p w:rsidR="006E76C9" w:rsidRPr="006E76C9" w:rsidRDefault="006E76C9" w:rsidP="00AA5926">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6E76C9">
              <w:rPr>
                <w:rFonts w:ascii="Arial" w:hAnsi="Arial" w:cs="Arial"/>
                <w:b w:val="0"/>
                <w:color w:val="auto"/>
                <w:sz w:val="18"/>
                <w:szCs w:val="18"/>
              </w:rPr>
              <w:t>£m</w:t>
            </w:r>
          </w:p>
        </w:tc>
        <w:tc>
          <w:tcPr>
            <w:tcW w:w="709" w:type="dxa"/>
            <w:gridSpan w:val="2"/>
            <w:shd w:val="clear" w:color="auto" w:fill="4BACC6" w:themeFill="accent5"/>
          </w:tcPr>
          <w:p w:rsidR="006E76C9" w:rsidRPr="006E76C9" w:rsidRDefault="006E76C9" w:rsidP="00AA5926">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r w:rsidRPr="006E76C9">
              <w:rPr>
                <w:rFonts w:ascii="Arial" w:hAnsi="Arial" w:cs="Arial"/>
                <w:b w:val="0"/>
                <w:color w:val="auto"/>
                <w:sz w:val="18"/>
                <w:szCs w:val="18"/>
              </w:rPr>
              <w:t>£m</w:t>
            </w:r>
          </w:p>
        </w:tc>
        <w:tc>
          <w:tcPr>
            <w:tcW w:w="5411" w:type="dxa"/>
            <w:gridSpan w:val="3"/>
            <w:shd w:val="clear" w:color="auto" w:fill="4BACC6" w:themeFill="accent5"/>
          </w:tcPr>
          <w:p w:rsidR="006E76C9" w:rsidRPr="006E76C9" w:rsidRDefault="006E76C9" w:rsidP="00AA5926">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p>
        </w:tc>
        <w:tc>
          <w:tcPr>
            <w:tcW w:w="850" w:type="dxa"/>
            <w:gridSpan w:val="6"/>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09" w:type="dxa"/>
            <w:gridSpan w:val="4"/>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992" w:type="dxa"/>
            <w:gridSpan w:val="3"/>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1" w:type="dxa"/>
            <w:gridSpan w:val="2"/>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567" w:type="dxa"/>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0" w:type="dxa"/>
            <w:gridSpan w:val="2"/>
            <w:shd w:val="clear" w:color="auto" w:fill="4BACC6" w:themeFill="accent5"/>
          </w:tcPr>
          <w:p w:rsidR="006E76C9" w:rsidRPr="006E76C9" w:rsidRDefault="006E76C9" w:rsidP="00AA5926">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r>
      <w:tr w:rsidR="006E76C9" w:rsidRPr="0005794A" w:rsidTr="008A25D1">
        <w:trPr>
          <w:trHeight w:val="397"/>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(22.3)</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22.3</w:t>
            </w:r>
          </w:p>
        </w:tc>
        <w:tc>
          <w:tcPr>
            <w:tcW w:w="853" w:type="dxa"/>
          </w:tcPr>
          <w:p w:rsidR="006E76C9" w:rsidRPr="006E76C9" w:rsidRDefault="006E76C9" w:rsidP="006E76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709" w:type="dxa"/>
            <w:gridSpan w:val="2"/>
          </w:tcPr>
          <w:p w:rsidR="006E76C9" w:rsidRPr="006E76C9" w:rsidRDefault="006E76C9" w:rsidP="006E76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5411" w:type="dxa"/>
            <w:gridSpan w:val="3"/>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proofErr w:type="spellStart"/>
            <w:r w:rsidRPr="006E76C9">
              <w:rPr>
                <w:rFonts w:ascii="Arial" w:hAnsi="Arial" w:cs="Arial"/>
                <w:b w:val="0"/>
                <w:color w:val="auto"/>
                <w:sz w:val="20"/>
                <w:szCs w:val="20"/>
              </w:rPr>
              <w:t>b/f</w:t>
            </w:r>
            <w:proofErr w:type="spellEnd"/>
          </w:p>
        </w:tc>
        <w:tc>
          <w:tcPr>
            <w:tcW w:w="850" w:type="dxa"/>
            <w:gridSpan w:val="6"/>
          </w:tcPr>
          <w:p w:rsidR="006E76C9" w:rsidRPr="006E76C9" w:rsidRDefault="007F52A7" w:rsidP="00644F63">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r w:rsidR="009872DE">
              <w:rPr>
                <w:rFonts w:ascii="Arial" w:hAnsi="Arial" w:cs="Arial"/>
                <w:bCs w:val="0"/>
                <w:color w:val="auto"/>
                <w:sz w:val="20"/>
                <w:szCs w:val="20"/>
              </w:rPr>
              <w:t>3</w:t>
            </w:r>
            <w:r w:rsidR="00E022B7">
              <w:rPr>
                <w:rFonts w:ascii="Arial" w:hAnsi="Arial" w:cs="Arial"/>
                <w:bCs w:val="0"/>
                <w:color w:val="auto"/>
                <w:sz w:val="20"/>
                <w:szCs w:val="20"/>
              </w:rPr>
              <w:t>1.</w:t>
            </w:r>
            <w:r w:rsidR="00644F63">
              <w:rPr>
                <w:rFonts w:ascii="Arial" w:hAnsi="Arial" w:cs="Arial"/>
                <w:bCs w:val="0"/>
                <w:color w:val="auto"/>
                <w:sz w:val="20"/>
                <w:szCs w:val="20"/>
              </w:rPr>
              <w:t>8</w:t>
            </w:r>
            <w:r w:rsidR="009872DE">
              <w:rPr>
                <w:rFonts w:ascii="Arial" w:hAnsi="Arial" w:cs="Arial"/>
                <w:bCs w:val="0"/>
                <w:color w:val="auto"/>
                <w:sz w:val="20"/>
                <w:szCs w:val="20"/>
              </w:rPr>
              <w:t>)</w:t>
            </w:r>
          </w:p>
        </w:tc>
        <w:tc>
          <w:tcPr>
            <w:tcW w:w="709" w:type="dxa"/>
            <w:gridSpan w:val="4"/>
          </w:tcPr>
          <w:p w:rsidR="006E76C9" w:rsidRPr="006E76C9" w:rsidRDefault="007F52A7"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992" w:type="dxa"/>
            <w:gridSpan w:val="3"/>
          </w:tcPr>
          <w:p w:rsidR="006E76C9" w:rsidRPr="006E76C9" w:rsidRDefault="007F52A7"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851" w:type="dxa"/>
            <w:gridSpan w:val="2"/>
          </w:tcPr>
          <w:p w:rsidR="006E76C9" w:rsidRPr="006E76C9" w:rsidRDefault="009872DE" w:rsidP="00644F63">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3</w:t>
            </w:r>
            <w:r w:rsidR="00E022B7">
              <w:rPr>
                <w:rFonts w:ascii="Arial" w:hAnsi="Arial" w:cs="Arial"/>
                <w:bCs w:val="0"/>
                <w:color w:val="auto"/>
                <w:sz w:val="20"/>
                <w:szCs w:val="20"/>
              </w:rPr>
              <w:t>1.</w:t>
            </w:r>
            <w:r w:rsidR="00644F63">
              <w:rPr>
                <w:rFonts w:ascii="Arial" w:hAnsi="Arial" w:cs="Arial"/>
                <w:bCs w:val="0"/>
                <w:color w:val="auto"/>
                <w:sz w:val="20"/>
                <w:szCs w:val="20"/>
              </w:rPr>
              <w:t>8</w:t>
            </w:r>
          </w:p>
        </w:tc>
        <w:tc>
          <w:tcPr>
            <w:tcW w:w="567" w:type="dxa"/>
          </w:tcPr>
          <w:p w:rsidR="006E76C9" w:rsidRPr="006E76C9" w:rsidRDefault="007F52A7"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0</w:t>
            </w:r>
          </w:p>
        </w:tc>
        <w:tc>
          <w:tcPr>
            <w:tcW w:w="850" w:type="dxa"/>
            <w:gridSpan w:val="2"/>
          </w:tcPr>
          <w:p w:rsidR="006E76C9" w:rsidRPr="006E76C9" w:rsidRDefault="007F52A7"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0</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0.8</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(0.8)</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5411" w:type="dxa"/>
            <w:gridSpan w:val="3"/>
            <w:tcBorders>
              <w:top w:val="none" w:sz="0" w:space="0" w:color="auto"/>
              <w:bottom w:val="none" w:sz="0" w:space="0" w:color="auto"/>
            </w:tcBorders>
          </w:tcPr>
          <w:p w:rsidR="006E76C9" w:rsidRPr="00E022B7" w:rsidRDefault="006E76C9" w:rsidP="00E022B7">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E022B7">
              <w:rPr>
                <w:rFonts w:ascii="Arial" w:hAnsi="Arial" w:cs="Arial"/>
                <w:b w:val="0"/>
                <w:bCs w:val="0"/>
                <w:color w:val="auto"/>
                <w:sz w:val="20"/>
                <w:szCs w:val="20"/>
              </w:rPr>
              <w:t>Deferred Credit re Energy From Waste</w:t>
            </w:r>
          </w:p>
        </w:tc>
        <w:tc>
          <w:tcPr>
            <w:tcW w:w="850" w:type="dxa"/>
            <w:gridSpan w:val="6"/>
            <w:tcBorders>
              <w:top w:val="none" w:sz="0" w:space="0" w:color="auto"/>
              <w:bottom w:val="none" w:sz="0" w:space="0" w:color="auto"/>
            </w:tcBorders>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0.8</w:t>
            </w:r>
          </w:p>
        </w:tc>
        <w:tc>
          <w:tcPr>
            <w:tcW w:w="709" w:type="dxa"/>
            <w:gridSpan w:val="4"/>
            <w:tcBorders>
              <w:top w:val="none" w:sz="0" w:space="0" w:color="auto"/>
              <w:bottom w:val="none" w:sz="0" w:space="0" w:color="auto"/>
            </w:tcBorders>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992" w:type="dxa"/>
            <w:gridSpan w:val="3"/>
            <w:tcBorders>
              <w:top w:val="none" w:sz="0" w:space="0" w:color="auto"/>
              <w:bottom w:val="none" w:sz="0" w:space="0" w:color="auto"/>
            </w:tcBorders>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1" w:type="dxa"/>
            <w:gridSpan w:val="2"/>
            <w:tcBorders>
              <w:top w:val="none" w:sz="0" w:space="0" w:color="auto"/>
              <w:bottom w:val="none" w:sz="0" w:space="0" w:color="auto"/>
            </w:tcBorders>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(0.8)</w:t>
            </w:r>
          </w:p>
        </w:tc>
        <w:tc>
          <w:tcPr>
            <w:tcW w:w="567" w:type="dxa"/>
            <w:tcBorders>
              <w:top w:val="none" w:sz="0" w:space="0" w:color="auto"/>
              <w:bottom w:val="none" w:sz="0" w:space="0" w:color="auto"/>
            </w:tcBorders>
          </w:tcPr>
          <w:p w:rsidR="006E76C9" w:rsidRPr="006E76C9" w:rsidRDefault="001F78D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6E76C9" w:rsidRPr="006E76C9" w:rsidRDefault="001F78DA"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r>
      <w:tr w:rsidR="006E76C9" w:rsidRPr="0005794A" w:rsidTr="008A25D1">
        <w:trPr>
          <w:trHeight w:val="397"/>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6E76C9" w:rsidRPr="006E76C9" w:rsidRDefault="006E76C9" w:rsidP="006E76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6E76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u w:val="single"/>
              </w:rPr>
              <w:t>Other</w:t>
            </w:r>
          </w:p>
        </w:tc>
        <w:tc>
          <w:tcPr>
            <w:tcW w:w="850" w:type="dxa"/>
            <w:gridSpan w:val="6"/>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4"/>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992" w:type="dxa"/>
            <w:gridSpan w:val="3"/>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1" w:type="dxa"/>
            <w:gridSpan w:val="2"/>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67" w:type="dxa"/>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0" w:type="dxa"/>
            <w:gridSpan w:val="2"/>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(0.5)</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0.5</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5411" w:type="dxa"/>
            <w:gridSpan w:val="3"/>
            <w:tcBorders>
              <w:top w:val="none" w:sz="0" w:space="0" w:color="auto"/>
              <w:bottom w:val="none" w:sz="0" w:space="0" w:color="auto"/>
            </w:tcBorders>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color w:val="auto"/>
                <w:sz w:val="20"/>
                <w:szCs w:val="20"/>
              </w:rPr>
              <w:t>Movement in the fair value of Investment Properties</w:t>
            </w:r>
          </w:p>
        </w:tc>
        <w:tc>
          <w:tcPr>
            <w:tcW w:w="850" w:type="dxa"/>
            <w:gridSpan w:val="6"/>
            <w:tcBorders>
              <w:top w:val="none" w:sz="0" w:space="0" w:color="auto"/>
              <w:bottom w:val="none" w:sz="0" w:space="0" w:color="auto"/>
            </w:tcBorders>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(6.0)</w:t>
            </w:r>
          </w:p>
        </w:tc>
        <w:tc>
          <w:tcPr>
            <w:tcW w:w="709" w:type="dxa"/>
            <w:gridSpan w:val="4"/>
            <w:tcBorders>
              <w:top w:val="none" w:sz="0" w:space="0" w:color="auto"/>
              <w:bottom w:val="none" w:sz="0" w:space="0" w:color="auto"/>
            </w:tcBorders>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992" w:type="dxa"/>
            <w:gridSpan w:val="3"/>
            <w:tcBorders>
              <w:top w:val="none" w:sz="0" w:space="0" w:color="auto"/>
              <w:bottom w:val="none" w:sz="0" w:space="0" w:color="auto"/>
            </w:tcBorders>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1" w:type="dxa"/>
            <w:gridSpan w:val="2"/>
            <w:tcBorders>
              <w:top w:val="none" w:sz="0" w:space="0" w:color="auto"/>
              <w:bottom w:val="none" w:sz="0" w:space="0" w:color="auto"/>
            </w:tcBorders>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6.0</w:t>
            </w:r>
          </w:p>
        </w:tc>
        <w:tc>
          <w:tcPr>
            <w:tcW w:w="567" w:type="dxa"/>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r>
      <w:tr w:rsidR="006E76C9" w:rsidRPr="0005794A" w:rsidTr="008A25D1">
        <w:trPr>
          <w:trHeight w:val="397"/>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6E76C9" w:rsidRPr="006E76C9" w:rsidRDefault="006E76C9" w:rsidP="00947988">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6E76C9">
              <w:rPr>
                <w:rFonts w:ascii="Arial" w:hAnsi="Arial" w:cs="Arial"/>
                <w:b w:val="0"/>
                <w:bCs w:val="0"/>
                <w:color w:val="auto"/>
                <w:sz w:val="20"/>
                <w:szCs w:val="20"/>
                <w:u w:val="single"/>
              </w:rPr>
              <w:t>Items relating to capital financing applied in the year</w:t>
            </w:r>
          </w:p>
        </w:tc>
        <w:tc>
          <w:tcPr>
            <w:tcW w:w="850" w:type="dxa"/>
            <w:gridSpan w:val="6"/>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4"/>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992" w:type="dxa"/>
            <w:gridSpan w:val="3"/>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1" w:type="dxa"/>
            <w:gridSpan w:val="2"/>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67" w:type="dxa"/>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0"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7.1</w:t>
            </w:r>
          </w:p>
        </w:tc>
        <w:tc>
          <w:tcPr>
            <w:tcW w:w="700"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(7.1)</w:t>
            </w:r>
          </w:p>
        </w:tc>
        <w:tc>
          <w:tcPr>
            <w:tcW w:w="853"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6E76C9" w:rsidRPr="006E76C9" w:rsidRDefault="006E76C9" w:rsidP="00947988">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Grants and Contributions Applied</w:t>
            </w:r>
          </w:p>
        </w:tc>
        <w:tc>
          <w:tcPr>
            <w:tcW w:w="850" w:type="dxa"/>
            <w:gridSpan w:val="6"/>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6.5</w:t>
            </w:r>
          </w:p>
        </w:tc>
        <w:tc>
          <w:tcPr>
            <w:tcW w:w="709" w:type="dxa"/>
            <w:gridSpan w:val="4"/>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992" w:type="dxa"/>
            <w:gridSpan w:val="3"/>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1" w:type="dxa"/>
            <w:gridSpan w:val="2"/>
          </w:tcPr>
          <w:p w:rsidR="006E76C9" w:rsidRPr="006E76C9" w:rsidRDefault="001F78DA" w:rsidP="00CA780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(6.5)</w:t>
            </w:r>
          </w:p>
        </w:tc>
        <w:tc>
          <w:tcPr>
            <w:tcW w:w="567" w:type="dxa"/>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r>
      <w:tr w:rsidR="006E76C9" w:rsidRPr="0005794A" w:rsidTr="008A25D1">
        <w:trPr>
          <w:trHeight w:val="562"/>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Cs w:val="0"/>
                <w:color w:val="auto"/>
                <w:sz w:val="20"/>
                <w:szCs w:val="20"/>
              </w:rPr>
              <w:t xml:space="preserve">Insertion of items not debited or credited to the Comprehensive Income and Expenditure Statement </w:t>
            </w:r>
          </w:p>
        </w:tc>
        <w:tc>
          <w:tcPr>
            <w:tcW w:w="850" w:type="dxa"/>
            <w:gridSpan w:val="6"/>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4"/>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992" w:type="dxa"/>
            <w:gridSpan w:val="3"/>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1" w:type="dxa"/>
            <w:gridSpan w:val="2"/>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67" w:type="dxa"/>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0"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72"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686"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3"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6E76C9" w:rsidRPr="006E76C9" w:rsidRDefault="006E76C9" w:rsidP="009E1013">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6E76C9">
              <w:rPr>
                <w:rFonts w:ascii="Arial" w:hAnsi="Arial" w:cs="Arial"/>
                <w:b w:val="0"/>
                <w:bCs w:val="0"/>
                <w:color w:val="auto"/>
                <w:sz w:val="20"/>
                <w:szCs w:val="20"/>
                <w:u w:val="single"/>
              </w:rPr>
              <w:t>Items relating to capital financing applied in the year</w:t>
            </w:r>
          </w:p>
        </w:tc>
        <w:tc>
          <w:tcPr>
            <w:tcW w:w="850" w:type="dxa"/>
            <w:gridSpan w:val="6"/>
          </w:tcPr>
          <w:p w:rsidR="006E76C9" w:rsidRPr="006E76C9" w:rsidRDefault="006E76C9"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gridSpan w:val="4"/>
          </w:tcPr>
          <w:p w:rsidR="006E76C9" w:rsidRPr="006E76C9" w:rsidRDefault="006E76C9"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992" w:type="dxa"/>
            <w:gridSpan w:val="3"/>
          </w:tcPr>
          <w:p w:rsidR="006E76C9" w:rsidRPr="006E76C9" w:rsidRDefault="006E76C9"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1" w:type="dxa"/>
            <w:gridSpan w:val="2"/>
          </w:tcPr>
          <w:p w:rsidR="006E76C9" w:rsidRPr="006E76C9" w:rsidRDefault="006E76C9"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567" w:type="dxa"/>
          </w:tcPr>
          <w:p w:rsidR="006E76C9" w:rsidRPr="006E76C9" w:rsidRDefault="006E76C9"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850" w:type="dxa"/>
            <w:gridSpan w:val="2"/>
          </w:tcPr>
          <w:p w:rsidR="006E76C9" w:rsidRPr="006E76C9" w:rsidRDefault="006E76C9"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r>
      <w:tr w:rsidR="006E76C9" w:rsidRPr="0005794A" w:rsidTr="008A25D1">
        <w:trPr>
          <w:trHeight w:val="397"/>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3.4</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(3.4)</w:t>
            </w: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6E76C9" w:rsidRPr="006E76C9" w:rsidRDefault="006E76C9" w:rsidP="009E1013">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Provision for the financing of capital investment</w:t>
            </w:r>
          </w:p>
        </w:tc>
        <w:tc>
          <w:tcPr>
            <w:tcW w:w="850" w:type="dxa"/>
            <w:gridSpan w:val="6"/>
          </w:tcPr>
          <w:p w:rsidR="006E76C9" w:rsidRPr="006E76C9" w:rsidRDefault="001F78DA"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3.8</w:t>
            </w:r>
          </w:p>
        </w:tc>
        <w:tc>
          <w:tcPr>
            <w:tcW w:w="709" w:type="dxa"/>
            <w:gridSpan w:val="4"/>
          </w:tcPr>
          <w:p w:rsidR="006E76C9" w:rsidRPr="006E76C9" w:rsidRDefault="001F78DA"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992" w:type="dxa"/>
            <w:gridSpan w:val="3"/>
          </w:tcPr>
          <w:p w:rsidR="006E76C9" w:rsidRPr="006E76C9" w:rsidRDefault="001F78DA"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1" w:type="dxa"/>
            <w:gridSpan w:val="2"/>
          </w:tcPr>
          <w:p w:rsidR="006E76C9" w:rsidRPr="006E76C9" w:rsidRDefault="001F78DA"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(3.8)</w:t>
            </w:r>
          </w:p>
        </w:tc>
        <w:tc>
          <w:tcPr>
            <w:tcW w:w="567" w:type="dxa"/>
          </w:tcPr>
          <w:p w:rsidR="006E76C9" w:rsidRPr="006E76C9" w:rsidRDefault="001F78DA"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Pr>
          <w:p w:rsidR="006E76C9" w:rsidRPr="006E76C9" w:rsidRDefault="001F78DA"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0.2</w:t>
            </w:r>
          </w:p>
        </w:tc>
        <w:tc>
          <w:tcPr>
            <w:tcW w:w="700"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(0.2)</w:t>
            </w:r>
          </w:p>
        </w:tc>
        <w:tc>
          <w:tcPr>
            <w:tcW w:w="853" w:type="dxa"/>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Capital expenditure charged against the General Fund</w:t>
            </w:r>
          </w:p>
        </w:tc>
        <w:tc>
          <w:tcPr>
            <w:tcW w:w="850" w:type="dxa"/>
            <w:gridSpan w:val="6"/>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1.2</w:t>
            </w:r>
          </w:p>
        </w:tc>
        <w:tc>
          <w:tcPr>
            <w:tcW w:w="709" w:type="dxa"/>
            <w:gridSpan w:val="4"/>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992" w:type="dxa"/>
            <w:gridSpan w:val="3"/>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1" w:type="dxa"/>
            <w:gridSpan w:val="2"/>
          </w:tcPr>
          <w:p w:rsidR="006E76C9" w:rsidRPr="006E76C9" w:rsidRDefault="001F78DA" w:rsidP="004C2F2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(1.2)</w:t>
            </w:r>
          </w:p>
        </w:tc>
        <w:tc>
          <w:tcPr>
            <w:tcW w:w="567" w:type="dxa"/>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Pr>
          <w:p w:rsidR="006E76C9" w:rsidRPr="006E76C9" w:rsidRDefault="001F78DA"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w:t>
            </w:r>
          </w:p>
        </w:tc>
      </w:tr>
      <w:tr w:rsidR="006E76C9" w:rsidRPr="0005794A" w:rsidTr="008A25D1">
        <w:tc>
          <w:tcPr>
            <w:cnfStyle w:val="001000000000" w:firstRow="0" w:lastRow="0" w:firstColumn="1" w:lastColumn="0" w:oddVBand="0" w:evenVBand="0" w:oddHBand="0" w:evenHBand="0" w:firstRowFirstColumn="0" w:firstRowLastColumn="0" w:lastRowFirstColumn="0" w:lastRowLastColumn="0"/>
            <w:tcW w:w="911" w:type="dxa"/>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411" w:type="dxa"/>
            <w:gridSpan w:val="3"/>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p>
        </w:tc>
        <w:tc>
          <w:tcPr>
            <w:tcW w:w="850" w:type="dxa"/>
            <w:gridSpan w:val="6"/>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4"/>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992" w:type="dxa"/>
            <w:gridSpan w:val="3"/>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1" w:type="dxa"/>
            <w:gridSpan w:val="2"/>
          </w:tcPr>
          <w:p w:rsidR="006E76C9" w:rsidRPr="006E76C9" w:rsidRDefault="006E76C9" w:rsidP="004C2F2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67" w:type="dxa"/>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0"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(11.3)</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11.3</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5411" w:type="dxa"/>
            <w:gridSpan w:val="3"/>
            <w:tcBorders>
              <w:top w:val="none" w:sz="0" w:space="0" w:color="auto"/>
              <w:bottom w:val="none" w:sz="0" w:space="0" w:color="auto"/>
            </w:tcBorders>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2"/>
                <w:szCs w:val="22"/>
              </w:rPr>
            </w:pPr>
            <w:r w:rsidRPr="006E76C9">
              <w:rPr>
                <w:rFonts w:ascii="Arial" w:hAnsi="Arial" w:cs="Arial"/>
                <w:b w:val="0"/>
                <w:bCs w:val="0"/>
                <w:color w:val="auto"/>
                <w:sz w:val="22"/>
                <w:szCs w:val="22"/>
              </w:rPr>
              <w:t>c/f</w:t>
            </w:r>
          </w:p>
        </w:tc>
        <w:tc>
          <w:tcPr>
            <w:tcW w:w="850" w:type="dxa"/>
            <w:gridSpan w:val="6"/>
            <w:tcBorders>
              <w:top w:val="none" w:sz="0" w:space="0" w:color="auto"/>
              <w:bottom w:val="none" w:sz="0" w:space="0" w:color="auto"/>
            </w:tcBorders>
          </w:tcPr>
          <w:p w:rsidR="006E76C9" w:rsidRPr="006E76C9" w:rsidRDefault="007F52A7" w:rsidP="00644F6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r w:rsidR="009872DE">
              <w:rPr>
                <w:rFonts w:ascii="Arial" w:hAnsi="Arial" w:cs="Arial"/>
                <w:bCs w:val="0"/>
                <w:color w:val="auto"/>
                <w:sz w:val="20"/>
                <w:szCs w:val="20"/>
              </w:rPr>
              <w:t>25.</w:t>
            </w:r>
            <w:r w:rsidR="00644F63">
              <w:rPr>
                <w:rFonts w:ascii="Arial" w:hAnsi="Arial" w:cs="Arial"/>
                <w:bCs w:val="0"/>
                <w:color w:val="auto"/>
                <w:sz w:val="20"/>
                <w:szCs w:val="20"/>
              </w:rPr>
              <w:t>5</w:t>
            </w:r>
            <w:r>
              <w:rPr>
                <w:rFonts w:ascii="Arial" w:hAnsi="Arial" w:cs="Arial"/>
                <w:bCs w:val="0"/>
                <w:color w:val="auto"/>
                <w:sz w:val="20"/>
                <w:szCs w:val="20"/>
              </w:rPr>
              <w:t>)</w:t>
            </w:r>
          </w:p>
        </w:tc>
        <w:tc>
          <w:tcPr>
            <w:tcW w:w="709" w:type="dxa"/>
            <w:gridSpan w:val="4"/>
            <w:tcBorders>
              <w:top w:val="none" w:sz="0" w:space="0" w:color="auto"/>
              <w:bottom w:val="none" w:sz="0" w:space="0" w:color="auto"/>
            </w:tcBorders>
          </w:tcPr>
          <w:p w:rsidR="006E76C9" w:rsidRPr="006E76C9" w:rsidRDefault="007F52A7"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992" w:type="dxa"/>
            <w:gridSpan w:val="3"/>
            <w:tcBorders>
              <w:top w:val="none" w:sz="0" w:space="0" w:color="auto"/>
              <w:bottom w:val="none" w:sz="0" w:space="0" w:color="auto"/>
            </w:tcBorders>
          </w:tcPr>
          <w:p w:rsidR="006E76C9" w:rsidRPr="006E76C9" w:rsidRDefault="007F52A7"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851" w:type="dxa"/>
            <w:gridSpan w:val="2"/>
            <w:tcBorders>
              <w:top w:val="none" w:sz="0" w:space="0" w:color="auto"/>
              <w:bottom w:val="none" w:sz="0" w:space="0" w:color="auto"/>
            </w:tcBorders>
          </w:tcPr>
          <w:p w:rsidR="006E76C9" w:rsidRPr="006E76C9" w:rsidRDefault="009872DE" w:rsidP="00644F6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25.</w:t>
            </w:r>
            <w:r w:rsidR="00644F63">
              <w:rPr>
                <w:rFonts w:ascii="Arial" w:hAnsi="Arial" w:cs="Arial"/>
                <w:bCs w:val="0"/>
                <w:color w:val="auto"/>
                <w:sz w:val="20"/>
                <w:szCs w:val="20"/>
              </w:rPr>
              <w:t>5</w:t>
            </w:r>
          </w:p>
        </w:tc>
        <w:tc>
          <w:tcPr>
            <w:tcW w:w="567" w:type="dxa"/>
            <w:tcBorders>
              <w:top w:val="none" w:sz="0" w:space="0" w:color="auto"/>
              <w:bottom w:val="none" w:sz="0" w:space="0" w:color="auto"/>
            </w:tcBorders>
          </w:tcPr>
          <w:p w:rsidR="006E76C9" w:rsidRPr="006E76C9" w:rsidRDefault="007F52A7" w:rsidP="007F52A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0</w:t>
            </w:r>
          </w:p>
        </w:tc>
        <w:tc>
          <w:tcPr>
            <w:tcW w:w="850" w:type="dxa"/>
            <w:gridSpan w:val="2"/>
            <w:tcBorders>
              <w:top w:val="none" w:sz="0" w:space="0" w:color="auto"/>
              <w:bottom w:val="none" w:sz="0" w:space="0" w:color="auto"/>
            </w:tcBorders>
          </w:tcPr>
          <w:p w:rsidR="006E76C9" w:rsidRPr="006E76C9" w:rsidRDefault="007F52A7" w:rsidP="007F52A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0</w:t>
            </w:r>
          </w:p>
        </w:tc>
      </w:tr>
      <w:tr w:rsidR="006E76C9" w:rsidRPr="0005794A" w:rsidTr="008A25D1">
        <w:trPr>
          <w:trHeight w:val="355"/>
        </w:trPr>
        <w:tc>
          <w:tcPr>
            <w:cnfStyle w:val="001000000000" w:firstRow="0" w:lastRow="0" w:firstColumn="1" w:lastColumn="0" w:oddVBand="0" w:evenVBand="0" w:oddHBand="0" w:evenHBand="0" w:firstRowFirstColumn="0" w:firstRowLastColumn="0" w:lastRowFirstColumn="0" w:lastRowLastColumn="0"/>
            <w:tcW w:w="2483" w:type="dxa"/>
            <w:gridSpan w:val="3"/>
            <w:tcBorders>
              <w:right w:val="none" w:sz="0" w:space="0" w:color="auto"/>
            </w:tcBorders>
            <w:shd w:val="clear" w:color="auto" w:fill="4BACC6" w:themeFill="accent5"/>
          </w:tcPr>
          <w:p w:rsidR="006E76C9" w:rsidRPr="006E76C9" w:rsidRDefault="006E76C9" w:rsidP="009F52C9">
            <w:pPr>
              <w:pStyle w:val="ExampleSub"/>
              <w:keepNext w:val="0"/>
              <w:keepLines w:val="0"/>
              <w:ind w:left="0"/>
              <w:jc w:val="center"/>
              <w:rPr>
                <w:rFonts w:ascii="Arial" w:hAnsi="Arial" w:cs="Arial"/>
                <w:color w:val="auto"/>
                <w:sz w:val="20"/>
                <w:szCs w:val="20"/>
              </w:rPr>
            </w:pPr>
            <w:r w:rsidRPr="006E76C9">
              <w:rPr>
                <w:rFonts w:ascii="Arial" w:hAnsi="Arial" w:cs="Arial"/>
                <w:color w:val="auto"/>
                <w:sz w:val="18"/>
                <w:szCs w:val="18"/>
              </w:rPr>
              <w:lastRenderedPageBreak/>
              <w:t>Usable Reserves</w:t>
            </w:r>
          </w:p>
        </w:tc>
        <w:tc>
          <w:tcPr>
            <w:tcW w:w="2248" w:type="dxa"/>
            <w:gridSpan w:val="4"/>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6E76C9">
              <w:rPr>
                <w:rFonts w:ascii="Arial" w:hAnsi="Arial" w:cs="Arial"/>
                <w:bCs w:val="0"/>
                <w:color w:val="auto"/>
                <w:sz w:val="18"/>
                <w:szCs w:val="18"/>
              </w:rPr>
              <w:t>Unusable Reserves</w:t>
            </w:r>
          </w:p>
        </w:tc>
        <w:tc>
          <w:tcPr>
            <w:tcW w:w="5791" w:type="dxa"/>
            <w:gridSpan w:val="7"/>
            <w:shd w:val="clear" w:color="auto" w:fill="4BACC6" w:themeFill="accent5"/>
          </w:tcPr>
          <w:p w:rsidR="006E76C9" w:rsidRPr="006E76C9" w:rsidRDefault="006E76C9" w:rsidP="009F52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2171" w:type="dxa"/>
            <w:gridSpan w:val="9"/>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Usable Reserves</w:t>
            </w:r>
          </w:p>
        </w:tc>
        <w:tc>
          <w:tcPr>
            <w:tcW w:w="2268" w:type="dxa"/>
            <w:gridSpan w:val="5"/>
            <w:shd w:val="clear" w:color="auto" w:fill="4BACC6" w:themeFill="accent5"/>
          </w:tcPr>
          <w:p w:rsidR="006E76C9" w:rsidRPr="006E76C9" w:rsidRDefault="006E76C9" w:rsidP="009F52C9">
            <w:pPr>
              <w:pStyle w:val="ExampleSub"/>
              <w:ind w:left="0"/>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Unusable Reserves</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extDirection w:val="btLr"/>
          </w:tcPr>
          <w:p w:rsidR="006E76C9" w:rsidRPr="006E76C9" w:rsidRDefault="006E76C9" w:rsidP="009F52C9">
            <w:pPr>
              <w:pStyle w:val="ExampleSub"/>
              <w:keepNext w:val="0"/>
              <w:keepLines w:val="0"/>
              <w:ind w:left="113" w:right="113"/>
              <w:rPr>
                <w:rFonts w:ascii="Arial" w:hAnsi="Arial" w:cs="Arial"/>
                <w:color w:val="auto"/>
                <w:sz w:val="20"/>
                <w:szCs w:val="20"/>
              </w:rPr>
            </w:pPr>
            <w:r w:rsidRPr="006E76C9">
              <w:rPr>
                <w:rFonts w:ascii="Arial" w:hAnsi="Arial" w:cs="Arial"/>
                <w:color w:val="auto"/>
                <w:sz w:val="20"/>
                <w:szCs w:val="20"/>
              </w:rPr>
              <w:t>General Fund</w:t>
            </w:r>
          </w:p>
        </w:tc>
        <w:tc>
          <w:tcPr>
            <w:tcW w:w="700" w:type="dxa"/>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Receipts</w:t>
            </w:r>
          </w:p>
        </w:tc>
        <w:tc>
          <w:tcPr>
            <w:tcW w:w="872" w:type="dxa"/>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Capital Grants </w:t>
            </w:r>
            <w:proofErr w:type="spellStart"/>
            <w:r w:rsidRPr="006E76C9">
              <w:rPr>
                <w:rFonts w:ascii="Arial" w:hAnsi="Arial" w:cs="Arial"/>
                <w:b w:val="0"/>
                <w:bCs w:val="0"/>
                <w:color w:val="auto"/>
                <w:sz w:val="20"/>
                <w:szCs w:val="20"/>
              </w:rPr>
              <w:t>Unappl’d</w:t>
            </w:r>
            <w:proofErr w:type="spellEnd"/>
          </w:p>
        </w:tc>
        <w:tc>
          <w:tcPr>
            <w:tcW w:w="686" w:type="dxa"/>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CAA</w:t>
            </w:r>
          </w:p>
        </w:tc>
        <w:tc>
          <w:tcPr>
            <w:tcW w:w="853" w:type="dxa"/>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2"/>
                <w:szCs w:val="22"/>
              </w:rPr>
            </w:pPr>
            <w:r w:rsidRPr="006E76C9">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Other</w:t>
            </w:r>
          </w:p>
        </w:tc>
        <w:tc>
          <w:tcPr>
            <w:tcW w:w="5658" w:type="dxa"/>
            <w:gridSpan w:val="6"/>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2"/>
                <w:szCs w:val="22"/>
              </w:rPr>
            </w:pPr>
          </w:p>
        </w:tc>
        <w:tc>
          <w:tcPr>
            <w:tcW w:w="869" w:type="dxa"/>
            <w:gridSpan w:val="5"/>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General Fund</w:t>
            </w:r>
          </w:p>
        </w:tc>
        <w:tc>
          <w:tcPr>
            <w:tcW w:w="723" w:type="dxa"/>
            <w:gridSpan w:val="4"/>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Receipts</w:t>
            </w:r>
          </w:p>
        </w:tc>
        <w:tc>
          <w:tcPr>
            <w:tcW w:w="712" w:type="dxa"/>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Capital Grants Unapplied  </w:t>
            </w:r>
            <w:proofErr w:type="spellStart"/>
            <w:r w:rsidRPr="006E76C9">
              <w:rPr>
                <w:rFonts w:ascii="Arial" w:hAnsi="Arial" w:cs="Arial"/>
                <w:b w:val="0"/>
                <w:bCs w:val="0"/>
                <w:color w:val="auto"/>
                <w:sz w:val="20"/>
                <w:szCs w:val="20"/>
              </w:rPr>
              <w:t>GrantdsReceipts</w:t>
            </w:r>
            <w:proofErr w:type="spellEnd"/>
            <w:r w:rsidRPr="006E76C9">
              <w:rPr>
                <w:rFonts w:ascii="Arial" w:hAnsi="Arial" w:cs="Arial"/>
                <w:b w:val="0"/>
                <w:bCs w:val="0"/>
                <w:color w:val="auto"/>
                <w:sz w:val="20"/>
                <w:szCs w:val="20"/>
              </w:rPr>
              <w:t xml:space="preserve"> </w:t>
            </w:r>
            <w:proofErr w:type="spellStart"/>
            <w:r w:rsidRPr="006E76C9">
              <w:rPr>
                <w:rFonts w:ascii="Arial" w:hAnsi="Arial" w:cs="Arial"/>
                <w:b w:val="0"/>
                <w:bCs w:val="0"/>
                <w:color w:val="auto"/>
                <w:sz w:val="20"/>
                <w:szCs w:val="20"/>
              </w:rPr>
              <w:t>Unappl’d</w:t>
            </w:r>
            <w:proofErr w:type="spellEnd"/>
          </w:p>
        </w:tc>
        <w:tc>
          <w:tcPr>
            <w:tcW w:w="851" w:type="dxa"/>
            <w:gridSpan w:val="2"/>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CAA</w:t>
            </w:r>
          </w:p>
        </w:tc>
        <w:tc>
          <w:tcPr>
            <w:tcW w:w="567" w:type="dxa"/>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Pension</w:t>
            </w:r>
          </w:p>
        </w:tc>
        <w:tc>
          <w:tcPr>
            <w:tcW w:w="850" w:type="dxa"/>
            <w:gridSpan w:val="2"/>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Other</w:t>
            </w:r>
          </w:p>
        </w:tc>
      </w:tr>
      <w:tr w:rsidR="006E76C9" w:rsidRPr="0005794A" w:rsidTr="008A25D1">
        <w:trPr>
          <w:trHeight w:hRule="exact" w:val="454"/>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shd w:val="clear" w:color="auto" w:fill="4BACC6" w:themeFill="accent5"/>
          </w:tcPr>
          <w:p w:rsidR="006E76C9" w:rsidRPr="006E76C9" w:rsidRDefault="006E76C9" w:rsidP="009F52C9">
            <w:pPr>
              <w:pStyle w:val="ExampleSub"/>
              <w:keepNext w:val="0"/>
              <w:keepLines w:val="0"/>
              <w:ind w:left="0"/>
              <w:jc w:val="center"/>
              <w:rPr>
                <w:rFonts w:ascii="Arial" w:hAnsi="Arial" w:cs="Arial"/>
                <w:color w:val="auto"/>
                <w:sz w:val="18"/>
                <w:szCs w:val="18"/>
              </w:rPr>
            </w:pPr>
            <w:r w:rsidRPr="006E76C9">
              <w:rPr>
                <w:rFonts w:ascii="Arial" w:hAnsi="Arial" w:cs="Arial"/>
                <w:color w:val="auto"/>
                <w:sz w:val="18"/>
                <w:szCs w:val="18"/>
              </w:rPr>
              <w:t>£m</w:t>
            </w:r>
          </w:p>
        </w:tc>
        <w:tc>
          <w:tcPr>
            <w:tcW w:w="700" w:type="dxa"/>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72" w:type="dxa"/>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686" w:type="dxa"/>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3" w:type="dxa"/>
            <w:shd w:val="clear" w:color="auto" w:fill="4BACC6" w:themeFill="accent5"/>
          </w:tcPr>
          <w:p w:rsidR="006E76C9" w:rsidRPr="006E76C9" w:rsidRDefault="006E76C9" w:rsidP="009F52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6E76C9">
              <w:rPr>
                <w:rFonts w:ascii="Arial" w:hAnsi="Arial" w:cs="Arial"/>
                <w:b w:val="0"/>
                <w:color w:val="auto"/>
                <w:sz w:val="18"/>
                <w:szCs w:val="18"/>
              </w:rPr>
              <w:t>£m</w:t>
            </w:r>
          </w:p>
        </w:tc>
        <w:tc>
          <w:tcPr>
            <w:tcW w:w="709" w:type="dxa"/>
            <w:gridSpan w:val="2"/>
            <w:shd w:val="clear" w:color="auto" w:fill="4BACC6" w:themeFill="accent5"/>
          </w:tcPr>
          <w:p w:rsidR="006E76C9" w:rsidRPr="006E76C9" w:rsidRDefault="006E76C9" w:rsidP="009F52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6E76C9">
              <w:rPr>
                <w:rFonts w:ascii="Arial" w:hAnsi="Arial" w:cs="Arial"/>
                <w:b w:val="0"/>
                <w:color w:val="auto"/>
                <w:sz w:val="18"/>
                <w:szCs w:val="18"/>
              </w:rPr>
              <w:t>£m</w:t>
            </w:r>
          </w:p>
        </w:tc>
        <w:tc>
          <w:tcPr>
            <w:tcW w:w="5658" w:type="dxa"/>
            <w:gridSpan w:val="6"/>
            <w:shd w:val="clear" w:color="auto" w:fill="4BACC6" w:themeFill="accent5"/>
          </w:tcPr>
          <w:p w:rsidR="006E76C9" w:rsidRPr="006E76C9" w:rsidRDefault="006E76C9" w:rsidP="009F52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8"/>
                <w:szCs w:val="18"/>
              </w:rPr>
            </w:pPr>
          </w:p>
        </w:tc>
        <w:tc>
          <w:tcPr>
            <w:tcW w:w="869" w:type="dxa"/>
            <w:gridSpan w:val="5"/>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23" w:type="dxa"/>
            <w:gridSpan w:val="4"/>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12" w:type="dxa"/>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1" w:type="dxa"/>
            <w:gridSpan w:val="2"/>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567" w:type="dxa"/>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0" w:type="dxa"/>
            <w:gridSpan w:val="2"/>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(11.3)</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11.3</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5658" w:type="dxa"/>
            <w:gridSpan w:val="6"/>
            <w:tcBorders>
              <w:top w:val="none" w:sz="0" w:space="0" w:color="auto"/>
              <w:bottom w:val="none" w:sz="0" w:space="0" w:color="auto"/>
            </w:tcBorders>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proofErr w:type="spellStart"/>
            <w:r w:rsidRPr="006E76C9">
              <w:rPr>
                <w:rFonts w:ascii="Arial" w:hAnsi="Arial" w:cs="Arial"/>
                <w:b w:val="0"/>
                <w:color w:val="auto"/>
                <w:sz w:val="22"/>
                <w:szCs w:val="22"/>
              </w:rPr>
              <w:t>b/f</w:t>
            </w:r>
            <w:proofErr w:type="spellEnd"/>
          </w:p>
        </w:tc>
        <w:tc>
          <w:tcPr>
            <w:tcW w:w="869" w:type="dxa"/>
            <w:gridSpan w:val="5"/>
            <w:tcBorders>
              <w:top w:val="none" w:sz="0" w:space="0" w:color="auto"/>
              <w:bottom w:val="none" w:sz="0" w:space="0" w:color="auto"/>
            </w:tcBorders>
          </w:tcPr>
          <w:p w:rsidR="006E76C9" w:rsidRPr="006E76C9" w:rsidRDefault="007F52A7" w:rsidP="00644F6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r w:rsidR="009872DE">
              <w:rPr>
                <w:rFonts w:ascii="Arial" w:hAnsi="Arial" w:cs="Arial"/>
                <w:bCs w:val="0"/>
                <w:color w:val="auto"/>
                <w:sz w:val="20"/>
                <w:szCs w:val="20"/>
              </w:rPr>
              <w:t>25.</w:t>
            </w:r>
            <w:r w:rsidR="00644F63">
              <w:rPr>
                <w:rFonts w:ascii="Arial" w:hAnsi="Arial" w:cs="Arial"/>
                <w:bCs w:val="0"/>
                <w:color w:val="auto"/>
                <w:sz w:val="20"/>
                <w:szCs w:val="20"/>
              </w:rPr>
              <w:t>5</w:t>
            </w:r>
            <w:r>
              <w:rPr>
                <w:rFonts w:ascii="Arial" w:hAnsi="Arial" w:cs="Arial"/>
                <w:bCs w:val="0"/>
                <w:color w:val="auto"/>
                <w:sz w:val="20"/>
                <w:szCs w:val="20"/>
              </w:rPr>
              <w:t>)</w:t>
            </w:r>
          </w:p>
        </w:tc>
        <w:tc>
          <w:tcPr>
            <w:tcW w:w="723" w:type="dxa"/>
            <w:gridSpan w:val="4"/>
            <w:tcBorders>
              <w:top w:val="none" w:sz="0" w:space="0" w:color="auto"/>
              <w:bottom w:val="none" w:sz="0" w:space="0" w:color="auto"/>
            </w:tcBorders>
          </w:tcPr>
          <w:p w:rsidR="006E76C9" w:rsidRPr="006E76C9" w:rsidRDefault="007F52A7"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712" w:type="dxa"/>
            <w:tcBorders>
              <w:top w:val="none" w:sz="0" w:space="0" w:color="auto"/>
              <w:bottom w:val="none" w:sz="0" w:space="0" w:color="auto"/>
            </w:tcBorders>
          </w:tcPr>
          <w:p w:rsidR="006E76C9" w:rsidRPr="006E76C9" w:rsidRDefault="007F52A7"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851" w:type="dxa"/>
            <w:gridSpan w:val="2"/>
            <w:tcBorders>
              <w:top w:val="none" w:sz="0" w:space="0" w:color="auto"/>
              <w:bottom w:val="none" w:sz="0" w:space="0" w:color="auto"/>
            </w:tcBorders>
          </w:tcPr>
          <w:p w:rsidR="006E76C9" w:rsidRPr="006E76C9" w:rsidRDefault="009872DE" w:rsidP="00644F63">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25.</w:t>
            </w:r>
            <w:r w:rsidR="00644F63">
              <w:rPr>
                <w:rFonts w:ascii="Arial" w:hAnsi="Arial" w:cs="Arial"/>
                <w:bCs w:val="0"/>
                <w:color w:val="auto"/>
                <w:sz w:val="20"/>
                <w:szCs w:val="20"/>
              </w:rPr>
              <w:t>5</w:t>
            </w:r>
          </w:p>
        </w:tc>
        <w:tc>
          <w:tcPr>
            <w:tcW w:w="567" w:type="dxa"/>
            <w:tcBorders>
              <w:top w:val="none" w:sz="0" w:space="0" w:color="auto"/>
              <w:bottom w:val="none" w:sz="0" w:space="0" w:color="auto"/>
            </w:tcBorders>
          </w:tcPr>
          <w:p w:rsidR="006E76C9" w:rsidRPr="006E76C9" w:rsidRDefault="007F52A7"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850" w:type="dxa"/>
            <w:gridSpan w:val="2"/>
            <w:tcBorders>
              <w:top w:val="none" w:sz="0" w:space="0" w:color="auto"/>
              <w:bottom w:val="none" w:sz="0" w:space="0" w:color="auto"/>
            </w:tcBorders>
          </w:tcPr>
          <w:p w:rsidR="006E76C9" w:rsidRPr="006E76C9" w:rsidRDefault="007F52A7"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r>
      <w:tr w:rsidR="006E76C9" w:rsidRPr="0005794A" w:rsidTr="008A25D1">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658" w:type="dxa"/>
            <w:gridSpan w:val="6"/>
          </w:tcPr>
          <w:p w:rsidR="006E76C9" w:rsidRPr="006E76C9" w:rsidRDefault="006E76C9" w:rsidP="009429BA">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6E76C9">
              <w:rPr>
                <w:rFonts w:ascii="Arial" w:hAnsi="Arial" w:cs="Arial"/>
                <w:color w:val="auto"/>
                <w:sz w:val="22"/>
                <w:szCs w:val="22"/>
              </w:rPr>
              <w:t>Adjustments involving Capital Grant Unapplied Account</w:t>
            </w:r>
          </w:p>
        </w:tc>
        <w:tc>
          <w:tcPr>
            <w:tcW w:w="869" w:type="dxa"/>
            <w:gridSpan w:val="5"/>
          </w:tcPr>
          <w:p w:rsidR="006E76C9" w:rsidRPr="006E76C9" w:rsidRDefault="006E76C9"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23" w:type="dxa"/>
            <w:gridSpan w:val="4"/>
          </w:tcPr>
          <w:p w:rsidR="006E76C9" w:rsidRPr="006E76C9" w:rsidRDefault="006E76C9"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12" w:type="dxa"/>
          </w:tcPr>
          <w:p w:rsidR="006E76C9" w:rsidRPr="006E76C9" w:rsidRDefault="006E76C9"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1" w:type="dxa"/>
            <w:gridSpan w:val="2"/>
          </w:tcPr>
          <w:p w:rsidR="006E76C9" w:rsidRPr="006E76C9" w:rsidRDefault="006E76C9"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67" w:type="dxa"/>
          </w:tcPr>
          <w:p w:rsidR="006E76C9" w:rsidRPr="006E76C9" w:rsidRDefault="006E76C9"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0" w:type="dxa"/>
            <w:gridSpan w:val="2"/>
          </w:tcPr>
          <w:p w:rsidR="006E76C9" w:rsidRPr="006E76C9" w:rsidRDefault="006E76C9"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6.6</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(6.6)</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5658" w:type="dxa"/>
            <w:gridSpan w:val="6"/>
            <w:tcBorders>
              <w:top w:val="none" w:sz="0" w:space="0" w:color="auto"/>
              <w:bottom w:val="none" w:sz="0" w:space="0" w:color="auto"/>
            </w:tcBorders>
          </w:tcPr>
          <w:p w:rsidR="006E76C9" w:rsidRPr="006E76C9" w:rsidRDefault="006E76C9" w:rsidP="009429B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Capital Grants &amp; Contributions unapplied credited to the CI&amp;E Statement</w:t>
            </w:r>
          </w:p>
        </w:tc>
        <w:tc>
          <w:tcPr>
            <w:tcW w:w="869" w:type="dxa"/>
            <w:gridSpan w:val="5"/>
            <w:tcBorders>
              <w:top w:val="none" w:sz="0" w:space="0" w:color="auto"/>
              <w:bottom w:val="none" w:sz="0" w:space="0" w:color="auto"/>
            </w:tcBorders>
          </w:tcPr>
          <w:p w:rsidR="006E76C9" w:rsidRPr="006E76C9" w:rsidRDefault="001F78DA"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5.8</w:t>
            </w:r>
          </w:p>
        </w:tc>
        <w:tc>
          <w:tcPr>
            <w:tcW w:w="723" w:type="dxa"/>
            <w:gridSpan w:val="4"/>
            <w:tcBorders>
              <w:top w:val="none" w:sz="0" w:space="0" w:color="auto"/>
              <w:bottom w:val="none" w:sz="0" w:space="0" w:color="auto"/>
            </w:tcBorders>
          </w:tcPr>
          <w:p w:rsidR="006E76C9" w:rsidRPr="006E76C9" w:rsidRDefault="001F78DA"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12" w:type="dxa"/>
            <w:tcBorders>
              <w:top w:val="none" w:sz="0" w:space="0" w:color="auto"/>
              <w:bottom w:val="none" w:sz="0" w:space="0" w:color="auto"/>
            </w:tcBorders>
          </w:tcPr>
          <w:p w:rsidR="006E76C9" w:rsidRPr="006E76C9" w:rsidRDefault="001F78DA"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(5.8)</w:t>
            </w:r>
          </w:p>
        </w:tc>
        <w:tc>
          <w:tcPr>
            <w:tcW w:w="851" w:type="dxa"/>
            <w:gridSpan w:val="2"/>
            <w:tcBorders>
              <w:top w:val="none" w:sz="0" w:space="0" w:color="auto"/>
              <w:bottom w:val="none" w:sz="0" w:space="0" w:color="auto"/>
            </w:tcBorders>
          </w:tcPr>
          <w:p w:rsidR="006E76C9" w:rsidRPr="006E76C9" w:rsidRDefault="001F78DA"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567" w:type="dxa"/>
            <w:tcBorders>
              <w:top w:val="none" w:sz="0" w:space="0" w:color="auto"/>
              <w:bottom w:val="none" w:sz="0" w:space="0" w:color="auto"/>
            </w:tcBorders>
          </w:tcPr>
          <w:p w:rsidR="006E76C9" w:rsidRPr="006E76C9" w:rsidRDefault="001F78DA"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0" w:type="dxa"/>
            <w:gridSpan w:val="2"/>
            <w:tcBorders>
              <w:top w:val="none" w:sz="0" w:space="0" w:color="auto"/>
              <w:bottom w:val="none" w:sz="0" w:space="0" w:color="auto"/>
            </w:tcBorders>
          </w:tcPr>
          <w:p w:rsidR="006E76C9" w:rsidRPr="006E76C9" w:rsidRDefault="001F78DA"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r>
      <w:tr w:rsidR="006E76C9" w:rsidRPr="0005794A" w:rsidTr="008A25D1">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3.6</w:t>
            </w: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(3.6)</w:t>
            </w: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5658" w:type="dxa"/>
            <w:gridSpan w:val="6"/>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 xml:space="preserve">Application of (prior year) Grants to capital financing </w:t>
            </w:r>
            <w:r w:rsidRPr="006E76C9">
              <w:rPr>
                <w:rFonts w:ascii="Arial" w:hAnsi="Arial" w:cs="Arial"/>
                <w:b w:val="0"/>
                <w:bCs w:val="0"/>
                <w:color w:val="auto"/>
                <w:sz w:val="20"/>
                <w:szCs w:val="20"/>
              </w:rPr>
              <w:t>applied in the year</w:t>
            </w:r>
            <w:r w:rsidRPr="006E76C9">
              <w:rPr>
                <w:rFonts w:ascii="Arial" w:hAnsi="Arial" w:cs="Arial"/>
                <w:b w:val="0"/>
                <w:color w:val="auto"/>
                <w:sz w:val="20"/>
                <w:szCs w:val="20"/>
              </w:rPr>
              <w:t xml:space="preserve"> transferred to the Capital Adjustment Account</w:t>
            </w:r>
          </w:p>
        </w:tc>
        <w:tc>
          <w:tcPr>
            <w:tcW w:w="869" w:type="dxa"/>
            <w:gridSpan w:val="5"/>
          </w:tcPr>
          <w:p w:rsidR="006E76C9" w:rsidRPr="006E76C9" w:rsidRDefault="001F78DA"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23" w:type="dxa"/>
            <w:gridSpan w:val="4"/>
          </w:tcPr>
          <w:p w:rsidR="006E76C9" w:rsidRPr="006E76C9" w:rsidRDefault="001F78DA"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12" w:type="dxa"/>
          </w:tcPr>
          <w:p w:rsidR="006E76C9" w:rsidRPr="006E76C9" w:rsidRDefault="001F78DA"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3.9</w:t>
            </w:r>
          </w:p>
        </w:tc>
        <w:tc>
          <w:tcPr>
            <w:tcW w:w="851" w:type="dxa"/>
            <w:gridSpan w:val="2"/>
          </w:tcPr>
          <w:p w:rsidR="006E76C9" w:rsidRPr="006E76C9" w:rsidRDefault="001F78DA"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(3.9)</w:t>
            </w:r>
          </w:p>
        </w:tc>
        <w:tc>
          <w:tcPr>
            <w:tcW w:w="567" w:type="dxa"/>
          </w:tcPr>
          <w:p w:rsidR="006E76C9" w:rsidRPr="006E76C9" w:rsidRDefault="001F78DA"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0" w:type="dxa"/>
            <w:gridSpan w:val="2"/>
          </w:tcPr>
          <w:p w:rsidR="006E76C9" w:rsidRPr="006E76C9" w:rsidRDefault="001F78DA" w:rsidP="00E569E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5658" w:type="dxa"/>
            <w:gridSpan w:val="6"/>
            <w:tcBorders>
              <w:top w:val="none" w:sz="0" w:space="0" w:color="auto"/>
              <w:bottom w:val="none" w:sz="0" w:space="0" w:color="auto"/>
            </w:tcBorders>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6E76C9">
              <w:rPr>
                <w:rFonts w:ascii="Arial" w:hAnsi="Arial" w:cs="Arial"/>
                <w:color w:val="auto"/>
                <w:sz w:val="22"/>
                <w:szCs w:val="22"/>
              </w:rPr>
              <w:t>Adjustments involving the Capital Receipts Reserve:</w:t>
            </w:r>
          </w:p>
        </w:tc>
        <w:tc>
          <w:tcPr>
            <w:tcW w:w="869" w:type="dxa"/>
            <w:gridSpan w:val="5"/>
            <w:tcBorders>
              <w:top w:val="none" w:sz="0" w:space="0" w:color="auto"/>
              <w:bottom w:val="none" w:sz="0" w:space="0" w:color="auto"/>
            </w:tcBorders>
          </w:tcPr>
          <w:p w:rsidR="006E76C9" w:rsidRPr="006E76C9" w:rsidRDefault="006E76C9"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23" w:type="dxa"/>
            <w:gridSpan w:val="4"/>
            <w:tcBorders>
              <w:top w:val="none" w:sz="0" w:space="0" w:color="auto"/>
              <w:bottom w:val="none" w:sz="0" w:space="0" w:color="auto"/>
            </w:tcBorders>
          </w:tcPr>
          <w:p w:rsidR="006E76C9" w:rsidRPr="006E76C9" w:rsidRDefault="006E76C9"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12" w:type="dxa"/>
            <w:tcBorders>
              <w:top w:val="none" w:sz="0" w:space="0" w:color="auto"/>
              <w:bottom w:val="none" w:sz="0" w:space="0" w:color="auto"/>
            </w:tcBorders>
          </w:tcPr>
          <w:p w:rsidR="006E76C9" w:rsidRPr="006E76C9" w:rsidRDefault="006E76C9"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1" w:type="dxa"/>
            <w:gridSpan w:val="2"/>
            <w:tcBorders>
              <w:top w:val="none" w:sz="0" w:space="0" w:color="auto"/>
              <w:bottom w:val="none" w:sz="0" w:space="0" w:color="auto"/>
            </w:tcBorders>
          </w:tcPr>
          <w:p w:rsidR="006E76C9" w:rsidRPr="006E76C9" w:rsidRDefault="006E76C9"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567" w:type="dxa"/>
            <w:tcBorders>
              <w:top w:val="none" w:sz="0" w:space="0" w:color="auto"/>
              <w:bottom w:val="none" w:sz="0" w:space="0" w:color="auto"/>
            </w:tcBorders>
          </w:tcPr>
          <w:p w:rsidR="006E76C9" w:rsidRPr="006E76C9" w:rsidRDefault="006E76C9"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0" w:type="dxa"/>
            <w:gridSpan w:val="2"/>
            <w:tcBorders>
              <w:top w:val="none" w:sz="0" w:space="0" w:color="auto"/>
              <w:bottom w:val="none" w:sz="0" w:space="0" w:color="auto"/>
            </w:tcBorders>
          </w:tcPr>
          <w:p w:rsidR="006E76C9" w:rsidRPr="006E76C9" w:rsidRDefault="006E76C9" w:rsidP="00E569E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r>
      <w:tr w:rsidR="006E76C9" w:rsidRPr="0005794A" w:rsidTr="008A25D1">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0.8</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(0.8)</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5658" w:type="dxa"/>
            <w:gridSpan w:val="6"/>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Transfer of sale proceeds credited as part of the gain/loss on disposal to the CI&amp;E Statement</w:t>
            </w:r>
          </w:p>
        </w:tc>
        <w:tc>
          <w:tcPr>
            <w:tcW w:w="869" w:type="dxa"/>
            <w:gridSpan w:val="5"/>
          </w:tcPr>
          <w:p w:rsidR="006E76C9" w:rsidRPr="006E76C9" w:rsidRDefault="00E54065" w:rsidP="00E022B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w:t>
            </w:r>
            <w:r w:rsidR="00E022B7">
              <w:rPr>
                <w:rFonts w:ascii="Arial" w:hAnsi="Arial" w:cs="Arial"/>
                <w:bCs w:val="0"/>
                <w:color w:val="auto"/>
                <w:sz w:val="20"/>
                <w:szCs w:val="20"/>
              </w:rPr>
              <w:t>0</w:t>
            </w:r>
          </w:p>
        </w:tc>
        <w:tc>
          <w:tcPr>
            <w:tcW w:w="723" w:type="dxa"/>
            <w:gridSpan w:val="4"/>
          </w:tcPr>
          <w:p w:rsidR="006E76C9" w:rsidRPr="006E76C9" w:rsidRDefault="00E54065" w:rsidP="00E022B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w:t>
            </w:r>
            <w:r w:rsidR="00E022B7">
              <w:rPr>
                <w:rFonts w:ascii="Arial" w:hAnsi="Arial" w:cs="Arial"/>
                <w:bCs w:val="0"/>
                <w:color w:val="auto"/>
                <w:sz w:val="20"/>
                <w:szCs w:val="20"/>
              </w:rPr>
              <w:t>0</w:t>
            </w:r>
            <w:r>
              <w:rPr>
                <w:rFonts w:ascii="Arial" w:hAnsi="Arial" w:cs="Arial"/>
                <w:bCs w:val="0"/>
                <w:color w:val="auto"/>
                <w:sz w:val="20"/>
                <w:szCs w:val="20"/>
              </w:rPr>
              <w:t>)</w:t>
            </w:r>
          </w:p>
        </w:tc>
        <w:tc>
          <w:tcPr>
            <w:tcW w:w="712" w:type="dxa"/>
          </w:tcPr>
          <w:p w:rsidR="006E76C9" w:rsidRPr="006E76C9" w:rsidRDefault="00E54065"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1" w:type="dxa"/>
            <w:gridSpan w:val="2"/>
          </w:tcPr>
          <w:p w:rsidR="006E76C9" w:rsidRPr="006E76C9" w:rsidRDefault="00E54065"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567" w:type="dxa"/>
          </w:tcPr>
          <w:p w:rsidR="006E76C9" w:rsidRPr="006E76C9" w:rsidRDefault="00E54065"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0" w:type="dxa"/>
            <w:gridSpan w:val="2"/>
          </w:tcPr>
          <w:p w:rsidR="006E76C9" w:rsidRPr="006E76C9" w:rsidRDefault="00E54065"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0.1</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(0.1)</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5658" w:type="dxa"/>
            <w:gridSpan w:val="6"/>
            <w:tcBorders>
              <w:top w:val="none" w:sz="0" w:space="0" w:color="auto"/>
              <w:bottom w:val="none" w:sz="0" w:space="0" w:color="auto"/>
            </w:tcBorders>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Use of the Capital Receipts Reserve to finance new capital expenditure</w:t>
            </w:r>
            <w:r w:rsidRPr="006E76C9">
              <w:rPr>
                <w:rFonts w:ascii="Arial" w:hAnsi="Arial" w:cs="Arial"/>
                <w:b w:val="0"/>
                <w:bCs w:val="0"/>
                <w:color w:val="auto"/>
                <w:sz w:val="20"/>
                <w:szCs w:val="20"/>
              </w:rPr>
              <w:t xml:space="preserve"> applied in the year</w:t>
            </w:r>
          </w:p>
        </w:tc>
        <w:tc>
          <w:tcPr>
            <w:tcW w:w="869" w:type="dxa"/>
            <w:gridSpan w:val="5"/>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23" w:type="dxa"/>
            <w:gridSpan w:val="4"/>
            <w:tcBorders>
              <w:top w:val="none" w:sz="0" w:space="0" w:color="auto"/>
              <w:bottom w:val="none" w:sz="0" w:space="0" w:color="auto"/>
            </w:tcBorders>
          </w:tcPr>
          <w:p w:rsidR="006E76C9" w:rsidRPr="006E76C9" w:rsidRDefault="00E54065"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r w:rsidR="00E022B7">
              <w:rPr>
                <w:rFonts w:ascii="Arial" w:hAnsi="Arial" w:cs="Arial"/>
                <w:bCs w:val="0"/>
                <w:color w:val="auto"/>
                <w:sz w:val="20"/>
                <w:szCs w:val="20"/>
              </w:rPr>
              <w:t>3</w:t>
            </w:r>
          </w:p>
        </w:tc>
        <w:tc>
          <w:tcPr>
            <w:tcW w:w="712" w:type="dxa"/>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1" w:type="dxa"/>
            <w:gridSpan w:val="2"/>
            <w:tcBorders>
              <w:top w:val="none" w:sz="0" w:space="0" w:color="auto"/>
              <w:bottom w:val="none" w:sz="0" w:space="0" w:color="auto"/>
            </w:tcBorders>
          </w:tcPr>
          <w:p w:rsidR="006E76C9" w:rsidRPr="006E76C9" w:rsidRDefault="00E54065"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r w:rsidR="00E022B7">
              <w:rPr>
                <w:rFonts w:ascii="Arial" w:hAnsi="Arial" w:cs="Arial"/>
                <w:bCs w:val="0"/>
                <w:color w:val="auto"/>
                <w:sz w:val="20"/>
                <w:szCs w:val="20"/>
              </w:rPr>
              <w:t>3</w:t>
            </w:r>
            <w:r>
              <w:rPr>
                <w:rFonts w:ascii="Arial" w:hAnsi="Arial" w:cs="Arial"/>
                <w:bCs w:val="0"/>
                <w:color w:val="auto"/>
                <w:sz w:val="20"/>
                <w:szCs w:val="20"/>
              </w:rPr>
              <w:t>)</w:t>
            </w:r>
          </w:p>
        </w:tc>
        <w:tc>
          <w:tcPr>
            <w:tcW w:w="567" w:type="dxa"/>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0" w:type="dxa"/>
            <w:gridSpan w:val="2"/>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r>
      <w:tr w:rsidR="006E76C9" w:rsidRPr="0005794A" w:rsidTr="008A25D1">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658" w:type="dxa"/>
            <w:gridSpan w:val="6"/>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E76C9">
              <w:rPr>
                <w:rFonts w:ascii="Arial" w:hAnsi="Arial" w:cs="Arial"/>
                <w:color w:val="auto"/>
                <w:sz w:val="22"/>
                <w:szCs w:val="22"/>
              </w:rPr>
              <w:t>Adjustments involving the Pensions Reserve:</w:t>
            </w:r>
          </w:p>
        </w:tc>
        <w:tc>
          <w:tcPr>
            <w:tcW w:w="869" w:type="dxa"/>
            <w:gridSpan w:val="5"/>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23" w:type="dxa"/>
            <w:gridSpan w:val="4"/>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12" w:type="dxa"/>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1"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67" w:type="dxa"/>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0"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(3.9)</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(0.7)</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(3.0)</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7.6</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5658" w:type="dxa"/>
            <w:gridSpan w:val="6"/>
            <w:tcBorders>
              <w:top w:val="none" w:sz="0" w:space="0" w:color="auto"/>
              <w:bottom w:val="none" w:sz="0" w:space="0" w:color="auto"/>
            </w:tcBorders>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c/f</w:t>
            </w:r>
          </w:p>
        </w:tc>
        <w:tc>
          <w:tcPr>
            <w:tcW w:w="869" w:type="dxa"/>
            <w:gridSpan w:val="5"/>
            <w:tcBorders>
              <w:top w:val="none" w:sz="0" w:space="0" w:color="auto"/>
              <w:bottom w:val="none" w:sz="0" w:space="0" w:color="auto"/>
            </w:tcBorders>
          </w:tcPr>
          <w:p w:rsidR="006E76C9" w:rsidRPr="006E76C9" w:rsidRDefault="007F52A7" w:rsidP="009872D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w:t>
            </w:r>
            <w:r w:rsidR="009872DE">
              <w:rPr>
                <w:rFonts w:ascii="Arial" w:hAnsi="Arial" w:cs="Arial"/>
                <w:bCs w:val="0"/>
                <w:color w:val="auto"/>
                <w:sz w:val="20"/>
                <w:szCs w:val="20"/>
              </w:rPr>
              <w:t>8.7</w:t>
            </w:r>
            <w:r>
              <w:rPr>
                <w:rFonts w:ascii="Arial" w:hAnsi="Arial" w:cs="Arial"/>
                <w:bCs w:val="0"/>
                <w:color w:val="auto"/>
                <w:sz w:val="20"/>
                <w:szCs w:val="20"/>
              </w:rPr>
              <w:t>)</w:t>
            </w:r>
          </w:p>
        </w:tc>
        <w:tc>
          <w:tcPr>
            <w:tcW w:w="723" w:type="dxa"/>
            <w:gridSpan w:val="4"/>
            <w:tcBorders>
              <w:top w:val="none" w:sz="0" w:space="0" w:color="auto"/>
              <w:bottom w:val="none" w:sz="0" w:space="0" w:color="auto"/>
            </w:tcBorders>
          </w:tcPr>
          <w:p w:rsidR="006E76C9" w:rsidRPr="006E76C9" w:rsidRDefault="007F52A7"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r w:rsidR="00E022B7">
              <w:rPr>
                <w:rFonts w:ascii="Arial" w:hAnsi="Arial" w:cs="Arial"/>
                <w:bCs w:val="0"/>
                <w:color w:val="auto"/>
                <w:sz w:val="20"/>
                <w:szCs w:val="20"/>
              </w:rPr>
              <w:t>7</w:t>
            </w:r>
            <w:r>
              <w:rPr>
                <w:rFonts w:ascii="Arial" w:hAnsi="Arial" w:cs="Arial"/>
                <w:bCs w:val="0"/>
                <w:color w:val="auto"/>
                <w:sz w:val="20"/>
                <w:szCs w:val="20"/>
              </w:rPr>
              <w:t>)</w:t>
            </w:r>
          </w:p>
        </w:tc>
        <w:tc>
          <w:tcPr>
            <w:tcW w:w="712" w:type="dxa"/>
            <w:tcBorders>
              <w:top w:val="none" w:sz="0" w:space="0" w:color="auto"/>
              <w:bottom w:val="none" w:sz="0" w:space="0" w:color="auto"/>
            </w:tcBorders>
          </w:tcPr>
          <w:p w:rsidR="006E76C9" w:rsidRPr="006E76C9" w:rsidRDefault="007F52A7"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(1.9)</w:t>
            </w:r>
          </w:p>
        </w:tc>
        <w:tc>
          <w:tcPr>
            <w:tcW w:w="851" w:type="dxa"/>
            <w:gridSpan w:val="2"/>
            <w:tcBorders>
              <w:top w:val="none" w:sz="0" w:space="0" w:color="auto"/>
              <w:bottom w:val="none" w:sz="0" w:space="0" w:color="auto"/>
            </w:tcBorders>
          </w:tcPr>
          <w:p w:rsidR="006E76C9" w:rsidRPr="006E76C9" w:rsidRDefault="009872DE"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21.</w:t>
            </w:r>
            <w:r w:rsidR="00E022B7">
              <w:rPr>
                <w:rFonts w:ascii="Arial" w:hAnsi="Arial" w:cs="Arial"/>
                <w:bCs w:val="0"/>
                <w:color w:val="auto"/>
                <w:sz w:val="20"/>
                <w:szCs w:val="20"/>
              </w:rPr>
              <w:t>3</w:t>
            </w:r>
          </w:p>
        </w:tc>
        <w:tc>
          <w:tcPr>
            <w:tcW w:w="567" w:type="dxa"/>
            <w:tcBorders>
              <w:top w:val="none" w:sz="0" w:space="0" w:color="auto"/>
              <w:bottom w:val="none" w:sz="0" w:space="0" w:color="auto"/>
            </w:tcBorders>
          </w:tcPr>
          <w:p w:rsidR="006E76C9" w:rsidRPr="006E76C9" w:rsidRDefault="007F52A7"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850" w:type="dxa"/>
            <w:gridSpan w:val="2"/>
            <w:tcBorders>
              <w:top w:val="none" w:sz="0" w:space="0" w:color="auto"/>
              <w:bottom w:val="none" w:sz="0" w:space="0" w:color="auto"/>
            </w:tcBorders>
          </w:tcPr>
          <w:p w:rsidR="006E76C9" w:rsidRPr="006E76C9" w:rsidRDefault="007F52A7"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r>
      <w:tr w:rsidR="006E76C9" w:rsidRPr="0005794A" w:rsidTr="008A25D1">
        <w:trPr>
          <w:trHeight w:val="355"/>
        </w:trPr>
        <w:tc>
          <w:tcPr>
            <w:cnfStyle w:val="001000000000" w:firstRow="0" w:lastRow="0" w:firstColumn="1" w:lastColumn="0" w:oddVBand="0" w:evenVBand="0" w:oddHBand="0" w:evenHBand="0" w:firstRowFirstColumn="0" w:firstRowLastColumn="0" w:lastRowFirstColumn="0" w:lastRowLastColumn="0"/>
            <w:tcW w:w="2483" w:type="dxa"/>
            <w:gridSpan w:val="3"/>
            <w:tcBorders>
              <w:right w:val="none" w:sz="0" w:space="0" w:color="auto"/>
            </w:tcBorders>
            <w:shd w:val="clear" w:color="auto" w:fill="4BACC6" w:themeFill="accent5"/>
          </w:tcPr>
          <w:p w:rsidR="006E76C9" w:rsidRPr="006E76C9" w:rsidRDefault="006E76C9" w:rsidP="009F52C9">
            <w:pPr>
              <w:pStyle w:val="ExampleSub"/>
              <w:keepNext w:val="0"/>
              <w:keepLines w:val="0"/>
              <w:ind w:left="0"/>
              <w:jc w:val="center"/>
              <w:rPr>
                <w:rFonts w:ascii="Arial" w:hAnsi="Arial" w:cs="Arial"/>
                <w:color w:val="auto"/>
                <w:sz w:val="20"/>
                <w:szCs w:val="20"/>
              </w:rPr>
            </w:pPr>
            <w:r w:rsidRPr="006E76C9">
              <w:rPr>
                <w:rFonts w:ascii="Arial" w:hAnsi="Arial" w:cs="Arial"/>
                <w:color w:val="auto"/>
                <w:sz w:val="18"/>
                <w:szCs w:val="18"/>
              </w:rPr>
              <w:lastRenderedPageBreak/>
              <w:t>Usable Reserves</w:t>
            </w:r>
          </w:p>
        </w:tc>
        <w:tc>
          <w:tcPr>
            <w:tcW w:w="2248" w:type="dxa"/>
            <w:gridSpan w:val="4"/>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6E76C9">
              <w:rPr>
                <w:rFonts w:ascii="Arial" w:hAnsi="Arial" w:cs="Arial"/>
                <w:bCs w:val="0"/>
                <w:color w:val="auto"/>
                <w:sz w:val="18"/>
                <w:szCs w:val="18"/>
              </w:rPr>
              <w:t>Unusable Reserves</w:t>
            </w:r>
          </w:p>
        </w:tc>
        <w:tc>
          <w:tcPr>
            <w:tcW w:w="5791" w:type="dxa"/>
            <w:gridSpan w:val="7"/>
            <w:shd w:val="clear" w:color="auto" w:fill="4BACC6" w:themeFill="accent5"/>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2171" w:type="dxa"/>
            <w:gridSpan w:val="9"/>
            <w:shd w:val="clear" w:color="auto" w:fill="4BACC6" w:themeFill="accent5"/>
          </w:tcPr>
          <w:p w:rsidR="006E76C9" w:rsidRPr="006E76C9" w:rsidRDefault="006E76C9" w:rsidP="00BD128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Usable Reserves</w:t>
            </w:r>
          </w:p>
        </w:tc>
        <w:tc>
          <w:tcPr>
            <w:tcW w:w="2268" w:type="dxa"/>
            <w:gridSpan w:val="5"/>
            <w:shd w:val="clear" w:color="auto" w:fill="4BACC6" w:themeFill="accent5"/>
          </w:tcPr>
          <w:p w:rsidR="006E76C9" w:rsidRPr="006E76C9" w:rsidRDefault="006E76C9" w:rsidP="00BD1281">
            <w:pPr>
              <w:pStyle w:val="ExampleSub"/>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Unusable Reserves</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extDirection w:val="btLr"/>
          </w:tcPr>
          <w:p w:rsidR="006E76C9" w:rsidRPr="006E76C9" w:rsidRDefault="006E76C9" w:rsidP="009F52C9">
            <w:pPr>
              <w:pStyle w:val="ExampleSub"/>
              <w:keepNext w:val="0"/>
              <w:keepLines w:val="0"/>
              <w:ind w:left="113" w:right="113"/>
              <w:rPr>
                <w:rFonts w:ascii="Arial" w:hAnsi="Arial" w:cs="Arial"/>
                <w:color w:val="auto"/>
                <w:sz w:val="20"/>
                <w:szCs w:val="20"/>
              </w:rPr>
            </w:pPr>
            <w:r w:rsidRPr="006E76C9">
              <w:rPr>
                <w:rFonts w:ascii="Arial" w:hAnsi="Arial" w:cs="Arial"/>
                <w:color w:val="auto"/>
                <w:sz w:val="20"/>
                <w:szCs w:val="20"/>
              </w:rPr>
              <w:t>General Fund</w:t>
            </w:r>
          </w:p>
        </w:tc>
        <w:tc>
          <w:tcPr>
            <w:tcW w:w="700" w:type="dxa"/>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Receipts</w:t>
            </w:r>
          </w:p>
        </w:tc>
        <w:tc>
          <w:tcPr>
            <w:tcW w:w="872" w:type="dxa"/>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Capital Grants </w:t>
            </w:r>
            <w:proofErr w:type="spellStart"/>
            <w:r w:rsidRPr="006E76C9">
              <w:rPr>
                <w:rFonts w:ascii="Arial" w:hAnsi="Arial" w:cs="Arial"/>
                <w:b w:val="0"/>
                <w:bCs w:val="0"/>
                <w:color w:val="auto"/>
                <w:sz w:val="20"/>
                <w:szCs w:val="20"/>
              </w:rPr>
              <w:t>Unappl’d</w:t>
            </w:r>
            <w:proofErr w:type="spellEnd"/>
          </w:p>
        </w:tc>
        <w:tc>
          <w:tcPr>
            <w:tcW w:w="686" w:type="dxa"/>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CAA</w:t>
            </w:r>
          </w:p>
        </w:tc>
        <w:tc>
          <w:tcPr>
            <w:tcW w:w="853" w:type="dxa"/>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2"/>
                <w:szCs w:val="22"/>
              </w:rPr>
            </w:pPr>
            <w:r w:rsidRPr="006E76C9">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Other</w:t>
            </w:r>
          </w:p>
        </w:tc>
        <w:tc>
          <w:tcPr>
            <w:tcW w:w="5522" w:type="dxa"/>
            <w:gridSpan w:val="4"/>
            <w:shd w:val="clear" w:color="auto" w:fill="4BACC6" w:themeFill="accent5"/>
            <w:textDirection w:val="btLr"/>
          </w:tcPr>
          <w:p w:rsidR="006E76C9" w:rsidRPr="006E76C9" w:rsidRDefault="006E76C9" w:rsidP="009F52C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2"/>
                <w:szCs w:val="22"/>
              </w:rPr>
            </w:pPr>
          </w:p>
        </w:tc>
        <w:tc>
          <w:tcPr>
            <w:tcW w:w="860" w:type="dxa"/>
            <w:gridSpan w:val="6"/>
            <w:shd w:val="clear" w:color="auto" w:fill="4BACC6" w:themeFill="accent5"/>
            <w:textDirection w:val="btLr"/>
          </w:tcPr>
          <w:p w:rsidR="006E76C9" w:rsidRPr="006E76C9" w:rsidRDefault="006E76C9" w:rsidP="004A3D95">
            <w:pPr>
              <w:pStyle w:val="ExampleSub"/>
              <w:keepNext w:val="0"/>
              <w:keepLines w:val="0"/>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General Fund</w:t>
            </w:r>
          </w:p>
        </w:tc>
        <w:tc>
          <w:tcPr>
            <w:tcW w:w="724" w:type="dxa"/>
            <w:gridSpan w:val="4"/>
            <w:shd w:val="clear" w:color="auto" w:fill="4BACC6" w:themeFill="accent5"/>
            <w:textDirection w:val="btLr"/>
          </w:tcPr>
          <w:p w:rsidR="006E76C9" w:rsidRPr="006E76C9" w:rsidRDefault="006E76C9" w:rsidP="004A3D95">
            <w:pPr>
              <w:pStyle w:val="ExampleSub"/>
              <w:keepNext w:val="0"/>
              <w:keepLines w:val="0"/>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Receipts</w:t>
            </w:r>
          </w:p>
        </w:tc>
        <w:tc>
          <w:tcPr>
            <w:tcW w:w="856" w:type="dxa"/>
            <w:gridSpan w:val="2"/>
            <w:shd w:val="clear" w:color="auto" w:fill="4BACC6" w:themeFill="accent5"/>
            <w:textDirection w:val="btLr"/>
          </w:tcPr>
          <w:p w:rsidR="006E76C9" w:rsidRPr="006E76C9" w:rsidRDefault="006E76C9" w:rsidP="00E53028">
            <w:pPr>
              <w:pStyle w:val="ExampleSub"/>
              <w:keepNext w:val="0"/>
              <w:keepLines w:val="0"/>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Capital Grants </w:t>
            </w:r>
            <w:proofErr w:type="spellStart"/>
            <w:r w:rsidRPr="006E76C9">
              <w:rPr>
                <w:rFonts w:ascii="Arial" w:hAnsi="Arial" w:cs="Arial"/>
                <w:b w:val="0"/>
                <w:bCs w:val="0"/>
                <w:color w:val="auto"/>
                <w:sz w:val="20"/>
                <w:szCs w:val="20"/>
              </w:rPr>
              <w:t>Unappl’d</w:t>
            </w:r>
            <w:proofErr w:type="spellEnd"/>
          </w:p>
        </w:tc>
        <w:tc>
          <w:tcPr>
            <w:tcW w:w="709" w:type="dxa"/>
            <w:shd w:val="clear" w:color="auto" w:fill="4BACC6" w:themeFill="accent5"/>
            <w:textDirection w:val="btLr"/>
          </w:tcPr>
          <w:p w:rsidR="006E76C9" w:rsidRPr="006E76C9" w:rsidRDefault="006E76C9" w:rsidP="004A3D95">
            <w:pPr>
              <w:pStyle w:val="ExampleSub"/>
              <w:keepNext w:val="0"/>
              <w:keepLines w:val="0"/>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CAA</w:t>
            </w:r>
          </w:p>
        </w:tc>
        <w:tc>
          <w:tcPr>
            <w:tcW w:w="709" w:type="dxa"/>
            <w:gridSpan w:val="2"/>
            <w:shd w:val="clear" w:color="auto" w:fill="4BACC6" w:themeFill="accent5"/>
            <w:textDirection w:val="btLr"/>
          </w:tcPr>
          <w:p w:rsidR="006E76C9" w:rsidRPr="006E76C9" w:rsidRDefault="006E76C9" w:rsidP="004A3D95">
            <w:pPr>
              <w:pStyle w:val="ExampleSub"/>
              <w:keepNext w:val="0"/>
              <w:keepLines w:val="0"/>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Pension</w:t>
            </w:r>
          </w:p>
        </w:tc>
        <w:tc>
          <w:tcPr>
            <w:tcW w:w="850" w:type="dxa"/>
            <w:gridSpan w:val="2"/>
            <w:shd w:val="clear" w:color="auto" w:fill="4BACC6" w:themeFill="accent5"/>
            <w:textDirection w:val="btLr"/>
          </w:tcPr>
          <w:p w:rsidR="006E76C9" w:rsidRPr="006E76C9" w:rsidRDefault="006E76C9" w:rsidP="004A3D95">
            <w:pPr>
              <w:pStyle w:val="ExampleSub"/>
              <w:keepNext w:val="0"/>
              <w:keepLines w:val="0"/>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Other</w:t>
            </w:r>
          </w:p>
        </w:tc>
      </w:tr>
      <w:tr w:rsidR="006E76C9" w:rsidRPr="0005794A" w:rsidTr="008A25D1">
        <w:trPr>
          <w:trHeight w:hRule="exact" w:val="454"/>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shd w:val="clear" w:color="auto" w:fill="4BACC6" w:themeFill="accent5"/>
          </w:tcPr>
          <w:p w:rsidR="006E76C9" w:rsidRPr="006E76C9" w:rsidRDefault="006E76C9" w:rsidP="009F52C9">
            <w:pPr>
              <w:pStyle w:val="ExampleSub"/>
              <w:keepNext w:val="0"/>
              <w:keepLines w:val="0"/>
              <w:ind w:left="0"/>
              <w:jc w:val="center"/>
              <w:rPr>
                <w:rFonts w:ascii="Arial" w:hAnsi="Arial" w:cs="Arial"/>
                <w:color w:val="auto"/>
                <w:sz w:val="18"/>
                <w:szCs w:val="18"/>
              </w:rPr>
            </w:pPr>
            <w:r w:rsidRPr="006E76C9">
              <w:rPr>
                <w:rFonts w:ascii="Arial" w:hAnsi="Arial" w:cs="Arial"/>
                <w:color w:val="auto"/>
                <w:sz w:val="18"/>
                <w:szCs w:val="18"/>
              </w:rPr>
              <w:t>£m</w:t>
            </w:r>
          </w:p>
        </w:tc>
        <w:tc>
          <w:tcPr>
            <w:tcW w:w="700" w:type="dxa"/>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72" w:type="dxa"/>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686" w:type="dxa"/>
            <w:shd w:val="clear" w:color="auto" w:fill="4BACC6" w:themeFill="accent5"/>
          </w:tcPr>
          <w:p w:rsidR="006E76C9" w:rsidRPr="006E76C9" w:rsidRDefault="006E76C9" w:rsidP="009F52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3" w:type="dxa"/>
            <w:shd w:val="clear" w:color="auto" w:fill="4BACC6" w:themeFill="accent5"/>
          </w:tcPr>
          <w:p w:rsidR="006E76C9" w:rsidRPr="006E76C9" w:rsidRDefault="006E76C9" w:rsidP="009F52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6E76C9">
              <w:rPr>
                <w:rFonts w:ascii="Arial" w:hAnsi="Arial" w:cs="Arial"/>
                <w:b w:val="0"/>
                <w:color w:val="auto"/>
                <w:sz w:val="18"/>
                <w:szCs w:val="18"/>
              </w:rPr>
              <w:t>£m</w:t>
            </w:r>
          </w:p>
        </w:tc>
        <w:tc>
          <w:tcPr>
            <w:tcW w:w="709" w:type="dxa"/>
            <w:gridSpan w:val="2"/>
            <w:shd w:val="clear" w:color="auto" w:fill="4BACC6" w:themeFill="accent5"/>
          </w:tcPr>
          <w:p w:rsidR="006E76C9" w:rsidRPr="006E76C9" w:rsidRDefault="006E76C9" w:rsidP="009F52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6E76C9">
              <w:rPr>
                <w:rFonts w:ascii="Arial" w:hAnsi="Arial" w:cs="Arial"/>
                <w:b w:val="0"/>
                <w:color w:val="auto"/>
                <w:sz w:val="18"/>
                <w:szCs w:val="18"/>
              </w:rPr>
              <w:t>£m</w:t>
            </w:r>
          </w:p>
        </w:tc>
        <w:tc>
          <w:tcPr>
            <w:tcW w:w="5522" w:type="dxa"/>
            <w:gridSpan w:val="4"/>
            <w:shd w:val="clear" w:color="auto" w:fill="4BACC6" w:themeFill="accent5"/>
          </w:tcPr>
          <w:p w:rsidR="006E76C9" w:rsidRPr="006E76C9" w:rsidRDefault="006E76C9" w:rsidP="009F52C9">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8"/>
                <w:szCs w:val="18"/>
              </w:rPr>
            </w:pPr>
          </w:p>
        </w:tc>
        <w:tc>
          <w:tcPr>
            <w:tcW w:w="860" w:type="dxa"/>
            <w:gridSpan w:val="6"/>
            <w:shd w:val="clear" w:color="auto" w:fill="4BACC6" w:themeFill="accent5"/>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24" w:type="dxa"/>
            <w:gridSpan w:val="4"/>
            <w:shd w:val="clear" w:color="auto" w:fill="4BACC6" w:themeFill="accent5"/>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6" w:type="dxa"/>
            <w:gridSpan w:val="2"/>
            <w:shd w:val="clear" w:color="auto" w:fill="4BACC6" w:themeFill="accent5"/>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09" w:type="dxa"/>
            <w:shd w:val="clear" w:color="auto" w:fill="4BACC6" w:themeFill="accent5"/>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09" w:type="dxa"/>
            <w:gridSpan w:val="2"/>
            <w:shd w:val="clear" w:color="auto" w:fill="4BACC6" w:themeFill="accent5"/>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0" w:type="dxa"/>
            <w:gridSpan w:val="2"/>
            <w:shd w:val="clear" w:color="auto" w:fill="4BACC6" w:themeFill="accent5"/>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(3.9)</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(0.7)</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(3.0)</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7.6</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w:t>
            </w:r>
          </w:p>
        </w:tc>
        <w:tc>
          <w:tcPr>
            <w:tcW w:w="5522" w:type="dxa"/>
            <w:gridSpan w:val="4"/>
            <w:tcBorders>
              <w:top w:val="none" w:sz="0" w:space="0" w:color="auto"/>
              <w:bottom w:val="none" w:sz="0" w:space="0" w:color="auto"/>
            </w:tcBorders>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proofErr w:type="spellStart"/>
            <w:r w:rsidRPr="006E76C9">
              <w:rPr>
                <w:rFonts w:ascii="Arial" w:hAnsi="Arial" w:cs="Arial"/>
                <w:b w:val="0"/>
                <w:color w:val="auto"/>
                <w:sz w:val="20"/>
                <w:szCs w:val="20"/>
              </w:rPr>
              <w:t>b/f</w:t>
            </w:r>
            <w:proofErr w:type="spellEnd"/>
          </w:p>
        </w:tc>
        <w:tc>
          <w:tcPr>
            <w:tcW w:w="860" w:type="dxa"/>
            <w:gridSpan w:val="6"/>
            <w:tcBorders>
              <w:top w:val="none" w:sz="0" w:space="0" w:color="auto"/>
              <w:bottom w:val="none" w:sz="0" w:space="0" w:color="auto"/>
            </w:tcBorders>
          </w:tcPr>
          <w:p w:rsidR="006E76C9" w:rsidRPr="006E76C9" w:rsidRDefault="007F52A7" w:rsidP="009872D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w:t>
            </w:r>
            <w:r w:rsidR="009872DE">
              <w:rPr>
                <w:rFonts w:ascii="Arial" w:hAnsi="Arial" w:cs="Arial"/>
                <w:bCs w:val="0"/>
                <w:color w:val="auto"/>
                <w:sz w:val="20"/>
                <w:szCs w:val="20"/>
              </w:rPr>
              <w:t>8.7</w:t>
            </w:r>
            <w:r>
              <w:rPr>
                <w:rFonts w:ascii="Arial" w:hAnsi="Arial" w:cs="Arial"/>
                <w:bCs w:val="0"/>
                <w:color w:val="auto"/>
                <w:sz w:val="20"/>
                <w:szCs w:val="20"/>
              </w:rPr>
              <w:t>)</w:t>
            </w:r>
          </w:p>
        </w:tc>
        <w:tc>
          <w:tcPr>
            <w:tcW w:w="724" w:type="dxa"/>
            <w:gridSpan w:val="4"/>
            <w:tcBorders>
              <w:top w:val="none" w:sz="0" w:space="0" w:color="auto"/>
              <w:bottom w:val="none" w:sz="0" w:space="0" w:color="auto"/>
            </w:tcBorders>
          </w:tcPr>
          <w:p w:rsidR="006E76C9" w:rsidRPr="006E76C9" w:rsidRDefault="007F52A7"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r w:rsidR="00E022B7">
              <w:rPr>
                <w:rFonts w:ascii="Arial" w:hAnsi="Arial" w:cs="Arial"/>
                <w:bCs w:val="0"/>
                <w:color w:val="auto"/>
                <w:sz w:val="20"/>
                <w:szCs w:val="20"/>
              </w:rPr>
              <w:t>7</w:t>
            </w:r>
            <w:r>
              <w:rPr>
                <w:rFonts w:ascii="Arial" w:hAnsi="Arial" w:cs="Arial"/>
                <w:bCs w:val="0"/>
                <w:color w:val="auto"/>
                <w:sz w:val="20"/>
                <w:szCs w:val="20"/>
              </w:rPr>
              <w:t>)</w:t>
            </w:r>
          </w:p>
        </w:tc>
        <w:tc>
          <w:tcPr>
            <w:tcW w:w="856" w:type="dxa"/>
            <w:gridSpan w:val="2"/>
            <w:tcBorders>
              <w:top w:val="none" w:sz="0" w:space="0" w:color="auto"/>
              <w:bottom w:val="none" w:sz="0" w:space="0" w:color="auto"/>
            </w:tcBorders>
          </w:tcPr>
          <w:p w:rsidR="006E76C9" w:rsidRPr="006E76C9" w:rsidRDefault="007F52A7"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(1.9)</w:t>
            </w:r>
          </w:p>
        </w:tc>
        <w:tc>
          <w:tcPr>
            <w:tcW w:w="709" w:type="dxa"/>
            <w:tcBorders>
              <w:top w:val="none" w:sz="0" w:space="0" w:color="auto"/>
              <w:bottom w:val="none" w:sz="0" w:space="0" w:color="auto"/>
            </w:tcBorders>
          </w:tcPr>
          <w:p w:rsidR="006E76C9" w:rsidRPr="006E76C9" w:rsidRDefault="009872DE"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21.</w:t>
            </w:r>
            <w:r w:rsidR="00E022B7">
              <w:rPr>
                <w:rFonts w:ascii="Arial" w:hAnsi="Arial" w:cs="Arial"/>
                <w:bCs w:val="0"/>
                <w:color w:val="auto"/>
                <w:sz w:val="20"/>
                <w:szCs w:val="20"/>
              </w:rPr>
              <w:t>3</w:t>
            </w:r>
          </w:p>
        </w:tc>
        <w:tc>
          <w:tcPr>
            <w:tcW w:w="709" w:type="dxa"/>
            <w:gridSpan w:val="2"/>
            <w:tcBorders>
              <w:top w:val="none" w:sz="0" w:space="0" w:color="auto"/>
              <w:bottom w:val="none" w:sz="0" w:space="0" w:color="auto"/>
            </w:tcBorders>
          </w:tcPr>
          <w:p w:rsidR="006E76C9" w:rsidRPr="006E76C9" w:rsidRDefault="007F52A7"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0</w:t>
            </w:r>
          </w:p>
        </w:tc>
        <w:tc>
          <w:tcPr>
            <w:tcW w:w="850" w:type="dxa"/>
            <w:gridSpan w:val="2"/>
            <w:tcBorders>
              <w:top w:val="none" w:sz="0" w:space="0" w:color="auto"/>
              <w:bottom w:val="none" w:sz="0" w:space="0" w:color="auto"/>
            </w:tcBorders>
          </w:tcPr>
          <w:p w:rsidR="006E76C9" w:rsidRPr="006E76C9" w:rsidRDefault="007F52A7"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0</w:t>
            </w:r>
          </w:p>
        </w:tc>
      </w:tr>
      <w:tr w:rsidR="006E76C9" w:rsidRPr="0005794A" w:rsidTr="008A25D1">
        <w:trPr>
          <w:trHeight w:val="700"/>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(12.4)</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12.4</w:t>
            </w: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5522" w:type="dxa"/>
            <w:gridSpan w:val="4"/>
          </w:tcPr>
          <w:p w:rsidR="006E76C9" w:rsidRPr="006E76C9" w:rsidRDefault="006E76C9" w:rsidP="0004535C">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Reversal of items relating to retirement benefits debited or credited to the CI&amp;E Statement (see Note 38)</w:t>
            </w:r>
          </w:p>
        </w:tc>
        <w:tc>
          <w:tcPr>
            <w:tcW w:w="860" w:type="dxa"/>
            <w:gridSpan w:val="6"/>
          </w:tcPr>
          <w:p w:rsidR="006E76C9" w:rsidRPr="006E76C9" w:rsidRDefault="00E54065" w:rsidP="0015130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(16.8)</w:t>
            </w:r>
          </w:p>
        </w:tc>
        <w:tc>
          <w:tcPr>
            <w:tcW w:w="724" w:type="dxa"/>
            <w:gridSpan w:val="4"/>
          </w:tcPr>
          <w:p w:rsidR="006E76C9" w:rsidRPr="006E76C9" w:rsidRDefault="00E54065"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6" w:type="dxa"/>
            <w:gridSpan w:val="2"/>
          </w:tcPr>
          <w:p w:rsidR="006E76C9" w:rsidRPr="006E76C9" w:rsidRDefault="00E54065"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09" w:type="dxa"/>
          </w:tcPr>
          <w:p w:rsidR="006E76C9" w:rsidRPr="006E76C9" w:rsidRDefault="00E54065"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09" w:type="dxa"/>
            <w:gridSpan w:val="2"/>
          </w:tcPr>
          <w:p w:rsidR="006E76C9" w:rsidRPr="006E76C9" w:rsidRDefault="00E54065" w:rsidP="0015130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16.8</w:t>
            </w:r>
          </w:p>
        </w:tc>
        <w:tc>
          <w:tcPr>
            <w:tcW w:w="850" w:type="dxa"/>
            <w:gridSpan w:val="2"/>
          </w:tcPr>
          <w:p w:rsidR="006E76C9" w:rsidRPr="006E76C9" w:rsidRDefault="00E54065"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7.1</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(7.1)</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5522" w:type="dxa"/>
            <w:gridSpan w:val="4"/>
            <w:tcBorders>
              <w:top w:val="none" w:sz="0" w:space="0" w:color="auto"/>
              <w:bottom w:val="none" w:sz="0" w:space="0" w:color="auto"/>
            </w:tcBorders>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Employer’s pensions contributions and direct payments to pensioners payable in the year</w:t>
            </w:r>
          </w:p>
        </w:tc>
        <w:tc>
          <w:tcPr>
            <w:tcW w:w="860" w:type="dxa"/>
            <w:gridSpan w:val="6"/>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7.6</w:t>
            </w:r>
          </w:p>
        </w:tc>
        <w:tc>
          <w:tcPr>
            <w:tcW w:w="724" w:type="dxa"/>
            <w:gridSpan w:val="4"/>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6" w:type="dxa"/>
            <w:gridSpan w:val="2"/>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09" w:type="dxa"/>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09" w:type="dxa"/>
            <w:gridSpan w:val="2"/>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(7.6)</w:t>
            </w:r>
          </w:p>
        </w:tc>
        <w:tc>
          <w:tcPr>
            <w:tcW w:w="850" w:type="dxa"/>
            <w:gridSpan w:val="2"/>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r>
      <w:tr w:rsidR="006E76C9" w:rsidRPr="0005794A" w:rsidTr="008A25D1">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5522" w:type="dxa"/>
            <w:gridSpan w:val="4"/>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6E76C9">
              <w:rPr>
                <w:rFonts w:ascii="Arial" w:hAnsi="Arial" w:cs="Arial"/>
                <w:color w:val="auto"/>
                <w:sz w:val="22"/>
                <w:szCs w:val="22"/>
              </w:rPr>
              <w:t>Adjustments involving the Collection Fund Adjustment Account:</w:t>
            </w:r>
          </w:p>
        </w:tc>
        <w:tc>
          <w:tcPr>
            <w:tcW w:w="860" w:type="dxa"/>
            <w:gridSpan w:val="6"/>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24" w:type="dxa"/>
            <w:gridSpan w:val="4"/>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6"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709"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tcW w:w="850"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0.6</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(0.6)</w:t>
            </w:r>
          </w:p>
        </w:tc>
        <w:tc>
          <w:tcPr>
            <w:tcW w:w="5522" w:type="dxa"/>
            <w:gridSpan w:val="4"/>
            <w:tcBorders>
              <w:top w:val="none" w:sz="0" w:space="0" w:color="auto"/>
              <w:bottom w:val="none" w:sz="0" w:space="0" w:color="auto"/>
            </w:tcBorders>
          </w:tcPr>
          <w:p w:rsidR="006E76C9" w:rsidRPr="006E76C9" w:rsidRDefault="006E76C9" w:rsidP="00E029AB">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6E76C9">
              <w:rPr>
                <w:rFonts w:ascii="Arial" w:hAnsi="Arial" w:cs="Arial"/>
                <w:b w:val="0"/>
                <w:color w:val="auto"/>
                <w:sz w:val="20"/>
                <w:szCs w:val="20"/>
              </w:rPr>
              <w:t>Amount by which council tax income credited to the CI&amp;E Statement is different from council tax income calculated for the year in accordance with statutory requirements</w:t>
            </w:r>
          </w:p>
        </w:tc>
        <w:tc>
          <w:tcPr>
            <w:tcW w:w="860" w:type="dxa"/>
            <w:gridSpan w:val="6"/>
            <w:tcBorders>
              <w:top w:val="none" w:sz="0" w:space="0" w:color="auto"/>
              <w:bottom w:val="none" w:sz="0" w:space="0" w:color="auto"/>
            </w:tcBorders>
          </w:tcPr>
          <w:p w:rsidR="006E76C9" w:rsidRPr="006E76C9" w:rsidRDefault="00E54065" w:rsidP="001510A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(0.4)</w:t>
            </w:r>
          </w:p>
        </w:tc>
        <w:tc>
          <w:tcPr>
            <w:tcW w:w="724" w:type="dxa"/>
            <w:gridSpan w:val="4"/>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6" w:type="dxa"/>
            <w:gridSpan w:val="2"/>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09" w:type="dxa"/>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09" w:type="dxa"/>
            <w:gridSpan w:val="2"/>
            <w:tcBorders>
              <w:top w:val="none" w:sz="0" w:space="0" w:color="auto"/>
              <w:bottom w:val="none" w:sz="0" w:space="0" w:color="auto"/>
            </w:tcBorders>
          </w:tcPr>
          <w:p w:rsidR="006E76C9" w:rsidRPr="006E76C9" w:rsidRDefault="00E54065"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0" w:type="dxa"/>
            <w:gridSpan w:val="2"/>
            <w:tcBorders>
              <w:top w:val="none" w:sz="0" w:space="0" w:color="auto"/>
              <w:bottom w:val="none" w:sz="0" w:space="0" w:color="auto"/>
            </w:tcBorders>
          </w:tcPr>
          <w:p w:rsidR="006E76C9" w:rsidRPr="006E76C9" w:rsidRDefault="00E54065" w:rsidP="001510A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0.4</w:t>
            </w:r>
          </w:p>
        </w:tc>
      </w:tr>
      <w:tr w:rsidR="006E76C9" w:rsidRPr="0005794A" w:rsidTr="008A25D1">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5522" w:type="dxa"/>
            <w:gridSpan w:val="4"/>
          </w:tcPr>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6E76C9">
              <w:rPr>
                <w:rFonts w:ascii="Arial" w:hAnsi="Arial" w:cs="Arial"/>
                <w:color w:val="auto"/>
                <w:sz w:val="22"/>
                <w:szCs w:val="22"/>
              </w:rPr>
              <w:t>Adjustment involving the Accumulated Absences Account</w:t>
            </w:r>
          </w:p>
          <w:p w:rsidR="006E76C9" w:rsidRPr="006E76C9" w:rsidRDefault="006E76C9" w:rsidP="00E029AB">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p>
        </w:tc>
        <w:tc>
          <w:tcPr>
            <w:tcW w:w="860" w:type="dxa"/>
            <w:gridSpan w:val="6"/>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24" w:type="dxa"/>
            <w:gridSpan w:val="4"/>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6"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709"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tcW w:w="850" w:type="dxa"/>
            <w:gridSpan w:val="2"/>
          </w:tcPr>
          <w:p w:rsidR="006E76C9" w:rsidRPr="006E76C9" w:rsidRDefault="006E76C9" w:rsidP="004A3D95">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(8.6)</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(0.7)</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(3.0)</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7.6</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5.3</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(0.6)</w:t>
            </w:r>
          </w:p>
        </w:tc>
        <w:tc>
          <w:tcPr>
            <w:tcW w:w="5522" w:type="dxa"/>
            <w:gridSpan w:val="4"/>
            <w:tcBorders>
              <w:top w:val="none" w:sz="0" w:space="0" w:color="auto"/>
              <w:bottom w:val="none" w:sz="0" w:space="0" w:color="auto"/>
            </w:tcBorders>
          </w:tcPr>
          <w:p w:rsidR="006E76C9" w:rsidRPr="006E76C9" w:rsidRDefault="006E76C9" w:rsidP="0024663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r w:rsidRPr="006E76C9">
              <w:rPr>
                <w:rFonts w:ascii="Arial" w:hAnsi="Arial" w:cs="Arial"/>
                <w:b w:val="0"/>
                <w:color w:val="auto"/>
                <w:sz w:val="20"/>
                <w:szCs w:val="20"/>
              </w:rPr>
              <w:t>c/f</w:t>
            </w:r>
          </w:p>
          <w:p w:rsidR="006E76C9" w:rsidRPr="006E76C9" w:rsidRDefault="006E76C9" w:rsidP="0024663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0"/>
                <w:szCs w:val="20"/>
              </w:rPr>
            </w:pPr>
          </w:p>
        </w:tc>
        <w:tc>
          <w:tcPr>
            <w:tcW w:w="860" w:type="dxa"/>
            <w:gridSpan w:val="6"/>
            <w:tcBorders>
              <w:top w:val="none" w:sz="0" w:space="0" w:color="auto"/>
              <w:bottom w:val="none" w:sz="0" w:space="0" w:color="auto"/>
            </w:tcBorders>
          </w:tcPr>
          <w:p w:rsidR="006E76C9" w:rsidRPr="006E76C9" w:rsidRDefault="007F52A7" w:rsidP="009872D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w:t>
            </w:r>
            <w:r w:rsidR="009872DE">
              <w:rPr>
                <w:rFonts w:ascii="Arial" w:hAnsi="Arial" w:cs="Arial"/>
                <w:bCs w:val="0"/>
                <w:color w:val="auto"/>
                <w:sz w:val="20"/>
                <w:szCs w:val="20"/>
              </w:rPr>
              <w:t>8.3</w:t>
            </w:r>
            <w:r>
              <w:rPr>
                <w:rFonts w:ascii="Arial" w:hAnsi="Arial" w:cs="Arial"/>
                <w:bCs w:val="0"/>
                <w:color w:val="auto"/>
                <w:sz w:val="20"/>
                <w:szCs w:val="20"/>
              </w:rPr>
              <w:t>)</w:t>
            </w:r>
          </w:p>
        </w:tc>
        <w:tc>
          <w:tcPr>
            <w:tcW w:w="724" w:type="dxa"/>
            <w:gridSpan w:val="4"/>
            <w:tcBorders>
              <w:top w:val="none" w:sz="0" w:space="0" w:color="auto"/>
              <w:bottom w:val="none" w:sz="0" w:space="0" w:color="auto"/>
            </w:tcBorders>
          </w:tcPr>
          <w:p w:rsidR="006E76C9" w:rsidRPr="006E76C9" w:rsidRDefault="007F52A7"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r w:rsidR="00E022B7">
              <w:rPr>
                <w:rFonts w:ascii="Arial" w:hAnsi="Arial" w:cs="Arial"/>
                <w:bCs w:val="0"/>
                <w:color w:val="auto"/>
                <w:sz w:val="20"/>
                <w:szCs w:val="20"/>
              </w:rPr>
              <w:t>7</w:t>
            </w:r>
            <w:r>
              <w:rPr>
                <w:rFonts w:ascii="Arial" w:hAnsi="Arial" w:cs="Arial"/>
                <w:bCs w:val="0"/>
                <w:color w:val="auto"/>
                <w:sz w:val="20"/>
                <w:szCs w:val="20"/>
              </w:rPr>
              <w:t>)</w:t>
            </w:r>
          </w:p>
        </w:tc>
        <w:tc>
          <w:tcPr>
            <w:tcW w:w="856" w:type="dxa"/>
            <w:gridSpan w:val="2"/>
            <w:tcBorders>
              <w:top w:val="none" w:sz="0" w:space="0" w:color="auto"/>
              <w:bottom w:val="none" w:sz="0" w:space="0" w:color="auto"/>
            </w:tcBorders>
          </w:tcPr>
          <w:p w:rsidR="006E76C9" w:rsidRPr="006E76C9" w:rsidRDefault="007F52A7" w:rsidP="004A3D9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(1.9)</w:t>
            </w:r>
          </w:p>
        </w:tc>
        <w:tc>
          <w:tcPr>
            <w:tcW w:w="709" w:type="dxa"/>
            <w:tcBorders>
              <w:top w:val="none" w:sz="0" w:space="0" w:color="auto"/>
              <w:bottom w:val="none" w:sz="0" w:space="0" w:color="auto"/>
            </w:tcBorders>
          </w:tcPr>
          <w:p w:rsidR="006E76C9" w:rsidRPr="006E76C9" w:rsidRDefault="009872DE"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21.</w:t>
            </w:r>
            <w:r w:rsidR="00E022B7">
              <w:rPr>
                <w:rFonts w:ascii="Arial" w:hAnsi="Arial" w:cs="Arial"/>
                <w:bCs w:val="0"/>
                <w:color w:val="auto"/>
                <w:sz w:val="20"/>
                <w:szCs w:val="20"/>
              </w:rPr>
              <w:t>3</w:t>
            </w:r>
          </w:p>
        </w:tc>
        <w:tc>
          <w:tcPr>
            <w:tcW w:w="709" w:type="dxa"/>
            <w:gridSpan w:val="2"/>
            <w:tcBorders>
              <w:top w:val="none" w:sz="0" w:space="0" w:color="auto"/>
              <w:bottom w:val="none" w:sz="0" w:space="0" w:color="auto"/>
            </w:tcBorders>
          </w:tcPr>
          <w:p w:rsidR="006E76C9" w:rsidRPr="006E76C9" w:rsidRDefault="007F52A7" w:rsidP="001513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9.2</w:t>
            </w:r>
          </w:p>
        </w:tc>
        <w:tc>
          <w:tcPr>
            <w:tcW w:w="850" w:type="dxa"/>
            <w:gridSpan w:val="2"/>
            <w:tcBorders>
              <w:top w:val="none" w:sz="0" w:space="0" w:color="auto"/>
              <w:bottom w:val="none" w:sz="0" w:space="0" w:color="auto"/>
            </w:tcBorders>
          </w:tcPr>
          <w:p w:rsidR="006E76C9" w:rsidRPr="006E76C9" w:rsidRDefault="007F52A7" w:rsidP="001510A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0.4</w:t>
            </w:r>
          </w:p>
        </w:tc>
      </w:tr>
      <w:tr w:rsidR="006E76C9" w:rsidRPr="0005794A" w:rsidTr="008A25D1">
        <w:trPr>
          <w:trHeight w:val="355"/>
        </w:trPr>
        <w:tc>
          <w:tcPr>
            <w:cnfStyle w:val="001000000000" w:firstRow="0" w:lastRow="0" w:firstColumn="1" w:lastColumn="0" w:oddVBand="0" w:evenVBand="0" w:oddHBand="0" w:evenHBand="0" w:firstRowFirstColumn="0" w:firstRowLastColumn="0" w:lastRowFirstColumn="0" w:lastRowLastColumn="0"/>
            <w:tcW w:w="2483" w:type="dxa"/>
            <w:gridSpan w:val="3"/>
            <w:tcBorders>
              <w:right w:val="none" w:sz="0" w:space="0" w:color="auto"/>
            </w:tcBorders>
            <w:shd w:val="clear" w:color="auto" w:fill="4BACC6" w:themeFill="accent5"/>
          </w:tcPr>
          <w:p w:rsidR="006E76C9" w:rsidRPr="006E76C9" w:rsidRDefault="006E76C9" w:rsidP="00BD1281">
            <w:pPr>
              <w:pStyle w:val="ExampleSub"/>
              <w:keepNext w:val="0"/>
              <w:keepLines w:val="0"/>
              <w:ind w:left="0"/>
              <w:jc w:val="center"/>
              <w:rPr>
                <w:rFonts w:ascii="Arial" w:hAnsi="Arial" w:cs="Arial"/>
                <w:color w:val="auto"/>
                <w:sz w:val="20"/>
                <w:szCs w:val="20"/>
              </w:rPr>
            </w:pPr>
            <w:r w:rsidRPr="006E76C9">
              <w:rPr>
                <w:rFonts w:ascii="Arial" w:hAnsi="Arial" w:cs="Arial"/>
                <w:color w:val="auto"/>
                <w:sz w:val="18"/>
                <w:szCs w:val="18"/>
              </w:rPr>
              <w:lastRenderedPageBreak/>
              <w:t>Usable Reserves</w:t>
            </w:r>
          </w:p>
        </w:tc>
        <w:tc>
          <w:tcPr>
            <w:tcW w:w="2248" w:type="dxa"/>
            <w:gridSpan w:val="4"/>
            <w:shd w:val="clear" w:color="auto" w:fill="4BACC6" w:themeFill="accent5"/>
          </w:tcPr>
          <w:p w:rsidR="006E76C9" w:rsidRPr="006E76C9" w:rsidRDefault="006E76C9" w:rsidP="0024663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6E76C9">
              <w:rPr>
                <w:rFonts w:ascii="Arial" w:hAnsi="Arial" w:cs="Arial"/>
                <w:bCs w:val="0"/>
                <w:color w:val="auto"/>
                <w:sz w:val="18"/>
                <w:szCs w:val="18"/>
              </w:rPr>
              <w:t>Unusable Reserves</w:t>
            </w:r>
          </w:p>
        </w:tc>
        <w:tc>
          <w:tcPr>
            <w:tcW w:w="5791" w:type="dxa"/>
            <w:gridSpan w:val="7"/>
            <w:shd w:val="clear" w:color="auto" w:fill="4BACC6" w:themeFill="accent5"/>
          </w:tcPr>
          <w:p w:rsidR="006E76C9" w:rsidRPr="006E76C9" w:rsidRDefault="006E76C9" w:rsidP="0024663A">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2171" w:type="dxa"/>
            <w:gridSpan w:val="9"/>
            <w:shd w:val="clear" w:color="auto" w:fill="4BACC6" w:themeFill="accent5"/>
          </w:tcPr>
          <w:p w:rsidR="006E76C9" w:rsidRPr="006E76C9" w:rsidRDefault="006E76C9" w:rsidP="00BD128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Usable Reserves</w:t>
            </w:r>
          </w:p>
        </w:tc>
        <w:tc>
          <w:tcPr>
            <w:tcW w:w="2268" w:type="dxa"/>
            <w:gridSpan w:val="5"/>
            <w:shd w:val="clear" w:color="auto" w:fill="4BACC6" w:themeFill="accent5"/>
          </w:tcPr>
          <w:p w:rsidR="006E76C9" w:rsidRPr="006E76C9" w:rsidRDefault="006E76C9" w:rsidP="0024663A">
            <w:pPr>
              <w:pStyle w:val="ExampleSub"/>
              <w:ind w:left="0"/>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Unusable Reserves</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911" w:type="dxa"/>
            <w:shd w:val="clear" w:color="auto" w:fill="4BACC6" w:themeFill="accent5"/>
            <w:textDirection w:val="btLr"/>
          </w:tcPr>
          <w:p w:rsidR="006E76C9" w:rsidRPr="006E76C9" w:rsidRDefault="006E76C9" w:rsidP="0024663A">
            <w:pPr>
              <w:pStyle w:val="ExampleSub"/>
              <w:keepNext w:val="0"/>
              <w:keepLines w:val="0"/>
              <w:ind w:left="113" w:right="113"/>
              <w:rPr>
                <w:rFonts w:ascii="Arial" w:hAnsi="Arial" w:cs="Arial"/>
                <w:color w:val="auto"/>
                <w:sz w:val="20"/>
                <w:szCs w:val="20"/>
              </w:rPr>
            </w:pPr>
            <w:r w:rsidRPr="006E76C9">
              <w:rPr>
                <w:rFonts w:ascii="Arial" w:hAnsi="Arial" w:cs="Arial"/>
                <w:color w:val="auto"/>
                <w:sz w:val="20"/>
                <w:szCs w:val="20"/>
              </w:rPr>
              <w:t>General Fund</w:t>
            </w:r>
          </w:p>
        </w:tc>
        <w:tc>
          <w:tcPr>
            <w:tcW w:w="700" w:type="dxa"/>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Receipts</w:t>
            </w:r>
          </w:p>
        </w:tc>
        <w:tc>
          <w:tcPr>
            <w:tcW w:w="872" w:type="dxa"/>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Capital Grants </w:t>
            </w:r>
            <w:proofErr w:type="spellStart"/>
            <w:r w:rsidRPr="006E76C9">
              <w:rPr>
                <w:rFonts w:ascii="Arial" w:hAnsi="Arial" w:cs="Arial"/>
                <w:b w:val="0"/>
                <w:bCs w:val="0"/>
                <w:color w:val="auto"/>
                <w:sz w:val="20"/>
                <w:szCs w:val="20"/>
              </w:rPr>
              <w:t>Unappl’d</w:t>
            </w:r>
            <w:proofErr w:type="spellEnd"/>
          </w:p>
        </w:tc>
        <w:tc>
          <w:tcPr>
            <w:tcW w:w="686" w:type="dxa"/>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CAA</w:t>
            </w:r>
          </w:p>
        </w:tc>
        <w:tc>
          <w:tcPr>
            <w:tcW w:w="853" w:type="dxa"/>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2"/>
                <w:szCs w:val="22"/>
              </w:rPr>
            </w:pPr>
            <w:r w:rsidRPr="006E76C9">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Other</w:t>
            </w:r>
          </w:p>
        </w:tc>
        <w:tc>
          <w:tcPr>
            <w:tcW w:w="5552" w:type="dxa"/>
            <w:gridSpan w:val="5"/>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2"/>
                <w:szCs w:val="22"/>
              </w:rPr>
            </w:pPr>
          </w:p>
        </w:tc>
        <w:tc>
          <w:tcPr>
            <w:tcW w:w="830" w:type="dxa"/>
            <w:gridSpan w:val="5"/>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General Fund</w:t>
            </w:r>
          </w:p>
        </w:tc>
        <w:tc>
          <w:tcPr>
            <w:tcW w:w="724" w:type="dxa"/>
            <w:gridSpan w:val="4"/>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Capital Receipts</w:t>
            </w:r>
          </w:p>
        </w:tc>
        <w:tc>
          <w:tcPr>
            <w:tcW w:w="856" w:type="dxa"/>
            <w:gridSpan w:val="2"/>
            <w:shd w:val="clear" w:color="auto" w:fill="4BACC6" w:themeFill="accent5"/>
            <w:textDirection w:val="btLr"/>
          </w:tcPr>
          <w:p w:rsidR="006E76C9" w:rsidRPr="006E76C9" w:rsidRDefault="006E76C9" w:rsidP="00013D69">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 xml:space="preserve">Capital Grants </w:t>
            </w:r>
            <w:proofErr w:type="spellStart"/>
            <w:r w:rsidRPr="006E76C9">
              <w:rPr>
                <w:rFonts w:ascii="Arial" w:hAnsi="Arial" w:cs="Arial"/>
                <w:b w:val="0"/>
                <w:bCs w:val="0"/>
                <w:color w:val="auto"/>
                <w:sz w:val="20"/>
                <w:szCs w:val="20"/>
              </w:rPr>
              <w:t>Unappl’d</w:t>
            </w:r>
            <w:proofErr w:type="spellEnd"/>
          </w:p>
        </w:tc>
        <w:tc>
          <w:tcPr>
            <w:tcW w:w="709" w:type="dxa"/>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CAA</w:t>
            </w:r>
          </w:p>
        </w:tc>
        <w:tc>
          <w:tcPr>
            <w:tcW w:w="850" w:type="dxa"/>
            <w:gridSpan w:val="3"/>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Pension</w:t>
            </w:r>
          </w:p>
        </w:tc>
        <w:tc>
          <w:tcPr>
            <w:tcW w:w="709" w:type="dxa"/>
            <w:shd w:val="clear" w:color="auto" w:fill="4BACC6" w:themeFill="accent5"/>
            <w:textDirection w:val="btLr"/>
          </w:tcPr>
          <w:p w:rsidR="006E76C9" w:rsidRPr="006E76C9" w:rsidRDefault="006E76C9" w:rsidP="0024663A">
            <w:pPr>
              <w:pStyle w:val="ExampleSub"/>
              <w:keepNext w:val="0"/>
              <w:keepLines w:val="0"/>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6E76C9">
              <w:rPr>
                <w:rFonts w:ascii="Arial" w:hAnsi="Arial" w:cs="Arial"/>
                <w:b w:val="0"/>
                <w:bCs w:val="0"/>
                <w:color w:val="auto"/>
                <w:sz w:val="20"/>
                <w:szCs w:val="20"/>
              </w:rPr>
              <w:t>Other</w:t>
            </w:r>
          </w:p>
        </w:tc>
      </w:tr>
      <w:tr w:rsidR="006E76C9" w:rsidRPr="0005794A" w:rsidTr="008A25D1">
        <w:trPr>
          <w:trHeight w:hRule="exact" w:val="454"/>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shd w:val="clear" w:color="auto" w:fill="4BACC6" w:themeFill="accent5"/>
          </w:tcPr>
          <w:p w:rsidR="006E76C9" w:rsidRPr="006E76C9" w:rsidRDefault="006E76C9" w:rsidP="0024663A">
            <w:pPr>
              <w:pStyle w:val="ExampleSub"/>
              <w:keepNext w:val="0"/>
              <w:keepLines w:val="0"/>
              <w:ind w:left="0"/>
              <w:jc w:val="center"/>
              <w:rPr>
                <w:rFonts w:ascii="Arial" w:hAnsi="Arial" w:cs="Arial"/>
                <w:color w:val="auto"/>
                <w:sz w:val="18"/>
                <w:szCs w:val="18"/>
              </w:rPr>
            </w:pPr>
            <w:r w:rsidRPr="006E76C9">
              <w:rPr>
                <w:rFonts w:ascii="Arial" w:hAnsi="Arial" w:cs="Arial"/>
                <w:color w:val="auto"/>
                <w:sz w:val="18"/>
                <w:szCs w:val="18"/>
              </w:rPr>
              <w:t>£m</w:t>
            </w:r>
          </w:p>
        </w:tc>
        <w:tc>
          <w:tcPr>
            <w:tcW w:w="700" w:type="dxa"/>
            <w:shd w:val="clear" w:color="auto" w:fill="4BACC6" w:themeFill="accent5"/>
          </w:tcPr>
          <w:p w:rsidR="006E76C9" w:rsidRPr="006E76C9" w:rsidRDefault="006E76C9" w:rsidP="0024663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72" w:type="dxa"/>
            <w:shd w:val="clear" w:color="auto" w:fill="4BACC6" w:themeFill="accent5"/>
          </w:tcPr>
          <w:p w:rsidR="006E76C9" w:rsidRPr="006E76C9" w:rsidRDefault="006E76C9" w:rsidP="0024663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686" w:type="dxa"/>
            <w:shd w:val="clear" w:color="auto" w:fill="4BACC6" w:themeFill="accent5"/>
          </w:tcPr>
          <w:p w:rsidR="006E76C9" w:rsidRPr="006E76C9" w:rsidRDefault="006E76C9" w:rsidP="0024663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3" w:type="dxa"/>
            <w:shd w:val="clear" w:color="auto" w:fill="4BACC6" w:themeFill="accent5"/>
          </w:tcPr>
          <w:p w:rsidR="006E76C9" w:rsidRPr="006E76C9" w:rsidRDefault="006E76C9" w:rsidP="0024663A">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6E76C9">
              <w:rPr>
                <w:rFonts w:ascii="Arial" w:hAnsi="Arial" w:cs="Arial"/>
                <w:b w:val="0"/>
                <w:color w:val="auto"/>
                <w:sz w:val="18"/>
                <w:szCs w:val="18"/>
              </w:rPr>
              <w:t>£m</w:t>
            </w:r>
          </w:p>
        </w:tc>
        <w:tc>
          <w:tcPr>
            <w:tcW w:w="709" w:type="dxa"/>
            <w:gridSpan w:val="2"/>
            <w:shd w:val="clear" w:color="auto" w:fill="4BACC6" w:themeFill="accent5"/>
          </w:tcPr>
          <w:p w:rsidR="006E76C9" w:rsidRPr="006E76C9" w:rsidRDefault="006E76C9" w:rsidP="0024663A">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6E76C9">
              <w:rPr>
                <w:rFonts w:ascii="Arial" w:hAnsi="Arial" w:cs="Arial"/>
                <w:b w:val="0"/>
                <w:color w:val="auto"/>
                <w:sz w:val="18"/>
                <w:szCs w:val="18"/>
              </w:rPr>
              <w:t>£m</w:t>
            </w:r>
          </w:p>
        </w:tc>
        <w:tc>
          <w:tcPr>
            <w:tcW w:w="5552" w:type="dxa"/>
            <w:gridSpan w:val="5"/>
            <w:shd w:val="clear" w:color="auto" w:fill="4BACC6" w:themeFill="accent5"/>
          </w:tcPr>
          <w:p w:rsidR="006E76C9" w:rsidRPr="006E76C9" w:rsidRDefault="006E76C9" w:rsidP="0024663A">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18"/>
                <w:szCs w:val="18"/>
              </w:rPr>
            </w:pPr>
          </w:p>
        </w:tc>
        <w:tc>
          <w:tcPr>
            <w:tcW w:w="830" w:type="dxa"/>
            <w:gridSpan w:val="5"/>
            <w:shd w:val="clear" w:color="auto" w:fill="4BACC6" w:themeFill="accent5"/>
          </w:tcPr>
          <w:p w:rsidR="006E76C9" w:rsidRPr="006E76C9" w:rsidRDefault="006E76C9" w:rsidP="0024663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24" w:type="dxa"/>
            <w:gridSpan w:val="4"/>
            <w:shd w:val="clear" w:color="auto" w:fill="4BACC6" w:themeFill="accent5"/>
          </w:tcPr>
          <w:p w:rsidR="006E76C9" w:rsidRPr="006E76C9" w:rsidRDefault="006E76C9" w:rsidP="0024663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6" w:type="dxa"/>
            <w:gridSpan w:val="2"/>
            <w:shd w:val="clear" w:color="auto" w:fill="4BACC6" w:themeFill="accent5"/>
          </w:tcPr>
          <w:p w:rsidR="006E76C9" w:rsidRPr="006E76C9" w:rsidRDefault="006E76C9" w:rsidP="0024663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09" w:type="dxa"/>
            <w:shd w:val="clear" w:color="auto" w:fill="4BACC6" w:themeFill="accent5"/>
          </w:tcPr>
          <w:p w:rsidR="006E76C9" w:rsidRPr="006E76C9" w:rsidRDefault="006E76C9" w:rsidP="0024663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850" w:type="dxa"/>
            <w:gridSpan w:val="3"/>
            <w:shd w:val="clear" w:color="auto" w:fill="4BACC6" w:themeFill="accent5"/>
          </w:tcPr>
          <w:p w:rsidR="006E76C9" w:rsidRPr="006E76C9" w:rsidRDefault="006E76C9" w:rsidP="0024663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c>
          <w:tcPr>
            <w:tcW w:w="709" w:type="dxa"/>
            <w:shd w:val="clear" w:color="auto" w:fill="4BACC6" w:themeFill="accent5"/>
          </w:tcPr>
          <w:p w:rsidR="006E76C9" w:rsidRPr="006E76C9" w:rsidRDefault="006E76C9" w:rsidP="0024663A">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6E76C9">
              <w:rPr>
                <w:rFonts w:ascii="Arial" w:hAnsi="Arial" w:cs="Arial"/>
                <w:b w:val="0"/>
                <w:bCs w:val="0"/>
                <w:color w:val="auto"/>
                <w:sz w:val="18"/>
                <w:szCs w:val="18"/>
              </w:rPr>
              <w:t>£m</w:t>
            </w:r>
          </w:p>
        </w:tc>
      </w:tr>
      <w:tr w:rsidR="006E76C9" w:rsidRPr="0005794A" w:rsidTr="008C264C">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vAlign w:val="center"/>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(8.6)</w:t>
            </w:r>
          </w:p>
        </w:tc>
        <w:tc>
          <w:tcPr>
            <w:tcW w:w="700" w:type="dxa"/>
            <w:tcBorders>
              <w:top w:val="none" w:sz="0" w:space="0" w:color="auto"/>
              <w:bottom w:val="none" w:sz="0" w:space="0" w:color="auto"/>
            </w:tcBorders>
            <w:vAlign w:val="center"/>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(0.7)</w:t>
            </w:r>
          </w:p>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7)</w:t>
            </w:r>
          </w:p>
        </w:tc>
        <w:tc>
          <w:tcPr>
            <w:tcW w:w="872" w:type="dxa"/>
            <w:tcBorders>
              <w:top w:val="none" w:sz="0" w:space="0" w:color="auto"/>
              <w:bottom w:val="none" w:sz="0" w:space="0" w:color="auto"/>
            </w:tcBorders>
            <w:vAlign w:val="center"/>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(3.0)</w:t>
            </w:r>
          </w:p>
        </w:tc>
        <w:tc>
          <w:tcPr>
            <w:tcW w:w="686" w:type="dxa"/>
            <w:tcBorders>
              <w:top w:val="none" w:sz="0" w:space="0" w:color="auto"/>
              <w:bottom w:val="none" w:sz="0" w:space="0" w:color="auto"/>
            </w:tcBorders>
            <w:vAlign w:val="center"/>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7.6</w:t>
            </w:r>
          </w:p>
        </w:tc>
        <w:tc>
          <w:tcPr>
            <w:tcW w:w="853" w:type="dxa"/>
            <w:tcBorders>
              <w:top w:val="none" w:sz="0" w:space="0" w:color="auto"/>
              <w:bottom w:val="none" w:sz="0" w:space="0" w:color="auto"/>
            </w:tcBorders>
            <w:vAlign w:val="center"/>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5.3</w:t>
            </w:r>
          </w:p>
        </w:tc>
        <w:tc>
          <w:tcPr>
            <w:tcW w:w="709" w:type="dxa"/>
            <w:gridSpan w:val="2"/>
            <w:tcBorders>
              <w:top w:val="none" w:sz="0" w:space="0" w:color="auto"/>
              <w:bottom w:val="none" w:sz="0" w:space="0" w:color="auto"/>
            </w:tcBorders>
            <w:vAlign w:val="center"/>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(0.6)</w:t>
            </w:r>
          </w:p>
        </w:tc>
        <w:tc>
          <w:tcPr>
            <w:tcW w:w="5552" w:type="dxa"/>
            <w:gridSpan w:val="5"/>
            <w:tcBorders>
              <w:top w:val="none" w:sz="0" w:space="0" w:color="auto"/>
              <w:bottom w:val="none" w:sz="0" w:space="0" w:color="auto"/>
            </w:tcBorders>
            <w:vAlign w:val="center"/>
          </w:tcPr>
          <w:p w:rsidR="006E76C9" w:rsidRPr="006E76C9" w:rsidRDefault="006E76C9" w:rsidP="00A4798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18"/>
                <w:szCs w:val="18"/>
              </w:rPr>
            </w:pPr>
            <w:proofErr w:type="spellStart"/>
            <w:r w:rsidRPr="006E76C9">
              <w:rPr>
                <w:rFonts w:ascii="Arial" w:hAnsi="Arial" w:cs="Arial"/>
                <w:b w:val="0"/>
                <w:color w:val="auto"/>
                <w:sz w:val="18"/>
                <w:szCs w:val="18"/>
              </w:rPr>
              <w:t>b/f</w:t>
            </w:r>
            <w:proofErr w:type="spellEnd"/>
          </w:p>
          <w:p w:rsidR="006E76C9" w:rsidRPr="006E76C9" w:rsidRDefault="006E76C9" w:rsidP="00A4798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tcW w:w="830" w:type="dxa"/>
            <w:gridSpan w:val="5"/>
            <w:tcBorders>
              <w:top w:val="none" w:sz="0" w:space="0" w:color="auto"/>
              <w:bottom w:val="none" w:sz="0" w:space="0" w:color="auto"/>
            </w:tcBorders>
            <w:vAlign w:val="center"/>
          </w:tcPr>
          <w:p w:rsidR="006E76C9" w:rsidRPr="006E76C9" w:rsidRDefault="007F52A7" w:rsidP="009872D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w:t>
            </w:r>
            <w:r w:rsidR="009872DE">
              <w:rPr>
                <w:rFonts w:ascii="Arial" w:hAnsi="Arial" w:cs="Arial"/>
                <w:bCs w:val="0"/>
                <w:color w:val="auto"/>
                <w:sz w:val="20"/>
                <w:szCs w:val="20"/>
              </w:rPr>
              <w:t>8.3)</w:t>
            </w:r>
          </w:p>
        </w:tc>
        <w:tc>
          <w:tcPr>
            <w:tcW w:w="724" w:type="dxa"/>
            <w:gridSpan w:val="4"/>
            <w:tcBorders>
              <w:top w:val="none" w:sz="0" w:space="0" w:color="auto"/>
              <w:bottom w:val="none" w:sz="0" w:space="0" w:color="auto"/>
            </w:tcBorders>
            <w:vAlign w:val="center"/>
          </w:tcPr>
          <w:p w:rsidR="006E76C9" w:rsidRPr="006E76C9" w:rsidRDefault="007F52A7"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r w:rsidR="00E022B7">
              <w:rPr>
                <w:rFonts w:ascii="Arial" w:hAnsi="Arial" w:cs="Arial"/>
                <w:bCs w:val="0"/>
                <w:color w:val="auto"/>
                <w:sz w:val="20"/>
                <w:szCs w:val="20"/>
              </w:rPr>
              <w:t>7</w:t>
            </w:r>
            <w:r>
              <w:rPr>
                <w:rFonts w:ascii="Arial" w:hAnsi="Arial" w:cs="Arial"/>
                <w:bCs w:val="0"/>
                <w:color w:val="auto"/>
                <w:sz w:val="20"/>
                <w:szCs w:val="20"/>
              </w:rPr>
              <w:t>)</w:t>
            </w:r>
          </w:p>
        </w:tc>
        <w:tc>
          <w:tcPr>
            <w:tcW w:w="856" w:type="dxa"/>
            <w:gridSpan w:val="2"/>
            <w:tcBorders>
              <w:top w:val="none" w:sz="0" w:space="0" w:color="auto"/>
              <w:bottom w:val="none" w:sz="0" w:space="0" w:color="auto"/>
            </w:tcBorders>
            <w:vAlign w:val="center"/>
          </w:tcPr>
          <w:p w:rsidR="006E76C9" w:rsidRPr="006E76C9" w:rsidRDefault="007F52A7" w:rsidP="00A4798C">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(1.9)</w:t>
            </w:r>
          </w:p>
        </w:tc>
        <w:tc>
          <w:tcPr>
            <w:tcW w:w="709" w:type="dxa"/>
            <w:tcBorders>
              <w:top w:val="none" w:sz="0" w:space="0" w:color="auto"/>
              <w:bottom w:val="none" w:sz="0" w:space="0" w:color="auto"/>
            </w:tcBorders>
            <w:vAlign w:val="center"/>
          </w:tcPr>
          <w:p w:rsidR="006E76C9" w:rsidRPr="006E76C9" w:rsidRDefault="009872DE"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21.</w:t>
            </w:r>
            <w:r w:rsidR="00E022B7">
              <w:rPr>
                <w:rFonts w:ascii="Arial" w:hAnsi="Arial" w:cs="Arial"/>
                <w:bCs w:val="0"/>
                <w:color w:val="auto"/>
                <w:sz w:val="20"/>
                <w:szCs w:val="20"/>
              </w:rPr>
              <w:t>3</w:t>
            </w:r>
          </w:p>
        </w:tc>
        <w:tc>
          <w:tcPr>
            <w:tcW w:w="850" w:type="dxa"/>
            <w:gridSpan w:val="3"/>
            <w:tcBorders>
              <w:top w:val="none" w:sz="0" w:space="0" w:color="auto"/>
              <w:bottom w:val="none" w:sz="0" w:space="0" w:color="auto"/>
            </w:tcBorders>
            <w:vAlign w:val="center"/>
          </w:tcPr>
          <w:p w:rsidR="006E76C9" w:rsidRPr="006E76C9" w:rsidRDefault="007F52A7" w:rsidP="001513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9.2</w:t>
            </w:r>
          </w:p>
        </w:tc>
        <w:tc>
          <w:tcPr>
            <w:tcW w:w="709" w:type="dxa"/>
            <w:tcBorders>
              <w:top w:val="none" w:sz="0" w:space="0" w:color="auto"/>
              <w:bottom w:val="none" w:sz="0" w:space="0" w:color="auto"/>
            </w:tcBorders>
            <w:vAlign w:val="center"/>
          </w:tcPr>
          <w:p w:rsidR="006E76C9" w:rsidRPr="006E76C9" w:rsidRDefault="007F52A7" w:rsidP="001510A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0.4</w:t>
            </w:r>
          </w:p>
        </w:tc>
      </w:tr>
      <w:tr w:rsidR="006E76C9" w:rsidRPr="0005794A" w:rsidTr="008A25D1">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(0.2)</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0.2</w:t>
            </w:r>
          </w:p>
        </w:tc>
        <w:tc>
          <w:tcPr>
            <w:tcW w:w="5552" w:type="dxa"/>
            <w:gridSpan w:val="5"/>
          </w:tcPr>
          <w:p w:rsidR="006E76C9" w:rsidRPr="006E76C9" w:rsidRDefault="006E76C9" w:rsidP="0024663A">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6E76C9">
              <w:rPr>
                <w:rFonts w:ascii="Arial" w:hAnsi="Arial" w:cs="Arial"/>
                <w:b w:val="0"/>
                <w:color w:val="auto"/>
                <w:sz w:val="20"/>
                <w:szCs w:val="20"/>
              </w:rPr>
              <w:t>Amount by which officer remuneration charged to the CI&amp;E Statement on an accruals basis is different from remuneration chargeable in the year in accordance with statutory requirements</w:t>
            </w:r>
          </w:p>
        </w:tc>
        <w:tc>
          <w:tcPr>
            <w:tcW w:w="830" w:type="dxa"/>
            <w:gridSpan w:val="5"/>
          </w:tcPr>
          <w:p w:rsidR="006E76C9" w:rsidRPr="006E76C9" w:rsidRDefault="00E54065" w:rsidP="001510A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724" w:type="dxa"/>
            <w:gridSpan w:val="4"/>
          </w:tcPr>
          <w:p w:rsidR="006E76C9" w:rsidRPr="006E76C9" w:rsidRDefault="00E54065" w:rsidP="003135C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6" w:type="dxa"/>
            <w:gridSpan w:val="2"/>
          </w:tcPr>
          <w:p w:rsidR="006E76C9" w:rsidRPr="006E76C9" w:rsidRDefault="00E54065" w:rsidP="003135C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09" w:type="dxa"/>
          </w:tcPr>
          <w:p w:rsidR="006E76C9" w:rsidRPr="006E76C9" w:rsidRDefault="00E54065" w:rsidP="003135C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0" w:type="dxa"/>
            <w:gridSpan w:val="3"/>
          </w:tcPr>
          <w:p w:rsidR="006E76C9" w:rsidRPr="006E76C9" w:rsidRDefault="00E54065" w:rsidP="003135C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09" w:type="dxa"/>
          </w:tcPr>
          <w:p w:rsidR="006E76C9" w:rsidRPr="006E76C9" w:rsidRDefault="00E54065" w:rsidP="001510A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5552" w:type="dxa"/>
            <w:gridSpan w:val="5"/>
            <w:tcBorders>
              <w:top w:val="none" w:sz="0" w:space="0" w:color="auto"/>
              <w:bottom w:val="none" w:sz="0" w:space="0" w:color="auto"/>
            </w:tcBorders>
          </w:tcPr>
          <w:p w:rsidR="006E76C9" w:rsidRPr="006E76C9" w:rsidRDefault="006E76C9" w:rsidP="004343BC">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6E76C9">
              <w:rPr>
                <w:rFonts w:ascii="Arial" w:hAnsi="Arial" w:cs="Arial"/>
                <w:color w:val="auto"/>
                <w:sz w:val="22"/>
                <w:szCs w:val="22"/>
              </w:rPr>
              <w:t>Adjustment involving the Financial Instruments Adjustments Account</w:t>
            </w:r>
          </w:p>
        </w:tc>
        <w:tc>
          <w:tcPr>
            <w:tcW w:w="830" w:type="dxa"/>
            <w:gridSpan w:val="5"/>
            <w:tcBorders>
              <w:top w:val="none" w:sz="0" w:space="0" w:color="auto"/>
              <w:bottom w:val="none" w:sz="0" w:space="0" w:color="auto"/>
            </w:tcBorders>
          </w:tcPr>
          <w:p w:rsidR="006E76C9" w:rsidRPr="006E76C9" w:rsidRDefault="006E76C9" w:rsidP="003135C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24" w:type="dxa"/>
            <w:gridSpan w:val="4"/>
            <w:tcBorders>
              <w:top w:val="none" w:sz="0" w:space="0" w:color="auto"/>
              <w:bottom w:val="none" w:sz="0" w:space="0" w:color="auto"/>
            </w:tcBorders>
          </w:tcPr>
          <w:p w:rsidR="006E76C9" w:rsidRPr="006E76C9" w:rsidRDefault="006E76C9" w:rsidP="003135C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6" w:type="dxa"/>
            <w:gridSpan w:val="2"/>
            <w:tcBorders>
              <w:top w:val="none" w:sz="0" w:space="0" w:color="auto"/>
              <w:bottom w:val="none" w:sz="0" w:space="0" w:color="auto"/>
            </w:tcBorders>
          </w:tcPr>
          <w:p w:rsidR="006E76C9" w:rsidRPr="006E76C9" w:rsidRDefault="006E76C9" w:rsidP="003135C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tcBorders>
              <w:top w:val="none" w:sz="0" w:space="0" w:color="auto"/>
              <w:bottom w:val="none" w:sz="0" w:space="0" w:color="auto"/>
            </w:tcBorders>
          </w:tcPr>
          <w:p w:rsidR="006E76C9" w:rsidRPr="006E76C9" w:rsidRDefault="006E76C9" w:rsidP="003135C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850" w:type="dxa"/>
            <w:gridSpan w:val="3"/>
            <w:tcBorders>
              <w:top w:val="none" w:sz="0" w:space="0" w:color="auto"/>
              <w:bottom w:val="none" w:sz="0" w:space="0" w:color="auto"/>
            </w:tcBorders>
          </w:tcPr>
          <w:p w:rsidR="006E76C9" w:rsidRPr="006E76C9" w:rsidRDefault="006E76C9" w:rsidP="003135C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tcW w:w="709" w:type="dxa"/>
            <w:tcBorders>
              <w:top w:val="none" w:sz="0" w:space="0" w:color="auto"/>
              <w:bottom w:val="none" w:sz="0" w:space="0" w:color="auto"/>
            </w:tcBorders>
          </w:tcPr>
          <w:p w:rsidR="006E76C9" w:rsidRPr="006E76C9" w:rsidRDefault="006E76C9" w:rsidP="003135C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r>
      <w:tr w:rsidR="006E76C9" w:rsidRPr="0005794A" w:rsidTr="008A25D1">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(0.1)</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w:t>
            </w: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0.1</w:t>
            </w:r>
          </w:p>
        </w:tc>
        <w:tc>
          <w:tcPr>
            <w:tcW w:w="5552" w:type="dxa"/>
            <w:gridSpan w:val="5"/>
          </w:tcPr>
          <w:p w:rsidR="006E76C9" w:rsidRPr="006E76C9" w:rsidRDefault="006E76C9" w:rsidP="003C5274">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6E76C9">
              <w:rPr>
                <w:rFonts w:ascii="Arial" w:hAnsi="Arial" w:cs="Arial"/>
                <w:b w:val="0"/>
                <w:color w:val="auto"/>
                <w:sz w:val="20"/>
                <w:szCs w:val="20"/>
              </w:rPr>
              <w:t>Amount by which financial instruments charged to the CI&amp;E Statement are different from amounts chargeable in the year in accordance with statutory requirements</w:t>
            </w:r>
          </w:p>
        </w:tc>
        <w:tc>
          <w:tcPr>
            <w:tcW w:w="830" w:type="dxa"/>
            <w:gridSpan w:val="5"/>
          </w:tcPr>
          <w:p w:rsidR="006E76C9" w:rsidRPr="006E76C9" w:rsidRDefault="00E54065" w:rsidP="003135C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c>
          <w:tcPr>
            <w:tcW w:w="724" w:type="dxa"/>
            <w:gridSpan w:val="4"/>
          </w:tcPr>
          <w:p w:rsidR="006E76C9" w:rsidRPr="006E76C9" w:rsidRDefault="00E54065" w:rsidP="003135C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6" w:type="dxa"/>
            <w:gridSpan w:val="2"/>
          </w:tcPr>
          <w:p w:rsidR="006E76C9" w:rsidRPr="006E76C9" w:rsidRDefault="00E54065" w:rsidP="003135C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09" w:type="dxa"/>
          </w:tcPr>
          <w:p w:rsidR="006E76C9" w:rsidRPr="006E76C9" w:rsidRDefault="00E54065" w:rsidP="003135C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850" w:type="dxa"/>
            <w:gridSpan w:val="3"/>
          </w:tcPr>
          <w:p w:rsidR="006E76C9" w:rsidRPr="006E76C9" w:rsidRDefault="00E54065" w:rsidP="003135C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p>
        </w:tc>
        <w:tc>
          <w:tcPr>
            <w:tcW w:w="709" w:type="dxa"/>
          </w:tcPr>
          <w:p w:rsidR="006E76C9" w:rsidRPr="006E76C9" w:rsidRDefault="00E54065" w:rsidP="003135C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p>
        </w:tc>
      </w:tr>
      <w:tr w:rsidR="006E76C9" w:rsidRPr="0005794A" w:rsidTr="008A2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color w:val="auto"/>
                <w:sz w:val="20"/>
                <w:szCs w:val="20"/>
              </w:rPr>
            </w:pPr>
            <w:r w:rsidRPr="006E76C9">
              <w:rPr>
                <w:rFonts w:ascii="Arial" w:hAnsi="Arial" w:cs="Arial"/>
                <w:color w:val="auto"/>
                <w:sz w:val="20"/>
                <w:szCs w:val="20"/>
              </w:rPr>
              <w:t>(8.9)</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(0.7)</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(3.0)</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7.6</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5.3</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6E76C9">
              <w:rPr>
                <w:rFonts w:ascii="Arial" w:hAnsi="Arial" w:cs="Arial"/>
                <w:bCs w:val="0"/>
                <w:color w:val="auto"/>
                <w:sz w:val="20"/>
                <w:szCs w:val="20"/>
              </w:rPr>
              <w:t>(0.3)</w:t>
            </w:r>
          </w:p>
        </w:tc>
        <w:tc>
          <w:tcPr>
            <w:tcW w:w="5552" w:type="dxa"/>
            <w:gridSpan w:val="5"/>
            <w:tcBorders>
              <w:top w:val="none" w:sz="0" w:space="0" w:color="auto"/>
              <w:bottom w:val="none" w:sz="0" w:space="0" w:color="auto"/>
            </w:tcBorders>
          </w:tcPr>
          <w:p w:rsidR="006E76C9" w:rsidRPr="006E76C9" w:rsidRDefault="006E76C9" w:rsidP="0024663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cs="Arial"/>
                <w:bCs w:val="0"/>
                <w:color w:val="auto"/>
                <w:sz w:val="20"/>
                <w:szCs w:val="20"/>
              </w:rPr>
            </w:pPr>
            <w:r w:rsidRPr="006E76C9">
              <w:rPr>
                <w:rFonts w:ascii="Arial" w:hAnsi="Arial" w:cs="Arial"/>
                <w:color w:val="auto"/>
                <w:sz w:val="24"/>
                <w:szCs w:val="24"/>
              </w:rPr>
              <w:t>Total Adjustments per MIRS</w:t>
            </w:r>
          </w:p>
        </w:tc>
        <w:tc>
          <w:tcPr>
            <w:tcW w:w="830" w:type="dxa"/>
            <w:gridSpan w:val="5"/>
            <w:tcBorders>
              <w:top w:val="none" w:sz="0" w:space="0" w:color="auto"/>
              <w:bottom w:val="none" w:sz="0" w:space="0" w:color="auto"/>
            </w:tcBorders>
          </w:tcPr>
          <w:p w:rsidR="006E76C9" w:rsidRPr="006E76C9" w:rsidRDefault="00E54065" w:rsidP="009872D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w:t>
            </w:r>
            <w:r w:rsidR="009872DE">
              <w:rPr>
                <w:rFonts w:ascii="Arial" w:hAnsi="Arial" w:cs="Arial"/>
                <w:bCs w:val="0"/>
                <w:color w:val="auto"/>
                <w:sz w:val="20"/>
                <w:szCs w:val="20"/>
              </w:rPr>
              <w:t>8.3</w:t>
            </w:r>
            <w:r>
              <w:rPr>
                <w:rFonts w:ascii="Arial" w:hAnsi="Arial" w:cs="Arial"/>
                <w:bCs w:val="0"/>
                <w:color w:val="auto"/>
                <w:sz w:val="20"/>
                <w:szCs w:val="20"/>
              </w:rPr>
              <w:t>)</w:t>
            </w:r>
          </w:p>
        </w:tc>
        <w:tc>
          <w:tcPr>
            <w:tcW w:w="724" w:type="dxa"/>
            <w:gridSpan w:val="4"/>
            <w:tcBorders>
              <w:top w:val="none" w:sz="0" w:space="0" w:color="auto"/>
              <w:bottom w:val="none" w:sz="0" w:space="0" w:color="auto"/>
            </w:tcBorders>
          </w:tcPr>
          <w:p w:rsidR="006E76C9" w:rsidRPr="006E76C9" w:rsidRDefault="00E54065"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w:t>
            </w:r>
            <w:r w:rsidR="00E022B7">
              <w:rPr>
                <w:rFonts w:ascii="Arial" w:hAnsi="Arial" w:cs="Arial"/>
                <w:bCs w:val="0"/>
                <w:color w:val="auto"/>
                <w:sz w:val="20"/>
                <w:szCs w:val="20"/>
              </w:rPr>
              <w:t>7</w:t>
            </w:r>
            <w:r>
              <w:rPr>
                <w:rFonts w:ascii="Arial" w:hAnsi="Arial" w:cs="Arial"/>
                <w:bCs w:val="0"/>
                <w:color w:val="auto"/>
                <w:sz w:val="20"/>
                <w:szCs w:val="20"/>
              </w:rPr>
              <w:t>)</w:t>
            </w:r>
          </w:p>
        </w:tc>
        <w:tc>
          <w:tcPr>
            <w:tcW w:w="856" w:type="dxa"/>
            <w:gridSpan w:val="2"/>
            <w:tcBorders>
              <w:top w:val="none" w:sz="0" w:space="0" w:color="auto"/>
              <w:bottom w:val="none" w:sz="0" w:space="0" w:color="auto"/>
            </w:tcBorders>
          </w:tcPr>
          <w:p w:rsidR="006E76C9" w:rsidRPr="006E76C9" w:rsidRDefault="00E54065" w:rsidP="003135C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(1.9)</w:t>
            </w:r>
          </w:p>
        </w:tc>
        <w:tc>
          <w:tcPr>
            <w:tcW w:w="709" w:type="dxa"/>
            <w:tcBorders>
              <w:top w:val="none" w:sz="0" w:space="0" w:color="auto"/>
              <w:bottom w:val="none" w:sz="0" w:space="0" w:color="auto"/>
            </w:tcBorders>
          </w:tcPr>
          <w:p w:rsidR="006E76C9" w:rsidRPr="006E76C9" w:rsidRDefault="009872DE"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21.</w:t>
            </w:r>
            <w:r w:rsidR="00E022B7">
              <w:rPr>
                <w:rFonts w:ascii="Arial" w:hAnsi="Arial" w:cs="Arial"/>
                <w:bCs w:val="0"/>
                <w:color w:val="auto"/>
                <w:sz w:val="20"/>
                <w:szCs w:val="20"/>
              </w:rPr>
              <w:t>3</w:t>
            </w:r>
          </w:p>
        </w:tc>
        <w:tc>
          <w:tcPr>
            <w:tcW w:w="850" w:type="dxa"/>
            <w:gridSpan w:val="3"/>
            <w:tcBorders>
              <w:top w:val="none" w:sz="0" w:space="0" w:color="auto"/>
              <w:bottom w:val="none" w:sz="0" w:space="0" w:color="auto"/>
            </w:tcBorders>
          </w:tcPr>
          <w:p w:rsidR="006E76C9" w:rsidRPr="006E76C9" w:rsidRDefault="00E54065" w:rsidP="001513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9.2</w:t>
            </w:r>
          </w:p>
        </w:tc>
        <w:tc>
          <w:tcPr>
            <w:tcW w:w="709" w:type="dxa"/>
            <w:tcBorders>
              <w:top w:val="none" w:sz="0" w:space="0" w:color="auto"/>
              <w:bottom w:val="none" w:sz="0" w:space="0" w:color="auto"/>
            </w:tcBorders>
          </w:tcPr>
          <w:p w:rsidR="006E76C9" w:rsidRPr="006E76C9" w:rsidRDefault="00E54065" w:rsidP="001510A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0.4</w:t>
            </w:r>
          </w:p>
        </w:tc>
      </w:tr>
      <w:tr w:rsidR="006E76C9" w:rsidRPr="0005794A" w:rsidTr="008A25D1">
        <w:trPr>
          <w:trHeight w:val="331"/>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i/>
                <w:color w:val="auto"/>
                <w:sz w:val="18"/>
                <w:szCs w:val="18"/>
              </w:rPr>
            </w:pP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c>
          <w:tcPr>
            <w:tcW w:w="5552" w:type="dxa"/>
            <w:gridSpan w:val="5"/>
          </w:tcPr>
          <w:p w:rsidR="006E76C9" w:rsidRPr="006E76C9" w:rsidRDefault="006E76C9" w:rsidP="0024663A">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i/>
                <w:color w:val="auto"/>
                <w:sz w:val="18"/>
                <w:szCs w:val="18"/>
              </w:rPr>
            </w:pPr>
            <w:r w:rsidRPr="006E76C9">
              <w:rPr>
                <w:rFonts w:ascii="Arial" w:hAnsi="Arial" w:cs="Arial"/>
                <w:b w:val="0"/>
                <w:i/>
                <w:color w:val="auto"/>
                <w:sz w:val="18"/>
                <w:szCs w:val="18"/>
              </w:rPr>
              <w:t>Memo items:-</w:t>
            </w:r>
          </w:p>
        </w:tc>
        <w:tc>
          <w:tcPr>
            <w:tcW w:w="830" w:type="dxa"/>
            <w:gridSpan w:val="5"/>
          </w:tcPr>
          <w:p w:rsidR="006E76C9" w:rsidRPr="006E76C9" w:rsidRDefault="006E76C9"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c>
          <w:tcPr>
            <w:tcW w:w="724" w:type="dxa"/>
            <w:gridSpan w:val="4"/>
          </w:tcPr>
          <w:p w:rsidR="006E76C9" w:rsidRPr="006E76C9" w:rsidRDefault="006E76C9"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c>
          <w:tcPr>
            <w:tcW w:w="856" w:type="dxa"/>
            <w:gridSpan w:val="2"/>
          </w:tcPr>
          <w:p w:rsidR="006E76C9" w:rsidRPr="006E76C9" w:rsidRDefault="006E76C9"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c>
          <w:tcPr>
            <w:tcW w:w="709" w:type="dxa"/>
          </w:tcPr>
          <w:p w:rsidR="006E76C9" w:rsidRPr="006E76C9" w:rsidRDefault="006E76C9"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c>
          <w:tcPr>
            <w:tcW w:w="850" w:type="dxa"/>
            <w:gridSpan w:val="3"/>
          </w:tcPr>
          <w:p w:rsidR="006E76C9" w:rsidRPr="006E76C9" w:rsidRDefault="006E76C9"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c>
          <w:tcPr>
            <w:tcW w:w="709" w:type="dxa"/>
          </w:tcPr>
          <w:p w:rsidR="006E76C9" w:rsidRPr="006E76C9" w:rsidRDefault="006E76C9"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p>
        </w:tc>
      </w:tr>
      <w:tr w:rsidR="006E76C9" w:rsidRPr="0005794A" w:rsidTr="008A25D1">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vAlign w:val="center"/>
          </w:tcPr>
          <w:p w:rsidR="006E76C9" w:rsidRPr="006E76C9" w:rsidRDefault="006E76C9" w:rsidP="006E76C9">
            <w:pPr>
              <w:pStyle w:val="ExampleSub"/>
              <w:keepNext w:val="0"/>
              <w:keepLines w:val="0"/>
              <w:ind w:left="0"/>
              <w:jc w:val="center"/>
              <w:rPr>
                <w:rFonts w:ascii="Arial" w:hAnsi="Arial" w:cs="Arial"/>
                <w:i/>
                <w:color w:val="auto"/>
                <w:sz w:val="18"/>
                <w:szCs w:val="18"/>
              </w:rPr>
            </w:pPr>
            <w:r w:rsidRPr="006E76C9">
              <w:rPr>
                <w:rFonts w:ascii="Arial" w:hAnsi="Arial" w:cs="Arial"/>
                <w:i/>
                <w:color w:val="auto"/>
                <w:sz w:val="18"/>
                <w:szCs w:val="18"/>
              </w:rPr>
              <w:t>(11.0)</w:t>
            </w:r>
          </w:p>
        </w:tc>
        <w:tc>
          <w:tcPr>
            <w:tcW w:w="700" w:type="dxa"/>
            <w:tcBorders>
              <w:top w:val="none" w:sz="0" w:space="0" w:color="auto"/>
              <w:bottom w:val="none" w:sz="0" w:space="0" w:color="auto"/>
            </w:tcBorders>
            <w:vAlign w:val="center"/>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872" w:type="dxa"/>
            <w:tcBorders>
              <w:top w:val="none" w:sz="0" w:space="0" w:color="auto"/>
              <w:bottom w:val="none" w:sz="0" w:space="0" w:color="auto"/>
            </w:tcBorders>
            <w:vAlign w:val="center"/>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686" w:type="dxa"/>
            <w:tcBorders>
              <w:top w:val="none" w:sz="0" w:space="0" w:color="auto"/>
              <w:bottom w:val="none" w:sz="0" w:space="0" w:color="auto"/>
            </w:tcBorders>
            <w:vAlign w:val="center"/>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853" w:type="dxa"/>
            <w:tcBorders>
              <w:top w:val="none" w:sz="0" w:space="0" w:color="auto"/>
              <w:bottom w:val="none" w:sz="0" w:space="0" w:color="auto"/>
            </w:tcBorders>
            <w:vAlign w:val="center"/>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709" w:type="dxa"/>
            <w:gridSpan w:val="2"/>
            <w:tcBorders>
              <w:top w:val="none" w:sz="0" w:space="0" w:color="auto"/>
              <w:bottom w:val="none" w:sz="0" w:space="0" w:color="auto"/>
            </w:tcBorders>
            <w:vAlign w:val="center"/>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5552" w:type="dxa"/>
            <w:gridSpan w:val="5"/>
            <w:tcBorders>
              <w:top w:val="none" w:sz="0" w:space="0" w:color="auto"/>
              <w:bottom w:val="none" w:sz="0" w:space="0" w:color="auto"/>
            </w:tcBorders>
            <w:vAlign w:val="center"/>
          </w:tcPr>
          <w:p w:rsidR="006E76C9" w:rsidRPr="006E76C9" w:rsidRDefault="006E76C9" w:rsidP="00943767">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i/>
                <w:color w:val="auto"/>
                <w:sz w:val="18"/>
                <w:szCs w:val="18"/>
              </w:rPr>
            </w:pPr>
            <w:r w:rsidRPr="006E76C9">
              <w:rPr>
                <w:rFonts w:ascii="Arial" w:hAnsi="Arial" w:cs="Arial"/>
                <w:b w:val="0"/>
                <w:i/>
                <w:color w:val="auto"/>
                <w:sz w:val="18"/>
                <w:szCs w:val="18"/>
              </w:rPr>
              <w:t>Surplus/(Deficit) on Provision of Services</w:t>
            </w:r>
          </w:p>
        </w:tc>
        <w:tc>
          <w:tcPr>
            <w:tcW w:w="830" w:type="dxa"/>
            <w:gridSpan w:val="5"/>
            <w:tcBorders>
              <w:top w:val="none" w:sz="0" w:space="0" w:color="auto"/>
              <w:bottom w:val="none" w:sz="0" w:space="0" w:color="auto"/>
            </w:tcBorders>
            <w:vAlign w:val="center"/>
          </w:tcPr>
          <w:p w:rsidR="006E76C9" w:rsidRPr="006E76C9" w:rsidRDefault="00E54065" w:rsidP="009872D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r w:rsidR="009872DE">
              <w:rPr>
                <w:rFonts w:ascii="Arial" w:hAnsi="Arial" w:cs="Arial"/>
                <w:bCs w:val="0"/>
                <w:i/>
                <w:color w:val="auto"/>
                <w:sz w:val="18"/>
                <w:szCs w:val="18"/>
              </w:rPr>
              <w:t>26.2</w:t>
            </w:r>
            <w:r>
              <w:rPr>
                <w:rFonts w:ascii="Arial" w:hAnsi="Arial" w:cs="Arial"/>
                <w:bCs w:val="0"/>
                <w:i/>
                <w:color w:val="auto"/>
                <w:sz w:val="18"/>
                <w:szCs w:val="18"/>
              </w:rPr>
              <w:t>)</w:t>
            </w:r>
          </w:p>
        </w:tc>
        <w:tc>
          <w:tcPr>
            <w:tcW w:w="724" w:type="dxa"/>
            <w:gridSpan w:val="4"/>
            <w:tcBorders>
              <w:top w:val="none" w:sz="0" w:space="0" w:color="auto"/>
              <w:bottom w:val="none" w:sz="0" w:space="0" w:color="auto"/>
            </w:tcBorders>
            <w:vAlign w:val="center"/>
          </w:tcPr>
          <w:p w:rsidR="006E76C9" w:rsidRPr="006E76C9" w:rsidRDefault="00E54065" w:rsidP="002E4FF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856" w:type="dxa"/>
            <w:gridSpan w:val="2"/>
            <w:tcBorders>
              <w:top w:val="none" w:sz="0" w:space="0" w:color="auto"/>
              <w:bottom w:val="none" w:sz="0" w:space="0" w:color="auto"/>
            </w:tcBorders>
            <w:vAlign w:val="center"/>
          </w:tcPr>
          <w:p w:rsidR="006E76C9" w:rsidRPr="006E76C9" w:rsidRDefault="00E54065" w:rsidP="002E4FF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709" w:type="dxa"/>
            <w:tcBorders>
              <w:top w:val="none" w:sz="0" w:space="0" w:color="auto"/>
              <w:bottom w:val="none" w:sz="0" w:space="0" w:color="auto"/>
            </w:tcBorders>
            <w:vAlign w:val="center"/>
          </w:tcPr>
          <w:p w:rsidR="006E76C9" w:rsidRPr="006E76C9" w:rsidRDefault="00E54065" w:rsidP="002E4FF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850" w:type="dxa"/>
            <w:gridSpan w:val="3"/>
            <w:tcBorders>
              <w:top w:val="none" w:sz="0" w:space="0" w:color="auto"/>
              <w:bottom w:val="none" w:sz="0" w:space="0" w:color="auto"/>
            </w:tcBorders>
            <w:vAlign w:val="center"/>
          </w:tcPr>
          <w:p w:rsidR="006E76C9" w:rsidRPr="006E76C9" w:rsidRDefault="00E54065" w:rsidP="002E4FF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709" w:type="dxa"/>
            <w:tcBorders>
              <w:top w:val="none" w:sz="0" w:space="0" w:color="auto"/>
              <w:bottom w:val="none" w:sz="0" w:space="0" w:color="auto"/>
            </w:tcBorders>
            <w:vAlign w:val="center"/>
          </w:tcPr>
          <w:p w:rsidR="006E76C9" w:rsidRPr="006E76C9" w:rsidRDefault="00E54065" w:rsidP="002E4FF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r>
      <w:tr w:rsidR="006E76C9" w:rsidRPr="0005794A" w:rsidTr="008A25D1">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i/>
                <w:color w:val="auto"/>
                <w:sz w:val="18"/>
                <w:szCs w:val="18"/>
              </w:rPr>
            </w:pPr>
            <w:r w:rsidRPr="006E76C9">
              <w:rPr>
                <w:rFonts w:ascii="Arial" w:hAnsi="Arial" w:cs="Arial"/>
                <w:i/>
                <w:color w:val="auto"/>
                <w:sz w:val="18"/>
                <w:szCs w:val="18"/>
              </w:rPr>
              <w:t>2.3</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5552" w:type="dxa"/>
            <w:gridSpan w:val="5"/>
          </w:tcPr>
          <w:p w:rsidR="006E76C9" w:rsidRPr="006E76C9" w:rsidRDefault="006E76C9" w:rsidP="0024663A">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b w:val="0"/>
                <w:i/>
                <w:color w:val="auto"/>
                <w:sz w:val="18"/>
                <w:szCs w:val="18"/>
              </w:rPr>
            </w:pPr>
            <w:r w:rsidRPr="006E76C9">
              <w:rPr>
                <w:rFonts w:ascii="Arial" w:hAnsi="Arial" w:cs="Arial"/>
                <w:b w:val="0"/>
                <w:i/>
                <w:color w:val="auto"/>
                <w:sz w:val="18"/>
                <w:szCs w:val="18"/>
              </w:rPr>
              <w:t>Movement in earmarked reserves</w:t>
            </w:r>
          </w:p>
        </w:tc>
        <w:tc>
          <w:tcPr>
            <w:tcW w:w="830" w:type="dxa"/>
            <w:gridSpan w:val="5"/>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(2.1)</w:t>
            </w:r>
          </w:p>
        </w:tc>
        <w:tc>
          <w:tcPr>
            <w:tcW w:w="724" w:type="dxa"/>
            <w:gridSpan w:val="4"/>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856" w:type="dxa"/>
            <w:gridSpan w:val="2"/>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709" w:type="dxa"/>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850" w:type="dxa"/>
            <w:gridSpan w:val="3"/>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709" w:type="dxa"/>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r>
      <w:tr w:rsidR="006E76C9" w:rsidRPr="006E76C9" w:rsidTr="008A25D1">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i/>
                <w:color w:val="auto"/>
                <w:sz w:val="18"/>
                <w:szCs w:val="18"/>
              </w:rPr>
            </w:pPr>
            <w:r w:rsidRPr="006E76C9">
              <w:rPr>
                <w:rFonts w:ascii="Arial" w:hAnsi="Arial" w:cs="Arial"/>
                <w:i/>
                <w:color w:val="auto"/>
                <w:sz w:val="18"/>
                <w:szCs w:val="18"/>
              </w:rPr>
              <w:lastRenderedPageBreak/>
              <w:t>-</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46.2</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5552" w:type="dxa"/>
            <w:gridSpan w:val="5"/>
            <w:tcBorders>
              <w:top w:val="none" w:sz="0" w:space="0" w:color="auto"/>
              <w:bottom w:val="none" w:sz="0" w:space="0" w:color="auto"/>
            </w:tcBorders>
          </w:tcPr>
          <w:p w:rsidR="006E76C9" w:rsidRPr="006E76C9" w:rsidRDefault="006E76C9" w:rsidP="0024663A">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8"/>
                <w:szCs w:val="18"/>
              </w:rPr>
            </w:pPr>
            <w:r w:rsidRPr="006E76C9">
              <w:rPr>
                <w:rFonts w:ascii="Arial" w:hAnsi="Arial" w:cs="Arial"/>
                <w:b w:val="0"/>
                <w:i/>
                <w:color w:val="auto"/>
                <w:sz w:val="18"/>
                <w:szCs w:val="18"/>
              </w:rPr>
              <w:t xml:space="preserve">Other Comprehensive Income and Expenditure: </w:t>
            </w:r>
            <w:proofErr w:type="spellStart"/>
            <w:r w:rsidRPr="006E76C9">
              <w:rPr>
                <w:rFonts w:ascii="Arial" w:hAnsi="Arial" w:cs="Arial"/>
                <w:b w:val="0"/>
                <w:i/>
                <w:color w:val="auto"/>
                <w:sz w:val="18"/>
                <w:szCs w:val="18"/>
              </w:rPr>
              <w:t>Remeasurement</w:t>
            </w:r>
            <w:proofErr w:type="spellEnd"/>
            <w:r w:rsidRPr="006E76C9">
              <w:rPr>
                <w:rFonts w:ascii="Arial" w:hAnsi="Arial" w:cs="Arial"/>
                <w:b w:val="0"/>
                <w:i/>
                <w:color w:val="auto"/>
                <w:sz w:val="18"/>
                <w:szCs w:val="18"/>
              </w:rPr>
              <w:t xml:space="preserve"> of net defined pension liability</w:t>
            </w:r>
          </w:p>
        </w:tc>
        <w:tc>
          <w:tcPr>
            <w:tcW w:w="830" w:type="dxa"/>
            <w:gridSpan w:val="5"/>
            <w:tcBorders>
              <w:top w:val="none" w:sz="0" w:space="0" w:color="auto"/>
              <w:bottom w:val="none" w:sz="0" w:space="0" w:color="auto"/>
            </w:tcBorders>
          </w:tcPr>
          <w:p w:rsidR="006E76C9" w:rsidRPr="006E76C9" w:rsidRDefault="00E54065" w:rsidP="00497F7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724" w:type="dxa"/>
            <w:gridSpan w:val="4"/>
            <w:tcBorders>
              <w:top w:val="none" w:sz="0" w:space="0" w:color="auto"/>
              <w:bottom w:val="none" w:sz="0" w:space="0" w:color="auto"/>
            </w:tcBorders>
          </w:tcPr>
          <w:p w:rsidR="006E76C9" w:rsidRPr="006E76C9" w:rsidRDefault="00E54065" w:rsidP="00A57ACC">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856" w:type="dxa"/>
            <w:gridSpan w:val="2"/>
            <w:tcBorders>
              <w:top w:val="none" w:sz="0" w:space="0" w:color="auto"/>
              <w:bottom w:val="none" w:sz="0" w:space="0" w:color="auto"/>
            </w:tcBorders>
          </w:tcPr>
          <w:p w:rsidR="006E76C9" w:rsidRPr="006E76C9" w:rsidRDefault="00E54065" w:rsidP="00497F7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709" w:type="dxa"/>
            <w:tcBorders>
              <w:top w:val="none" w:sz="0" w:space="0" w:color="auto"/>
              <w:bottom w:val="none" w:sz="0" w:space="0" w:color="auto"/>
            </w:tcBorders>
          </w:tcPr>
          <w:p w:rsidR="006E76C9" w:rsidRPr="006E76C9" w:rsidRDefault="00E54065" w:rsidP="00497F7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850" w:type="dxa"/>
            <w:gridSpan w:val="3"/>
            <w:tcBorders>
              <w:top w:val="none" w:sz="0" w:space="0" w:color="auto"/>
              <w:bottom w:val="none" w:sz="0" w:space="0" w:color="auto"/>
            </w:tcBorders>
          </w:tcPr>
          <w:p w:rsidR="006E76C9" w:rsidRPr="006E76C9" w:rsidRDefault="00E54065" w:rsidP="00497F7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(26.0)</w:t>
            </w:r>
          </w:p>
        </w:tc>
        <w:tc>
          <w:tcPr>
            <w:tcW w:w="709" w:type="dxa"/>
            <w:tcBorders>
              <w:top w:val="none" w:sz="0" w:space="0" w:color="auto"/>
              <w:bottom w:val="none" w:sz="0" w:space="0" w:color="auto"/>
            </w:tcBorders>
          </w:tcPr>
          <w:p w:rsidR="006E76C9" w:rsidRPr="006E76C9" w:rsidRDefault="00E54065" w:rsidP="00497F7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r>
      <w:tr w:rsidR="006E76C9" w:rsidRPr="006E76C9" w:rsidTr="008A25D1">
        <w:trPr>
          <w:trHeight w:hRule="exact" w:val="1134"/>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rsidR="006E76C9" w:rsidRPr="006E76C9" w:rsidRDefault="006E76C9" w:rsidP="006E76C9">
            <w:pPr>
              <w:pStyle w:val="ExampleSub"/>
              <w:keepNext w:val="0"/>
              <w:keepLines w:val="0"/>
              <w:ind w:left="0"/>
              <w:jc w:val="center"/>
              <w:rPr>
                <w:rFonts w:ascii="Arial" w:hAnsi="Arial" w:cs="Arial"/>
                <w:i/>
                <w:color w:val="auto"/>
                <w:sz w:val="18"/>
                <w:szCs w:val="18"/>
              </w:rPr>
            </w:pPr>
            <w:r w:rsidRPr="006E76C9">
              <w:rPr>
                <w:rFonts w:ascii="Arial" w:hAnsi="Arial" w:cs="Arial"/>
                <w:i/>
                <w:color w:val="auto"/>
                <w:sz w:val="18"/>
                <w:szCs w:val="18"/>
              </w:rPr>
              <w:t>-</w:t>
            </w:r>
          </w:p>
        </w:tc>
        <w:tc>
          <w:tcPr>
            <w:tcW w:w="700"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872"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686"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(1.2)</w:t>
            </w:r>
          </w:p>
        </w:tc>
        <w:tc>
          <w:tcPr>
            <w:tcW w:w="853" w:type="dxa"/>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709" w:type="dxa"/>
            <w:gridSpan w:val="2"/>
          </w:tcPr>
          <w:p w:rsidR="006E76C9" w:rsidRPr="006E76C9" w:rsidRDefault="006E76C9" w:rsidP="006E76C9">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sidRPr="006E76C9">
              <w:rPr>
                <w:rFonts w:ascii="Arial" w:hAnsi="Arial" w:cs="Arial"/>
                <w:bCs w:val="0"/>
                <w:i/>
                <w:color w:val="auto"/>
                <w:sz w:val="18"/>
                <w:szCs w:val="18"/>
              </w:rPr>
              <w:t>-</w:t>
            </w:r>
          </w:p>
        </w:tc>
        <w:tc>
          <w:tcPr>
            <w:tcW w:w="5552" w:type="dxa"/>
            <w:gridSpan w:val="5"/>
          </w:tcPr>
          <w:p w:rsidR="006E76C9" w:rsidRPr="006E76C9" w:rsidRDefault="006E76C9" w:rsidP="0024663A">
            <w:pPr>
              <w:pStyle w:val="ExampleSub"/>
              <w:keepNext w:val="0"/>
              <w:keepLines w:val="0"/>
              <w:ind w:left="0"/>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rPr>
            </w:pPr>
            <w:r w:rsidRPr="006E76C9">
              <w:rPr>
                <w:rFonts w:ascii="Arial" w:hAnsi="Arial" w:cs="Arial"/>
                <w:b w:val="0"/>
                <w:i/>
                <w:color w:val="auto"/>
                <w:sz w:val="18"/>
                <w:szCs w:val="18"/>
              </w:rPr>
              <w:t>Other movement on the Capital Adjustment Account - Adjusting amounts written out of the revaluation reserve to the Capital Adjustment Account</w:t>
            </w:r>
          </w:p>
        </w:tc>
        <w:tc>
          <w:tcPr>
            <w:tcW w:w="830" w:type="dxa"/>
            <w:gridSpan w:val="5"/>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724" w:type="dxa"/>
            <w:gridSpan w:val="4"/>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856" w:type="dxa"/>
            <w:gridSpan w:val="2"/>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709" w:type="dxa"/>
          </w:tcPr>
          <w:p w:rsidR="006E76C9" w:rsidRPr="006E76C9" w:rsidRDefault="00E54065" w:rsidP="009C7E5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(3.</w:t>
            </w:r>
            <w:r w:rsidR="009C7E5E">
              <w:rPr>
                <w:rFonts w:ascii="Arial" w:hAnsi="Arial" w:cs="Arial"/>
                <w:bCs w:val="0"/>
                <w:i/>
                <w:color w:val="auto"/>
                <w:sz w:val="18"/>
                <w:szCs w:val="18"/>
              </w:rPr>
              <w:t>5</w:t>
            </w:r>
            <w:r>
              <w:rPr>
                <w:rFonts w:ascii="Arial" w:hAnsi="Arial" w:cs="Arial"/>
                <w:bCs w:val="0"/>
                <w:i/>
                <w:color w:val="auto"/>
                <w:sz w:val="18"/>
                <w:szCs w:val="18"/>
              </w:rPr>
              <w:t>)</w:t>
            </w:r>
          </w:p>
        </w:tc>
        <w:tc>
          <w:tcPr>
            <w:tcW w:w="850" w:type="dxa"/>
            <w:gridSpan w:val="3"/>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c>
          <w:tcPr>
            <w:tcW w:w="709" w:type="dxa"/>
          </w:tcPr>
          <w:p w:rsidR="006E76C9" w:rsidRPr="006E76C9" w:rsidRDefault="00E54065" w:rsidP="00497F7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18"/>
                <w:szCs w:val="18"/>
              </w:rPr>
            </w:pPr>
            <w:r>
              <w:rPr>
                <w:rFonts w:ascii="Arial" w:hAnsi="Arial" w:cs="Arial"/>
                <w:bCs w:val="0"/>
                <w:i/>
                <w:color w:val="auto"/>
                <w:sz w:val="18"/>
                <w:szCs w:val="18"/>
              </w:rPr>
              <w:t>-</w:t>
            </w:r>
          </w:p>
        </w:tc>
      </w:tr>
      <w:tr w:rsidR="006E76C9" w:rsidRPr="006E76C9" w:rsidTr="008A25D1">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11" w:type="dxa"/>
            <w:tcBorders>
              <w:top w:val="none" w:sz="0" w:space="0" w:color="auto"/>
              <w:bottom w:val="none" w:sz="0" w:space="0" w:color="auto"/>
              <w:right w:val="none" w:sz="0" w:space="0" w:color="auto"/>
            </w:tcBorders>
          </w:tcPr>
          <w:p w:rsidR="006E76C9" w:rsidRPr="006E76C9" w:rsidRDefault="006E76C9" w:rsidP="006E76C9">
            <w:pPr>
              <w:pStyle w:val="ExampleSub"/>
              <w:keepNext w:val="0"/>
              <w:keepLines w:val="0"/>
              <w:ind w:left="0"/>
              <w:jc w:val="center"/>
              <w:rPr>
                <w:rFonts w:ascii="Arial" w:hAnsi="Arial" w:cs="Arial"/>
                <w:i/>
                <w:color w:val="auto"/>
                <w:sz w:val="20"/>
                <w:szCs w:val="20"/>
              </w:rPr>
            </w:pPr>
            <w:r w:rsidRPr="006E76C9">
              <w:rPr>
                <w:rFonts w:ascii="Arial" w:hAnsi="Arial" w:cs="Arial"/>
                <w:i/>
                <w:color w:val="auto"/>
                <w:sz w:val="20"/>
                <w:szCs w:val="20"/>
              </w:rPr>
              <w:t>0.2</w:t>
            </w:r>
          </w:p>
        </w:tc>
        <w:tc>
          <w:tcPr>
            <w:tcW w:w="700"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sidRPr="006E76C9">
              <w:rPr>
                <w:rFonts w:ascii="Arial" w:hAnsi="Arial" w:cs="Arial"/>
                <w:bCs w:val="0"/>
                <w:i/>
                <w:color w:val="auto"/>
                <w:sz w:val="20"/>
                <w:szCs w:val="20"/>
              </w:rPr>
              <w:t>-</w:t>
            </w:r>
          </w:p>
        </w:tc>
        <w:tc>
          <w:tcPr>
            <w:tcW w:w="872"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sidRPr="006E76C9">
              <w:rPr>
                <w:rFonts w:ascii="Arial" w:hAnsi="Arial" w:cs="Arial"/>
                <w:bCs w:val="0"/>
                <w:i/>
                <w:color w:val="auto"/>
                <w:sz w:val="20"/>
                <w:szCs w:val="20"/>
              </w:rPr>
              <w:t>-</w:t>
            </w:r>
          </w:p>
        </w:tc>
        <w:tc>
          <w:tcPr>
            <w:tcW w:w="686"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sidRPr="006E76C9">
              <w:rPr>
                <w:rFonts w:ascii="Arial" w:hAnsi="Arial" w:cs="Arial"/>
                <w:bCs w:val="0"/>
                <w:i/>
                <w:color w:val="auto"/>
                <w:sz w:val="20"/>
                <w:szCs w:val="20"/>
              </w:rPr>
              <w:t>6.4</w:t>
            </w:r>
          </w:p>
        </w:tc>
        <w:tc>
          <w:tcPr>
            <w:tcW w:w="853" w:type="dxa"/>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sidRPr="006E76C9">
              <w:rPr>
                <w:rFonts w:ascii="Arial" w:hAnsi="Arial" w:cs="Arial"/>
                <w:bCs w:val="0"/>
                <w:i/>
                <w:color w:val="auto"/>
                <w:sz w:val="20"/>
                <w:szCs w:val="20"/>
              </w:rPr>
              <w:t>51.5</w:t>
            </w:r>
          </w:p>
        </w:tc>
        <w:tc>
          <w:tcPr>
            <w:tcW w:w="709" w:type="dxa"/>
            <w:gridSpan w:val="2"/>
            <w:tcBorders>
              <w:top w:val="none" w:sz="0" w:space="0" w:color="auto"/>
              <w:bottom w:val="none" w:sz="0" w:space="0" w:color="auto"/>
            </w:tcBorders>
          </w:tcPr>
          <w:p w:rsidR="006E76C9" w:rsidRPr="006E76C9" w:rsidRDefault="006E76C9" w:rsidP="006E76C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sidRPr="006E76C9">
              <w:rPr>
                <w:rFonts w:ascii="Arial" w:hAnsi="Arial" w:cs="Arial"/>
                <w:bCs w:val="0"/>
                <w:i/>
                <w:color w:val="auto"/>
                <w:sz w:val="20"/>
                <w:szCs w:val="20"/>
              </w:rPr>
              <w:t>-</w:t>
            </w:r>
          </w:p>
        </w:tc>
        <w:tc>
          <w:tcPr>
            <w:tcW w:w="5552" w:type="dxa"/>
            <w:gridSpan w:val="5"/>
            <w:tcBorders>
              <w:top w:val="none" w:sz="0" w:space="0" w:color="auto"/>
              <w:bottom w:val="none" w:sz="0" w:space="0" w:color="auto"/>
            </w:tcBorders>
          </w:tcPr>
          <w:p w:rsidR="006E76C9" w:rsidRPr="006E76C9" w:rsidRDefault="006E76C9" w:rsidP="00EE10AF">
            <w:pPr>
              <w:pStyle w:val="ExampleSub"/>
              <w:keepNext w:val="0"/>
              <w:keepLines w:val="0"/>
              <w:ind w:left="0"/>
              <w:cnfStyle w:val="000000100000" w:firstRow="0" w:lastRow="0" w:firstColumn="0" w:lastColumn="0" w:oddVBand="0" w:evenVBand="0" w:oddHBand="1" w:evenHBand="0" w:firstRowFirstColumn="0" w:firstRowLastColumn="0" w:lastRowFirstColumn="0" w:lastRowLastColumn="0"/>
              <w:rPr>
                <w:rFonts w:ascii="Arial" w:hAnsi="Arial" w:cs="Arial"/>
                <w:b w:val="0"/>
                <w:i/>
                <w:color w:val="auto"/>
                <w:sz w:val="20"/>
                <w:szCs w:val="20"/>
              </w:rPr>
            </w:pPr>
            <w:r w:rsidRPr="006E76C9">
              <w:rPr>
                <w:rFonts w:ascii="Arial" w:hAnsi="Arial" w:cs="Arial"/>
                <w:i/>
                <w:color w:val="auto"/>
                <w:sz w:val="20"/>
                <w:szCs w:val="20"/>
              </w:rPr>
              <w:t xml:space="preserve">Total Movement in year </w:t>
            </w:r>
          </w:p>
        </w:tc>
        <w:tc>
          <w:tcPr>
            <w:tcW w:w="830" w:type="dxa"/>
            <w:gridSpan w:val="5"/>
            <w:tcBorders>
              <w:top w:val="none" w:sz="0" w:space="0" w:color="auto"/>
              <w:bottom w:val="none" w:sz="0" w:space="0" w:color="auto"/>
            </w:tcBorders>
          </w:tcPr>
          <w:p w:rsidR="006E76C9" w:rsidRPr="006E76C9" w:rsidRDefault="00E54065" w:rsidP="00497F7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Pr>
                <w:rFonts w:ascii="Arial" w:hAnsi="Arial" w:cs="Arial"/>
                <w:bCs w:val="0"/>
                <w:i/>
                <w:color w:val="auto"/>
                <w:sz w:val="20"/>
                <w:szCs w:val="20"/>
              </w:rPr>
              <w:t>0</w:t>
            </w:r>
          </w:p>
        </w:tc>
        <w:tc>
          <w:tcPr>
            <w:tcW w:w="724" w:type="dxa"/>
            <w:gridSpan w:val="4"/>
            <w:tcBorders>
              <w:top w:val="none" w:sz="0" w:space="0" w:color="auto"/>
              <w:bottom w:val="none" w:sz="0" w:space="0" w:color="auto"/>
            </w:tcBorders>
          </w:tcPr>
          <w:p w:rsidR="006E76C9" w:rsidRPr="006E76C9" w:rsidRDefault="00E54065" w:rsidP="00497F7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Pr>
                <w:rFonts w:ascii="Arial" w:hAnsi="Arial" w:cs="Arial"/>
                <w:bCs w:val="0"/>
                <w:i/>
                <w:color w:val="auto"/>
                <w:sz w:val="20"/>
                <w:szCs w:val="20"/>
              </w:rPr>
              <w:t>-</w:t>
            </w:r>
          </w:p>
        </w:tc>
        <w:tc>
          <w:tcPr>
            <w:tcW w:w="856" w:type="dxa"/>
            <w:gridSpan w:val="2"/>
            <w:tcBorders>
              <w:top w:val="none" w:sz="0" w:space="0" w:color="auto"/>
              <w:bottom w:val="none" w:sz="0" w:space="0" w:color="auto"/>
            </w:tcBorders>
          </w:tcPr>
          <w:p w:rsidR="006E76C9" w:rsidRPr="006E76C9" w:rsidRDefault="00E54065" w:rsidP="00497F7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Pr>
                <w:rFonts w:ascii="Arial" w:hAnsi="Arial" w:cs="Arial"/>
                <w:bCs w:val="0"/>
                <w:i/>
                <w:color w:val="auto"/>
                <w:sz w:val="20"/>
                <w:szCs w:val="20"/>
              </w:rPr>
              <w:t>-</w:t>
            </w:r>
          </w:p>
        </w:tc>
        <w:tc>
          <w:tcPr>
            <w:tcW w:w="709" w:type="dxa"/>
            <w:tcBorders>
              <w:top w:val="none" w:sz="0" w:space="0" w:color="auto"/>
              <w:bottom w:val="none" w:sz="0" w:space="0" w:color="auto"/>
            </w:tcBorders>
          </w:tcPr>
          <w:p w:rsidR="006E76C9" w:rsidRPr="006E76C9" w:rsidRDefault="00E54065" w:rsidP="00E022B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Pr>
                <w:rFonts w:ascii="Arial" w:hAnsi="Arial" w:cs="Arial"/>
                <w:bCs w:val="0"/>
                <w:i/>
                <w:color w:val="auto"/>
                <w:sz w:val="20"/>
                <w:szCs w:val="20"/>
              </w:rPr>
              <w:t>1</w:t>
            </w:r>
            <w:r w:rsidR="009C7E5E">
              <w:rPr>
                <w:rFonts w:ascii="Arial" w:hAnsi="Arial" w:cs="Arial"/>
                <w:bCs w:val="0"/>
                <w:i/>
                <w:color w:val="auto"/>
                <w:sz w:val="20"/>
                <w:szCs w:val="20"/>
              </w:rPr>
              <w:t>7.</w:t>
            </w:r>
            <w:r w:rsidR="00E022B7">
              <w:rPr>
                <w:rFonts w:ascii="Arial" w:hAnsi="Arial" w:cs="Arial"/>
                <w:bCs w:val="0"/>
                <w:i/>
                <w:color w:val="auto"/>
                <w:sz w:val="20"/>
                <w:szCs w:val="20"/>
              </w:rPr>
              <w:t>8</w:t>
            </w:r>
          </w:p>
        </w:tc>
        <w:tc>
          <w:tcPr>
            <w:tcW w:w="850" w:type="dxa"/>
            <w:gridSpan w:val="3"/>
            <w:tcBorders>
              <w:top w:val="none" w:sz="0" w:space="0" w:color="auto"/>
              <w:bottom w:val="none" w:sz="0" w:space="0" w:color="auto"/>
            </w:tcBorders>
          </w:tcPr>
          <w:p w:rsidR="006E76C9" w:rsidRPr="006E76C9" w:rsidRDefault="00E54065" w:rsidP="00497F7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Pr>
                <w:rFonts w:ascii="Arial" w:hAnsi="Arial" w:cs="Arial"/>
                <w:bCs w:val="0"/>
                <w:i/>
                <w:color w:val="auto"/>
                <w:sz w:val="20"/>
                <w:szCs w:val="20"/>
              </w:rPr>
              <w:t>(16.8)</w:t>
            </w:r>
          </w:p>
        </w:tc>
        <w:tc>
          <w:tcPr>
            <w:tcW w:w="709" w:type="dxa"/>
            <w:tcBorders>
              <w:top w:val="none" w:sz="0" w:space="0" w:color="auto"/>
              <w:bottom w:val="none" w:sz="0" w:space="0" w:color="auto"/>
            </w:tcBorders>
          </w:tcPr>
          <w:p w:rsidR="006E76C9" w:rsidRPr="006E76C9" w:rsidRDefault="00E54065" w:rsidP="00497F7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Pr>
                <w:rFonts w:ascii="Arial" w:hAnsi="Arial" w:cs="Arial"/>
                <w:bCs w:val="0"/>
                <w:i/>
                <w:color w:val="auto"/>
                <w:sz w:val="20"/>
                <w:szCs w:val="20"/>
              </w:rPr>
              <w:t>-</w:t>
            </w:r>
          </w:p>
        </w:tc>
      </w:tr>
    </w:tbl>
    <w:p w:rsidR="00396DE9" w:rsidRPr="006E76C9" w:rsidRDefault="00396DE9" w:rsidP="00FF43D9">
      <w:pPr>
        <w:pStyle w:val="ExampleSub"/>
        <w:keepNext w:val="0"/>
        <w:keepLines w:val="0"/>
        <w:ind w:left="0"/>
        <w:rPr>
          <w:rFonts w:ascii="Arial" w:hAnsi="Arial" w:cs="Arial"/>
          <w:b w:val="0"/>
          <w:bCs w:val="0"/>
          <w:color w:val="auto"/>
          <w:sz w:val="20"/>
          <w:szCs w:val="20"/>
        </w:rPr>
      </w:pPr>
    </w:p>
    <w:p w:rsidR="00974DAF" w:rsidRPr="0005794A" w:rsidRDefault="00974DAF">
      <w:pPr>
        <w:spacing w:after="0" w:line="240" w:lineRule="auto"/>
        <w:rPr>
          <w:rFonts w:eastAsia="Times New Roman" w:cs="Arial"/>
          <w:color w:val="548DD4" w:themeColor="text2" w:themeTint="99"/>
          <w:sz w:val="20"/>
          <w:szCs w:val="20"/>
          <w:lang w:eastAsia="en-GB"/>
        </w:rPr>
      </w:pPr>
      <w:r w:rsidRPr="0005794A">
        <w:rPr>
          <w:rFonts w:cs="Arial"/>
          <w:b/>
          <w:bCs/>
          <w:color w:val="548DD4" w:themeColor="text2" w:themeTint="99"/>
          <w:sz w:val="20"/>
          <w:szCs w:val="20"/>
        </w:rPr>
        <w:br w:type="page"/>
      </w:r>
    </w:p>
    <w:p w:rsidR="00974DAF" w:rsidRPr="0005794A" w:rsidRDefault="00974DAF" w:rsidP="00FF43D9">
      <w:pPr>
        <w:pStyle w:val="ExampleSub"/>
        <w:keepNext w:val="0"/>
        <w:keepLines w:val="0"/>
        <w:ind w:left="0"/>
        <w:rPr>
          <w:rFonts w:ascii="Arial" w:hAnsi="Arial" w:cs="Arial"/>
          <w:b w:val="0"/>
          <w:bCs w:val="0"/>
          <w:color w:val="548DD4" w:themeColor="text2" w:themeTint="99"/>
          <w:sz w:val="20"/>
          <w:szCs w:val="20"/>
        </w:rPr>
        <w:sectPr w:rsidR="00974DAF" w:rsidRPr="0005794A" w:rsidSect="00AA7699">
          <w:pgSz w:w="16838" w:h="11906" w:orient="landscape" w:code="9"/>
          <w:pgMar w:top="1440" w:right="1440" w:bottom="1440" w:left="1440" w:header="544" w:footer="544" w:gutter="0"/>
          <w:cols w:space="708"/>
          <w:titlePg/>
          <w:docGrid w:linePitch="360"/>
        </w:sectPr>
      </w:pPr>
    </w:p>
    <w:p w:rsidR="00E51139" w:rsidRPr="006E76C9" w:rsidRDefault="00974DAF" w:rsidP="00815C6B">
      <w:pPr>
        <w:pStyle w:val="Subtitle"/>
        <w:ind w:left="567" w:hanging="567"/>
        <w:rPr>
          <w:b/>
          <w:color w:val="auto"/>
          <w:sz w:val="22"/>
          <w:szCs w:val="22"/>
        </w:rPr>
      </w:pPr>
      <w:r w:rsidRPr="006E76C9">
        <w:rPr>
          <w:b/>
          <w:color w:val="auto"/>
          <w:sz w:val="22"/>
          <w:szCs w:val="22"/>
        </w:rPr>
        <w:lastRenderedPageBreak/>
        <w:t>10</w:t>
      </w:r>
      <w:r w:rsidR="00E51139" w:rsidRPr="006E76C9">
        <w:rPr>
          <w:b/>
          <w:color w:val="auto"/>
          <w:sz w:val="22"/>
          <w:szCs w:val="22"/>
        </w:rPr>
        <w:t>.</w:t>
      </w:r>
      <w:r w:rsidR="00F154E5" w:rsidRPr="006E76C9">
        <w:rPr>
          <w:b/>
          <w:color w:val="auto"/>
          <w:sz w:val="22"/>
          <w:szCs w:val="22"/>
        </w:rPr>
        <w:tab/>
      </w:r>
      <w:r w:rsidR="00E51139" w:rsidRPr="006E76C9">
        <w:rPr>
          <w:b/>
          <w:color w:val="auto"/>
          <w:sz w:val="22"/>
          <w:szCs w:val="22"/>
        </w:rPr>
        <w:t>Transfers to/from Earmarked Reserves</w:t>
      </w:r>
    </w:p>
    <w:p w:rsidR="00335596" w:rsidRPr="006E76C9" w:rsidRDefault="00E51139" w:rsidP="00335596">
      <w:pPr>
        <w:pStyle w:val="ExampleSub"/>
        <w:keepNext w:val="0"/>
        <w:keepLines w:val="0"/>
        <w:rPr>
          <w:rFonts w:ascii="Arial" w:hAnsi="Arial" w:cs="Arial"/>
          <w:b w:val="0"/>
          <w:bCs w:val="0"/>
          <w:color w:val="auto"/>
          <w:sz w:val="20"/>
          <w:szCs w:val="20"/>
        </w:rPr>
      </w:pPr>
      <w:r w:rsidRPr="006E76C9">
        <w:rPr>
          <w:rFonts w:ascii="Arial" w:hAnsi="Arial" w:cs="Arial"/>
          <w:b w:val="0"/>
          <w:bCs w:val="0"/>
          <w:color w:val="auto"/>
          <w:sz w:val="20"/>
          <w:szCs w:val="20"/>
        </w:rPr>
        <w:t>This note sets out the amounts set aside from the General Fund in earmarked reserves to provide financing for future expenditure plans and the amounts posted back from earmarked reserves to meet General Fund expenditure in 201</w:t>
      </w:r>
      <w:r w:rsidR="006E76C9" w:rsidRPr="006E76C9">
        <w:rPr>
          <w:rFonts w:ascii="Arial" w:hAnsi="Arial" w:cs="Arial"/>
          <w:b w:val="0"/>
          <w:bCs w:val="0"/>
          <w:color w:val="auto"/>
          <w:sz w:val="20"/>
          <w:szCs w:val="20"/>
        </w:rPr>
        <w:t>7</w:t>
      </w:r>
      <w:r w:rsidR="00F8495F" w:rsidRPr="006E76C9">
        <w:rPr>
          <w:rFonts w:ascii="Arial" w:hAnsi="Arial" w:cs="Arial"/>
          <w:b w:val="0"/>
          <w:bCs w:val="0"/>
          <w:color w:val="auto"/>
          <w:sz w:val="20"/>
          <w:szCs w:val="20"/>
        </w:rPr>
        <w:t>/1</w:t>
      </w:r>
      <w:r w:rsidR="006E76C9" w:rsidRPr="006E76C9">
        <w:rPr>
          <w:rFonts w:ascii="Arial" w:hAnsi="Arial" w:cs="Arial"/>
          <w:b w:val="0"/>
          <w:bCs w:val="0"/>
          <w:color w:val="auto"/>
          <w:sz w:val="20"/>
          <w:szCs w:val="20"/>
        </w:rPr>
        <w:t>8</w:t>
      </w:r>
      <w:r w:rsidR="00F23FE1" w:rsidRPr="006E76C9">
        <w:rPr>
          <w:rFonts w:ascii="Arial" w:hAnsi="Arial" w:cs="Arial"/>
          <w:b w:val="0"/>
          <w:bCs w:val="0"/>
          <w:color w:val="auto"/>
          <w:sz w:val="20"/>
          <w:szCs w:val="20"/>
        </w:rPr>
        <w:t>.</w:t>
      </w:r>
    </w:p>
    <w:p w:rsidR="00335596" w:rsidRPr="006E76C9" w:rsidRDefault="00335596" w:rsidP="00335596">
      <w:pPr>
        <w:pStyle w:val="ExampleSub"/>
        <w:keepNext w:val="0"/>
        <w:keepLines w:val="0"/>
        <w:rPr>
          <w:rFonts w:ascii="Arial" w:hAnsi="Arial" w:cs="Arial"/>
          <w:b w:val="0"/>
          <w:bCs w:val="0"/>
          <w:color w:val="auto"/>
          <w:sz w:val="20"/>
          <w:szCs w:val="20"/>
        </w:rPr>
      </w:pPr>
    </w:p>
    <w:tbl>
      <w:tblPr>
        <w:tblStyle w:val="ListTable3-Accent51"/>
        <w:tblW w:w="9214" w:type="dxa"/>
        <w:tblInd w:w="675" w:type="dxa"/>
        <w:tblLayout w:type="fixed"/>
        <w:tblLook w:val="00A0" w:firstRow="1" w:lastRow="0" w:firstColumn="1" w:lastColumn="0" w:noHBand="0" w:noVBand="0"/>
      </w:tblPr>
      <w:tblGrid>
        <w:gridCol w:w="1560"/>
        <w:gridCol w:w="141"/>
        <w:gridCol w:w="993"/>
        <w:gridCol w:w="992"/>
        <w:gridCol w:w="1134"/>
        <w:gridCol w:w="1134"/>
        <w:gridCol w:w="1134"/>
        <w:gridCol w:w="992"/>
        <w:gridCol w:w="1134"/>
      </w:tblGrid>
      <w:tr w:rsidR="00E618CB" w:rsidRPr="0005794A" w:rsidTr="00AE29C3">
        <w:trPr>
          <w:cnfStyle w:val="100000000000" w:firstRow="1" w:lastRow="0" w:firstColumn="0" w:lastColumn="0" w:oddVBand="0" w:evenVBand="0" w:oddHBand="0" w:evenHBand="0" w:firstRowFirstColumn="0" w:firstRowLastColumn="0" w:lastRowFirstColumn="0" w:lastRowLastColumn="0"/>
          <w:trHeight w:val="746"/>
        </w:trPr>
        <w:tc>
          <w:tcPr>
            <w:cnfStyle w:val="001000000100" w:firstRow="0" w:lastRow="0" w:firstColumn="1" w:lastColumn="0" w:oddVBand="0" w:evenVBand="0" w:oddHBand="0" w:evenHBand="0" w:firstRowFirstColumn="1" w:firstRowLastColumn="0" w:lastRowFirstColumn="0" w:lastRowLastColumn="0"/>
            <w:tcW w:w="1560" w:type="dxa"/>
            <w:tcBorders>
              <w:bottom w:val="single" w:sz="4" w:space="0" w:color="4BACC6" w:themeColor="accent5"/>
            </w:tcBorders>
            <w:noWrap/>
          </w:tcPr>
          <w:p w:rsidR="00E618CB" w:rsidRPr="008474BB" w:rsidRDefault="00E618CB" w:rsidP="00BE22BF">
            <w:pPr>
              <w:widowControl w:val="0"/>
              <w:spacing w:after="0" w:line="240" w:lineRule="auto"/>
              <w:jc w:val="center"/>
              <w:rPr>
                <w:rFonts w:cs="Arial"/>
                <w:b w:val="0"/>
                <w:bCs w:val="0"/>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gridSpan w:val="2"/>
            <w:tcBorders>
              <w:bottom w:val="single" w:sz="4" w:space="0" w:color="4BACC6" w:themeColor="accent5"/>
            </w:tcBorders>
            <w:noWrap/>
          </w:tcPr>
          <w:p w:rsidR="00E618CB" w:rsidRPr="008474BB" w:rsidRDefault="00E618CB" w:rsidP="00521368">
            <w:pPr>
              <w:widowControl w:val="0"/>
              <w:spacing w:after="0" w:line="240" w:lineRule="auto"/>
              <w:jc w:val="center"/>
              <w:rPr>
                <w:rFonts w:cs="Arial"/>
                <w:bCs w:val="0"/>
                <w:color w:val="auto"/>
                <w:sz w:val="18"/>
                <w:szCs w:val="18"/>
                <w:lang w:eastAsia="en-GB"/>
              </w:rPr>
            </w:pPr>
            <w:r w:rsidRPr="008474BB">
              <w:rPr>
                <w:rFonts w:cs="Arial"/>
                <w:bCs w:val="0"/>
                <w:color w:val="auto"/>
                <w:sz w:val="18"/>
                <w:szCs w:val="18"/>
                <w:lang w:eastAsia="en-GB"/>
              </w:rPr>
              <w:t>Balance at 31 March 201</w:t>
            </w:r>
            <w:r w:rsidR="006E76C9" w:rsidRPr="008474BB">
              <w:rPr>
                <w:rFonts w:cs="Arial"/>
                <w:bCs w:val="0"/>
                <w:color w:val="auto"/>
                <w:sz w:val="18"/>
                <w:szCs w:val="18"/>
                <w:lang w:eastAsia="en-GB"/>
              </w:rPr>
              <w:t>6</w:t>
            </w:r>
          </w:p>
          <w:p w:rsidR="00E618CB" w:rsidRPr="008474BB" w:rsidRDefault="00E618CB" w:rsidP="00521368">
            <w:pPr>
              <w:widowControl w:val="0"/>
              <w:spacing w:after="0" w:line="240" w:lineRule="auto"/>
              <w:jc w:val="center"/>
              <w:rPr>
                <w:rFonts w:cs="Arial"/>
                <w:bCs w:val="0"/>
                <w:color w:val="auto"/>
                <w:sz w:val="18"/>
                <w:szCs w:val="18"/>
                <w:lang w:eastAsia="en-GB"/>
              </w:rPr>
            </w:pPr>
            <w:r w:rsidRPr="008474BB">
              <w:rPr>
                <w:rFonts w:cs="Arial"/>
                <w:bCs w:val="0"/>
                <w:color w:val="auto"/>
                <w:sz w:val="18"/>
                <w:szCs w:val="18"/>
                <w:lang w:eastAsia="en-GB"/>
              </w:rPr>
              <w:t>£m</w:t>
            </w:r>
          </w:p>
        </w:tc>
        <w:tc>
          <w:tcPr>
            <w:tcW w:w="992" w:type="dxa"/>
            <w:tcBorders>
              <w:bottom w:val="single" w:sz="4" w:space="0" w:color="4BACC6" w:themeColor="accent5"/>
            </w:tcBorders>
            <w:noWrap/>
          </w:tcPr>
          <w:p w:rsidR="00E618CB" w:rsidRPr="008474BB" w:rsidRDefault="00E618CB" w:rsidP="0052136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8474BB">
              <w:rPr>
                <w:rFonts w:cs="Arial"/>
                <w:bCs w:val="0"/>
                <w:color w:val="auto"/>
                <w:sz w:val="18"/>
                <w:szCs w:val="18"/>
                <w:lang w:eastAsia="en-GB"/>
              </w:rPr>
              <w:t>Transfer Out 201</w:t>
            </w:r>
            <w:r w:rsidR="006E76C9" w:rsidRPr="008474BB">
              <w:rPr>
                <w:rFonts w:cs="Arial"/>
                <w:bCs w:val="0"/>
                <w:color w:val="auto"/>
                <w:sz w:val="18"/>
                <w:szCs w:val="18"/>
                <w:lang w:eastAsia="en-GB"/>
              </w:rPr>
              <w:t>6</w:t>
            </w:r>
            <w:r w:rsidRPr="008474BB">
              <w:rPr>
                <w:rFonts w:cs="Arial"/>
                <w:bCs w:val="0"/>
                <w:color w:val="auto"/>
                <w:sz w:val="18"/>
                <w:szCs w:val="18"/>
                <w:lang w:eastAsia="en-GB"/>
              </w:rPr>
              <w:t>/1</w:t>
            </w:r>
            <w:r w:rsidR="006E76C9" w:rsidRPr="008474BB">
              <w:rPr>
                <w:rFonts w:cs="Arial"/>
                <w:bCs w:val="0"/>
                <w:color w:val="auto"/>
                <w:sz w:val="18"/>
                <w:szCs w:val="18"/>
                <w:lang w:eastAsia="en-GB"/>
              </w:rPr>
              <w:t>7</w:t>
            </w:r>
          </w:p>
          <w:p w:rsidR="00E618CB" w:rsidRPr="008474BB" w:rsidRDefault="00E618CB" w:rsidP="0052136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8474BB">
              <w:rPr>
                <w:rFonts w:cs="Arial"/>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4BACC6" w:themeColor="accent5"/>
            </w:tcBorders>
            <w:noWrap/>
          </w:tcPr>
          <w:p w:rsidR="00E618CB" w:rsidRPr="008474BB" w:rsidRDefault="00E618CB" w:rsidP="00521368">
            <w:pPr>
              <w:widowControl w:val="0"/>
              <w:spacing w:after="0" w:line="240" w:lineRule="auto"/>
              <w:jc w:val="center"/>
              <w:rPr>
                <w:rFonts w:cs="Arial"/>
                <w:bCs w:val="0"/>
                <w:color w:val="auto"/>
                <w:sz w:val="18"/>
                <w:szCs w:val="18"/>
                <w:lang w:eastAsia="en-GB"/>
              </w:rPr>
            </w:pPr>
            <w:r w:rsidRPr="008474BB">
              <w:rPr>
                <w:rFonts w:cs="Arial"/>
                <w:bCs w:val="0"/>
                <w:color w:val="auto"/>
                <w:sz w:val="18"/>
                <w:szCs w:val="18"/>
                <w:lang w:eastAsia="en-GB"/>
              </w:rPr>
              <w:t>Transfer In 201</w:t>
            </w:r>
            <w:r w:rsidR="008474BB" w:rsidRPr="008474BB">
              <w:rPr>
                <w:rFonts w:cs="Arial"/>
                <w:bCs w:val="0"/>
                <w:color w:val="auto"/>
                <w:sz w:val="18"/>
                <w:szCs w:val="18"/>
                <w:lang w:eastAsia="en-GB"/>
              </w:rPr>
              <w:t>6</w:t>
            </w:r>
            <w:r w:rsidRPr="008474BB">
              <w:rPr>
                <w:rFonts w:cs="Arial"/>
                <w:bCs w:val="0"/>
                <w:color w:val="auto"/>
                <w:sz w:val="18"/>
                <w:szCs w:val="18"/>
                <w:lang w:eastAsia="en-GB"/>
              </w:rPr>
              <w:t>/1</w:t>
            </w:r>
            <w:r w:rsidR="008474BB" w:rsidRPr="008474BB">
              <w:rPr>
                <w:rFonts w:cs="Arial"/>
                <w:bCs w:val="0"/>
                <w:color w:val="auto"/>
                <w:sz w:val="18"/>
                <w:szCs w:val="18"/>
                <w:lang w:eastAsia="en-GB"/>
              </w:rPr>
              <w:t>7</w:t>
            </w:r>
          </w:p>
          <w:p w:rsidR="00E618CB" w:rsidRPr="008474BB" w:rsidRDefault="00E618CB" w:rsidP="00521368">
            <w:pPr>
              <w:widowControl w:val="0"/>
              <w:spacing w:after="0" w:line="240" w:lineRule="auto"/>
              <w:jc w:val="center"/>
              <w:rPr>
                <w:rFonts w:cs="Arial"/>
                <w:bCs w:val="0"/>
                <w:color w:val="auto"/>
                <w:sz w:val="18"/>
                <w:szCs w:val="18"/>
                <w:lang w:eastAsia="en-GB"/>
              </w:rPr>
            </w:pPr>
            <w:r w:rsidRPr="008474BB">
              <w:rPr>
                <w:rFonts w:cs="Arial"/>
                <w:bCs w:val="0"/>
                <w:color w:val="auto"/>
                <w:sz w:val="18"/>
                <w:szCs w:val="18"/>
                <w:lang w:eastAsia="en-GB"/>
              </w:rPr>
              <w:t>£m</w:t>
            </w:r>
          </w:p>
        </w:tc>
        <w:tc>
          <w:tcPr>
            <w:tcW w:w="1134" w:type="dxa"/>
            <w:tcBorders>
              <w:bottom w:val="single" w:sz="4" w:space="0" w:color="4BACC6" w:themeColor="accent5"/>
            </w:tcBorders>
          </w:tcPr>
          <w:p w:rsidR="00E618CB" w:rsidRPr="008474BB" w:rsidRDefault="00E618CB" w:rsidP="007215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8474BB">
              <w:rPr>
                <w:rFonts w:cs="Arial"/>
                <w:bCs w:val="0"/>
                <w:color w:val="auto"/>
                <w:sz w:val="18"/>
                <w:szCs w:val="18"/>
                <w:lang w:eastAsia="en-GB"/>
              </w:rPr>
              <w:t>Balance at 31 March 201</w:t>
            </w:r>
            <w:r w:rsidR="008474BB" w:rsidRPr="008474BB">
              <w:rPr>
                <w:rFonts w:cs="Arial"/>
                <w:bCs w:val="0"/>
                <w:color w:val="auto"/>
                <w:sz w:val="18"/>
                <w:szCs w:val="18"/>
                <w:lang w:eastAsia="en-GB"/>
              </w:rPr>
              <w:t>7</w:t>
            </w:r>
          </w:p>
          <w:p w:rsidR="00E618CB" w:rsidRPr="008474BB" w:rsidRDefault="00E618CB" w:rsidP="007215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8474BB">
              <w:rPr>
                <w:rFonts w:cs="Arial"/>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4BACC6" w:themeColor="accent5"/>
            </w:tcBorders>
          </w:tcPr>
          <w:p w:rsidR="00E618CB" w:rsidRPr="008474BB" w:rsidRDefault="00E618CB" w:rsidP="00BE22BF">
            <w:pPr>
              <w:widowControl w:val="0"/>
              <w:spacing w:after="0" w:line="240" w:lineRule="auto"/>
              <w:jc w:val="center"/>
              <w:rPr>
                <w:rFonts w:cs="Arial"/>
                <w:bCs w:val="0"/>
                <w:color w:val="auto"/>
                <w:sz w:val="18"/>
                <w:szCs w:val="18"/>
                <w:lang w:eastAsia="en-GB"/>
              </w:rPr>
            </w:pPr>
            <w:r w:rsidRPr="008474BB">
              <w:rPr>
                <w:rFonts w:cs="Arial"/>
                <w:bCs w:val="0"/>
                <w:color w:val="auto"/>
                <w:sz w:val="18"/>
                <w:szCs w:val="18"/>
                <w:lang w:eastAsia="en-GB"/>
              </w:rPr>
              <w:t>Transfer Out 201</w:t>
            </w:r>
            <w:r w:rsidR="008474BB" w:rsidRPr="008474BB">
              <w:rPr>
                <w:rFonts w:cs="Arial"/>
                <w:bCs w:val="0"/>
                <w:color w:val="auto"/>
                <w:sz w:val="18"/>
                <w:szCs w:val="18"/>
                <w:lang w:eastAsia="en-GB"/>
              </w:rPr>
              <w:t>7</w:t>
            </w:r>
            <w:r w:rsidRPr="008474BB">
              <w:rPr>
                <w:rFonts w:cs="Arial"/>
                <w:bCs w:val="0"/>
                <w:color w:val="auto"/>
                <w:sz w:val="18"/>
                <w:szCs w:val="18"/>
                <w:lang w:eastAsia="en-GB"/>
              </w:rPr>
              <w:t>/1</w:t>
            </w:r>
            <w:r w:rsidR="008474BB" w:rsidRPr="008474BB">
              <w:rPr>
                <w:rFonts w:cs="Arial"/>
                <w:bCs w:val="0"/>
                <w:color w:val="auto"/>
                <w:sz w:val="18"/>
                <w:szCs w:val="18"/>
                <w:lang w:eastAsia="en-GB"/>
              </w:rPr>
              <w:t>8</w:t>
            </w:r>
          </w:p>
          <w:p w:rsidR="00E618CB" w:rsidRPr="008474BB" w:rsidRDefault="00E618CB" w:rsidP="00BE22BF">
            <w:pPr>
              <w:widowControl w:val="0"/>
              <w:spacing w:after="0" w:line="240" w:lineRule="auto"/>
              <w:jc w:val="center"/>
              <w:rPr>
                <w:rFonts w:cs="Arial"/>
                <w:bCs w:val="0"/>
                <w:color w:val="auto"/>
                <w:sz w:val="18"/>
                <w:szCs w:val="18"/>
                <w:lang w:eastAsia="en-GB"/>
              </w:rPr>
            </w:pPr>
            <w:r w:rsidRPr="008474BB">
              <w:rPr>
                <w:rFonts w:cs="Arial"/>
                <w:bCs w:val="0"/>
                <w:color w:val="auto"/>
                <w:sz w:val="18"/>
                <w:szCs w:val="18"/>
                <w:lang w:eastAsia="en-GB"/>
              </w:rPr>
              <w:t>£m</w:t>
            </w:r>
          </w:p>
        </w:tc>
        <w:tc>
          <w:tcPr>
            <w:tcW w:w="992" w:type="dxa"/>
            <w:tcBorders>
              <w:bottom w:val="single" w:sz="4" w:space="0" w:color="4BACC6" w:themeColor="accent5"/>
            </w:tcBorders>
          </w:tcPr>
          <w:p w:rsidR="00E618CB" w:rsidRPr="008474BB" w:rsidRDefault="00E618CB" w:rsidP="00BE22BF">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8474BB">
              <w:rPr>
                <w:rFonts w:cs="Arial"/>
                <w:bCs w:val="0"/>
                <w:color w:val="auto"/>
                <w:sz w:val="18"/>
                <w:szCs w:val="18"/>
                <w:lang w:eastAsia="en-GB"/>
              </w:rPr>
              <w:t>Transfer In 201</w:t>
            </w:r>
            <w:r w:rsidR="008474BB" w:rsidRPr="008474BB">
              <w:rPr>
                <w:rFonts w:cs="Arial"/>
                <w:bCs w:val="0"/>
                <w:color w:val="auto"/>
                <w:sz w:val="18"/>
                <w:szCs w:val="18"/>
                <w:lang w:eastAsia="en-GB"/>
              </w:rPr>
              <w:t>7</w:t>
            </w:r>
            <w:r w:rsidRPr="008474BB">
              <w:rPr>
                <w:rFonts w:cs="Arial"/>
                <w:bCs w:val="0"/>
                <w:color w:val="auto"/>
                <w:sz w:val="18"/>
                <w:szCs w:val="18"/>
                <w:lang w:eastAsia="en-GB"/>
              </w:rPr>
              <w:t>/1</w:t>
            </w:r>
            <w:r w:rsidR="008474BB" w:rsidRPr="008474BB">
              <w:rPr>
                <w:rFonts w:cs="Arial"/>
                <w:bCs w:val="0"/>
                <w:color w:val="auto"/>
                <w:sz w:val="18"/>
                <w:szCs w:val="18"/>
                <w:lang w:eastAsia="en-GB"/>
              </w:rPr>
              <w:t>8</w:t>
            </w:r>
          </w:p>
          <w:p w:rsidR="00E618CB" w:rsidRPr="008474BB" w:rsidRDefault="00E618CB" w:rsidP="00BE22BF">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18"/>
                <w:szCs w:val="18"/>
                <w:lang w:eastAsia="en-GB"/>
              </w:rPr>
            </w:pPr>
            <w:r w:rsidRPr="008474BB">
              <w:rPr>
                <w:rFonts w:cs="Arial"/>
                <w:bCs w:val="0"/>
                <w:color w:val="auto"/>
                <w:sz w:val="18"/>
                <w:szCs w:val="18"/>
                <w:lang w:eastAsia="en-GB"/>
              </w:rPr>
              <w:t>£m</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4BACC6" w:themeColor="accent5"/>
            </w:tcBorders>
          </w:tcPr>
          <w:p w:rsidR="00E618CB" w:rsidRPr="008474BB" w:rsidRDefault="00E618CB" w:rsidP="00BE22BF">
            <w:pPr>
              <w:widowControl w:val="0"/>
              <w:spacing w:after="0" w:line="240" w:lineRule="auto"/>
              <w:jc w:val="center"/>
              <w:rPr>
                <w:rFonts w:cs="Arial"/>
                <w:bCs w:val="0"/>
                <w:color w:val="auto"/>
                <w:sz w:val="18"/>
                <w:szCs w:val="18"/>
                <w:lang w:eastAsia="en-GB"/>
              </w:rPr>
            </w:pPr>
            <w:r w:rsidRPr="008474BB">
              <w:rPr>
                <w:rFonts w:cs="Arial"/>
                <w:bCs w:val="0"/>
                <w:color w:val="auto"/>
                <w:sz w:val="18"/>
                <w:szCs w:val="18"/>
                <w:lang w:eastAsia="en-GB"/>
              </w:rPr>
              <w:t>Balance at 31 March 201</w:t>
            </w:r>
            <w:r w:rsidR="008474BB" w:rsidRPr="008474BB">
              <w:rPr>
                <w:rFonts w:cs="Arial"/>
                <w:bCs w:val="0"/>
                <w:color w:val="auto"/>
                <w:sz w:val="18"/>
                <w:szCs w:val="18"/>
                <w:lang w:eastAsia="en-GB"/>
              </w:rPr>
              <w:t>8</w:t>
            </w:r>
          </w:p>
          <w:p w:rsidR="00E618CB" w:rsidRPr="008474BB" w:rsidRDefault="00E618CB" w:rsidP="00BE22BF">
            <w:pPr>
              <w:widowControl w:val="0"/>
              <w:spacing w:after="0" w:line="240" w:lineRule="auto"/>
              <w:jc w:val="center"/>
              <w:rPr>
                <w:rFonts w:cs="Arial"/>
                <w:bCs w:val="0"/>
                <w:color w:val="auto"/>
                <w:sz w:val="18"/>
                <w:szCs w:val="18"/>
                <w:lang w:eastAsia="en-GB"/>
              </w:rPr>
            </w:pPr>
            <w:r w:rsidRPr="008474BB">
              <w:rPr>
                <w:rFonts w:cs="Arial"/>
                <w:bCs w:val="0"/>
                <w:color w:val="auto"/>
                <w:sz w:val="18"/>
                <w:szCs w:val="18"/>
                <w:lang w:eastAsia="en-GB"/>
              </w:rPr>
              <w:t>£m</w:t>
            </w:r>
          </w:p>
        </w:tc>
      </w:tr>
      <w:tr w:rsidR="00E618CB" w:rsidRPr="0005794A" w:rsidTr="00AE29C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214" w:type="dxa"/>
            <w:gridSpan w:val="9"/>
            <w:tcBorders>
              <w:right w:val="single" w:sz="4" w:space="0" w:color="4BACC6" w:themeColor="accent5"/>
            </w:tcBorders>
            <w:noWrap/>
            <w:vAlign w:val="center"/>
          </w:tcPr>
          <w:p w:rsidR="00E618CB" w:rsidRPr="008474BB" w:rsidRDefault="00E618CB" w:rsidP="00AE29C3">
            <w:pPr>
              <w:widowControl w:val="0"/>
              <w:spacing w:after="0" w:line="240" w:lineRule="auto"/>
              <w:rPr>
                <w:rFonts w:cs="Arial"/>
                <w:b w:val="0"/>
                <w:color w:val="auto"/>
                <w:sz w:val="20"/>
                <w:szCs w:val="20"/>
                <w:lang w:eastAsia="en-GB"/>
              </w:rPr>
            </w:pPr>
            <w:r w:rsidRPr="008474BB">
              <w:rPr>
                <w:rFonts w:cs="Arial"/>
                <w:b w:val="0"/>
                <w:color w:val="auto"/>
                <w:sz w:val="20"/>
                <w:szCs w:val="20"/>
                <w:lang w:eastAsia="en-GB"/>
              </w:rPr>
              <w:t>Reserves:-</w:t>
            </w:r>
          </w:p>
        </w:tc>
      </w:tr>
      <w:tr w:rsidR="008474BB" w:rsidRPr="0005794A" w:rsidTr="00335596">
        <w:trPr>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8474BB" w:rsidRDefault="008474BB" w:rsidP="00CC78F2">
            <w:pPr>
              <w:pStyle w:val="BodyTextIndent"/>
              <w:ind w:left="0"/>
              <w:rPr>
                <w:b w:val="0"/>
                <w:color w:val="auto"/>
                <w:sz w:val="20"/>
                <w:szCs w:val="20"/>
              </w:rPr>
            </w:pPr>
            <w:r w:rsidRPr="008474BB">
              <w:rPr>
                <w:rFonts w:cs="Arial"/>
                <w:b w:val="0"/>
                <w:color w:val="auto"/>
                <w:sz w:val="20"/>
                <w:szCs w:val="20"/>
                <w:lang w:eastAsia="en-GB"/>
              </w:rPr>
              <w:t>earmarked for General Expenditure</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8474BB" w:rsidRDefault="008474BB" w:rsidP="00C052A4">
            <w:pPr>
              <w:widowControl w:val="0"/>
              <w:spacing w:after="0" w:line="240" w:lineRule="auto"/>
              <w:jc w:val="center"/>
              <w:rPr>
                <w:rFonts w:cs="Arial"/>
                <w:b/>
                <w:color w:val="auto"/>
                <w:sz w:val="20"/>
                <w:szCs w:val="20"/>
                <w:lang w:eastAsia="en-GB"/>
              </w:rPr>
            </w:pPr>
            <w:r w:rsidRPr="008474BB">
              <w:rPr>
                <w:rFonts w:cs="Arial"/>
                <w:b/>
                <w:color w:val="auto"/>
                <w:sz w:val="20"/>
                <w:szCs w:val="20"/>
                <w:lang w:eastAsia="en-GB"/>
              </w:rPr>
              <w:t>4.0</w:t>
            </w:r>
          </w:p>
        </w:tc>
        <w:tc>
          <w:tcPr>
            <w:tcW w:w="992" w:type="dxa"/>
            <w:noWrap/>
            <w:vAlign w:val="center"/>
          </w:tcPr>
          <w:p w:rsidR="008474BB" w:rsidRPr="008474BB" w:rsidRDefault="008474BB"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8474BB">
              <w:rPr>
                <w:rFonts w:cs="Arial"/>
                <w:color w:val="auto"/>
                <w:sz w:val="20"/>
                <w:szCs w:val="20"/>
                <w:lang w:eastAsia="en-GB"/>
              </w:rPr>
              <w:t>(2.5)</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8474BB" w:rsidRDefault="008474BB" w:rsidP="00C052A4">
            <w:pPr>
              <w:widowControl w:val="0"/>
              <w:spacing w:after="0" w:line="240" w:lineRule="auto"/>
              <w:jc w:val="center"/>
              <w:rPr>
                <w:rFonts w:cs="Arial"/>
                <w:color w:val="auto"/>
                <w:sz w:val="20"/>
                <w:szCs w:val="20"/>
                <w:lang w:eastAsia="en-GB"/>
              </w:rPr>
            </w:pPr>
            <w:r w:rsidRPr="008474BB">
              <w:rPr>
                <w:rFonts w:cs="Arial"/>
                <w:color w:val="auto"/>
                <w:sz w:val="20"/>
                <w:szCs w:val="20"/>
                <w:lang w:eastAsia="en-GB"/>
              </w:rPr>
              <w:t>3.0</w:t>
            </w:r>
          </w:p>
        </w:tc>
        <w:tc>
          <w:tcPr>
            <w:tcW w:w="1134" w:type="dxa"/>
            <w:vAlign w:val="center"/>
          </w:tcPr>
          <w:p w:rsidR="008474BB" w:rsidRPr="008474BB" w:rsidRDefault="008474BB"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474BB">
              <w:rPr>
                <w:rFonts w:cs="Arial"/>
                <w:b/>
                <w:color w:val="auto"/>
                <w:sz w:val="20"/>
                <w:szCs w:val="20"/>
                <w:lang w:eastAsia="en-GB"/>
              </w:rPr>
              <w:t>4.5</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F26C2B" w:rsidRDefault="001C7261" w:rsidP="00CC78F2">
            <w:pPr>
              <w:widowControl w:val="0"/>
              <w:spacing w:after="0" w:line="240" w:lineRule="auto"/>
              <w:jc w:val="center"/>
              <w:rPr>
                <w:rFonts w:cs="Arial"/>
                <w:color w:val="auto"/>
                <w:sz w:val="20"/>
                <w:szCs w:val="20"/>
                <w:lang w:eastAsia="en-GB"/>
              </w:rPr>
            </w:pPr>
            <w:r w:rsidRPr="00F26C2B">
              <w:rPr>
                <w:rFonts w:cs="Arial"/>
                <w:color w:val="auto"/>
                <w:sz w:val="20"/>
                <w:szCs w:val="20"/>
                <w:lang w:eastAsia="en-GB"/>
              </w:rPr>
              <w:t>(1.7)</w:t>
            </w:r>
          </w:p>
        </w:tc>
        <w:tc>
          <w:tcPr>
            <w:tcW w:w="992" w:type="dxa"/>
            <w:vAlign w:val="center"/>
          </w:tcPr>
          <w:p w:rsidR="008474BB" w:rsidRPr="00F26C2B" w:rsidRDefault="00583DFD" w:rsidP="00583DF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Pr>
                <w:rFonts w:cs="Arial"/>
                <w:color w:val="auto"/>
                <w:sz w:val="20"/>
                <w:szCs w:val="20"/>
                <w:lang w:eastAsia="en-GB"/>
              </w:rPr>
              <w:t>0</w:t>
            </w:r>
            <w:r w:rsidR="001C7261" w:rsidRPr="00F26C2B">
              <w:rPr>
                <w:rFonts w:cs="Arial"/>
                <w:color w:val="auto"/>
                <w:sz w:val="20"/>
                <w:szCs w:val="20"/>
                <w:lang w:eastAsia="en-GB"/>
              </w:rPr>
              <w:t>.8</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2C155D" w:rsidRDefault="002C155D" w:rsidP="00CC78F2">
            <w:pPr>
              <w:widowControl w:val="0"/>
              <w:spacing w:after="0" w:line="240" w:lineRule="auto"/>
              <w:jc w:val="center"/>
              <w:rPr>
                <w:rFonts w:cs="Arial"/>
                <w:b/>
                <w:color w:val="auto"/>
                <w:sz w:val="20"/>
                <w:szCs w:val="20"/>
                <w:lang w:eastAsia="en-GB"/>
              </w:rPr>
            </w:pPr>
            <w:r w:rsidRPr="002C155D">
              <w:rPr>
                <w:rFonts w:cs="Arial"/>
                <w:b/>
                <w:color w:val="auto"/>
                <w:sz w:val="20"/>
                <w:szCs w:val="20"/>
                <w:lang w:eastAsia="en-GB"/>
              </w:rPr>
              <w:t>3.6</w:t>
            </w:r>
          </w:p>
        </w:tc>
      </w:tr>
      <w:tr w:rsidR="008474BB" w:rsidRPr="0005794A" w:rsidTr="003355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8474BB" w:rsidRDefault="008474BB" w:rsidP="00CC78F2">
            <w:pPr>
              <w:pStyle w:val="BodyTextIndent"/>
              <w:ind w:left="0"/>
              <w:rPr>
                <w:b w:val="0"/>
                <w:color w:val="auto"/>
                <w:sz w:val="20"/>
                <w:szCs w:val="20"/>
              </w:rPr>
            </w:pPr>
            <w:r w:rsidRPr="008474BB">
              <w:rPr>
                <w:b w:val="0"/>
                <w:color w:val="auto"/>
                <w:sz w:val="20"/>
                <w:szCs w:val="20"/>
              </w:rPr>
              <w:t>earmarked for specific issues</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8474BB" w:rsidRDefault="008474BB" w:rsidP="00C052A4">
            <w:pPr>
              <w:widowControl w:val="0"/>
              <w:spacing w:after="0" w:line="240" w:lineRule="auto"/>
              <w:jc w:val="center"/>
              <w:rPr>
                <w:rFonts w:cs="Arial"/>
                <w:b/>
                <w:color w:val="auto"/>
                <w:sz w:val="20"/>
                <w:szCs w:val="20"/>
                <w:lang w:eastAsia="en-GB"/>
              </w:rPr>
            </w:pPr>
            <w:r w:rsidRPr="008474BB">
              <w:rPr>
                <w:rFonts w:cs="Arial"/>
                <w:b/>
                <w:color w:val="auto"/>
                <w:sz w:val="20"/>
                <w:szCs w:val="20"/>
                <w:lang w:eastAsia="en-GB"/>
              </w:rPr>
              <w:t>6.7</w:t>
            </w:r>
          </w:p>
        </w:tc>
        <w:tc>
          <w:tcPr>
            <w:tcW w:w="992" w:type="dxa"/>
            <w:noWrap/>
            <w:vAlign w:val="center"/>
          </w:tcPr>
          <w:p w:rsidR="008474BB" w:rsidRPr="008474BB" w:rsidRDefault="008474BB"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8474BB">
              <w:rPr>
                <w:rFonts w:cs="Arial"/>
                <w:color w:val="auto"/>
                <w:sz w:val="20"/>
                <w:szCs w:val="20"/>
                <w:lang w:eastAsia="en-GB"/>
              </w:rPr>
              <w:t>(4.2)</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8474BB" w:rsidRDefault="008474BB" w:rsidP="00C052A4">
            <w:pPr>
              <w:widowControl w:val="0"/>
              <w:spacing w:after="0" w:line="240" w:lineRule="auto"/>
              <w:jc w:val="center"/>
              <w:rPr>
                <w:rFonts w:cs="Arial"/>
                <w:color w:val="auto"/>
                <w:sz w:val="20"/>
                <w:szCs w:val="20"/>
                <w:lang w:eastAsia="en-GB"/>
              </w:rPr>
            </w:pPr>
            <w:r w:rsidRPr="008474BB">
              <w:rPr>
                <w:rFonts w:cs="Arial"/>
                <w:color w:val="auto"/>
                <w:sz w:val="20"/>
                <w:szCs w:val="20"/>
                <w:lang w:eastAsia="en-GB"/>
              </w:rPr>
              <w:t>3.5</w:t>
            </w:r>
          </w:p>
        </w:tc>
        <w:tc>
          <w:tcPr>
            <w:tcW w:w="1134" w:type="dxa"/>
            <w:vAlign w:val="center"/>
          </w:tcPr>
          <w:p w:rsidR="008474BB" w:rsidRPr="008474BB" w:rsidRDefault="008474BB"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474BB">
              <w:rPr>
                <w:rFonts w:cs="Arial"/>
                <w:b/>
                <w:color w:val="auto"/>
                <w:sz w:val="20"/>
                <w:szCs w:val="20"/>
                <w:lang w:eastAsia="en-GB"/>
              </w:rPr>
              <w:t>6.0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F26C2B" w:rsidRDefault="00F26C2B" w:rsidP="00CC78F2">
            <w:pPr>
              <w:widowControl w:val="0"/>
              <w:spacing w:after="0" w:line="240" w:lineRule="auto"/>
              <w:jc w:val="center"/>
              <w:rPr>
                <w:rFonts w:cs="Arial"/>
                <w:color w:val="auto"/>
                <w:sz w:val="20"/>
                <w:szCs w:val="20"/>
                <w:lang w:eastAsia="en-GB"/>
              </w:rPr>
            </w:pPr>
            <w:r w:rsidRPr="00F26C2B">
              <w:rPr>
                <w:rFonts w:cs="Arial"/>
                <w:color w:val="auto"/>
                <w:sz w:val="20"/>
                <w:szCs w:val="20"/>
                <w:lang w:eastAsia="en-GB"/>
              </w:rPr>
              <w:t>(1.3)</w:t>
            </w:r>
          </w:p>
        </w:tc>
        <w:tc>
          <w:tcPr>
            <w:tcW w:w="992" w:type="dxa"/>
            <w:vAlign w:val="center"/>
          </w:tcPr>
          <w:p w:rsidR="008474BB" w:rsidRPr="00F26C2B" w:rsidRDefault="00F26C2B" w:rsidP="00CC78F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F26C2B">
              <w:rPr>
                <w:rFonts w:cs="Arial"/>
                <w:color w:val="auto"/>
                <w:sz w:val="20"/>
                <w:szCs w:val="20"/>
                <w:lang w:eastAsia="en-GB"/>
              </w:rPr>
              <w:t>4.5</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2C155D" w:rsidRDefault="002C155D" w:rsidP="00CC78F2">
            <w:pPr>
              <w:widowControl w:val="0"/>
              <w:spacing w:after="0" w:line="240" w:lineRule="auto"/>
              <w:jc w:val="center"/>
              <w:rPr>
                <w:rFonts w:cs="Arial"/>
                <w:b/>
                <w:color w:val="auto"/>
                <w:sz w:val="20"/>
                <w:szCs w:val="20"/>
                <w:lang w:eastAsia="en-GB"/>
              </w:rPr>
            </w:pPr>
            <w:r w:rsidRPr="002C155D">
              <w:rPr>
                <w:rFonts w:cs="Arial"/>
                <w:b/>
                <w:color w:val="auto"/>
                <w:sz w:val="20"/>
                <w:szCs w:val="20"/>
                <w:lang w:eastAsia="en-GB"/>
              </w:rPr>
              <w:t>9.2</w:t>
            </w:r>
          </w:p>
        </w:tc>
      </w:tr>
      <w:tr w:rsidR="008474BB" w:rsidRPr="0005794A" w:rsidTr="00335596">
        <w:trPr>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8474BB" w:rsidRDefault="008474BB" w:rsidP="00CC78F2">
            <w:pPr>
              <w:pStyle w:val="BodyTextIndent"/>
              <w:ind w:left="0"/>
              <w:rPr>
                <w:b w:val="0"/>
                <w:color w:val="auto"/>
                <w:sz w:val="20"/>
                <w:szCs w:val="20"/>
              </w:rPr>
            </w:pPr>
            <w:r w:rsidRPr="008474BB">
              <w:rPr>
                <w:b w:val="0"/>
                <w:color w:val="auto"/>
                <w:sz w:val="20"/>
                <w:szCs w:val="20"/>
              </w:rPr>
              <w:t>to reflect timing of expenditure</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8474BB" w:rsidRDefault="008474BB" w:rsidP="00C052A4">
            <w:pPr>
              <w:widowControl w:val="0"/>
              <w:spacing w:after="0" w:line="240" w:lineRule="auto"/>
              <w:jc w:val="center"/>
              <w:rPr>
                <w:rFonts w:cs="Arial"/>
                <w:b/>
                <w:color w:val="auto"/>
                <w:sz w:val="20"/>
                <w:szCs w:val="20"/>
                <w:lang w:eastAsia="en-GB"/>
              </w:rPr>
            </w:pPr>
            <w:r w:rsidRPr="008474BB">
              <w:rPr>
                <w:rFonts w:cs="Arial"/>
                <w:b/>
                <w:color w:val="auto"/>
                <w:sz w:val="20"/>
                <w:szCs w:val="20"/>
                <w:lang w:eastAsia="en-GB"/>
              </w:rPr>
              <w:t>5.2</w:t>
            </w:r>
          </w:p>
        </w:tc>
        <w:tc>
          <w:tcPr>
            <w:tcW w:w="992" w:type="dxa"/>
            <w:noWrap/>
            <w:vAlign w:val="center"/>
          </w:tcPr>
          <w:p w:rsidR="008474BB" w:rsidRPr="008474BB" w:rsidRDefault="008474BB"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8474BB">
              <w:rPr>
                <w:rFonts w:cs="Arial"/>
                <w:color w:val="auto"/>
                <w:sz w:val="20"/>
                <w:szCs w:val="20"/>
                <w:lang w:eastAsia="en-GB"/>
              </w:rPr>
              <w:t>(1.8)</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8474BB" w:rsidRDefault="008474BB" w:rsidP="00C052A4">
            <w:pPr>
              <w:widowControl w:val="0"/>
              <w:spacing w:after="0" w:line="240" w:lineRule="auto"/>
              <w:jc w:val="center"/>
              <w:rPr>
                <w:rFonts w:cs="Arial"/>
                <w:color w:val="auto"/>
                <w:sz w:val="20"/>
                <w:szCs w:val="20"/>
                <w:lang w:eastAsia="en-GB"/>
              </w:rPr>
            </w:pPr>
            <w:r w:rsidRPr="008474BB">
              <w:rPr>
                <w:rFonts w:cs="Arial"/>
                <w:color w:val="auto"/>
                <w:sz w:val="20"/>
                <w:szCs w:val="20"/>
                <w:lang w:eastAsia="en-GB"/>
              </w:rPr>
              <w:t>0.3</w:t>
            </w:r>
          </w:p>
        </w:tc>
        <w:tc>
          <w:tcPr>
            <w:tcW w:w="1134" w:type="dxa"/>
            <w:vAlign w:val="center"/>
          </w:tcPr>
          <w:p w:rsidR="008474BB" w:rsidRPr="008474BB" w:rsidRDefault="008474BB"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474BB">
              <w:rPr>
                <w:rFonts w:cs="Arial"/>
                <w:b/>
                <w:color w:val="auto"/>
                <w:sz w:val="20"/>
                <w:szCs w:val="20"/>
                <w:lang w:eastAsia="en-GB"/>
              </w:rPr>
              <w:t>3.7</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F26C2B" w:rsidRDefault="00F26C2B" w:rsidP="0075105D">
            <w:pPr>
              <w:widowControl w:val="0"/>
              <w:spacing w:after="0" w:line="240" w:lineRule="auto"/>
              <w:jc w:val="center"/>
              <w:rPr>
                <w:rFonts w:cs="Arial"/>
                <w:color w:val="auto"/>
                <w:sz w:val="20"/>
                <w:szCs w:val="20"/>
                <w:lang w:eastAsia="en-GB"/>
              </w:rPr>
            </w:pPr>
            <w:r w:rsidRPr="00F26C2B">
              <w:rPr>
                <w:rFonts w:cs="Arial"/>
                <w:color w:val="auto"/>
                <w:sz w:val="20"/>
                <w:szCs w:val="20"/>
                <w:lang w:eastAsia="en-GB"/>
              </w:rPr>
              <w:t>(3.5)</w:t>
            </w:r>
          </w:p>
        </w:tc>
        <w:tc>
          <w:tcPr>
            <w:tcW w:w="992" w:type="dxa"/>
            <w:vAlign w:val="center"/>
          </w:tcPr>
          <w:p w:rsidR="008474BB" w:rsidRPr="00F26C2B" w:rsidRDefault="00F26C2B" w:rsidP="00CC78F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F26C2B">
              <w:rPr>
                <w:rFonts w:cs="Arial"/>
                <w:color w:val="auto"/>
                <w:sz w:val="20"/>
                <w:szCs w:val="20"/>
                <w:lang w:eastAsia="en-GB"/>
              </w:rPr>
              <w:t>3.4</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2C155D" w:rsidRDefault="002C155D" w:rsidP="00401395">
            <w:pPr>
              <w:widowControl w:val="0"/>
              <w:spacing w:after="0" w:line="240" w:lineRule="auto"/>
              <w:jc w:val="center"/>
              <w:rPr>
                <w:rFonts w:cs="Arial"/>
                <w:b/>
                <w:color w:val="auto"/>
                <w:sz w:val="20"/>
                <w:szCs w:val="20"/>
                <w:lang w:eastAsia="en-GB"/>
              </w:rPr>
            </w:pPr>
            <w:r w:rsidRPr="002C155D">
              <w:rPr>
                <w:rFonts w:cs="Arial"/>
                <w:b/>
                <w:color w:val="auto"/>
                <w:sz w:val="20"/>
                <w:szCs w:val="20"/>
                <w:lang w:eastAsia="en-GB"/>
              </w:rPr>
              <w:t>3.6</w:t>
            </w:r>
          </w:p>
        </w:tc>
      </w:tr>
      <w:tr w:rsidR="008474BB" w:rsidRPr="0005794A" w:rsidTr="003355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8474BB" w:rsidRDefault="008474BB" w:rsidP="00CC78F2">
            <w:pPr>
              <w:pStyle w:val="BodyTextIndent"/>
              <w:ind w:left="0"/>
              <w:rPr>
                <w:b w:val="0"/>
                <w:color w:val="auto"/>
                <w:sz w:val="20"/>
                <w:szCs w:val="20"/>
              </w:rPr>
            </w:pPr>
            <w:r w:rsidRPr="008474BB">
              <w:rPr>
                <w:b w:val="0"/>
                <w:color w:val="auto"/>
                <w:sz w:val="20"/>
                <w:szCs w:val="20"/>
              </w:rPr>
              <w:t>to support Capital expenditure</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8474BB" w:rsidRDefault="008474BB" w:rsidP="00C052A4">
            <w:pPr>
              <w:widowControl w:val="0"/>
              <w:spacing w:after="0" w:line="240" w:lineRule="auto"/>
              <w:jc w:val="center"/>
              <w:rPr>
                <w:rFonts w:cs="Arial"/>
                <w:b/>
                <w:color w:val="auto"/>
                <w:sz w:val="20"/>
                <w:szCs w:val="20"/>
                <w:lang w:eastAsia="en-GB"/>
              </w:rPr>
            </w:pPr>
            <w:r w:rsidRPr="008474BB">
              <w:rPr>
                <w:rFonts w:cs="Arial"/>
                <w:b/>
                <w:color w:val="auto"/>
                <w:sz w:val="20"/>
                <w:szCs w:val="20"/>
                <w:lang w:eastAsia="en-GB"/>
              </w:rPr>
              <w:t>1.7</w:t>
            </w:r>
          </w:p>
        </w:tc>
        <w:tc>
          <w:tcPr>
            <w:tcW w:w="992" w:type="dxa"/>
            <w:noWrap/>
            <w:vAlign w:val="center"/>
          </w:tcPr>
          <w:p w:rsidR="008474BB" w:rsidRPr="008474BB" w:rsidRDefault="008474BB"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8474BB">
              <w:rPr>
                <w:rFonts w:cs="Arial"/>
                <w:color w:val="auto"/>
                <w:sz w:val="20"/>
                <w:szCs w:val="20"/>
                <w:lang w:eastAsia="en-GB"/>
              </w:rPr>
              <w:t>(0.1)</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8474BB" w:rsidRDefault="008474BB" w:rsidP="00C052A4">
            <w:pPr>
              <w:widowControl w:val="0"/>
              <w:spacing w:after="0" w:line="240" w:lineRule="auto"/>
              <w:jc w:val="center"/>
              <w:rPr>
                <w:rFonts w:cs="Arial"/>
                <w:color w:val="auto"/>
                <w:sz w:val="20"/>
                <w:szCs w:val="20"/>
                <w:lang w:eastAsia="en-GB"/>
              </w:rPr>
            </w:pPr>
            <w:r w:rsidRPr="008474BB">
              <w:rPr>
                <w:rFonts w:cs="Arial"/>
                <w:color w:val="auto"/>
                <w:sz w:val="20"/>
                <w:szCs w:val="20"/>
                <w:lang w:eastAsia="en-GB"/>
              </w:rPr>
              <w:t>0.5</w:t>
            </w:r>
          </w:p>
        </w:tc>
        <w:tc>
          <w:tcPr>
            <w:tcW w:w="1134" w:type="dxa"/>
            <w:vAlign w:val="center"/>
          </w:tcPr>
          <w:p w:rsidR="008474BB" w:rsidRPr="008474BB" w:rsidRDefault="008474BB"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474BB">
              <w:rPr>
                <w:rFonts w:cs="Arial"/>
                <w:b/>
                <w:color w:val="auto"/>
                <w:sz w:val="20"/>
                <w:szCs w:val="20"/>
                <w:lang w:eastAsia="en-GB"/>
              </w:rPr>
              <w:t>2.1</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F26C2B" w:rsidRDefault="00F26C2B" w:rsidP="00CC78F2">
            <w:pPr>
              <w:widowControl w:val="0"/>
              <w:spacing w:after="0" w:line="240" w:lineRule="auto"/>
              <w:jc w:val="center"/>
              <w:rPr>
                <w:rFonts w:cs="Arial"/>
                <w:color w:val="auto"/>
                <w:sz w:val="20"/>
                <w:szCs w:val="20"/>
                <w:lang w:eastAsia="en-GB"/>
              </w:rPr>
            </w:pPr>
            <w:r w:rsidRPr="00F26C2B">
              <w:rPr>
                <w:rFonts w:cs="Arial"/>
                <w:color w:val="auto"/>
                <w:sz w:val="20"/>
                <w:szCs w:val="20"/>
                <w:lang w:eastAsia="en-GB"/>
              </w:rPr>
              <w:t>(0.2)</w:t>
            </w:r>
          </w:p>
        </w:tc>
        <w:tc>
          <w:tcPr>
            <w:tcW w:w="992" w:type="dxa"/>
            <w:vAlign w:val="center"/>
          </w:tcPr>
          <w:p w:rsidR="008474BB" w:rsidRPr="00F26C2B" w:rsidRDefault="00F26C2B" w:rsidP="00CC78F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F26C2B">
              <w:rPr>
                <w:rFonts w:cs="Arial"/>
                <w:color w:val="auto"/>
                <w:sz w:val="20"/>
                <w:szCs w:val="20"/>
                <w:lang w:eastAsia="en-GB"/>
              </w:rPr>
              <w:t>1.0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2C155D" w:rsidRDefault="002C155D" w:rsidP="00CC78F2">
            <w:pPr>
              <w:widowControl w:val="0"/>
              <w:spacing w:after="0" w:line="240" w:lineRule="auto"/>
              <w:jc w:val="center"/>
              <w:rPr>
                <w:rFonts w:cs="Arial"/>
                <w:b/>
                <w:color w:val="auto"/>
                <w:sz w:val="20"/>
                <w:szCs w:val="20"/>
                <w:lang w:eastAsia="en-GB"/>
              </w:rPr>
            </w:pPr>
            <w:r w:rsidRPr="002C155D">
              <w:rPr>
                <w:rFonts w:cs="Arial"/>
                <w:b/>
                <w:color w:val="auto"/>
                <w:sz w:val="20"/>
                <w:szCs w:val="20"/>
                <w:lang w:eastAsia="en-GB"/>
              </w:rPr>
              <w:t>2.9</w:t>
            </w:r>
          </w:p>
        </w:tc>
      </w:tr>
      <w:tr w:rsidR="008474BB" w:rsidRPr="0005794A" w:rsidTr="00335596">
        <w:trPr>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8474BB" w:rsidRDefault="008474BB" w:rsidP="00CC78F2">
            <w:pPr>
              <w:pStyle w:val="BodyTextIndent"/>
              <w:ind w:left="0"/>
              <w:rPr>
                <w:b w:val="0"/>
                <w:color w:val="auto"/>
                <w:sz w:val="20"/>
                <w:szCs w:val="20"/>
              </w:rPr>
            </w:pPr>
            <w:r w:rsidRPr="008474BB">
              <w:rPr>
                <w:b w:val="0"/>
                <w:color w:val="auto"/>
                <w:sz w:val="20"/>
                <w:szCs w:val="20"/>
              </w:rPr>
              <w:t>School Related Reserves</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8474BB" w:rsidRDefault="008474BB" w:rsidP="00C052A4">
            <w:pPr>
              <w:widowControl w:val="0"/>
              <w:spacing w:after="0" w:line="240" w:lineRule="auto"/>
              <w:jc w:val="center"/>
              <w:rPr>
                <w:rFonts w:cs="Arial"/>
                <w:b/>
                <w:color w:val="auto"/>
                <w:sz w:val="20"/>
                <w:szCs w:val="20"/>
                <w:lang w:eastAsia="en-GB"/>
              </w:rPr>
            </w:pPr>
            <w:r w:rsidRPr="008474BB">
              <w:rPr>
                <w:rFonts w:cs="Arial"/>
                <w:b/>
                <w:color w:val="auto"/>
                <w:sz w:val="20"/>
                <w:szCs w:val="20"/>
                <w:lang w:eastAsia="en-GB"/>
              </w:rPr>
              <w:t>0.5</w:t>
            </w:r>
          </w:p>
        </w:tc>
        <w:tc>
          <w:tcPr>
            <w:tcW w:w="992" w:type="dxa"/>
            <w:noWrap/>
            <w:vAlign w:val="center"/>
          </w:tcPr>
          <w:p w:rsidR="008474BB" w:rsidRPr="008474BB" w:rsidRDefault="008474BB"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8474BB">
              <w:rPr>
                <w:rFonts w:cs="Arial"/>
                <w:color w:val="auto"/>
                <w:sz w:val="20"/>
                <w:szCs w:val="20"/>
                <w:lang w:eastAsia="en-GB"/>
              </w:rPr>
              <w:t>(0.3)</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8474BB" w:rsidRDefault="008474BB" w:rsidP="00C052A4">
            <w:pPr>
              <w:widowControl w:val="0"/>
              <w:spacing w:after="0" w:line="240" w:lineRule="auto"/>
              <w:jc w:val="center"/>
              <w:rPr>
                <w:rFonts w:cs="Arial"/>
                <w:color w:val="auto"/>
                <w:sz w:val="20"/>
                <w:szCs w:val="20"/>
                <w:lang w:eastAsia="en-GB"/>
              </w:rPr>
            </w:pPr>
            <w:r w:rsidRPr="008474BB">
              <w:rPr>
                <w:rFonts w:cs="Arial"/>
                <w:color w:val="auto"/>
                <w:sz w:val="20"/>
                <w:szCs w:val="20"/>
                <w:lang w:eastAsia="en-GB"/>
              </w:rPr>
              <w:t>0</w:t>
            </w:r>
          </w:p>
        </w:tc>
        <w:tc>
          <w:tcPr>
            <w:tcW w:w="1134" w:type="dxa"/>
            <w:vAlign w:val="center"/>
          </w:tcPr>
          <w:p w:rsidR="008474BB" w:rsidRPr="008474BB" w:rsidRDefault="008474BB"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474BB">
              <w:rPr>
                <w:rFonts w:cs="Arial"/>
                <w:b/>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F26C2B" w:rsidRDefault="002C155D" w:rsidP="00CC78F2">
            <w:pPr>
              <w:widowControl w:val="0"/>
              <w:spacing w:after="0" w:line="240" w:lineRule="auto"/>
              <w:jc w:val="center"/>
              <w:rPr>
                <w:rFonts w:cs="Arial"/>
                <w:color w:val="auto"/>
                <w:sz w:val="20"/>
                <w:szCs w:val="20"/>
                <w:lang w:eastAsia="en-GB"/>
              </w:rPr>
            </w:pPr>
            <w:r w:rsidRPr="00F26C2B">
              <w:rPr>
                <w:rFonts w:cs="Arial"/>
                <w:color w:val="auto"/>
                <w:sz w:val="20"/>
                <w:szCs w:val="20"/>
                <w:lang w:eastAsia="en-GB"/>
              </w:rPr>
              <w:t>0</w:t>
            </w:r>
          </w:p>
        </w:tc>
        <w:tc>
          <w:tcPr>
            <w:tcW w:w="992" w:type="dxa"/>
            <w:vAlign w:val="center"/>
          </w:tcPr>
          <w:p w:rsidR="008474BB" w:rsidRPr="00F26C2B" w:rsidRDefault="002C155D" w:rsidP="00CC78F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F26C2B">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2C155D" w:rsidRDefault="002C155D" w:rsidP="00CC78F2">
            <w:pPr>
              <w:widowControl w:val="0"/>
              <w:spacing w:after="0" w:line="240" w:lineRule="auto"/>
              <w:jc w:val="center"/>
              <w:rPr>
                <w:rFonts w:cs="Arial"/>
                <w:b/>
                <w:color w:val="auto"/>
                <w:sz w:val="20"/>
                <w:szCs w:val="20"/>
                <w:lang w:eastAsia="en-GB"/>
              </w:rPr>
            </w:pPr>
            <w:r w:rsidRPr="002C155D">
              <w:rPr>
                <w:rFonts w:cs="Arial"/>
                <w:b/>
                <w:color w:val="auto"/>
                <w:sz w:val="20"/>
                <w:szCs w:val="20"/>
                <w:lang w:eastAsia="en-GB"/>
              </w:rPr>
              <w:t>0.2</w:t>
            </w:r>
          </w:p>
        </w:tc>
      </w:tr>
      <w:tr w:rsidR="008474BB" w:rsidRPr="0005794A" w:rsidTr="003355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8474BB" w:rsidRDefault="008474BB" w:rsidP="00CC78F2">
            <w:pPr>
              <w:widowControl w:val="0"/>
              <w:spacing w:after="0" w:line="240" w:lineRule="auto"/>
              <w:rPr>
                <w:rFonts w:cs="Arial"/>
                <w:b w:val="0"/>
                <w:color w:val="auto"/>
                <w:sz w:val="20"/>
                <w:szCs w:val="20"/>
                <w:lang w:eastAsia="en-GB"/>
              </w:rPr>
            </w:pPr>
            <w:r w:rsidRPr="008474BB">
              <w:rPr>
                <w:rFonts w:cs="Arial"/>
                <w:b w:val="0"/>
                <w:color w:val="auto"/>
                <w:sz w:val="20"/>
                <w:szCs w:val="20"/>
                <w:lang w:eastAsia="en-GB"/>
              </w:rPr>
              <w:t>Schools’ Balances (held under a delegation scheme)</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8474BB" w:rsidRDefault="008474BB" w:rsidP="00C052A4">
            <w:pPr>
              <w:widowControl w:val="0"/>
              <w:spacing w:after="0" w:line="240" w:lineRule="auto"/>
              <w:jc w:val="center"/>
              <w:rPr>
                <w:rFonts w:cs="Arial"/>
                <w:b/>
                <w:color w:val="auto"/>
                <w:sz w:val="20"/>
                <w:szCs w:val="20"/>
                <w:lang w:eastAsia="en-GB"/>
              </w:rPr>
            </w:pPr>
            <w:r w:rsidRPr="008474BB">
              <w:rPr>
                <w:rFonts w:cs="Arial"/>
                <w:b/>
                <w:color w:val="auto"/>
                <w:sz w:val="20"/>
                <w:szCs w:val="20"/>
                <w:lang w:eastAsia="en-GB"/>
              </w:rPr>
              <w:t>2.4</w:t>
            </w:r>
          </w:p>
        </w:tc>
        <w:tc>
          <w:tcPr>
            <w:tcW w:w="992" w:type="dxa"/>
            <w:noWrap/>
            <w:vAlign w:val="center"/>
          </w:tcPr>
          <w:p w:rsidR="008474BB" w:rsidRPr="008474BB" w:rsidRDefault="008474BB"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8474BB">
              <w:rPr>
                <w:rFonts w:cs="Arial"/>
                <w:color w:val="auto"/>
                <w:sz w:val="20"/>
                <w:szCs w:val="20"/>
                <w:lang w:eastAsia="en-GB"/>
              </w:rPr>
              <w:t>(2.4)</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8474BB" w:rsidRDefault="008474BB" w:rsidP="00C052A4">
            <w:pPr>
              <w:widowControl w:val="0"/>
              <w:spacing w:after="0" w:line="240" w:lineRule="auto"/>
              <w:jc w:val="center"/>
              <w:rPr>
                <w:rFonts w:cs="Arial"/>
                <w:color w:val="auto"/>
                <w:sz w:val="20"/>
                <w:szCs w:val="20"/>
                <w:lang w:eastAsia="en-GB"/>
              </w:rPr>
            </w:pPr>
            <w:r w:rsidRPr="008474BB">
              <w:rPr>
                <w:rFonts w:cs="Arial"/>
                <w:color w:val="auto"/>
                <w:sz w:val="20"/>
                <w:szCs w:val="20"/>
                <w:lang w:eastAsia="en-GB"/>
              </w:rPr>
              <w:t>1.9</w:t>
            </w:r>
          </w:p>
        </w:tc>
        <w:tc>
          <w:tcPr>
            <w:tcW w:w="1134" w:type="dxa"/>
            <w:vAlign w:val="center"/>
          </w:tcPr>
          <w:p w:rsidR="008474BB" w:rsidRPr="008474BB" w:rsidRDefault="008474BB"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474BB">
              <w:rPr>
                <w:rFonts w:cs="Arial"/>
                <w:b/>
                <w:color w:val="auto"/>
                <w:sz w:val="20"/>
                <w:szCs w:val="20"/>
                <w:lang w:eastAsia="en-GB"/>
              </w:rPr>
              <w:t>1.9</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F26C2B" w:rsidRDefault="002C155D" w:rsidP="00CC78F2">
            <w:pPr>
              <w:widowControl w:val="0"/>
              <w:spacing w:after="0" w:line="240" w:lineRule="auto"/>
              <w:jc w:val="center"/>
              <w:rPr>
                <w:rFonts w:cs="Arial"/>
                <w:color w:val="auto"/>
                <w:sz w:val="20"/>
                <w:szCs w:val="20"/>
                <w:lang w:eastAsia="en-GB"/>
              </w:rPr>
            </w:pPr>
            <w:r w:rsidRPr="00F26C2B">
              <w:rPr>
                <w:rFonts w:cs="Arial"/>
                <w:color w:val="auto"/>
                <w:sz w:val="20"/>
                <w:szCs w:val="20"/>
                <w:lang w:eastAsia="en-GB"/>
              </w:rPr>
              <w:t>(1.9)</w:t>
            </w:r>
          </w:p>
        </w:tc>
        <w:tc>
          <w:tcPr>
            <w:tcW w:w="992" w:type="dxa"/>
            <w:vAlign w:val="center"/>
          </w:tcPr>
          <w:p w:rsidR="008474BB" w:rsidRPr="00F26C2B" w:rsidRDefault="002C155D" w:rsidP="00CC78F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F26C2B">
              <w:rPr>
                <w:rFonts w:cs="Arial"/>
                <w:color w:val="auto"/>
                <w:sz w:val="20"/>
                <w:szCs w:val="20"/>
                <w:lang w:eastAsia="en-GB"/>
              </w:rPr>
              <w:t>0.8</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2C155D" w:rsidRDefault="00C111D0" w:rsidP="00CC78F2">
            <w:pPr>
              <w:widowControl w:val="0"/>
              <w:spacing w:after="0" w:line="240" w:lineRule="auto"/>
              <w:jc w:val="center"/>
              <w:rPr>
                <w:rFonts w:cs="Arial"/>
                <w:b/>
                <w:color w:val="auto"/>
                <w:sz w:val="20"/>
                <w:szCs w:val="20"/>
                <w:lang w:eastAsia="en-GB"/>
              </w:rPr>
            </w:pPr>
            <w:r w:rsidRPr="002C155D">
              <w:rPr>
                <w:rFonts w:cs="Arial"/>
                <w:b/>
                <w:color w:val="auto"/>
                <w:sz w:val="20"/>
                <w:szCs w:val="20"/>
                <w:lang w:eastAsia="en-GB"/>
              </w:rPr>
              <w:t>0.8</w:t>
            </w:r>
          </w:p>
        </w:tc>
      </w:tr>
      <w:tr w:rsidR="008474BB" w:rsidRPr="0005794A" w:rsidTr="00335596">
        <w:trPr>
          <w:trHeight w:val="630"/>
        </w:trPr>
        <w:tc>
          <w:tcPr>
            <w:cnfStyle w:val="001000000000" w:firstRow="0" w:lastRow="0" w:firstColumn="1" w:lastColumn="0" w:oddVBand="0" w:evenVBand="0" w:oddHBand="0" w:evenHBand="0" w:firstRowFirstColumn="0" w:firstRowLastColumn="0" w:lastRowFirstColumn="0" w:lastRowLastColumn="0"/>
            <w:tcW w:w="1701" w:type="dxa"/>
            <w:gridSpan w:val="2"/>
            <w:noWrap/>
            <w:vAlign w:val="center"/>
          </w:tcPr>
          <w:p w:rsidR="008474BB" w:rsidRPr="008474BB" w:rsidRDefault="008474BB" w:rsidP="00AE29C3">
            <w:pPr>
              <w:pStyle w:val="BodyTextIndent"/>
              <w:ind w:left="0"/>
              <w:rPr>
                <w:b w:val="0"/>
                <w:color w:val="auto"/>
                <w:sz w:val="20"/>
                <w:szCs w:val="20"/>
              </w:rPr>
            </w:pPr>
            <w:r w:rsidRPr="008474BB">
              <w:rPr>
                <w:b w:val="0"/>
                <w:color w:val="auto"/>
                <w:sz w:val="20"/>
                <w:szCs w:val="20"/>
              </w:rPr>
              <w:t xml:space="preserve">Ring Fenced </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8474BB" w:rsidRDefault="008474BB" w:rsidP="00C052A4">
            <w:pPr>
              <w:widowControl w:val="0"/>
              <w:spacing w:after="0" w:line="240" w:lineRule="auto"/>
              <w:jc w:val="center"/>
              <w:rPr>
                <w:rFonts w:cs="Arial"/>
                <w:b/>
                <w:color w:val="auto"/>
                <w:sz w:val="20"/>
                <w:szCs w:val="20"/>
                <w:lang w:eastAsia="en-GB"/>
              </w:rPr>
            </w:pPr>
            <w:r w:rsidRPr="008474BB">
              <w:rPr>
                <w:rFonts w:cs="Arial"/>
                <w:b/>
                <w:color w:val="auto"/>
                <w:sz w:val="20"/>
                <w:szCs w:val="20"/>
                <w:lang w:eastAsia="en-GB"/>
              </w:rPr>
              <w:t>4.8</w:t>
            </w:r>
          </w:p>
        </w:tc>
        <w:tc>
          <w:tcPr>
            <w:tcW w:w="992" w:type="dxa"/>
            <w:noWrap/>
            <w:vAlign w:val="center"/>
          </w:tcPr>
          <w:p w:rsidR="008474BB" w:rsidRPr="008474BB" w:rsidRDefault="008474BB"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8474BB">
              <w:rPr>
                <w:rFonts w:cs="Arial"/>
                <w:color w:val="auto"/>
                <w:sz w:val="20"/>
                <w:szCs w:val="20"/>
                <w:lang w:eastAsia="en-GB"/>
              </w:rPr>
              <w:t>(0.2)</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8474BB" w:rsidRDefault="008474BB" w:rsidP="00C052A4">
            <w:pPr>
              <w:widowControl w:val="0"/>
              <w:spacing w:after="0" w:line="240" w:lineRule="auto"/>
              <w:jc w:val="center"/>
              <w:rPr>
                <w:rFonts w:cs="Arial"/>
                <w:color w:val="auto"/>
                <w:sz w:val="20"/>
                <w:szCs w:val="20"/>
                <w:lang w:eastAsia="en-GB"/>
              </w:rPr>
            </w:pPr>
            <w:r w:rsidRPr="008474BB">
              <w:rPr>
                <w:rFonts w:cs="Arial"/>
                <w:color w:val="auto"/>
                <w:sz w:val="20"/>
                <w:szCs w:val="20"/>
                <w:lang w:eastAsia="en-GB"/>
              </w:rPr>
              <w:t>0</w:t>
            </w:r>
          </w:p>
        </w:tc>
        <w:tc>
          <w:tcPr>
            <w:tcW w:w="1134" w:type="dxa"/>
            <w:vAlign w:val="center"/>
          </w:tcPr>
          <w:p w:rsidR="008474BB" w:rsidRPr="008474BB" w:rsidRDefault="008474BB" w:rsidP="00C052A4">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474BB">
              <w:rPr>
                <w:rFonts w:cs="Arial"/>
                <w:b/>
                <w:color w:val="auto"/>
                <w:sz w:val="20"/>
                <w:szCs w:val="20"/>
                <w:lang w:eastAsia="en-GB"/>
              </w:rPr>
              <w:t>4.6</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F26C2B" w:rsidRDefault="00F26C2B" w:rsidP="00CC78F2">
            <w:pPr>
              <w:widowControl w:val="0"/>
              <w:spacing w:after="0" w:line="240" w:lineRule="auto"/>
              <w:jc w:val="center"/>
              <w:rPr>
                <w:rFonts w:cs="Arial"/>
                <w:color w:val="auto"/>
                <w:sz w:val="20"/>
                <w:szCs w:val="20"/>
                <w:lang w:eastAsia="en-GB"/>
              </w:rPr>
            </w:pPr>
            <w:r w:rsidRPr="00F26C2B">
              <w:rPr>
                <w:rFonts w:cs="Arial"/>
                <w:color w:val="auto"/>
                <w:sz w:val="20"/>
                <w:szCs w:val="20"/>
                <w:lang w:eastAsia="en-GB"/>
              </w:rPr>
              <w:t>(1.5)</w:t>
            </w:r>
          </w:p>
        </w:tc>
        <w:tc>
          <w:tcPr>
            <w:tcW w:w="992" w:type="dxa"/>
            <w:vAlign w:val="center"/>
          </w:tcPr>
          <w:p w:rsidR="008474BB" w:rsidRPr="00F26C2B" w:rsidRDefault="00F26C2B" w:rsidP="00322BF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F26C2B">
              <w:rPr>
                <w:rFonts w:cs="Arial"/>
                <w:color w:val="auto"/>
                <w:sz w:val="20"/>
                <w:szCs w:val="20"/>
                <w:lang w:eastAsia="en-GB"/>
              </w:rPr>
              <w:t>1.7</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2C155D" w:rsidRDefault="002C155D" w:rsidP="00401395">
            <w:pPr>
              <w:widowControl w:val="0"/>
              <w:spacing w:after="0" w:line="240" w:lineRule="auto"/>
              <w:jc w:val="center"/>
              <w:rPr>
                <w:rFonts w:cs="Arial"/>
                <w:b/>
                <w:color w:val="auto"/>
                <w:sz w:val="20"/>
                <w:szCs w:val="20"/>
                <w:lang w:eastAsia="en-GB"/>
              </w:rPr>
            </w:pPr>
            <w:r w:rsidRPr="002C155D">
              <w:rPr>
                <w:rFonts w:cs="Arial"/>
                <w:b/>
                <w:color w:val="auto"/>
                <w:sz w:val="20"/>
                <w:szCs w:val="20"/>
                <w:lang w:eastAsia="en-GB"/>
              </w:rPr>
              <w:t>4.8</w:t>
            </w:r>
          </w:p>
        </w:tc>
      </w:tr>
      <w:tr w:rsidR="008474BB" w:rsidRPr="0005794A" w:rsidTr="003355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01" w:type="dxa"/>
            <w:gridSpan w:val="2"/>
            <w:noWrap/>
            <w:vAlign w:val="bottom"/>
          </w:tcPr>
          <w:p w:rsidR="008474BB" w:rsidRPr="008474BB" w:rsidRDefault="008474BB" w:rsidP="00CC78F2">
            <w:pPr>
              <w:rPr>
                <w:b w:val="0"/>
                <w:color w:val="auto"/>
                <w:sz w:val="20"/>
                <w:szCs w:val="20"/>
              </w:rPr>
            </w:pPr>
            <w:r w:rsidRPr="008474BB">
              <w:rPr>
                <w:b w:val="0"/>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993" w:type="dxa"/>
            <w:noWrap/>
            <w:vAlign w:val="center"/>
          </w:tcPr>
          <w:p w:rsidR="008474BB" w:rsidRPr="008474BB" w:rsidRDefault="008474BB" w:rsidP="00C052A4">
            <w:pPr>
              <w:widowControl w:val="0"/>
              <w:spacing w:after="0" w:line="240" w:lineRule="auto"/>
              <w:jc w:val="center"/>
              <w:rPr>
                <w:rFonts w:cs="Arial"/>
                <w:b/>
                <w:color w:val="auto"/>
                <w:sz w:val="20"/>
                <w:szCs w:val="20"/>
                <w:lang w:eastAsia="en-GB"/>
              </w:rPr>
            </w:pPr>
            <w:r w:rsidRPr="008474BB">
              <w:rPr>
                <w:rFonts w:cs="Arial"/>
                <w:b/>
                <w:color w:val="auto"/>
                <w:sz w:val="20"/>
                <w:szCs w:val="20"/>
                <w:lang w:eastAsia="en-GB"/>
              </w:rPr>
              <w:t>25.3</w:t>
            </w:r>
          </w:p>
        </w:tc>
        <w:tc>
          <w:tcPr>
            <w:tcW w:w="992" w:type="dxa"/>
            <w:noWrap/>
            <w:vAlign w:val="center"/>
          </w:tcPr>
          <w:p w:rsidR="008474BB" w:rsidRPr="008474BB" w:rsidRDefault="008474BB"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8474BB">
              <w:rPr>
                <w:rFonts w:cs="Arial"/>
                <w:color w:val="auto"/>
                <w:sz w:val="20"/>
                <w:szCs w:val="20"/>
                <w:lang w:eastAsia="en-GB"/>
              </w:rPr>
              <w:t>(11.5)</w:t>
            </w:r>
          </w:p>
        </w:tc>
        <w:tc>
          <w:tcPr>
            <w:cnfStyle w:val="000010000000" w:firstRow="0" w:lastRow="0" w:firstColumn="0" w:lastColumn="0" w:oddVBand="1" w:evenVBand="0" w:oddHBand="0" w:evenHBand="0" w:firstRowFirstColumn="0" w:firstRowLastColumn="0" w:lastRowFirstColumn="0" w:lastRowLastColumn="0"/>
            <w:tcW w:w="1134" w:type="dxa"/>
            <w:noWrap/>
            <w:vAlign w:val="center"/>
          </w:tcPr>
          <w:p w:rsidR="008474BB" w:rsidRPr="008474BB" w:rsidRDefault="008474BB" w:rsidP="00C052A4">
            <w:pPr>
              <w:widowControl w:val="0"/>
              <w:spacing w:after="0" w:line="240" w:lineRule="auto"/>
              <w:jc w:val="center"/>
              <w:rPr>
                <w:rFonts w:cs="Arial"/>
                <w:color w:val="auto"/>
                <w:sz w:val="20"/>
                <w:szCs w:val="20"/>
                <w:lang w:eastAsia="en-GB"/>
              </w:rPr>
            </w:pPr>
            <w:r w:rsidRPr="008474BB">
              <w:rPr>
                <w:rFonts w:cs="Arial"/>
                <w:color w:val="auto"/>
                <w:sz w:val="20"/>
                <w:szCs w:val="20"/>
                <w:lang w:eastAsia="en-GB"/>
              </w:rPr>
              <w:t>9.2</w:t>
            </w:r>
          </w:p>
        </w:tc>
        <w:tc>
          <w:tcPr>
            <w:tcW w:w="1134" w:type="dxa"/>
            <w:vAlign w:val="center"/>
          </w:tcPr>
          <w:p w:rsidR="008474BB" w:rsidRPr="008474BB" w:rsidRDefault="008474BB" w:rsidP="00C052A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474BB">
              <w:rPr>
                <w:rFonts w:cs="Arial"/>
                <w:b/>
                <w:color w:val="auto"/>
                <w:sz w:val="20"/>
                <w:szCs w:val="20"/>
                <w:lang w:eastAsia="en-GB"/>
              </w:rPr>
              <w:t>23.0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F26C2B" w:rsidRDefault="00F26C2B" w:rsidP="00CC78F2">
            <w:pPr>
              <w:widowControl w:val="0"/>
              <w:spacing w:after="0" w:line="240" w:lineRule="auto"/>
              <w:jc w:val="center"/>
              <w:rPr>
                <w:rFonts w:cs="Arial"/>
                <w:color w:val="auto"/>
                <w:sz w:val="20"/>
                <w:szCs w:val="20"/>
                <w:lang w:eastAsia="en-GB"/>
              </w:rPr>
            </w:pPr>
            <w:r w:rsidRPr="00F26C2B">
              <w:rPr>
                <w:rFonts w:cs="Arial"/>
                <w:color w:val="auto"/>
                <w:sz w:val="20"/>
                <w:szCs w:val="20"/>
                <w:lang w:eastAsia="en-GB"/>
              </w:rPr>
              <w:t>(10.1)</w:t>
            </w:r>
          </w:p>
        </w:tc>
        <w:tc>
          <w:tcPr>
            <w:tcW w:w="992" w:type="dxa"/>
            <w:vAlign w:val="center"/>
          </w:tcPr>
          <w:p w:rsidR="008474BB" w:rsidRPr="00F26C2B" w:rsidRDefault="00F26C2B" w:rsidP="00CC78F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F26C2B">
              <w:rPr>
                <w:rFonts w:cs="Arial"/>
                <w:color w:val="auto"/>
                <w:sz w:val="20"/>
                <w:szCs w:val="20"/>
                <w:lang w:eastAsia="en-GB"/>
              </w:rPr>
              <w:t>12.2</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8474BB" w:rsidRPr="002C155D" w:rsidRDefault="00C111D0" w:rsidP="002C155D">
            <w:pPr>
              <w:widowControl w:val="0"/>
              <w:spacing w:after="0" w:line="240" w:lineRule="auto"/>
              <w:jc w:val="center"/>
              <w:rPr>
                <w:rFonts w:cs="Arial"/>
                <w:b/>
                <w:color w:val="auto"/>
                <w:sz w:val="20"/>
                <w:szCs w:val="20"/>
                <w:lang w:eastAsia="en-GB"/>
              </w:rPr>
            </w:pPr>
            <w:r w:rsidRPr="002C155D">
              <w:rPr>
                <w:rFonts w:cs="Arial"/>
                <w:b/>
                <w:color w:val="auto"/>
                <w:sz w:val="20"/>
                <w:szCs w:val="20"/>
                <w:lang w:eastAsia="en-GB"/>
              </w:rPr>
              <w:t>2</w:t>
            </w:r>
            <w:r w:rsidR="002C155D" w:rsidRPr="002C155D">
              <w:rPr>
                <w:rFonts w:cs="Arial"/>
                <w:b/>
                <w:color w:val="auto"/>
                <w:sz w:val="20"/>
                <w:szCs w:val="20"/>
                <w:lang w:eastAsia="en-GB"/>
              </w:rPr>
              <w:t>5.1</w:t>
            </w:r>
          </w:p>
        </w:tc>
      </w:tr>
    </w:tbl>
    <w:p w:rsidR="005B3D95" w:rsidRPr="0005794A" w:rsidRDefault="005B3D95" w:rsidP="006E4B56">
      <w:pPr>
        <w:pStyle w:val="BodyTextIndent"/>
        <w:ind w:left="0"/>
        <w:rPr>
          <w:color w:val="548DD4" w:themeColor="text2" w:themeTint="99"/>
          <w:sz w:val="20"/>
          <w:szCs w:val="20"/>
        </w:rPr>
      </w:pPr>
    </w:p>
    <w:p w:rsidR="00C52520" w:rsidRPr="0005794A" w:rsidRDefault="00974DAF" w:rsidP="005B3D95">
      <w:pPr>
        <w:pStyle w:val="Subtitle"/>
        <w:ind w:left="567" w:hanging="567"/>
        <w:rPr>
          <w:b/>
          <w:color w:val="548DD4" w:themeColor="text2" w:themeTint="99"/>
          <w:sz w:val="22"/>
          <w:szCs w:val="22"/>
        </w:rPr>
      </w:pPr>
      <w:r w:rsidRPr="00315264">
        <w:rPr>
          <w:b/>
          <w:color w:val="auto"/>
          <w:sz w:val="22"/>
          <w:szCs w:val="22"/>
        </w:rPr>
        <w:t>11</w:t>
      </w:r>
      <w:r w:rsidRPr="0005794A">
        <w:rPr>
          <w:b/>
          <w:color w:val="548DD4" w:themeColor="text2" w:themeTint="99"/>
          <w:sz w:val="22"/>
          <w:szCs w:val="22"/>
        </w:rPr>
        <w:t>.</w:t>
      </w:r>
      <w:r w:rsidR="00E51139" w:rsidRPr="0005794A">
        <w:rPr>
          <w:b/>
          <w:color w:val="548DD4" w:themeColor="text2" w:themeTint="99"/>
          <w:sz w:val="22"/>
          <w:szCs w:val="22"/>
        </w:rPr>
        <w:tab/>
      </w:r>
      <w:r w:rsidR="00E51139" w:rsidRPr="008474BB">
        <w:rPr>
          <w:b/>
          <w:color w:val="auto"/>
          <w:sz w:val="22"/>
          <w:szCs w:val="22"/>
        </w:rPr>
        <w:t>Financing and Investment Income and Expenditure</w:t>
      </w:r>
    </w:p>
    <w:tbl>
      <w:tblPr>
        <w:tblStyle w:val="ListTable3-Accent51"/>
        <w:tblpPr w:leftFromText="180" w:rightFromText="180" w:vertAnchor="text" w:tblpX="642" w:tblpY="268"/>
        <w:tblW w:w="9230" w:type="dxa"/>
        <w:tblLook w:val="00A0" w:firstRow="1" w:lastRow="0" w:firstColumn="1" w:lastColumn="0" w:noHBand="0" w:noVBand="0"/>
      </w:tblPr>
      <w:tblGrid>
        <w:gridCol w:w="1318"/>
        <w:gridCol w:w="6593"/>
        <w:gridCol w:w="1319"/>
      </w:tblGrid>
      <w:tr w:rsidR="00721500" w:rsidRPr="0005794A" w:rsidTr="00335596">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1318" w:type="dxa"/>
          </w:tcPr>
          <w:p w:rsidR="00721500" w:rsidRPr="008474BB" w:rsidRDefault="00721500" w:rsidP="005B3D95">
            <w:pPr>
              <w:pStyle w:val="ExampleSub"/>
              <w:keepNext w:val="0"/>
              <w:keepLines w:val="0"/>
              <w:spacing w:line="240" w:lineRule="auto"/>
              <w:ind w:left="0"/>
              <w:jc w:val="center"/>
              <w:rPr>
                <w:rFonts w:ascii="Arial" w:hAnsi="Arial" w:cs="Arial"/>
                <w:color w:val="auto"/>
                <w:sz w:val="18"/>
                <w:szCs w:val="18"/>
              </w:rPr>
            </w:pPr>
            <w:r w:rsidRPr="008474BB">
              <w:rPr>
                <w:rFonts w:ascii="Arial" w:hAnsi="Arial" w:cs="Arial"/>
                <w:color w:val="auto"/>
                <w:sz w:val="18"/>
                <w:szCs w:val="18"/>
              </w:rPr>
              <w:t>201</w:t>
            </w:r>
            <w:r w:rsidR="008474BB" w:rsidRPr="008474BB">
              <w:rPr>
                <w:rFonts w:ascii="Arial" w:hAnsi="Arial" w:cs="Arial"/>
                <w:color w:val="auto"/>
                <w:sz w:val="18"/>
                <w:szCs w:val="18"/>
              </w:rPr>
              <w:t>6</w:t>
            </w:r>
            <w:r w:rsidRPr="008474BB">
              <w:rPr>
                <w:rFonts w:ascii="Arial" w:hAnsi="Arial" w:cs="Arial"/>
                <w:color w:val="auto"/>
                <w:sz w:val="18"/>
                <w:szCs w:val="18"/>
              </w:rPr>
              <w:t>/1</w:t>
            </w:r>
            <w:r w:rsidR="008474BB" w:rsidRPr="008474BB">
              <w:rPr>
                <w:rFonts w:ascii="Arial" w:hAnsi="Arial" w:cs="Arial"/>
                <w:color w:val="auto"/>
                <w:sz w:val="18"/>
                <w:szCs w:val="18"/>
              </w:rPr>
              <w:t>7</w:t>
            </w:r>
          </w:p>
          <w:p w:rsidR="00721500" w:rsidRPr="008474BB" w:rsidRDefault="00721500" w:rsidP="005B3D95">
            <w:pPr>
              <w:pStyle w:val="ExampleSub"/>
              <w:keepNext w:val="0"/>
              <w:keepLines w:val="0"/>
              <w:spacing w:line="240" w:lineRule="auto"/>
              <w:ind w:left="0"/>
              <w:jc w:val="center"/>
              <w:rPr>
                <w:rFonts w:ascii="Arial" w:hAnsi="Arial" w:cs="Arial"/>
                <w:color w:val="auto"/>
                <w:sz w:val="18"/>
                <w:szCs w:val="18"/>
              </w:rPr>
            </w:pPr>
            <w:r w:rsidRPr="008474BB">
              <w:rPr>
                <w:rFonts w:ascii="Arial" w:hAnsi="Arial" w:cs="Arial"/>
                <w:color w:val="auto"/>
                <w:sz w:val="18"/>
                <w:szCs w:val="18"/>
              </w:rPr>
              <w:t>£m</w:t>
            </w:r>
          </w:p>
        </w:tc>
        <w:tc>
          <w:tcPr>
            <w:cnfStyle w:val="000010000000" w:firstRow="0" w:lastRow="0" w:firstColumn="0" w:lastColumn="0" w:oddVBand="1" w:evenVBand="0" w:oddHBand="0" w:evenHBand="0" w:firstRowFirstColumn="0" w:firstRowLastColumn="0" w:lastRowFirstColumn="0" w:lastRowLastColumn="0"/>
            <w:tcW w:w="6593" w:type="dxa"/>
          </w:tcPr>
          <w:p w:rsidR="00721500" w:rsidRPr="008474BB" w:rsidRDefault="00721500" w:rsidP="005B3D95">
            <w:pPr>
              <w:pStyle w:val="ExampleSub"/>
              <w:keepNext w:val="0"/>
              <w:keepLines w:val="0"/>
              <w:spacing w:line="240" w:lineRule="auto"/>
              <w:ind w:left="0"/>
              <w:rPr>
                <w:rFonts w:ascii="Arial" w:hAnsi="Arial" w:cs="Arial"/>
                <w:color w:val="auto"/>
                <w:sz w:val="18"/>
                <w:szCs w:val="18"/>
              </w:rPr>
            </w:pPr>
          </w:p>
        </w:tc>
        <w:tc>
          <w:tcPr>
            <w:tcW w:w="1319" w:type="dxa"/>
          </w:tcPr>
          <w:p w:rsidR="00721500" w:rsidRPr="008474BB" w:rsidRDefault="00721500" w:rsidP="005B3D95">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474BB">
              <w:rPr>
                <w:rFonts w:ascii="Arial" w:hAnsi="Arial" w:cs="Arial"/>
                <w:color w:val="auto"/>
                <w:sz w:val="18"/>
                <w:szCs w:val="18"/>
              </w:rPr>
              <w:t>201</w:t>
            </w:r>
            <w:r w:rsidR="008474BB" w:rsidRPr="008474BB">
              <w:rPr>
                <w:rFonts w:ascii="Arial" w:hAnsi="Arial" w:cs="Arial"/>
                <w:color w:val="auto"/>
                <w:sz w:val="18"/>
                <w:szCs w:val="18"/>
              </w:rPr>
              <w:t>7</w:t>
            </w:r>
            <w:r w:rsidRPr="008474BB">
              <w:rPr>
                <w:rFonts w:ascii="Arial" w:hAnsi="Arial" w:cs="Arial"/>
                <w:color w:val="auto"/>
                <w:sz w:val="18"/>
                <w:szCs w:val="18"/>
              </w:rPr>
              <w:t>/1</w:t>
            </w:r>
            <w:r w:rsidR="008474BB" w:rsidRPr="008474BB">
              <w:rPr>
                <w:rFonts w:ascii="Arial" w:hAnsi="Arial" w:cs="Arial"/>
                <w:color w:val="auto"/>
                <w:sz w:val="18"/>
                <w:szCs w:val="18"/>
              </w:rPr>
              <w:t>8</w:t>
            </w:r>
            <w:r w:rsidRPr="008474BB">
              <w:rPr>
                <w:rFonts w:ascii="Arial" w:hAnsi="Arial" w:cs="Arial"/>
                <w:color w:val="auto"/>
                <w:sz w:val="18"/>
                <w:szCs w:val="18"/>
              </w:rPr>
              <w:t xml:space="preserve"> </w:t>
            </w:r>
          </w:p>
          <w:p w:rsidR="00721500" w:rsidRPr="008474BB" w:rsidRDefault="00721500" w:rsidP="005B3D95">
            <w:pPr>
              <w:pStyle w:val="ExampleSub"/>
              <w:keepNext w:val="0"/>
              <w:keepLines w:val="0"/>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8474BB">
              <w:rPr>
                <w:rFonts w:ascii="Arial" w:hAnsi="Arial" w:cs="Arial"/>
                <w:color w:val="auto"/>
                <w:sz w:val="18"/>
                <w:szCs w:val="18"/>
              </w:rPr>
              <w:t>£m</w:t>
            </w:r>
          </w:p>
        </w:tc>
      </w:tr>
      <w:tr w:rsidR="008474BB" w:rsidRPr="0005794A" w:rsidTr="0033559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18" w:type="dxa"/>
          </w:tcPr>
          <w:p w:rsidR="008474BB" w:rsidRPr="008474BB" w:rsidRDefault="008474BB" w:rsidP="008474BB">
            <w:pPr>
              <w:pStyle w:val="ExampleSub"/>
              <w:keepNext w:val="0"/>
              <w:keepLines w:val="0"/>
              <w:spacing w:line="240" w:lineRule="auto"/>
              <w:ind w:left="0"/>
              <w:jc w:val="center"/>
              <w:rPr>
                <w:rFonts w:ascii="Arial" w:hAnsi="Arial" w:cs="Arial"/>
                <w:color w:val="auto"/>
                <w:sz w:val="20"/>
                <w:szCs w:val="20"/>
              </w:rPr>
            </w:pPr>
            <w:r w:rsidRPr="008474BB">
              <w:rPr>
                <w:rFonts w:ascii="Arial" w:hAnsi="Arial" w:cs="Arial"/>
                <w:color w:val="auto"/>
                <w:sz w:val="20"/>
                <w:szCs w:val="20"/>
              </w:rPr>
              <w:t>7.5</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8474BB" w:rsidRDefault="008474BB" w:rsidP="008474BB">
            <w:pPr>
              <w:pStyle w:val="ExampleSub"/>
              <w:keepNext w:val="0"/>
              <w:keepLines w:val="0"/>
              <w:spacing w:line="240" w:lineRule="auto"/>
              <w:ind w:left="0"/>
              <w:rPr>
                <w:rFonts w:ascii="Arial" w:hAnsi="Arial" w:cs="Arial"/>
                <w:b w:val="0"/>
                <w:bCs w:val="0"/>
                <w:color w:val="auto"/>
                <w:sz w:val="20"/>
                <w:szCs w:val="20"/>
              </w:rPr>
            </w:pPr>
            <w:r w:rsidRPr="008474BB">
              <w:rPr>
                <w:rFonts w:ascii="Arial" w:hAnsi="Arial" w:cs="Arial"/>
                <w:b w:val="0"/>
                <w:bCs w:val="0"/>
                <w:color w:val="auto"/>
                <w:sz w:val="20"/>
                <w:szCs w:val="20"/>
              </w:rPr>
              <w:t>Interest payable and similar charges</w:t>
            </w:r>
          </w:p>
        </w:tc>
        <w:tc>
          <w:tcPr>
            <w:tcW w:w="1319" w:type="dxa"/>
          </w:tcPr>
          <w:p w:rsidR="008474BB" w:rsidRPr="008474BB" w:rsidRDefault="00A74FD4" w:rsidP="008474BB">
            <w:pPr>
              <w:pStyle w:val="ExampleSub"/>
              <w:keepNext w:val="0"/>
              <w:keepLines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9.5</w:t>
            </w:r>
          </w:p>
        </w:tc>
      </w:tr>
      <w:tr w:rsidR="008474BB" w:rsidRPr="0005794A" w:rsidTr="00335596">
        <w:trPr>
          <w:trHeight w:val="279"/>
        </w:trPr>
        <w:tc>
          <w:tcPr>
            <w:cnfStyle w:val="001000000000" w:firstRow="0" w:lastRow="0" w:firstColumn="1" w:lastColumn="0" w:oddVBand="0" w:evenVBand="0" w:oddHBand="0" w:evenHBand="0" w:firstRowFirstColumn="0" w:firstRowLastColumn="0" w:lastRowFirstColumn="0" w:lastRowLastColumn="0"/>
            <w:tcW w:w="1318" w:type="dxa"/>
          </w:tcPr>
          <w:p w:rsidR="008474BB" w:rsidRPr="008474BB" w:rsidRDefault="008474BB" w:rsidP="008474BB">
            <w:pPr>
              <w:pStyle w:val="ExampleSub"/>
              <w:keepNext w:val="0"/>
              <w:keepLines w:val="0"/>
              <w:spacing w:line="240" w:lineRule="auto"/>
              <w:ind w:left="0"/>
              <w:jc w:val="center"/>
              <w:rPr>
                <w:rFonts w:ascii="Arial" w:hAnsi="Arial" w:cs="Arial"/>
                <w:color w:val="auto"/>
                <w:sz w:val="20"/>
                <w:szCs w:val="20"/>
              </w:rPr>
            </w:pPr>
            <w:r w:rsidRPr="008474BB">
              <w:rPr>
                <w:rFonts w:ascii="Arial" w:hAnsi="Arial" w:cs="Arial"/>
                <w:color w:val="auto"/>
                <w:sz w:val="20"/>
                <w:szCs w:val="20"/>
              </w:rPr>
              <w:t>5.5</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8474BB" w:rsidRDefault="008474BB" w:rsidP="008474BB">
            <w:pPr>
              <w:pStyle w:val="ExampleSub"/>
              <w:keepNext w:val="0"/>
              <w:keepLines w:val="0"/>
              <w:spacing w:line="240" w:lineRule="auto"/>
              <w:ind w:left="0"/>
              <w:rPr>
                <w:rFonts w:ascii="Arial" w:hAnsi="Arial" w:cs="Arial"/>
                <w:b w:val="0"/>
                <w:bCs w:val="0"/>
                <w:color w:val="auto"/>
                <w:sz w:val="20"/>
                <w:szCs w:val="20"/>
              </w:rPr>
            </w:pPr>
            <w:r w:rsidRPr="008474BB">
              <w:rPr>
                <w:rFonts w:ascii="Arial" w:hAnsi="Arial" w:cs="Arial"/>
                <w:b w:val="0"/>
                <w:bCs w:val="0"/>
                <w:color w:val="auto"/>
                <w:sz w:val="20"/>
                <w:szCs w:val="20"/>
              </w:rPr>
              <w:t>Net interest on net defined pension liability</w:t>
            </w:r>
          </w:p>
        </w:tc>
        <w:tc>
          <w:tcPr>
            <w:tcW w:w="1319" w:type="dxa"/>
          </w:tcPr>
          <w:p w:rsidR="008474BB" w:rsidRPr="008474BB" w:rsidRDefault="00A74FD4" w:rsidP="008474BB">
            <w:pPr>
              <w:pStyle w:val="ExampleSub"/>
              <w:keepNext w:val="0"/>
              <w:keepLines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5.4</w:t>
            </w:r>
          </w:p>
        </w:tc>
      </w:tr>
      <w:tr w:rsidR="008474BB" w:rsidRPr="0005794A" w:rsidTr="0033559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18" w:type="dxa"/>
          </w:tcPr>
          <w:p w:rsidR="008474BB" w:rsidRPr="008474BB" w:rsidRDefault="008474BB" w:rsidP="008474BB">
            <w:pPr>
              <w:pStyle w:val="ExampleSub"/>
              <w:keepNext w:val="0"/>
              <w:keepLines w:val="0"/>
              <w:spacing w:line="240" w:lineRule="auto"/>
              <w:ind w:left="0"/>
              <w:jc w:val="center"/>
              <w:rPr>
                <w:rFonts w:ascii="Arial" w:hAnsi="Arial" w:cs="Arial"/>
                <w:color w:val="auto"/>
                <w:sz w:val="20"/>
                <w:szCs w:val="20"/>
              </w:rPr>
            </w:pPr>
            <w:r w:rsidRPr="008474BB">
              <w:rPr>
                <w:rFonts w:ascii="Arial" w:hAnsi="Arial" w:cs="Arial"/>
                <w:color w:val="auto"/>
                <w:sz w:val="20"/>
                <w:szCs w:val="20"/>
              </w:rPr>
              <w:t>(1.0)</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8474BB" w:rsidRDefault="008474BB" w:rsidP="008474BB">
            <w:pPr>
              <w:pStyle w:val="ExampleSub"/>
              <w:keepNext w:val="0"/>
              <w:keepLines w:val="0"/>
              <w:spacing w:line="240" w:lineRule="auto"/>
              <w:ind w:left="0"/>
              <w:rPr>
                <w:rFonts w:ascii="Arial" w:hAnsi="Arial" w:cs="Arial"/>
                <w:b w:val="0"/>
                <w:bCs w:val="0"/>
                <w:color w:val="auto"/>
                <w:sz w:val="20"/>
                <w:szCs w:val="20"/>
              </w:rPr>
            </w:pPr>
            <w:r w:rsidRPr="008474BB">
              <w:rPr>
                <w:rFonts w:ascii="Arial" w:hAnsi="Arial" w:cs="Arial"/>
                <w:b w:val="0"/>
                <w:bCs w:val="0"/>
                <w:color w:val="auto"/>
                <w:sz w:val="20"/>
                <w:szCs w:val="20"/>
              </w:rPr>
              <w:t>Interest receivable and similar income</w:t>
            </w:r>
          </w:p>
        </w:tc>
        <w:tc>
          <w:tcPr>
            <w:tcW w:w="1319" w:type="dxa"/>
          </w:tcPr>
          <w:p w:rsidR="008474BB" w:rsidRPr="008474BB" w:rsidRDefault="00A74FD4" w:rsidP="008474BB">
            <w:pPr>
              <w:pStyle w:val="ExampleSub"/>
              <w:keepNext w:val="0"/>
              <w:keepLines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(1.4)</w:t>
            </w:r>
          </w:p>
        </w:tc>
      </w:tr>
      <w:tr w:rsidR="008474BB" w:rsidRPr="0005794A" w:rsidTr="00335596">
        <w:trPr>
          <w:trHeight w:val="447"/>
        </w:trPr>
        <w:tc>
          <w:tcPr>
            <w:cnfStyle w:val="001000000000" w:firstRow="0" w:lastRow="0" w:firstColumn="1" w:lastColumn="0" w:oddVBand="0" w:evenVBand="0" w:oddHBand="0" w:evenHBand="0" w:firstRowFirstColumn="0" w:firstRowLastColumn="0" w:lastRowFirstColumn="0" w:lastRowLastColumn="0"/>
            <w:tcW w:w="1318" w:type="dxa"/>
          </w:tcPr>
          <w:p w:rsidR="008474BB" w:rsidRPr="008474BB" w:rsidRDefault="008474BB" w:rsidP="008474BB">
            <w:pPr>
              <w:pStyle w:val="ExampleSub"/>
              <w:keepNext w:val="0"/>
              <w:keepLines w:val="0"/>
              <w:spacing w:line="240" w:lineRule="auto"/>
              <w:ind w:left="0"/>
              <w:jc w:val="center"/>
              <w:rPr>
                <w:rFonts w:ascii="Arial" w:hAnsi="Arial" w:cs="Arial"/>
                <w:color w:val="auto"/>
                <w:sz w:val="20"/>
                <w:szCs w:val="20"/>
              </w:rPr>
            </w:pPr>
            <w:r w:rsidRPr="008474BB">
              <w:rP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8474BB" w:rsidRDefault="008474BB" w:rsidP="008474BB">
            <w:pPr>
              <w:pStyle w:val="ExampleSub"/>
              <w:keepNext w:val="0"/>
              <w:keepLines w:val="0"/>
              <w:spacing w:line="240" w:lineRule="auto"/>
              <w:ind w:left="0"/>
              <w:rPr>
                <w:rFonts w:ascii="Arial" w:hAnsi="Arial" w:cs="Arial"/>
                <w:b w:val="0"/>
                <w:bCs w:val="0"/>
                <w:color w:val="auto"/>
                <w:sz w:val="20"/>
                <w:szCs w:val="20"/>
              </w:rPr>
            </w:pPr>
            <w:r w:rsidRPr="008474BB">
              <w:rPr>
                <w:rFonts w:ascii="Arial" w:hAnsi="Arial" w:cs="Arial"/>
                <w:b w:val="0"/>
                <w:bCs w:val="0"/>
                <w:color w:val="auto"/>
                <w:sz w:val="20"/>
                <w:szCs w:val="20"/>
              </w:rPr>
              <w:t>Income and expenditure in relation to investment properties and changes in their fair value</w:t>
            </w:r>
          </w:p>
        </w:tc>
        <w:tc>
          <w:tcPr>
            <w:tcW w:w="1319" w:type="dxa"/>
          </w:tcPr>
          <w:p w:rsidR="008474BB" w:rsidRPr="008474BB" w:rsidRDefault="00F74C1C" w:rsidP="008474BB">
            <w:pPr>
              <w:pStyle w:val="ExampleSub"/>
              <w:keepNext w:val="0"/>
              <w:keepLines w:val="0"/>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0.2</w:t>
            </w:r>
          </w:p>
        </w:tc>
      </w:tr>
      <w:tr w:rsidR="008474BB" w:rsidRPr="0005794A" w:rsidTr="00335596">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318" w:type="dxa"/>
          </w:tcPr>
          <w:p w:rsidR="008474BB" w:rsidRPr="008474BB" w:rsidRDefault="008474BB" w:rsidP="008474BB">
            <w:pPr>
              <w:pStyle w:val="ExampleSub"/>
              <w:keepNext w:val="0"/>
              <w:keepLines w:val="0"/>
              <w:spacing w:line="240" w:lineRule="auto"/>
              <w:ind w:left="0"/>
              <w:jc w:val="center"/>
              <w:rPr>
                <w:rFonts w:ascii="Arial" w:hAnsi="Arial" w:cs="Arial"/>
                <w:color w:val="auto"/>
                <w:sz w:val="20"/>
                <w:szCs w:val="20"/>
              </w:rPr>
            </w:pPr>
            <w:r w:rsidRPr="008474BB">
              <w:rPr>
                <w:rFonts w:ascii="Arial" w:hAnsi="Arial" w:cs="Arial"/>
                <w:color w:val="auto"/>
                <w:sz w:val="20"/>
                <w:szCs w:val="20"/>
              </w:rPr>
              <w:t>(0.4)</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8474BB" w:rsidRDefault="008474BB" w:rsidP="008474BB">
            <w:pPr>
              <w:pStyle w:val="ExampleSub"/>
              <w:keepNext w:val="0"/>
              <w:keepLines w:val="0"/>
              <w:spacing w:line="240" w:lineRule="auto"/>
              <w:ind w:left="0"/>
              <w:rPr>
                <w:rFonts w:ascii="Arial" w:hAnsi="Arial" w:cs="Arial"/>
                <w:b w:val="0"/>
                <w:bCs w:val="0"/>
                <w:color w:val="auto"/>
                <w:sz w:val="20"/>
                <w:szCs w:val="20"/>
              </w:rPr>
            </w:pPr>
            <w:r w:rsidRPr="008474BB">
              <w:rPr>
                <w:rFonts w:ascii="Arial" w:hAnsi="Arial" w:cs="Arial"/>
                <w:b w:val="0"/>
                <w:bCs w:val="0"/>
                <w:color w:val="auto"/>
                <w:sz w:val="20"/>
                <w:szCs w:val="20"/>
              </w:rPr>
              <w:t xml:space="preserve">Gain from Devon wide NNDR Pool </w:t>
            </w:r>
          </w:p>
        </w:tc>
        <w:tc>
          <w:tcPr>
            <w:tcW w:w="1319" w:type="dxa"/>
          </w:tcPr>
          <w:p w:rsidR="008474BB" w:rsidRPr="008474BB" w:rsidRDefault="00A74FD4" w:rsidP="008474BB">
            <w:pPr>
              <w:pStyle w:val="ExampleSub"/>
              <w:keepNext w:val="0"/>
              <w:keepLines w:val="0"/>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(0.6)</w:t>
            </w:r>
          </w:p>
        </w:tc>
      </w:tr>
      <w:tr w:rsidR="008474BB" w:rsidRPr="0005794A" w:rsidTr="00335596">
        <w:trPr>
          <w:trHeight w:val="314"/>
        </w:trPr>
        <w:tc>
          <w:tcPr>
            <w:cnfStyle w:val="001000000000" w:firstRow="0" w:lastRow="0" w:firstColumn="1" w:lastColumn="0" w:oddVBand="0" w:evenVBand="0" w:oddHBand="0" w:evenHBand="0" w:firstRowFirstColumn="0" w:firstRowLastColumn="0" w:lastRowFirstColumn="0" w:lastRowLastColumn="0"/>
            <w:tcW w:w="1318" w:type="dxa"/>
          </w:tcPr>
          <w:p w:rsidR="008474BB" w:rsidRPr="008474BB" w:rsidRDefault="008474BB" w:rsidP="008474BB">
            <w:pPr>
              <w:pStyle w:val="ExampleSub"/>
              <w:keepNext w:val="0"/>
              <w:keepLines w:val="0"/>
              <w:ind w:left="0"/>
              <w:jc w:val="center"/>
              <w:rPr>
                <w:rFonts w:ascii="Arial" w:hAnsi="Arial" w:cs="Arial"/>
                <w:color w:val="auto"/>
                <w:sz w:val="20"/>
                <w:szCs w:val="20"/>
              </w:rPr>
            </w:pPr>
            <w:r w:rsidRPr="008474BB">
              <w:rPr>
                <w:rFonts w:ascii="Arial" w:hAnsi="Arial" w:cs="Arial"/>
                <w:color w:val="auto"/>
                <w:sz w:val="20"/>
                <w:szCs w:val="20"/>
              </w:rPr>
              <w:t>11.6</w:t>
            </w:r>
          </w:p>
        </w:tc>
        <w:tc>
          <w:tcPr>
            <w:cnfStyle w:val="000010000000" w:firstRow="0" w:lastRow="0" w:firstColumn="0" w:lastColumn="0" w:oddVBand="1" w:evenVBand="0" w:oddHBand="0" w:evenHBand="0" w:firstRowFirstColumn="0" w:firstRowLastColumn="0" w:lastRowFirstColumn="0" w:lastRowLastColumn="0"/>
            <w:tcW w:w="6593" w:type="dxa"/>
          </w:tcPr>
          <w:p w:rsidR="008474BB" w:rsidRPr="008474BB" w:rsidRDefault="008474BB" w:rsidP="008474BB">
            <w:pPr>
              <w:pStyle w:val="ExampleSub"/>
              <w:keepNext w:val="0"/>
              <w:keepLines w:val="0"/>
              <w:ind w:left="0"/>
              <w:rPr>
                <w:rFonts w:ascii="Arial" w:hAnsi="Arial" w:cs="Arial"/>
                <w:bCs w:val="0"/>
                <w:color w:val="auto"/>
                <w:sz w:val="20"/>
                <w:szCs w:val="20"/>
              </w:rPr>
            </w:pPr>
            <w:r w:rsidRPr="008474BB">
              <w:rPr>
                <w:rFonts w:ascii="Arial" w:hAnsi="Arial" w:cs="Arial"/>
                <w:bCs w:val="0"/>
                <w:color w:val="auto"/>
                <w:sz w:val="20"/>
                <w:szCs w:val="20"/>
              </w:rPr>
              <w:t>Total</w:t>
            </w:r>
          </w:p>
        </w:tc>
        <w:tc>
          <w:tcPr>
            <w:tcW w:w="1319" w:type="dxa"/>
          </w:tcPr>
          <w:p w:rsidR="008474BB" w:rsidRPr="008474BB" w:rsidRDefault="00F74C1C" w:rsidP="008474BB">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13.1</w:t>
            </w:r>
          </w:p>
        </w:tc>
      </w:tr>
    </w:tbl>
    <w:p w:rsidR="00C5487C" w:rsidRPr="0005794A" w:rsidRDefault="00C5487C" w:rsidP="000D1F14">
      <w:pPr>
        <w:pStyle w:val="Subtitle"/>
        <w:ind w:left="567" w:hanging="567"/>
        <w:rPr>
          <w:b/>
          <w:color w:val="548DD4" w:themeColor="text2" w:themeTint="99"/>
          <w:sz w:val="22"/>
          <w:szCs w:val="22"/>
        </w:rPr>
      </w:pPr>
    </w:p>
    <w:p w:rsidR="000A026A" w:rsidRDefault="000A026A" w:rsidP="000D1F14">
      <w:pPr>
        <w:pStyle w:val="Subtitle"/>
        <w:ind w:left="567" w:hanging="567"/>
        <w:rPr>
          <w:b/>
          <w:color w:val="548DD4" w:themeColor="text2" w:themeTint="99"/>
          <w:sz w:val="22"/>
          <w:szCs w:val="22"/>
        </w:rPr>
      </w:pPr>
    </w:p>
    <w:p w:rsidR="000A026A" w:rsidRDefault="000A026A" w:rsidP="000D1F14">
      <w:pPr>
        <w:pStyle w:val="Subtitle"/>
        <w:ind w:left="567" w:hanging="567"/>
        <w:rPr>
          <w:b/>
          <w:color w:val="548DD4" w:themeColor="text2" w:themeTint="99"/>
          <w:sz w:val="22"/>
          <w:szCs w:val="22"/>
        </w:rPr>
      </w:pPr>
    </w:p>
    <w:p w:rsidR="000A026A" w:rsidRDefault="000A026A" w:rsidP="000D1F14">
      <w:pPr>
        <w:pStyle w:val="Subtitle"/>
        <w:ind w:left="567" w:hanging="567"/>
        <w:rPr>
          <w:b/>
          <w:color w:val="548DD4" w:themeColor="text2" w:themeTint="99"/>
          <w:sz w:val="22"/>
          <w:szCs w:val="22"/>
        </w:rPr>
      </w:pPr>
    </w:p>
    <w:p w:rsidR="006F5D3D" w:rsidRDefault="006F5D3D" w:rsidP="000D1F14">
      <w:pPr>
        <w:pStyle w:val="Subtitle"/>
        <w:ind w:left="567" w:hanging="567"/>
        <w:rPr>
          <w:b/>
          <w:color w:val="548DD4" w:themeColor="text2" w:themeTint="99"/>
          <w:sz w:val="22"/>
          <w:szCs w:val="22"/>
        </w:rPr>
      </w:pPr>
    </w:p>
    <w:p w:rsidR="006F5D3D" w:rsidRDefault="006F5D3D" w:rsidP="006F5D3D">
      <w:pPr>
        <w:pStyle w:val="BodyText"/>
      </w:pPr>
    </w:p>
    <w:p w:rsidR="006F5D3D" w:rsidRDefault="006F5D3D" w:rsidP="006F5D3D">
      <w:pPr>
        <w:pStyle w:val="BodyText"/>
      </w:pPr>
    </w:p>
    <w:p w:rsidR="006F5D3D" w:rsidRDefault="006F5D3D" w:rsidP="006F5D3D">
      <w:pPr>
        <w:pStyle w:val="BodyText"/>
      </w:pPr>
    </w:p>
    <w:p w:rsidR="006F5D3D" w:rsidRPr="006F5D3D" w:rsidRDefault="006F5D3D" w:rsidP="006F5D3D">
      <w:pPr>
        <w:pStyle w:val="BodyText"/>
      </w:pPr>
    </w:p>
    <w:p w:rsidR="00591A3A" w:rsidRPr="00315264" w:rsidRDefault="00E51139" w:rsidP="000D1F14">
      <w:pPr>
        <w:pStyle w:val="Subtitle"/>
        <w:ind w:left="567" w:hanging="567"/>
        <w:rPr>
          <w:b/>
          <w:color w:val="auto"/>
          <w:sz w:val="22"/>
          <w:szCs w:val="22"/>
        </w:rPr>
      </w:pPr>
      <w:r w:rsidRPr="00315264">
        <w:rPr>
          <w:b/>
          <w:color w:val="auto"/>
          <w:sz w:val="22"/>
          <w:szCs w:val="22"/>
        </w:rPr>
        <w:lastRenderedPageBreak/>
        <w:t>1</w:t>
      </w:r>
      <w:r w:rsidR="00974DAF" w:rsidRPr="00315264">
        <w:rPr>
          <w:b/>
          <w:color w:val="auto"/>
          <w:sz w:val="22"/>
          <w:szCs w:val="22"/>
        </w:rPr>
        <w:t>2</w:t>
      </w:r>
      <w:r w:rsidRPr="00315264">
        <w:rPr>
          <w:b/>
          <w:color w:val="auto"/>
          <w:sz w:val="22"/>
          <w:szCs w:val="22"/>
        </w:rPr>
        <w:t>.</w:t>
      </w:r>
      <w:r w:rsidRPr="00315264">
        <w:rPr>
          <w:b/>
          <w:color w:val="auto"/>
          <w:sz w:val="22"/>
          <w:szCs w:val="22"/>
        </w:rPr>
        <w:tab/>
        <w:t>Taxation and Non Specific Grant Income</w:t>
      </w:r>
    </w:p>
    <w:p w:rsidR="006055F2" w:rsidRPr="0005794A" w:rsidRDefault="006055F2" w:rsidP="00591A3A">
      <w:pPr>
        <w:pStyle w:val="ExampleSub"/>
        <w:keepNext w:val="0"/>
        <w:keepLines w:val="0"/>
        <w:ind w:left="0"/>
        <w:outlineLvl w:val="0"/>
        <w:rPr>
          <w:rFonts w:ascii="Arial" w:hAnsi="Arial" w:cs="Times New Roman"/>
          <w:bCs w:val="0"/>
          <w:color w:val="548DD4" w:themeColor="text2" w:themeTint="99"/>
          <w:sz w:val="21"/>
          <w:szCs w:val="21"/>
          <w:lang w:eastAsia="en-US"/>
        </w:rPr>
      </w:pPr>
    </w:p>
    <w:tbl>
      <w:tblPr>
        <w:tblStyle w:val="ListTable3-Accent51"/>
        <w:tblW w:w="0" w:type="auto"/>
        <w:tblInd w:w="675" w:type="dxa"/>
        <w:tblLook w:val="00A0" w:firstRow="1" w:lastRow="0" w:firstColumn="1" w:lastColumn="0" w:noHBand="0" w:noVBand="0"/>
      </w:tblPr>
      <w:tblGrid>
        <w:gridCol w:w="1696"/>
        <w:gridCol w:w="4372"/>
        <w:gridCol w:w="2100"/>
      </w:tblGrid>
      <w:tr w:rsidR="00AA7699" w:rsidRPr="0005794A" w:rsidTr="005B3D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rsidR="00126836" w:rsidRPr="00C052A4" w:rsidRDefault="00591A3A" w:rsidP="003C5E34">
            <w:pPr>
              <w:pStyle w:val="ExampleSub"/>
              <w:keepNext w:val="0"/>
              <w:keepLines w:val="0"/>
              <w:ind w:left="0"/>
              <w:jc w:val="center"/>
              <w:rPr>
                <w:rFonts w:ascii="Arial" w:hAnsi="Arial" w:cs="Arial"/>
                <w:color w:val="auto"/>
                <w:sz w:val="20"/>
                <w:szCs w:val="20"/>
              </w:rPr>
            </w:pPr>
            <w:r w:rsidRPr="00C052A4">
              <w:rPr>
                <w:rFonts w:ascii="Arial" w:hAnsi="Arial" w:cs="Arial"/>
                <w:color w:val="auto"/>
                <w:sz w:val="20"/>
                <w:szCs w:val="20"/>
              </w:rPr>
              <w:t>201</w:t>
            </w:r>
            <w:r w:rsidR="00C052A4" w:rsidRPr="00C052A4">
              <w:rPr>
                <w:rFonts w:ascii="Arial" w:hAnsi="Arial" w:cs="Arial"/>
                <w:color w:val="auto"/>
                <w:sz w:val="20"/>
                <w:szCs w:val="20"/>
              </w:rPr>
              <w:t>6</w:t>
            </w:r>
            <w:r w:rsidR="00E51139" w:rsidRPr="00C052A4">
              <w:rPr>
                <w:rFonts w:ascii="Arial" w:hAnsi="Arial" w:cs="Arial"/>
                <w:color w:val="auto"/>
                <w:sz w:val="20"/>
                <w:szCs w:val="20"/>
              </w:rPr>
              <w:t>/1</w:t>
            </w:r>
            <w:r w:rsidR="00C052A4" w:rsidRPr="00C052A4">
              <w:rPr>
                <w:rFonts w:ascii="Arial" w:hAnsi="Arial" w:cs="Arial"/>
                <w:color w:val="auto"/>
                <w:sz w:val="20"/>
                <w:szCs w:val="20"/>
              </w:rPr>
              <w:t>7</w:t>
            </w:r>
            <w:r w:rsidR="00E51139" w:rsidRPr="00C052A4">
              <w:rPr>
                <w:rFonts w:ascii="Arial" w:hAnsi="Arial" w:cs="Arial"/>
                <w:color w:val="auto"/>
                <w:sz w:val="20"/>
                <w:szCs w:val="20"/>
              </w:rPr>
              <w:t xml:space="preserve"> </w:t>
            </w:r>
            <w:r w:rsidR="009B14E2" w:rsidRPr="00C052A4">
              <w:rPr>
                <w:rFonts w:ascii="Arial" w:hAnsi="Arial" w:cs="Arial"/>
                <w:color w:val="auto"/>
                <w:sz w:val="20"/>
                <w:szCs w:val="20"/>
              </w:rPr>
              <w:t>Restated</w:t>
            </w:r>
          </w:p>
          <w:p w:rsidR="00CB4D72" w:rsidRPr="00C052A4" w:rsidRDefault="00126836" w:rsidP="00126836">
            <w:pPr>
              <w:pStyle w:val="ExampleSub"/>
              <w:keepNext w:val="0"/>
              <w:keepLines w:val="0"/>
              <w:ind w:left="0"/>
              <w:jc w:val="center"/>
              <w:rPr>
                <w:rFonts w:ascii="Arial" w:hAnsi="Arial" w:cs="Arial"/>
                <w:color w:val="auto"/>
                <w:sz w:val="20"/>
                <w:szCs w:val="20"/>
              </w:rPr>
            </w:pPr>
            <w:r w:rsidRPr="00C052A4">
              <w:rPr>
                <w:rFonts w:ascii="Arial" w:hAnsi="Arial"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372" w:type="dxa"/>
          </w:tcPr>
          <w:p w:rsidR="00E51139" w:rsidRPr="00C052A4" w:rsidRDefault="00E51139" w:rsidP="003C5E34">
            <w:pPr>
              <w:pStyle w:val="ExampleSub"/>
              <w:keepNext w:val="0"/>
              <w:keepLines w:val="0"/>
              <w:ind w:left="0"/>
              <w:rPr>
                <w:rFonts w:ascii="Arial" w:hAnsi="Arial" w:cs="Arial"/>
                <w:color w:val="auto"/>
                <w:sz w:val="20"/>
                <w:szCs w:val="20"/>
              </w:rPr>
            </w:pPr>
          </w:p>
        </w:tc>
        <w:tc>
          <w:tcPr>
            <w:tcW w:w="2100" w:type="dxa"/>
          </w:tcPr>
          <w:p w:rsidR="00126836" w:rsidRPr="00C052A4" w:rsidRDefault="00E51139" w:rsidP="00721500">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C052A4">
              <w:rPr>
                <w:rFonts w:ascii="Arial" w:hAnsi="Arial" w:cs="Arial"/>
                <w:color w:val="auto"/>
                <w:sz w:val="20"/>
                <w:szCs w:val="20"/>
              </w:rPr>
              <w:t>201</w:t>
            </w:r>
            <w:r w:rsidR="00C052A4" w:rsidRPr="00C052A4">
              <w:rPr>
                <w:rFonts w:ascii="Arial" w:hAnsi="Arial" w:cs="Arial"/>
                <w:color w:val="auto"/>
                <w:sz w:val="20"/>
                <w:szCs w:val="20"/>
              </w:rPr>
              <w:t>7</w:t>
            </w:r>
            <w:r w:rsidR="00924BCD" w:rsidRPr="00C052A4">
              <w:rPr>
                <w:rFonts w:ascii="Arial" w:hAnsi="Arial" w:cs="Arial"/>
                <w:color w:val="auto"/>
                <w:sz w:val="20"/>
                <w:szCs w:val="20"/>
              </w:rPr>
              <w:t>/1</w:t>
            </w:r>
            <w:r w:rsidR="00C052A4" w:rsidRPr="00C052A4">
              <w:rPr>
                <w:rFonts w:ascii="Arial" w:hAnsi="Arial" w:cs="Arial"/>
                <w:color w:val="auto"/>
                <w:sz w:val="20"/>
                <w:szCs w:val="20"/>
              </w:rPr>
              <w:t>8</w:t>
            </w:r>
          </w:p>
          <w:p w:rsidR="00E51139" w:rsidRPr="00C052A4" w:rsidRDefault="00E51139" w:rsidP="00721500">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C052A4">
              <w:rPr>
                <w:rFonts w:ascii="Arial" w:hAnsi="Arial" w:cs="Arial"/>
                <w:color w:val="auto"/>
                <w:sz w:val="20"/>
                <w:szCs w:val="20"/>
              </w:rPr>
              <w:t xml:space="preserve"> £m</w:t>
            </w:r>
          </w:p>
        </w:tc>
      </w:tr>
      <w:tr w:rsidR="00C052A4" w:rsidRPr="0005794A" w:rsidTr="0052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52A4" w:rsidRPr="00C052A4" w:rsidRDefault="00C052A4" w:rsidP="00C052A4">
            <w:pPr>
              <w:pStyle w:val="ExampleSub"/>
              <w:keepNext w:val="0"/>
              <w:keepLines w:val="0"/>
              <w:ind w:left="0"/>
              <w:jc w:val="center"/>
              <w:rPr>
                <w:rFonts w:ascii="Arial" w:hAnsi="Arial" w:cs="Arial"/>
                <w:color w:val="auto"/>
                <w:sz w:val="20"/>
                <w:szCs w:val="20"/>
              </w:rPr>
            </w:pPr>
            <w:r w:rsidRPr="00C052A4">
              <w:rPr>
                <w:rFonts w:ascii="Arial" w:hAnsi="Arial" w:cs="Arial"/>
                <w:color w:val="auto"/>
                <w:sz w:val="20"/>
                <w:szCs w:val="20"/>
              </w:rPr>
              <w:t>(56.9)</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C052A4" w:rsidRDefault="00C052A4" w:rsidP="009B14E2">
            <w:pPr>
              <w:pStyle w:val="ExampleSub"/>
              <w:keepNext w:val="0"/>
              <w:keepLines w:val="0"/>
              <w:ind w:left="0"/>
              <w:rPr>
                <w:rFonts w:ascii="Arial" w:hAnsi="Arial" w:cs="Arial"/>
                <w:b w:val="0"/>
                <w:bCs w:val="0"/>
                <w:color w:val="auto"/>
                <w:sz w:val="20"/>
                <w:szCs w:val="20"/>
              </w:rPr>
            </w:pPr>
            <w:r w:rsidRPr="00C052A4">
              <w:rPr>
                <w:rFonts w:ascii="Arial" w:hAnsi="Arial" w:cs="Arial"/>
                <w:b w:val="0"/>
                <w:bCs w:val="0"/>
                <w:color w:val="auto"/>
                <w:sz w:val="20"/>
                <w:szCs w:val="20"/>
              </w:rPr>
              <w:t xml:space="preserve">Council tax Income </w:t>
            </w:r>
          </w:p>
        </w:tc>
        <w:tc>
          <w:tcPr>
            <w:tcW w:w="2100" w:type="dxa"/>
          </w:tcPr>
          <w:p w:rsidR="00C052A4" w:rsidRPr="00C052A4" w:rsidRDefault="00F74C1C" w:rsidP="00347FF5">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r w:rsidR="00315264">
              <w:rPr>
                <w:rFonts w:ascii="Arial" w:hAnsi="Arial" w:cs="Arial"/>
                <w:bCs w:val="0"/>
                <w:color w:val="auto"/>
                <w:sz w:val="20"/>
                <w:szCs w:val="20"/>
              </w:rPr>
              <w:t>60.9)</w:t>
            </w:r>
          </w:p>
        </w:tc>
      </w:tr>
      <w:tr w:rsidR="00C052A4" w:rsidRPr="0005794A" w:rsidTr="00521368">
        <w:tc>
          <w:tcPr>
            <w:cnfStyle w:val="001000000000" w:firstRow="0" w:lastRow="0" w:firstColumn="1" w:lastColumn="0" w:oddVBand="0" w:evenVBand="0" w:oddHBand="0" w:evenHBand="0" w:firstRowFirstColumn="0" w:firstRowLastColumn="0" w:lastRowFirstColumn="0" w:lastRowLastColumn="0"/>
            <w:tcW w:w="1696" w:type="dxa"/>
          </w:tcPr>
          <w:p w:rsidR="00C052A4" w:rsidRPr="00C052A4" w:rsidRDefault="00C052A4" w:rsidP="00C052A4">
            <w:pPr>
              <w:pStyle w:val="ExampleSub"/>
              <w:keepNext w:val="0"/>
              <w:keepLines w:val="0"/>
              <w:ind w:left="0"/>
              <w:jc w:val="center"/>
              <w:rPr>
                <w:rFonts w:ascii="Arial" w:hAnsi="Arial" w:cs="Arial"/>
                <w:color w:val="auto"/>
                <w:sz w:val="20"/>
                <w:szCs w:val="20"/>
              </w:rPr>
            </w:pPr>
            <w:r w:rsidRPr="00C052A4">
              <w:rPr>
                <w:rFonts w:ascii="Arial" w:hAnsi="Arial" w:cs="Arial"/>
                <w:color w:val="auto"/>
                <w:sz w:val="20"/>
                <w:szCs w:val="20"/>
              </w:rPr>
              <w:t>(30.7)</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C052A4" w:rsidRDefault="00C052A4" w:rsidP="00AE29C3">
            <w:pPr>
              <w:pStyle w:val="ExampleSub"/>
              <w:keepNext w:val="0"/>
              <w:keepLines w:val="0"/>
              <w:ind w:left="0"/>
              <w:rPr>
                <w:rFonts w:ascii="Arial" w:hAnsi="Arial" w:cs="Arial"/>
                <w:b w:val="0"/>
                <w:bCs w:val="0"/>
                <w:color w:val="auto"/>
                <w:sz w:val="20"/>
                <w:szCs w:val="20"/>
              </w:rPr>
            </w:pPr>
            <w:r w:rsidRPr="00C052A4">
              <w:rPr>
                <w:rFonts w:ascii="Arial" w:hAnsi="Arial" w:cs="Arial"/>
                <w:b w:val="0"/>
                <w:bCs w:val="0"/>
                <w:color w:val="auto"/>
                <w:sz w:val="20"/>
                <w:szCs w:val="20"/>
              </w:rPr>
              <w:t xml:space="preserve">Retained income from rate retention scheme </w:t>
            </w:r>
          </w:p>
        </w:tc>
        <w:tc>
          <w:tcPr>
            <w:tcW w:w="2100" w:type="dxa"/>
          </w:tcPr>
          <w:p w:rsidR="00C052A4" w:rsidRPr="00C052A4" w:rsidRDefault="00F74C1C" w:rsidP="0031526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w:t>
            </w:r>
            <w:r w:rsidR="00315264">
              <w:rPr>
                <w:rFonts w:ascii="Arial" w:hAnsi="Arial" w:cs="Arial"/>
                <w:bCs w:val="0"/>
                <w:color w:val="auto"/>
                <w:sz w:val="20"/>
                <w:szCs w:val="20"/>
              </w:rPr>
              <w:t>31.9)</w:t>
            </w:r>
          </w:p>
        </w:tc>
      </w:tr>
      <w:tr w:rsidR="00C052A4" w:rsidRPr="0005794A" w:rsidTr="0052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52A4" w:rsidRPr="00C052A4" w:rsidRDefault="00C052A4" w:rsidP="00C052A4">
            <w:pPr>
              <w:pStyle w:val="ExampleSub"/>
              <w:keepNext w:val="0"/>
              <w:keepLines w:val="0"/>
              <w:ind w:left="0"/>
              <w:jc w:val="center"/>
              <w:rPr>
                <w:rFonts w:ascii="Arial" w:hAnsi="Arial" w:cs="Arial"/>
                <w:color w:val="auto"/>
                <w:sz w:val="20"/>
                <w:szCs w:val="20"/>
              </w:rPr>
            </w:pPr>
            <w:r w:rsidRPr="00C052A4">
              <w:rPr>
                <w:rFonts w:ascii="Arial" w:hAnsi="Arial" w:cs="Arial"/>
                <w:color w:val="auto"/>
                <w:sz w:val="20"/>
                <w:szCs w:val="20"/>
              </w:rPr>
              <w:t>(1.1)</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C052A4" w:rsidRDefault="00C052A4" w:rsidP="00AE29C3">
            <w:pPr>
              <w:pStyle w:val="ExampleSub"/>
              <w:keepNext w:val="0"/>
              <w:keepLines w:val="0"/>
              <w:ind w:left="0"/>
              <w:rPr>
                <w:rFonts w:ascii="Arial" w:hAnsi="Arial" w:cs="Arial"/>
                <w:b w:val="0"/>
                <w:bCs w:val="0"/>
                <w:color w:val="auto"/>
                <w:sz w:val="20"/>
                <w:szCs w:val="20"/>
              </w:rPr>
            </w:pPr>
            <w:r w:rsidRPr="00C052A4">
              <w:rPr>
                <w:rFonts w:ascii="Arial" w:hAnsi="Arial" w:cs="Arial"/>
                <w:b w:val="0"/>
                <w:bCs w:val="0"/>
                <w:color w:val="auto"/>
                <w:sz w:val="20"/>
                <w:szCs w:val="20"/>
              </w:rPr>
              <w:t>Collection Fund – NNDR &amp; Council Tax</w:t>
            </w:r>
          </w:p>
        </w:tc>
        <w:tc>
          <w:tcPr>
            <w:tcW w:w="2100" w:type="dxa"/>
          </w:tcPr>
          <w:p w:rsidR="00C052A4" w:rsidRPr="00C052A4" w:rsidRDefault="00315264" w:rsidP="00197AB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(2.2)</w:t>
            </w:r>
          </w:p>
        </w:tc>
      </w:tr>
      <w:tr w:rsidR="00C052A4" w:rsidRPr="0005794A" w:rsidTr="00521368">
        <w:tc>
          <w:tcPr>
            <w:cnfStyle w:val="001000000000" w:firstRow="0" w:lastRow="0" w:firstColumn="1" w:lastColumn="0" w:oddVBand="0" w:evenVBand="0" w:oddHBand="0" w:evenHBand="0" w:firstRowFirstColumn="0" w:firstRowLastColumn="0" w:lastRowFirstColumn="0" w:lastRowLastColumn="0"/>
            <w:tcW w:w="1696" w:type="dxa"/>
          </w:tcPr>
          <w:p w:rsidR="00C052A4" w:rsidRPr="00C052A4" w:rsidRDefault="00C052A4" w:rsidP="00C052A4">
            <w:pPr>
              <w:pStyle w:val="ExampleSub"/>
              <w:keepNext w:val="0"/>
              <w:keepLines w:val="0"/>
              <w:ind w:left="0"/>
              <w:jc w:val="center"/>
              <w:rPr>
                <w:rFonts w:ascii="Arial" w:hAnsi="Arial" w:cs="Arial"/>
                <w:color w:val="auto"/>
                <w:sz w:val="20"/>
                <w:szCs w:val="20"/>
              </w:rPr>
            </w:pPr>
            <w:r w:rsidRPr="00C052A4">
              <w:rPr>
                <w:rFonts w:ascii="Arial" w:hAnsi="Arial" w:cs="Arial"/>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C052A4" w:rsidRDefault="00C052A4" w:rsidP="00AE29C3">
            <w:pPr>
              <w:pStyle w:val="ExampleSub"/>
              <w:keepNext w:val="0"/>
              <w:keepLines w:val="0"/>
              <w:ind w:left="0"/>
              <w:rPr>
                <w:rFonts w:ascii="Arial" w:hAnsi="Arial" w:cs="Arial"/>
                <w:b w:val="0"/>
                <w:bCs w:val="0"/>
                <w:color w:val="auto"/>
                <w:sz w:val="20"/>
                <w:szCs w:val="20"/>
              </w:rPr>
            </w:pPr>
            <w:r w:rsidRPr="00C052A4">
              <w:rPr>
                <w:rFonts w:ascii="Arial" w:hAnsi="Arial" w:cs="Arial"/>
                <w:b w:val="0"/>
                <w:bCs w:val="0"/>
                <w:color w:val="auto"/>
                <w:sz w:val="20"/>
                <w:szCs w:val="20"/>
              </w:rPr>
              <w:t>Collection Fund Adjustment Account</w:t>
            </w:r>
          </w:p>
        </w:tc>
        <w:tc>
          <w:tcPr>
            <w:tcW w:w="2100" w:type="dxa"/>
          </w:tcPr>
          <w:p w:rsidR="00C052A4" w:rsidRPr="00C052A4" w:rsidRDefault="00315264" w:rsidP="00197AB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0.4</w:t>
            </w:r>
          </w:p>
        </w:tc>
      </w:tr>
      <w:tr w:rsidR="00C052A4" w:rsidRPr="0005794A" w:rsidTr="0052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52A4" w:rsidRPr="00C052A4" w:rsidRDefault="00C052A4" w:rsidP="00C052A4">
            <w:pPr>
              <w:pStyle w:val="ExampleSub"/>
              <w:keepNext w:val="0"/>
              <w:keepLines w:val="0"/>
              <w:ind w:left="0"/>
              <w:jc w:val="center"/>
              <w:rPr>
                <w:rFonts w:ascii="Arial" w:hAnsi="Arial" w:cs="Arial"/>
                <w:color w:val="auto"/>
                <w:sz w:val="20"/>
                <w:szCs w:val="20"/>
              </w:rPr>
            </w:pPr>
            <w:r w:rsidRPr="00C052A4">
              <w:rPr>
                <w:rFonts w:ascii="Arial" w:hAnsi="Arial" w:cs="Arial"/>
                <w:color w:val="auto"/>
                <w:sz w:val="20"/>
                <w:szCs w:val="20"/>
              </w:rPr>
              <w:t>(23.4)</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C052A4" w:rsidRDefault="00C052A4" w:rsidP="00AE29C3">
            <w:pPr>
              <w:pStyle w:val="ExampleSub"/>
              <w:keepNext w:val="0"/>
              <w:keepLines w:val="0"/>
              <w:ind w:left="0"/>
              <w:rPr>
                <w:rFonts w:ascii="Arial" w:hAnsi="Arial" w:cs="Arial"/>
                <w:b w:val="0"/>
                <w:bCs w:val="0"/>
                <w:color w:val="auto"/>
                <w:sz w:val="20"/>
                <w:szCs w:val="20"/>
              </w:rPr>
            </w:pPr>
            <w:r w:rsidRPr="00C052A4">
              <w:rPr>
                <w:rFonts w:ascii="Arial" w:hAnsi="Arial" w:cs="Arial"/>
                <w:b w:val="0"/>
                <w:bCs w:val="0"/>
                <w:color w:val="auto"/>
                <w:sz w:val="20"/>
                <w:szCs w:val="20"/>
              </w:rPr>
              <w:t>Non-ring fenced government grants</w:t>
            </w:r>
          </w:p>
        </w:tc>
        <w:tc>
          <w:tcPr>
            <w:tcW w:w="2100" w:type="dxa"/>
          </w:tcPr>
          <w:p w:rsidR="00C052A4" w:rsidRPr="00C052A4" w:rsidRDefault="00315264" w:rsidP="0031526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(16.6)</w:t>
            </w:r>
          </w:p>
        </w:tc>
      </w:tr>
      <w:tr w:rsidR="00C052A4" w:rsidRPr="0005794A" w:rsidTr="00521368">
        <w:tc>
          <w:tcPr>
            <w:cnfStyle w:val="001000000000" w:firstRow="0" w:lastRow="0" w:firstColumn="1" w:lastColumn="0" w:oddVBand="0" w:evenVBand="0" w:oddHBand="0" w:evenHBand="0" w:firstRowFirstColumn="0" w:firstRowLastColumn="0" w:lastRowFirstColumn="0" w:lastRowLastColumn="0"/>
            <w:tcW w:w="1696" w:type="dxa"/>
          </w:tcPr>
          <w:p w:rsidR="00C052A4" w:rsidRPr="00C052A4" w:rsidRDefault="00C052A4" w:rsidP="00C052A4">
            <w:pPr>
              <w:pStyle w:val="ExampleSub"/>
              <w:keepNext w:val="0"/>
              <w:keepLines w:val="0"/>
              <w:ind w:left="0"/>
              <w:jc w:val="center"/>
              <w:rPr>
                <w:rFonts w:ascii="Arial" w:hAnsi="Arial" w:cs="Arial"/>
                <w:color w:val="auto"/>
                <w:sz w:val="20"/>
                <w:szCs w:val="20"/>
              </w:rPr>
            </w:pPr>
            <w:r w:rsidRPr="00C052A4">
              <w:rPr>
                <w:rFonts w:ascii="Arial" w:hAnsi="Arial" w:cs="Arial"/>
                <w:color w:val="auto"/>
                <w:sz w:val="20"/>
                <w:szCs w:val="20"/>
              </w:rPr>
              <w:t>(7.5)</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C052A4" w:rsidRDefault="00C052A4" w:rsidP="00AE29C3">
            <w:pPr>
              <w:pStyle w:val="ExampleSub"/>
              <w:keepNext w:val="0"/>
              <w:keepLines w:val="0"/>
              <w:ind w:left="0"/>
              <w:rPr>
                <w:rFonts w:ascii="Arial" w:hAnsi="Arial" w:cs="Arial"/>
                <w:b w:val="0"/>
                <w:bCs w:val="0"/>
                <w:color w:val="auto"/>
                <w:sz w:val="20"/>
                <w:szCs w:val="20"/>
              </w:rPr>
            </w:pPr>
            <w:r w:rsidRPr="00C052A4">
              <w:rPr>
                <w:rFonts w:ascii="Arial" w:hAnsi="Arial" w:cs="Arial"/>
                <w:b w:val="0"/>
                <w:bCs w:val="0"/>
                <w:color w:val="auto"/>
                <w:sz w:val="20"/>
                <w:szCs w:val="20"/>
              </w:rPr>
              <w:t>Capital grants and contributions</w:t>
            </w:r>
          </w:p>
        </w:tc>
        <w:tc>
          <w:tcPr>
            <w:tcW w:w="2100" w:type="dxa"/>
          </w:tcPr>
          <w:p w:rsidR="00C052A4" w:rsidRPr="00C052A4" w:rsidRDefault="00F74C1C" w:rsidP="00197AB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(7.2)</w:t>
            </w:r>
          </w:p>
        </w:tc>
      </w:tr>
      <w:tr w:rsidR="00C052A4" w:rsidRPr="0005794A" w:rsidTr="00521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52A4" w:rsidRPr="00C052A4" w:rsidRDefault="00C052A4" w:rsidP="00C052A4">
            <w:pPr>
              <w:pStyle w:val="ExampleSub"/>
              <w:keepNext w:val="0"/>
              <w:keepLines w:val="0"/>
              <w:ind w:left="0"/>
              <w:jc w:val="center"/>
              <w:rPr>
                <w:rFonts w:ascii="Arial" w:hAnsi="Arial" w:cs="Arial"/>
                <w:color w:val="auto"/>
                <w:sz w:val="20"/>
                <w:szCs w:val="20"/>
              </w:rPr>
            </w:pPr>
            <w:r w:rsidRPr="00C052A4">
              <w:rPr>
                <w:rFonts w:ascii="Arial" w:hAnsi="Arial" w:cs="Arial"/>
                <w:color w:val="auto"/>
                <w:sz w:val="20"/>
                <w:szCs w:val="20"/>
              </w:rPr>
              <w:t>(120.2)</w:t>
            </w:r>
          </w:p>
        </w:tc>
        <w:tc>
          <w:tcPr>
            <w:cnfStyle w:val="000010000000" w:firstRow="0" w:lastRow="0" w:firstColumn="0" w:lastColumn="0" w:oddVBand="1" w:evenVBand="0" w:oddHBand="0" w:evenHBand="0" w:firstRowFirstColumn="0" w:firstRowLastColumn="0" w:lastRowFirstColumn="0" w:lastRowLastColumn="0"/>
            <w:tcW w:w="4372" w:type="dxa"/>
            <w:vAlign w:val="center"/>
          </w:tcPr>
          <w:p w:rsidR="00C052A4" w:rsidRPr="00C052A4" w:rsidRDefault="00C052A4" w:rsidP="00AE29C3">
            <w:pPr>
              <w:pStyle w:val="ExampleSub"/>
              <w:keepNext w:val="0"/>
              <w:keepLines w:val="0"/>
              <w:ind w:left="0"/>
              <w:rPr>
                <w:rFonts w:ascii="Arial" w:hAnsi="Arial" w:cs="Arial"/>
                <w:b w:val="0"/>
                <w:bCs w:val="0"/>
                <w:color w:val="auto"/>
                <w:sz w:val="20"/>
                <w:szCs w:val="20"/>
              </w:rPr>
            </w:pPr>
            <w:r w:rsidRPr="00C052A4">
              <w:rPr>
                <w:rFonts w:ascii="Arial" w:hAnsi="Arial" w:cs="Arial"/>
                <w:b w:val="0"/>
                <w:bCs w:val="0"/>
                <w:color w:val="auto"/>
                <w:sz w:val="20"/>
                <w:szCs w:val="20"/>
              </w:rPr>
              <w:t>Total</w:t>
            </w:r>
          </w:p>
        </w:tc>
        <w:tc>
          <w:tcPr>
            <w:tcW w:w="2100" w:type="dxa"/>
          </w:tcPr>
          <w:p w:rsidR="00C052A4" w:rsidRPr="00C052A4" w:rsidRDefault="00F74C1C" w:rsidP="000C214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(118.4)</w:t>
            </w:r>
          </w:p>
        </w:tc>
      </w:tr>
    </w:tbl>
    <w:p w:rsidR="000D1F14" w:rsidRPr="0005794A" w:rsidRDefault="000D1F14" w:rsidP="00335596">
      <w:pPr>
        <w:pStyle w:val="Subtitle"/>
        <w:rPr>
          <w:color w:val="548DD4" w:themeColor="text2" w:themeTint="99"/>
          <w:sz w:val="22"/>
          <w:szCs w:val="22"/>
        </w:rPr>
      </w:pPr>
    </w:p>
    <w:p w:rsidR="00E51139" w:rsidRPr="0040734D" w:rsidRDefault="00FE0163" w:rsidP="005B3D95">
      <w:pPr>
        <w:pStyle w:val="Subtitle"/>
        <w:ind w:left="567" w:hanging="567"/>
        <w:rPr>
          <w:b/>
          <w:color w:val="auto"/>
          <w:sz w:val="22"/>
          <w:szCs w:val="22"/>
        </w:rPr>
      </w:pPr>
      <w:r w:rsidRPr="0040734D">
        <w:rPr>
          <w:b/>
          <w:color w:val="auto"/>
          <w:sz w:val="22"/>
          <w:szCs w:val="22"/>
        </w:rPr>
        <w:t>1</w:t>
      </w:r>
      <w:r w:rsidR="00974DAF" w:rsidRPr="0040734D">
        <w:rPr>
          <w:b/>
          <w:color w:val="auto"/>
          <w:sz w:val="22"/>
          <w:szCs w:val="22"/>
        </w:rPr>
        <w:t>3</w:t>
      </w:r>
      <w:r w:rsidRPr="0040734D">
        <w:rPr>
          <w:b/>
          <w:color w:val="auto"/>
          <w:sz w:val="22"/>
          <w:szCs w:val="22"/>
        </w:rPr>
        <w:t>.</w:t>
      </w:r>
      <w:r w:rsidRPr="0040734D">
        <w:rPr>
          <w:b/>
          <w:color w:val="auto"/>
          <w:sz w:val="22"/>
          <w:szCs w:val="22"/>
        </w:rPr>
        <w:tab/>
      </w:r>
      <w:r w:rsidR="00E51139" w:rsidRPr="0040734D">
        <w:rPr>
          <w:b/>
          <w:color w:val="auto"/>
          <w:sz w:val="22"/>
          <w:szCs w:val="22"/>
        </w:rPr>
        <w:t>Prope</w:t>
      </w:r>
      <w:r w:rsidR="00D74D23" w:rsidRPr="0040734D">
        <w:rPr>
          <w:b/>
          <w:color w:val="auto"/>
          <w:sz w:val="22"/>
          <w:szCs w:val="22"/>
        </w:rPr>
        <w:t xml:space="preserve">rty, Plant and Equipment </w:t>
      </w:r>
    </w:p>
    <w:p w:rsidR="00E51139" w:rsidRPr="0040734D" w:rsidRDefault="00E51139" w:rsidP="008D0906">
      <w:pPr>
        <w:pStyle w:val="ExampleSub"/>
        <w:keepNext w:val="0"/>
        <w:keepLines w:val="0"/>
        <w:outlineLvl w:val="0"/>
        <w:rPr>
          <w:rFonts w:ascii="Arial" w:hAnsi="Arial" w:cs="Arial"/>
          <w:bCs w:val="0"/>
          <w:color w:val="auto"/>
          <w:sz w:val="20"/>
          <w:szCs w:val="20"/>
        </w:rPr>
      </w:pPr>
      <w:r w:rsidRPr="0040734D">
        <w:rPr>
          <w:rFonts w:ascii="Arial" w:hAnsi="Arial" w:cs="Arial"/>
          <w:bCs w:val="0"/>
          <w:color w:val="auto"/>
          <w:sz w:val="20"/>
          <w:szCs w:val="20"/>
        </w:rPr>
        <w:t>Measurement Basis</w:t>
      </w:r>
    </w:p>
    <w:p w:rsidR="00E51139" w:rsidRPr="0040734D" w:rsidRDefault="00E51139" w:rsidP="00AE29C3">
      <w:pPr>
        <w:pStyle w:val="ExampleSub"/>
        <w:keepNext w:val="0"/>
        <w:keepLines w:val="0"/>
        <w:spacing w:line="240" w:lineRule="auto"/>
        <w:rPr>
          <w:rFonts w:ascii="Arial" w:hAnsi="Arial" w:cs="Arial"/>
          <w:b w:val="0"/>
          <w:bCs w:val="0"/>
          <w:color w:val="auto"/>
          <w:sz w:val="20"/>
          <w:szCs w:val="20"/>
        </w:rPr>
      </w:pPr>
      <w:proofErr w:type="spellStart"/>
      <w:r w:rsidRPr="0040734D">
        <w:rPr>
          <w:rFonts w:ascii="Arial" w:hAnsi="Arial" w:cs="Arial"/>
          <w:b w:val="0"/>
          <w:bCs w:val="0"/>
          <w:color w:val="auto"/>
          <w:sz w:val="20"/>
          <w:szCs w:val="20"/>
        </w:rPr>
        <w:t>Non Current</w:t>
      </w:r>
      <w:proofErr w:type="spellEnd"/>
      <w:r w:rsidRPr="0040734D">
        <w:rPr>
          <w:rFonts w:ascii="Arial" w:hAnsi="Arial" w:cs="Arial"/>
          <w:b w:val="0"/>
          <w:bCs w:val="0"/>
          <w:color w:val="auto"/>
          <w:sz w:val="20"/>
          <w:szCs w:val="20"/>
        </w:rPr>
        <w:t xml:space="preserve"> assets are valued at fair value for their particular asset type (category).  Fair Value will therefore reflect:</w:t>
      </w:r>
    </w:p>
    <w:p w:rsidR="006055F2" w:rsidRPr="0040734D"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40734D">
        <w:rPr>
          <w:rFonts w:ascii="Arial" w:hAnsi="Arial" w:cs="Arial"/>
          <w:b w:val="0"/>
          <w:bCs w:val="0"/>
          <w:color w:val="auto"/>
          <w:sz w:val="20"/>
          <w:szCs w:val="20"/>
        </w:rPr>
        <w:t xml:space="preserve">Existing Use Value for most categories of Property Plant and Equipment </w:t>
      </w:r>
      <w:r w:rsidR="00D74D23" w:rsidRPr="0040734D">
        <w:rPr>
          <w:rFonts w:ascii="Arial" w:hAnsi="Arial" w:cs="Arial"/>
          <w:b w:val="0"/>
          <w:bCs w:val="0"/>
          <w:color w:val="auto"/>
          <w:sz w:val="20"/>
          <w:szCs w:val="20"/>
        </w:rPr>
        <w:t>(P,P&amp;E)</w:t>
      </w:r>
    </w:p>
    <w:p w:rsidR="00E51139" w:rsidRPr="0040734D"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40734D">
        <w:rPr>
          <w:rFonts w:ascii="Arial" w:hAnsi="Arial" w:cs="Arial"/>
          <w:b w:val="0"/>
          <w:bCs w:val="0"/>
          <w:color w:val="auto"/>
          <w:sz w:val="20"/>
          <w:szCs w:val="20"/>
        </w:rPr>
        <w:t>Depreciated Replacement Cost for assets of a specialised nature with no readily identifiable market</w:t>
      </w:r>
    </w:p>
    <w:p w:rsidR="00E51139" w:rsidRPr="0040734D"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40734D">
        <w:rPr>
          <w:rFonts w:ascii="Arial" w:hAnsi="Arial" w:cs="Arial"/>
          <w:b w:val="0"/>
          <w:bCs w:val="0"/>
          <w:color w:val="auto"/>
          <w:sz w:val="20"/>
          <w:szCs w:val="20"/>
        </w:rPr>
        <w:t>Depreciated Historical Cost for Community, Infrastructure and Vehicles, Plant and Equipment</w:t>
      </w:r>
    </w:p>
    <w:p w:rsidR="00E51139" w:rsidRPr="0040734D"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40734D">
        <w:rPr>
          <w:rFonts w:ascii="Arial" w:hAnsi="Arial" w:cs="Arial"/>
          <w:b w:val="0"/>
          <w:bCs w:val="0"/>
          <w:color w:val="auto"/>
          <w:sz w:val="20"/>
          <w:szCs w:val="20"/>
        </w:rPr>
        <w:t>Historical Cost for Assets under Construction</w:t>
      </w:r>
    </w:p>
    <w:p w:rsidR="00E51139" w:rsidRPr="0040734D" w:rsidRDefault="00E51139" w:rsidP="008D0906">
      <w:pPr>
        <w:pStyle w:val="ExampleSub"/>
        <w:keepNext w:val="0"/>
        <w:keepLines w:val="0"/>
        <w:outlineLvl w:val="0"/>
        <w:rPr>
          <w:rFonts w:ascii="Arial" w:hAnsi="Arial" w:cs="Arial"/>
          <w:bCs w:val="0"/>
          <w:color w:val="auto"/>
          <w:sz w:val="20"/>
          <w:szCs w:val="20"/>
        </w:rPr>
      </w:pPr>
      <w:r w:rsidRPr="0040734D">
        <w:rPr>
          <w:rFonts w:ascii="Arial" w:hAnsi="Arial" w:cs="Arial"/>
          <w:bCs w:val="0"/>
          <w:color w:val="auto"/>
          <w:sz w:val="20"/>
          <w:szCs w:val="20"/>
        </w:rPr>
        <w:t>Depreciation method</w:t>
      </w:r>
    </w:p>
    <w:p w:rsidR="00E51139" w:rsidRPr="0040734D" w:rsidRDefault="00E51139" w:rsidP="00AE29C3">
      <w:pPr>
        <w:pStyle w:val="ExampleSub"/>
        <w:keepNext w:val="0"/>
        <w:keepLines w:val="0"/>
        <w:spacing w:line="240" w:lineRule="auto"/>
        <w:rPr>
          <w:rFonts w:ascii="Arial" w:hAnsi="Arial" w:cs="Arial"/>
          <w:b w:val="0"/>
          <w:bCs w:val="0"/>
          <w:color w:val="auto"/>
          <w:sz w:val="20"/>
          <w:szCs w:val="20"/>
        </w:rPr>
      </w:pPr>
      <w:r w:rsidRPr="0040734D">
        <w:rPr>
          <w:rFonts w:ascii="Arial" w:hAnsi="Arial" w:cs="Arial"/>
          <w:b w:val="0"/>
          <w:bCs w:val="0"/>
          <w:color w:val="auto"/>
          <w:sz w:val="20"/>
          <w:szCs w:val="20"/>
        </w:rPr>
        <w:t>Assets are depreciated on a straight line basis over the useful life of each asset to reflect the pattern in which the asset’s service potential is expected to be used.</w:t>
      </w:r>
    </w:p>
    <w:p w:rsidR="00E51139" w:rsidRPr="0040734D" w:rsidRDefault="00E51139" w:rsidP="00AE29C3">
      <w:pPr>
        <w:pStyle w:val="ExampleSub"/>
        <w:keepNext w:val="0"/>
        <w:keepLines w:val="0"/>
        <w:spacing w:line="240" w:lineRule="auto"/>
        <w:rPr>
          <w:rFonts w:ascii="Arial" w:hAnsi="Arial" w:cs="Arial"/>
          <w:b w:val="0"/>
          <w:bCs w:val="0"/>
          <w:color w:val="auto"/>
          <w:sz w:val="20"/>
          <w:szCs w:val="20"/>
        </w:rPr>
      </w:pPr>
      <w:r w:rsidRPr="0040734D">
        <w:rPr>
          <w:rFonts w:ascii="Arial" w:hAnsi="Arial" w:cs="Arial"/>
          <w:b w:val="0"/>
          <w:bCs w:val="0"/>
          <w:color w:val="auto"/>
          <w:sz w:val="20"/>
          <w:szCs w:val="20"/>
        </w:rPr>
        <w:t>Depreciation is applied to all asset types with the exception of land which is not depreciated due to its nature.</w:t>
      </w:r>
    </w:p>
    <w:p w:rsidR="00E51139" w:rsidRPr="0040734D" w:rsidRDefault="00E51139" w:rsidP="008D0906">
      <w:pPr>
        <w:pStyle w:val="ExampleSub"/>
        <w:keepNext w:val="0"/>
        <w:keepLines w:val="0"/>
        <w:outlineLvl w:val="0"/>
        <w:rPr>
          <w:rFonts w:ascii="Arial" w:hAnsi="Arial" w:cs="Arial"/>
          <w:bCs w:val="0"/>
          <w:color w:val="auto"/>
          <w:sz w:val="20"/>
          <w:szCs w:val="20"/>
        </w:rPr>
      </w:pPr>
      <w:r w:rsidRPr="0040734D">
        <w:rPr>
          <w:rFonts w:ascii="Arial" w:hAnsi="Arial" w:cs="Arial"/>
          <w:bCs w:val="0"/>
          <w:color w:val="auto"/>
          <w:sz w:val="20"/>
          <w:szCs w:val="20"/>
        </w:rPr>
        <w:t>Useful lives used</w:t>
      </w:r>
    </w:p>
    <w:p w:rsidR="00E51139" w:rsidRPr="0040734D" w:rsidRDefault="00E51139" w:rsidP="008D0906">
      <w:pPr>
        <w:pStyle w:val="ExampleSub"/>
        <w:keepNext w:val="0"/>
        <w:keepLines w:val="0"/>
        <w:spacing w:line="240" w:lineRule="auto"/>
        <w:outlineLvl w:val="0"/>
        <w:rPr>
          <w:rFonts w:ascii="Arial" w:hAnsi="Arial" w:cs="Arial"/>
          <w:b w:val="0"/>
          <w:bCs w:val="0"/>
          <w:color w:val="auto"/>
          <w:sz w:val="20"/>
          <w:szCs w:val="20"/>
        </w:rPr>
      </w:pPr>
      <w:r w:rsidRPr="0040734D">
        <w:rPr>
          <w:rFonts w:ascii="Arial" w:hAnsi="Arial" w:cs="Arial"/>
          <w:b w:val="0"/>
          <w:bCs w:val="0"/>
          <w:color w:val="auto"/>
          <w:sz w:val="20"/>
          <w:szCs w:val="20"/>
        </w:rPr>
        <w:t>The useful life of an asset represents the period over which an asset is expected to be of use in providing services for the Council.</w:t>
      </w:r>
    </w:p>
    <w:p w:rsidR="00730D43" w:rsidRPr="0040734D" w:rsidRDefault="00730D43" w:rsidP="00730D43">
      <w:pPr>
        <w:pStyle w:val="ExampleSub"/>
        <w:keepNext w:val="0"/>
        <w:keepLines w:val="0"/>
        <w:spacing w:before="0" w:line="240" w:lineRule="auto"/>
        <w:ind w:left="0"/>
        <w:outlineLvl w:val="0"/>
        <w:rPr>
          <w:rFonts w:ascii="Arial" w:hAnsi="Arial" w:cs="Arial"/>
          <w:b w:val="0"/>
          <w:bCs w:val="0"/>
          <w:color w:val="auto"/>
          <w:sz w:val="20"/>
          <w:szCs w:val="20"/>
        </w:rPr>
      </w:pPr>
    </w:p>
    <w:p w:rsidR="006055F2" w:rsidRPr="0040734D" w:rsidRDefault="00E51139" w:rsidP="008D0906">
      <w:pPr>
        <w:pStyle w:val="ExampleSub"/>
        <w:keepNext w:val="0"/>
        <w:keepLines w:val="0"/>
        <w:spacing w:before="0" w:line="240" w:lineRule="auto"/>
        <w:outlineLvl w:val="0"/>
        <w:rPr>
          <w:rFonts w:ascii="Arial" w:hAnsi="Arial" w:cs="Arial"/>
          <w:b w:val="0"/>
          <w:bCs w:val="0"/>
          <w:color w:val="auto"/>
          <w:sz w:val="20"/>
          <w:szCs w:val="20"/>
        </w:rPr>
      </w:pPr>
      <w:r w:rsidRPr="0040734D">
        <w:rPr>
          <w:rFonts w:ascii="Arial" w:hAnsi="Arial" w:cs="Arial"/>
          <w:bCs w:val="0"/>
          <w:color w:val="auto"/>
          <w:sz w:val="20"/>
          <w:szCs w:val="20"/>
        </w:rPr>
        <w:t>Movements on Balances</w:t>
      </w:r>
    </w:p>
    <w:p w:rsidR="00AE29C3" w:rsidRPr="0040734D" w:rsidRDefault="00AE29C3" w:rsidP="006055F2">
      <w:pPr>
        <w:pStyle w:val="ExampleSub"/>
        <w:keepNext w:val="0"/>
        <w:keepLines w:val="0"/>
        <w:spacing w:before="0" w:line="240" w:lineRule="auto"/>
        <w:outlineLvl w:val="0"/>
        <w:rPr>
          <w:rFonts w:ascii="Arial" w:hAnsi="Arial" w:cs="Arial"/>
          <w:b w:val="0"/>
          <w:bCs w:val="0"/>
          <w:color w:val="auto"/>
          <w:sz w:val="20"/>
          <w:szCs w:val="20"/>
        </w:rPr>
      </w:pPr>
    </w:p>
    <w:p w:rsidR="006055F2" w:rsidRPr="0040734D" w:rsidRDefault="00E51139" w:rsidP="006055F2">
      <w:pPr>
        <w:pStyle w:val="ExampleSub"/>
        <w:keepNext w:val="0"/>
        <w:keepLines w:val="0"/>
        <w:spacing w:before="0" w:line="240" w:lineRule="auto"/>
        <w:outlineLvl w:val="0"/>
        <w:rPr>
          <w:rFonts w:ascii="Arial" w:hAnsi="Arial" w:cs="Arial"/>
          <w:b w:val="0"/>
          <w:bCs w:val="0"/>
          <w:color w:val="auto"/>
          <w:sz w:val="20"/>
          <w:szCs w:val="20"/>
        </w:rPr>
      </w:pPr>
      <w:r w:rsidRPr="0040734D">
        <w:rPr>
          <w:rFonts w:ascii="Arial" w:hAnsi="Arial" w:cs="Arial"/>
          <w:b w:val="0"/>
          <w:bCs w:val="0"/>
          <w:color w:val="auto"/>
          <w:sz w:val="20"/>
          <w:szCs w:val="20"/>
        </w:rPr>
        <w:t>Reconciliation of movements in 201</w:t>
      </w:r>
      <w:r w:rsidR="0040734D" w:rsidRPr="0040734D">
        <w:rPr>
          <w:rFonts w:ascii="Arial" w:hAnsi="Arial" w:cs="Arial"/>
          <w:b w:val="0"/>
          <w:bCs w:val="0"/>
          <w:color w:val="auto"/>
          <w:sz w:val="20"/>
          <w:szCs w:val="20"/>
        </w:rPr>
        <w:t>7</w:t>
      </w:r>
      <w:r w:rsidR="009674C2" w:rsidRPr="0040734D">
        <w:rPr>
          <w:rFonts w:ascii="Arial" w:hAnsi="Arial" w:cs="Arial"/>
          <w:b w:val="0"/>
          <w:bCs w:val="0"/>
          <w:color w:val="auto"/>
          <w:sz w:val="20"/>
          <w:szCs w:val="20"/>
        </w:rPr>
        <w:t>/1</w:t>
      </w:r>
      <w:r w:rsidR="0040734D" w:rsidRPr="0040734D">
        <w:rPr>
          <w:rFonts w:ascii="Arial" w:hAnsi="Arial" w:cs="Arial"/>
          <w:b w:val="0"/>
          <w:bCs w:val="0"/>
          <w:color w:val="auto"/>
          <w:sz w:val="20"/>
          <w:szCs w:val="20"/>
        </w:rPr>
        <w:t>8</w:t>
      </w:r>
      <w:r w:rsidR="00FB7939" w:rsidRPr="0040734D">
        <w:rPr>
          <w:rFonts w:ascii="Arial" w:hAnsi="Arial" w:cs="Arial"/>
          <w:b w:val="0"/>
          <w:bCs w:val="0"/>
          <w:color w:val="auto"/>
          <w:sz w:val="20"/>
          <w:szCs w:val="20"/>
        </w:rPr>
        <w:t>,</w:t>
      </w:r>
      <w:r w:rsidRPr="0040734D">
        <w:rPr>
          <w:rFonts w:ascii="Arial" w:hAnsi="Arial" w:cs="Arial"/>
          <w:b w:val="0"/>
          <w:bCs w:val="0"/>
          <w:color w:val="auto"/>
          <w:sz w:val="20"/>
          <w:szCs w:val="20"/>
        </w:rPr>
        <w:t xml:space="preserve"> and the prior year 20</w:t>
      </w:r>
      <w:r w:rsidR="009674C2" w:rsidRPr="0040734D">
        <w:rPr>
          <w:rFonts w:ascii="Arial" w:hAnsi="Arial" w:cs="Arial"/>
          <w:b w:val="0"/>
          <w:bCs w:val="0"/>
          <w:color w:val="auto"/>
          <w:sz w:val="20"/>
          <w:szCs w:val="20"/>
        </w:rPr>
        <w:t>1</w:t>
      </w:r>
      <w:r w:rsidR="0040734D" w:rsidRPr="0040734D">
        <w:rPr>
          <w:rFonts w:ascii="Arial" w:hAnsi="Arial" w:cs="Arial"/>
          <w:b w:val="0"/>
          <w:bCs w:val="0"/>
          <w:color w:val="auto"/>
          <w:sz w:val="20"/>
          <w:szCs w:val="20"/>
        </w:rPr>
        <w:t>6</w:t>
      </w:r>
      <w:r w:rsidR="009674C2" w:rsidRPr="0040734D">
        <w:rPr>
          <w:rFonts w:ascii="Arial" w:hAnsi="Arial" w:cs="Arial"/>
          <w:b w:val="0"/>
          <w:bCs w:val="0"/>
          <w:color w:val="auto"/>
          <w:sz w:val="20"/>
          <w:szCs w:val="20"/>
        </w:rPr>
        <w:t>/1</w:t>
      </w:r>
      <w:r w:rsidR="0040734D" w:rsidRPr="0040734D">
        <w:rPr>
          <w:rFonts w:ascii="Arial" w:hAnsi="Arial" w:cs="Arial"/>
          <w:b w:val="0"/>
          <w:bCs w:val="0"/>
          <w:color w:val="auto"/>
          <w:sz w:val="20"/>
          <w:szCs w:val="20"/>
        </w:rPr>
        <w:t>7</w:t>
      </w:r>
      <w:r w:rsidR="00FB7939" w:rsidRPr="0040734D">
        <w:rPr>
          <w:rFonts w:ascii="Arial" w:hAnsi="Arial" w:cs="Arial"/>
          <w:b w:val="0"/>
          <w:bCs w:val="0"/>
          <w:color w:val="auto"/>
          <w:sz w:val="20"/>
          <w:szCs w:val="20"/>
        </w:rPr>
        <w:t>,</w:t>
      </w:r>
      <w:r w:rsidRPr="0040734D">
        <w:rPr>
          <w:rFonts w:ascii="Arial" w:hAnsi="Arial" w:cs="Arial"/>
          <w:b w:val="0"/>
          <w:bCs w:val="0"/>
          <w:color w:val="auto"/>
          <w:sz w:val="20"/>
          <w:szCs w:val="20"/>
        </w:rPr>
        <w:t xml:space="preserve"> in Property, Plant and Equipment by category of asset</w:t>
      </w:r>
      <w:r w:rsidR="00335596" w:rsidRPr="0040734D">
        <w:rPr>
          <w:rFonts w:ascii="Arial" w:hAnsi="Arial" w:cs="Arial"/>
          <w:b w:val="0"/>
          <w:bCs w:val="0"/>
          <w:color w:val="auto"/>
          <w:sz w:val="20"/>
          <w:szCs w:val="20"/>
        </w:rPr>
        <w:t>s is shown in the tables below</w:t>
      </w:r>
      <w:r w:rsidR="004C1441" w:rsidRPr="0040734D">
        <w:rPr>
          <w:rFonts w:ascii="Arial" w:hAnsi="Arial" w:cs="Arial"/>
          <w:b w:val="0"/>
          <w:bCs w:val="0"/>
          <w:color w:val="auto"/>
          <w:sz w:val="20"/>
          <w:szCs w:val="20"/>
        </w:rPr>
        <w:t>:</w:t>
      </w:r>
    </w:p>
    <w:p w:rsidR="00974DAF" w:rsidRPr="0005794A" w:rsidRDefault="00974DAF" w:rsidP="006055F2">
      <w:pPr>
        <w:pStyle w:val="ExampleSub"/>
        <w:keepNext w:val="0"/>
        <w:keepLines w:val="0"/>
        <w:spacing w:before="0" w:line="240" w:lineRule="auto"/>
        <w:outlineLvl w:val="0"/>
        <w:rPr>
          <w:rFonts w:ascii="Arial" w:hAnsi="Arial" w:cs="Arial"/>
          <w:b w:val="0"/>
          <w:bCs w:val="0"/>
          <w:color w:val="548DD4" w:themeColor="text2" w:themeTint="99"/>
          <w:sz w:val="20"/>
          <w:szCs w:val="20"/>
        </w:rPr>
      </w:pPr>
    </w:p>
    <w:p w:rsidR="00974DAF" w:rsidRPr="0005794A" w:rsidRDefault="00974DAF" w:rsidP="00974DAF">
      <w:pPr>
        <w:pStyle w:val="ExampleSub"/>
        <w:keepNext w:val="0"/>
        <w:keepLines w:val="0"/>
        <w:spacing w:before="0" w:line="240" w:lineRule="auto"/>
        <w:ind w:left="0"/>
        <w:outlineLvl w:val="0"/>
        <w:rPr>
          <w:rFonts w:ascii="Arial" w:hAnsi="Arial" w:cs="Arial"/>
          <w:b w:val="0"/>
          <w:bCs w:val="0"/>
          <w:color w:val="548DD4" w:themeColor="text2" w:themeTint="99"/>
          <w:sz w:val="20"/>
          <w:szCs w:val="20"/>
        </w:rPr>
      </w:pPr>
    </w:p>
    <w:p w:rsidR="005253A3" w:rsidRPr="0005794A" w:rsidRDefault="005253A3" w:rsidP="00974DAF">
      <w:pPr>
        <w:pStyle w:val="ExampleSub"/>
        <w:keepNext w:val="0"/>
        <w:keepLines w:val="0"/>
        <w:spacing w:before="0" w:line="240" w:lineRule="auto"/>
        <w:ind w:left="0"/>
        <w:outlineLvl w:val="0"/>
        <w:rPr>
          <w:rFonts w:ascii="Arial" w:hAnsi="Arial" w:cs="Arial"/>
          <w:b w:val="0"/>
          <w:bCs w:val="0"/>
          <w:color w:val="548DD4" w:themeColor="text2" w:themeTint="99"/>
          <w:sz w:val="20"/>
          <w:szCs w:val="20"/>
        </w:rPr>
        <w:sectPr w:rsidR="005253A3" w:rsidRPr="0005794A" w:rsidSect="005253A3">
          <w:pgSz w:w="11906" w:h="16838" w:code="9"/>
          <w:pgMar w:top="1440" w:right="1440" w:bottom="1440" w:left="1440" w:header="544" w:footer="544" w:gutter="0"/>
          <w:cols w:space="708"/>
          <w:titlePg/>
          <w:docGrid w:linePitch="360"/>
        </w:sectPr>
      </w:pPr>
    </w:p>
    <w:tbl>
      <w:tblPr>
        <w:tblStyle w:val="ListTable3-Accent51"/>
        <w:tblpPr w:leftFromText="180" w:rightFromText="180" w:vertAnchor="text" w:horzAnchor="margin" w:tblpXSpec="center" w:tblpY="-467"/>
        <w:tblW w:w="14841" w:type="dxa"/>
        <w:tblLayout w:type="fixed"/>
        <w:tblLook w:val="00A0" w:firstRow="1" w:lastRow="0" w:firstColumn="1" w:lastColumn="0" w:noHBand="0" w:noVBand="0"/>
      </w:tblPr>
      <w:tblGrid>
        <w:gridCol w:w="7636"/>
        <w:gridCol w:w="994"/>
        <w:gridCol w:w="1136"/>
        <w:gridCol w:w="832"/>
        <w:gridCol w:w="873"/>
        <w:gridCol w:w="828"/>
        <w:gridCol w:w="735"/>
        <w:gridCol w:w="994"/>
        <w:gridCol w:w="813"/>
      </w:tblGrid>
      <w:tr w:rsidR="005253A3" w:rsidRPr="0005794A" w:rsidTr="00F0378E">
        <w:trPr>
          <w:cnfStyle w:val="100000000000" w:firstRow="1" w:lastRow="0" w:firstColumn="0" w:lastColumn="0" w:oddVBand="0" w:evenVBand="0" w:oddHBand="0" w:evenHBand="0" w:firstRowFirstColumn="0" w:firstRowLastColumn="0" w:lastRowFirstColumn="0" w:lastRowLastColumn="0"/>
          <w:trHeight w:val="1541"/>
        </w:trPr>
        <w:tc>
          <w:tcPr>
            <w:cnfStyle w:val="001000000100" w:firstRow="0" w:lastRow="0" w:firstColumn="1" w:lastColumn="0" w:oddVBand="0" w:evenVBand="0" w:oddHBand="0" w:evenHBand="0" w:firstRowFirstColumn="1" w:firstRowLastColumn="0" w:lastRowFirstColumn="0" w:lastRowLastColumn="0"/>
            <w:tcW w:w="7636" w:type="dxa"/>
            <w:noWrap/>
          </w:tcPr>
          <w:p w:rsidR="005253A3" w:rsidRPr="00F0378E" w:rsidRDefault="00F0378E" w:rsidP="00F0378E">
            <w:pPr>
              <w:pStyle w:val="CodeNotesExampleText"/>
              <w:spacing w:line="210" w:lineRule="atLeast"/>
              <w:ind w:left="210"/>
              <w:jc w:val="center"/>
              <w:rPr>
                <w:rFonts w:cs="Arial"/>
                <w:b w:val="0"/>
                <w:color w:val="auto"/>
                <w:sz w:val="24"/>
                <w:szCs w:val="24"/>
              </w:rPr>
            </w:pPr>
            <w:r w:rsidRPr="00F0378E">
              <w:rPr>
                <w:rFonts w:cs="Arial"/>
                <w:b w:val="0"/>
                <w:color w:val="auto"/>
                <w:sz w:val="24"/>
                <w:szCs w:val="24"/>
              </w:rPr>
              <w:lastRenderedPageBreak/>
              <w:t>2016/17</w:t>
            </w:r>
            <w:r w:rsidR="005253A3" w:rsidRPr="00F0378E">
              <w:rPr>
                <w:rFonts w:cs="Arial"/>
                <w:b w:val="0"/>
                <w:color w:val="auto"/>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994" w:type="dxa"/>
            <w:textDirection w:val="tbRl"/>
          </w:tcPr>
          <w:p w:rsidR="005253A3" w:rsidRPr="00F0378E" w:rsidRDefault="005253A3" w:rsidP="005253A3">
            <w:pPr>
              <w:pStyle w:val="CodeNotesExampleText"/>
              <w:spacing w:line="210" w:lineRule="atLeast"/>
              <w:ind w:left="105" w:right="113"/>
              <w:jc w:val="center"/>
              <w:rPr>
                <w:rFonts w:cs="Arial"/>
                <w:b w:val="0"/>
                <w:bCs w:val="0"/>
                <w:color w:val="auto"/>
              </w:rPr>
            </w:pPr>
            <w:r w:rsidRPr="00F0378E">
              <w:rPr>
                <w:rFonts w:cs="Arial"/>
                <w:b w:val="0"/>
                <w:bCs w:val="0"/>
                <w:color w:val="auto"/>
              </w:rPr>
              <w:t>Other Land &amp; Buildings</w:t>
            </w:r>
          </w:p>
        </w:tc>
        <w:tc>
          <w:tcPr>
            <w:tcW w:w="1136" w:type="dxa"/>
            <w:textDirection w:val="tbRl"/>
          </w:tcPr>
          <w:p w:rsidR="005253A3" w:rsidRPr="00F0378E" w:rsidRDefault="005253A3" w:rsidP="005253A3">
            <w:pPr>
              <w:pStyle w:val="CodeNotesExampleText"/>
              <w:spacing w:line="210" w:lineRule="atLeast"/>
              <w:ind w:left="105"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F0378E">
              <w:rPr>
                <w:rFonts w:cs="Arial"/>
                <w:b w:val="0"/>
                <w:bCs w:val="0"/>
                <w:color w:val="auto"/>
              </w:rPr>
              <w:t xml:space="preserve">Vehicles, Plant &amp; </w:t>
            </w:r>
            <w:proofErr w:type="spellStart"/>
            <w:r w:rsidRPr="00F0378E">
              <w:rPr>
                <w:rFonts w:cs="Arial"/>
                <w:b w:val="0"/>
                <w:bCs w:val="0"/>
                <w:color w:val="auto"/>
              </w:rPr>
              <w:t>Equipm’t</w:t>
            </w:r>
            <w:proofErr w:type="spellEnd"/>
          </w:p>
        </w:tc>
        <w:tc>
          <w:tcPr>
            <w:cnfStyle w:val="000010000000" w:firstRow="0" w:lastRow="0" w:firstColumn="0" w:lastColumn="0" w:oddVBand="1" w:evenVBand="0" w:oddHBand="0" w:evenHBand="0" w:firstRowFirstColumn="0" w:firstRowLastColumn="0" w:lastRowFirstColumn="0" w:lastRowLastColumn="0"/>
            <w:tcW w:w="832" w:type="dxa"/>
            <w:textDirection w:val="tbRl"/>
          </w:tcPr>
          <w:p w:rsidR="005253A3" w:rsidRPr="00F0378E" w:rsidRDefault="005253A3" w:rsidP="005253A3">
            <w:pPr>
              <w:pStyle w:val="CodeNotesExampleText"/>
              <w:spacing w:line="210" w:lineRule="atLeast"/>
              <w:ind w:left="105" w:right="113"/>
              <w:jc w:val="center"/>
              <w:rPr>
                <w:rFonts w:cs="Arial"/>
                <w:b w:val="0"/>
                <w:bCs w:val="0"/>
                <w:color w:val="auto"/>
              </w:rPr>
            </w:pPr>
            <w:r w:rsidRPr="00F0378E">
              <w:rPr>
                <w:rFonts w:cs="Arial"/>
                <w:b w:val="0"/>
                <w:bCs w:val="0"/>
                <w:color w:val="auto"/>
              </w:rPr>
              <w:t>Infra - structure Assets</w:t>
            </w:r>
          </w:p>
        </w:tc>
        <w:tc>
          <w:tcPr>
            <w:tcW w:w="873" w:type="dxa"/>
            <w:textDirection w:val="tbRl"/>
          </w:tcPr>
          <w:p w:rsidR="005253A3" w:rsidRPr="00F0378E" w:rsidRDefault="005253A3" w:rsidP="005253A3">
            <w:pPr>
              <w:pStyle w:val="CodeNotesExampleText"/>
              <w:spacing w:line="210" w:lineRule="atLeast"/>
              <w:ind w:left="105"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F0378E">
              <w:rPr>
                <w:rFonts w:cs="Arial"/>
                <w:b w:val="0"/>
                <w:bCs w:val="0"/>
                <w:color w:val="auto"/>
              </w:rPr>
              <w:t>Community Assets</w:t>
            </w:r>
          </w:p>
        </w:tc>
        <w:tc>
          <w:tcPr>
            <w:cnfStyle w:val="000010000000" w:firstRow="0" w:lastRow="0" w:firstColumn="0" w:lastColumn="0" w:oddVBand="1" w:evenVBand="0" w:oddHBand="0" w:evenHBand="0" w:firstRowFirstColumn="0" w:firstRowLastColumn="0" w:lastRowFirstColumn="0" w:lastRowLastColumn="0"/>
            <w:tcW w:w="828" w:type="dxa"/>
            <w:textDirection w:val="tbRl"/>
          </w:tcPr>
          <w:p w:rsidR="005253A3" w:rsidRPr="00F0378E" w:rsidRDefault="005253A3" w:rsidP="005253A3">
            <w:pPr>
              <w:pStyle w:val="CodeNotesExampleText"/>
              <w:spacing w:line="210" w:lineRule="atLeast"/>
              <w:ind w:left="105" w:right="113"/>
              <w:jc w:val="center"/>
              <w:rPr>
                <w:rFonts w:cs="Arial"/>
                <w:b w:val="0"/>
                <w:bCs w:val="0"/>
                <w:color w:val="auto"/>
              </w:rPr>
            </w:pPr>
            <w:r w:rsidRPr="00F0378E">
              <w:rPr>
                <w:rFonts w:cs="Arial"/>
                <w:b w:val="0"/>
                <w:bCs w:val="0"/>
                <w:color w:val="auto"/>
              </w:rPr>
              <w:t>Surplus Assets</w:t>
            </w:r>
          </w:p>
        </w:tc>
        <w:tc>
          <w:tcPr>
            <w:tcW w:w="735" w:type="dxa"/>
            <w:textDirection w:val="tbRl"/>
          </w:tcPr>
          <w:p w:rsidR="005253A3" w:rsidRPr="00F0378E" w:rsidRDefault="005253A3" w:rsidP="005253A3">
            <w:pPr>
              <w:pStyle w:val="CodeNotesExampleText"/>
              <w:spacing w:line="210" w:lineRule="atLeast"/>
              <w:ind w:left="105"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F0378E">
              <w:rPr>
                <w:rFonts w:cs="Arial"/>
                <w:b w:val="0"/>
                <w:bCs w:val="0"/>
                <w:color w:val="auto"/>
              </w:rPr>
              <w:t>Assets Under Construction</w:t>
            </w:r>
          </w:p>
        </w:tc>
        <w:tc>
          <w:tcPr>
            <w:cnfStyle w:val="000010000000" w:firstRow="0" w:lastRow="0" w:firstColumn="0" w:lastColumn="0" w:oddVBand="1" w:evenVBand="0" w:oddHBand="0" w:evenHBand="0" w:firstRowFirstColumn="0" w:firstRowLastColumn="0" w:lastRowFirstColumn="0" w:lastRowLastColumn="0"/>
            <w:tcW w:w="994" w:type="dxa"/>
            <w:textDirection w:val="tbRl"/>
          </w:tcPr>
          <w:p w:rsidR="005253A3" w:rsidRPr="00F0378E" w:rsidRDefault="005253A3" w:rsidP="005253A3">
            <w:pPr>
              <w:pStyle w:val="CodeNotesExampleText"/>
              <w:spacing w:line="210" w:lineRule="atLeast"/>
              <w:ind w:left="105" w:right="113"/>
              <w:jc w:val="center"/>
              <w:rPr>
                <w:rFonts w:cs="Arial"/>
                <w:b w:val="0"/>
                <w:bCs w:val="0"/>
                <w:color w:val="auto"/>
              </w:rPr>
            </w:pPr>
            <w:r w:rsidRPr="00F0378E">
              <w:rPr>
                <w:rFonts w:cs="Arial"/>
                <w:bCs w:val="0"/>
                <w:color w:val="auto"/>
              </w:rPr>
              <w:t xml:space="preserve">Total  </w:t>
            </w:r>
            <w:r w:rsidRPr="00F0378E">
              <w:rPr>
                <w:rFonts w:cs="Arial"/>
                <w:b w:val="0"/>
                <w:bCs w:val="0"/>
                <w:color w:val="auto"/>
              </w:rPr>
              <w:t xml:space="preserve">    </w:t>
            </w:r>
            <w:r w:rsidRPr="00F0378E">
              <w:rPr>
                <w:rFonts w:cs="Arial"/>
                <w:bCs w:val="0"/>
                <w:color w:val="auto"/>
              </w:rPr>
              <w:t xml:space="preserve">Property, Plant &amp; </w:t>
            </w:r>
            <w:proofErr w:type="spellStart"/>
            <w:r w:rsidRPr="00F0378E">
              <w:rPr>
                <w:rFonts w:cs="Arial"/>
                <w:bCs w:val="0"/>
                <w:color w:val="auto"/>
              </w:rPr>
              <w:t>Equipm’t</w:t>
            </w:r>
            <w:proofErr w:type="spellEnd"/>
          </w:p>
        </w:tc>
        <w:tc>
          <w:tcPr>
            <w:tcW w:w="813" w:type="dxa"/>
            <w:textDirection w:val="tbRl"/>
          </w:tcPr>
          <w:p w:rsidR="005253A3" w:rsidRPr="00F0378E" w:rsidRDefault="005253A3" w:rsidP="005253A3">
            <w:pPr>
              <w:pStyle w:val="CodeNotesExampleText"/>
              <w:spacing w:line="210" w:lineRule="atLeast"/>
              <w:ind w:left="105"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F0378E">
              <w:rPr>
                <w:rFonts w:cs="Arial"/>
                <w:b w:val="0"/>
                <w:bCs w:val="0"/>
                <w:color w:val="auto"/>
              </w:rPr>
              <w:t xml:space="preserve">PFI Assets in </w:t>
            </w:r>
          </w:p>
          <w:p w:rsidR="005253A3" w:rsidRPr="00F0378E" w:rsidRDefault="005253A3" w:rsidP="005253A3">
            <w:pPr>
              <w:pStyle w:val="CodeNotesExampleText"/>
              <w:spacing w:line="210" w:lineRule="atLeast"/>
              <w:ind w:left="105"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F0378E">
              <w:rPr>
                <w:rFonts w:cs="Arial"/>
                <w:b w:val="0"/>
                <w:bCs w:val="0"/>
                <w:color w:val="auto"/>
              </w:rPr>
              <w:t>P, P &amp; E</w:t>
            </w:r>
          </w:p>
        </w:tc>
      </w:tr>
      <w:tr w:rsidR="005253A3" w:rsidRPr="0005794A" w:rsidTr="00F0378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636" w:type="dxa"/>
            <w:noWrap/>
          </w:tcPr>
          <w:p w:rsidR="005253A3" w:rsidRPr="00F0378E" w:rsidRDefault="005253A3" w:rsidP="005253A3">
            <w:pPr>
              <w:pStyle w:val="CodeNotesExampleText"/>
              <w:spacing w:line="210" w:lineRule="atLeast"/>
              <w:ind w:left="105"/>
              <w:jc w:val="center"/>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tcPr>
          <w:p w:rsidR="005253A3" w:rsidRPr="00F0378E" w:rsidRDefault="005253A3" w:rsidP="005253A3">
            <w:pPr>
              <w:pStyle w:val="CodeNotesExampleText"/>
              <w:spacing w:line="210" w:lineRule="atLeast"/>
              <w:jc w:val="center"/>
              <w:rPr>
                <w:rFonts w:cs="Arial"/>
                <w:bCs/>
                <w:color w:val="auto"/>
                <w:sz w:val="20"/>
                <w:szCs w:val="20"/>
              </w:rPr>
            </w:pPr>
            <w:r w:rsidRPr="00F0378E">
              <w:rPr>
                <w:rFonts w:cs="Arial"/>
                <w:bCs/>
                <w:color w:val="auto"/>
                <w:sz w:val="20"/>
                <w:szCs w:val="20"/>
              </w:rPr>
              <w:t>£m</w:t>
            </w:r>
          </w:p>
        </w:tc>
        <w:tc>
          <w:tcPr>
            <w:tcW w:w="1136" w:type="dxa"/>
          </w:tcPr>
          <w:p w:rsidR="005253A3" w:rsidRPr="00F0378E" w:rsidRDefault="005253A3" w:rsidP="005253A3">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0378E">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832" w:type="dxa"/>
          </w:tcPr>
          <w:p w:rsidR="005253A3" w:rsidRPr="00F0378E" w:rsidRDefault="005253A3" w:rsidP="005253A3">
            <w:pPr>
              <w:pStyle w:val="CodeNotesExampleText"/>
              <w:spacing w:line="210" w:lineRule="atLeast"/>
              <w:jc w:val="center"/>
              <w:rPr>
                <w:rFonts w:cs="Arial"/>
                <w:bCs/>
                <w:color w:val="auto"/>
                <w:sz w:val="20"/>
                <w:szCs w:val="20"/>
              </w:rPr>
            </w:pPr>
            <w:r w:rsidRPr="00F0378E">
              <w:rPr>
                <w:rFonts w:cs="Arial"/>
                <w:bCs/>
                <w:color w:val="auto"/>
                <w:sz w:val="20"/>
                <w:szCs w:val="20"/>
              </w:rPr>
              <w:t>£m</w:t>
            </w:r>
          </w:p>
        </w:tc>
        <w:tc>
          <w:tcPr>
            <w:tcW w:w="873" w:type="dxa"/>
          </w:tcPr>
          <w:p w:rsidR="005253A3" w:rsidRPr="00F0378E" w:rsidRDefault="005253A3" w:rsidP="005253A3">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0378E">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828" w:type="dxa"/>
          </w:tcPr>
          <w:p w:rsidR="005253A3" w:rsidRPr="00F0378E" w:rsidRDefault="005253A3" w:rsidP="005253A3">
            <w:pPr>
              <w:pStyle w:val="CodeNotesExampleText"/>
              <w:spacing w:line="210" w:lineRule="atLeast"/>
              <w:jc w:val="center"/>
              <w:rPr>
                <w:rFonts w:cs="Arial"/>
                <w:bCs/>
                <w:color w:val="auto"/>
              </w:rPr>
            </w:pPr>
            <w:r w:rsidRPr="00F0378E">
              <w:rPr>
                <w:rFonts w:cs="Arial"/>
                <w:bCs/>
                <w:color w:val="auto"/>
              </w:rPr>
              <w:t>£m</w:t>
            </w:r>
          </w:p>
        </w:tc>
        <w:tc>
          <w:tcPr>
            <w:tcW w:w="735" w:type="dxa"/>
          </w:tcPr>
          <w:p w:rsidR="005253A3" w:rsidRPr="00F0378E" w:rsidRDefault="005253A3" w:rsidP="005253A3">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0378E">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994" w:type="dxa"/>
          </w:tcPr>
          <w:p w:rsidR="005253A3" w:rsidRPr="00F0378E" w:rsidRDefault="005253A3" w:rsidP="005253A3">
            <w:pPr>
              <w:pStyle w:val="CodeNotesExampleText"/>
              <w:spacing w:line="210" w:lineRule="atLeast"/>
              <w:jc w:val="center"/>
              <w:rPr>
                <w:rFonts w:cs="Arial"/>
                <w:bCs/>
                <w:color w:val="auto"/>
                <w:sz w:val="20"/>
                <w:szCs w:val="20"/>
              </w:rPr>
            </w:pPr>
            <w:r w:rsidRPr="00F0378E">
              <w:rPr>
                <w:rFonts w:cs="Arial"/>
                <w:bCs/>
                <w:color w:val="auto"/>
                <w:sz w:val="20"/>
                <w:szCs w:val="20"/>
              </w:rPr>
              <w:t>£m</w:t>
            </w:r>
          </w:p>
        </w:tc>
        <w:tc>
          <w:tcPr>
            <w:tcW w:w="813" w:type="dxa"/>
          </w:tcPr>
          <w:p w:rsidR="005253A3" w:rsidRPr="00F0378E" w:rsidRDefault="005253A3" w:rsidP="005253A3">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0378E">
              <w:rPr>
                <w:rFonts w:cs="Arial"/>
                <w:bCs/>
                <w:color w:val="auto"/>
                <w:sz w:val="20"/>
                <w:szCs w:val="20"/>
              </w:rPr>
              <w:t>£m</w:t>
            </w:r>
          </w:p>
        </w:tc>
      </w:tr>
      <w:tr w:rsidR="00F0378E" w:rsidRPr="0005794A" w:rsidTr="00F0378E">
        <w:trPr>
          <w:trHeight w:val="459"/>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2"/>
                <w:szCs w:val="22"/>
              </w:rPr>
            </w:pPr>
            <w:r w:rsidRPr="00F0378E">
              <w:rPr>
                <w:rFonts w:cs="Arial"/>
                <w:bCs w:val="0"/>
                <w:color w:val="auto"/>
                <w:sz w:val="22"/>
                <w:szCs w:val="22"/>
              </w:rPr>
              <w:t>Cost or Valuation</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bCs/>
                <w:color w:val="auto"/>
                <w:sz w:val="20"/>
                <w:szCs w:val="20"/>
              </w:rPr>
            </w:pPr>
            <w:r w:rsidRPr="00F0378E">
              <w:rPr>
                <w:rFonts w:cs="Arial"/>
                <w:b/>
                <w:bCs/>
                <w:color w:val="auto"/>
                <w:sz w:val="20"/>
                <w:szCs w:val="20"/>
              </w:rPr>
              <w:t>206.0</w:t>
            </w:r>
          </w:p>
        </w:tc>
        <w:tc>
          <w:tcPr>
            <w:tcW w:w="1136"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F0378E">
              <w:rPr>
                <w:rFonts w:cs="Arial"/>
                <w:b/>
                <w:bCs/>
                <w:color w:val="auto"/>
                <w:sz w:val="20"/>
                <w:szCs w:val="20"/>
              </w:rPr>
              <w:t>17.0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jc w:val="center"/>
              <w:rPr>
                <w:rFonts w:cs="Arial"/>
                <w:b/>
                <w:bCs/>
                <w:color w:val="auto"/>
                <w:sz w:val="20"/>
                <w:szCs w:val="20"/>
              </w:rPr>
            </w:pPr>
            <w:r w:rsidRPr="00F0378E">
              <w:rPr>
                <w:rFonts w:cs="Arial"/>
                <w:b/>
                <w:bCs/>
                <w:color w:val="auto"/>
                <w:sz w:val="20"/>
                <w:szCs w:val="20"/>
              </w:rPr>
              <w:t>120.1</w:t>
            </w:r>
          </w:p>
        </w:tc>
        <w:tc>
          <w:tcPr>
            <w:tcW w:w="873"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F0378E">
              <w:rPr>
                <w:rFonts w:cs="Arial"/>
                <w:b/>
                <w:bCs/>
                <w:color w:val="auto"/>
                <w:sz w:val="20"/>
                <w:szCs w:val="20"/>
              </w:rPr>
              <w:t>7.5</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jc w:val="center"/>
              <w:rPr>
                <w:rFonts w:cs="Arial"/>
                <w:b/>
                <w:bCs/>
                <w:color w:val="auto"/>
                <w:sz w:val="20"/>
                <w:szCs w:val="20"/>
              </w:rPr>
            </w:pPr>
            <w:r w:rsidRPr="00F0378E">
              <w:rPr>
                <w:rFonts w:cs="Arial"/>
                <w:b/>
                <w:bCs/>
                <w:color w:val="auto"/>
                <w:sz w:val="20"/>
                <w:szCs w:val="20"/>
              </w:rPr>
              <w:t>1.0</w:t>
            </w:r>
          </w:p>
        </w:tc>
        <w:tc>
          <w:tcPr>
            <w:tcW w:w="735"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F0378E">
              <w:rPr>
                <w:rFonts w:cs="Arial"/>
                <w:b/>
                <w:bCs/>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bCs/>
                <w:color w:val="auto"/>
                <w:sz w:val="20"/>
                <w:szCs w:val="20"/>
              </w:rPr>
            </w:pPr>
            <w:r w:rsidRPr="00F0378E">
              <w:rPr>
                <w:rFonts w:cs="Arial"/>
                <w:b/>
                <w:bCs/>
                <w:color w:val="auto"/>
                <w:sz w:val="20"/>
                <w:szCs w:val="20"/>
              </w:rPr>
              <w:t>352.1</w:t>
            </w:r>
          </w:p>
        </w:tc>
        <w:tc>
          <w:tcPr>
            <w:tcW w:w="813"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F0378E">
              <w:rPr>
                <w:rFonts w:cs="Arial"/>
                <w:b/>
                <w:bCs/>
                <w:color w:val="auto"/>
                <w:sz w:val="20"/>
                <w:szCs w:val="20"/>
              </w:rPr>
              <w:t>55.4</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color w:val="auto"/>
                <w:sz w:val="20"/>
                <w:szCs w:val="20"/>
              </w:rPr>
            </w:pPr>
            <w:r w:rsidRPr="00F0378E">
              <w:rPr>
                <w:rFonts w:cs="Arial"/>
                <w:color w:val="auto"/>
                <w:sz w:val="20"/>
                <w:szCs w:val="20"/>
              </w:rPr>
              <w:t>As at 1</w:t>
            </w:r>
            <w:r w:rsidRPr="00F0378E">
              <w:rPr>
                <w:rFonts w:cs="Arial"/>
                <w:color w:val="auto"/>
                <w:sz w:val="20"/>
                <w:szCs w:val="20"/>
                <w:vertAlign w:val="superscript"/>
              </w:rPr>
              <w:t>st</w:t>
            </w:r>
            <w:r w:rsidRPr="00F0378E">
              <w:rPr>
                <w:rFonts w:cs="Arial"/>
                <w:color w:val="auto"/>
                <w:sz w:val="20"/>
                <w:szCs w:val="20"/>
              </w:rPr>
              <w:t xml:space="preserve"> April 2016</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bCs/>
                <w:color w:val="auto"/>
                <w:sz w:val="20"/>
                <w:szCs w:val="20"/>
              </w:rPr>
            </w:pPr>
          </w:p>
        </w:tc>
        <w:tc>
          <w:tcPr>
            <w:tcW w:w="1136" w:type="dxa"/>
            <w:vAlign w:val="center"/>
          </w:tcPr>
          <w:p w:rsidR="00F0378E" w:rsidRPr="00F0378E" w:rsidRDefault="00F0378E"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jc w:val="center"/>
              <w:rPr>
                <w:rFonts w:cs="Arial"/>
                <w:b/>
                <w:bCs/>
                <w:color w:val="auto"/>
                <w:sz w:val="20"/>
                <w:szCs w:val="20"/>
              </w:rPr>
            </w:pPr>
          </w:p>
        </w:tc>
        <w:tc>
          <w:tcPr>
            <w:tcW w:w="873" w:type="dxa"/>
            <w:vAlign w:val="center"/>
          </w:tcPr>
          <w:p w:rsidR="00F0378E" w:rsidRPr="00F0378E" w:rsidRDefault="00F0378E"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jc w:val="center"/>
              <w:rPr>
                <w:rFonts w:cs="Arial"/>
                <w:b/>
                <w:bCs/>
                <w:color w:val="auto"/>
                <w:sz w:val="20"/>
                <w:szCs w:val="20"/>
              </w:rPr>
            </w:pPr>
          </w:p>
        </w:tc>
        <w:tc>
          <w:tcPr>
            <w:tcW w:w="735" w:type="dxa"/>
            <w:vAlign w:val="center"/>
          </w:tcPr>
          <w:p w:rsidR="00F0378E" w:rsidRPr="00F0378E" w:rsidRDefault="00F0378E"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bCs/>
                <w:color w:val="auto"/>
                <w:sz w:val="20"/>
                <w:szCs w:val="20"/>
              </w:rPr>
            </w:pPr>
          </w:p>
        </w:tc>
        <w:tc>
          <w:tcPr>
            <w:tcW w:w="813" w:type="dxa"/>
            <w:vAlign w:val="center"/>
          </w:tcPr>
          <w:p w:rsidR="00F0378E" w:rsidRPr="00F0378E" w:rsidRDefault="00F0378E"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r>
      <w:tr w:rsidR="00F0378E" w:rsidRPr="0005794A" w:rsidTr="00F0378E">
        <w:trPr>
          <w:trHeight w:val="24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Additions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color w:val="auto"/>
                <w:sz w:val="20"/>
                <w:szCs w:val="20"/>
              </w:rPr>
            </w:pPr>
            <w:r w:rsidRPr="00F0378E">
              <w:rPr>
                <w:rFonts w:cs="Arial"/>
                <w:color w:val="auto"/>
                <w:sz w:val="20"/>
                <w:szCs w:val="20"/>
              </w:rPr>
              <w:t>1.2</w:t>
            </w:r>
          </w:p>
        </w:tc>
        <w:tc>
          <w:tcPr>
            <w:tcW w:w="1136"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jc w:val="center"/>
              <w:rPr>
                <w:rFonts w:cs="Arial"/>
                <w:color w:val="auto"/>
                <w:sz w:val="20"/>
                <w:szCs w:val="20"/>
              </w:rPr>
            </w:pPr>
            <w:r w:rsidRPr="00F0378E">
              <w:rPr>
                <w:rFonts w:cs="Arial"/>
                <w:color w:val="auto"/>
                <w:sz w:val="20"/>
                <w:szCs w:val="20"/>
              </w:rPr>
              <w:t>7.0</w:t>
            </w:r>
          </w:p>
        </w:tc>
        <w:tc>
          <w:tcPr>
            <w:tcW w:w="873"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1.1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jc w:val="center"/>
              <w:rPr>
                <w:rFonts w:cs="Arial"/>
                <w:bCs/>
                <w:color w:val="auto"/>
                <w:sz w:val="20"/>
                <w:szCs w:val="20"/>
              </w:rPr>
            </w:pPr>
            <w:r w:rsidRPr="00F0378E">
              <w:rPr>
                <w:rFonts w:cs="Arial"/>
                <w:bCs/>
                <w:color w:val="auto"/>
                <w:sz w:val="20"/>
                <w:szCs w:val="20"/>
              </w:rPr>
              <w:t>0</w:t>
            </w:r>
          </w:p>
        </w:tc>
        <w:tc>
          <w:tcPr>
            <w:tcW w:w="735"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color w:val="auto"/>
                <w:sz w:val="20"/>
                <w:szCs w:val="20"/>
              </w:rPr>
            </w:pPr>
            <w:r w:rsidRPr="00F0378E">
              <w:rPr>
                <w:rFonts w:cs="Arial"/>
                <w:b/>
                <w:color w:val="auto"/>
                <w:sz w:val="20"/>
                <w:szCs w:val="20"/>
              </w:rPr>
              <w:t>9.5</w:t>
            </w:r>
          </w:p>
        </w:tc>
        <w:tc>
          <w:tcPr>
            <w:tcW w:w="813"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0.1</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Revaluation increases/ (decreases) recognised in the Revaluation Reserve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color w:val="auto"/>
                <w:sz w:val="20"/>
                <w:szCs w:val="20"/>
              </w:rPr>
            </w:pPr>
            <w:r w:rsidRPr="00F0378E">
              <w:rPr>
                <w:rFonts w:cs="Arial"/>
                <w:color w:val="auto"/>
                <w:sz w:val="20"/>
                <w:szCs w:val="20"/>
              </w:rPr>
              <w:t>0.1</w:t>
            </w:r>
          </w:p>
        </w:tc>
        <w:tc>
          <w:tcPr>
            <w:tcW w:w="1136" w:type="dxa"/>
            <w:vAlign w:val="center"/>
          </w:tcPr>
          <w:p w:rsidR="00F0378E" w:rsidRPr="00F0378E" w:rsidRDefault="00F0378E"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jc w:val="center"/>
              <w:rPr>
                <w:rFonts w:cs="Arial"/>
                <w:color w:val="auto"/>
                <w:sz w:val="20"/>
                <w:szCs w:val="20"/>
              </w:rPr>
            </w:pPr>
            <w:r w:rsidRPr="00F0378E">
              <w:rPr>
                <w:rFonts w:cs="Arial"/>
                <w:color w:val="auto"/>
                <w:sz w:val="20"/>
                <w:szCs w:val="20"/>
              </w:rPr>
              <w:t>0</w:t>
            </w:r>
          </w:p>
        </w:tc>
        <w:tc>
          <w:tcPr>
            <w:tcW w:w="873" w:type="dxa"/>
            <w:vAlign w:val="center"/>
          </w:tcPr>
          <w:p w:rsidR="00F0378E" w:rsidRPr="00F0378E" w:rsidRDefault="00F0378E"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jc w:val="center"/>
              <w:rPr>
                <w:rFonts w:cs="Arial"/>
                <w:bCs/>
                <w:color w:val="auto"/>
                <w:sz w:val="20"/>
                <w:szCs w:val="20"/>
              </w:rPr>
            </w:pPr>
            <w:r w:rsidRPr="00F0378E">
              <w:rPr>
                <w:rFonts w:cs="Arial"/>
                <w:bCs/>
                <w:color w:val="auto"/>
                <w:sz w:val="20"/>
                <w:szCs w:val="20"/>
              </w:rPr>
              <w:t>(0.3)</w:t>
            </w:r>
          </w:p>
        </w:tc>
        <w:tc>
          <w:tcPr>
            <w:tcW w:w="735" w:type="dxa"/>
            <w:vAlign w:val="center"/>
          </w:tcPr>
          <w:p w:rsidR="00F0378E" w:rsidRPr="00F0378E" w:rsidRDefault="00F0378E"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bCs/>
                <w:color w:val="auto"/>
                <w:sz w:val="20"/>
                <w:szCs w:val="20"/>
              </w:rPr>
            </w:pPr>
            <w:r w:rsidRPr="00F0378E">
              <w:rPr>
                <w:rFonts w:cs="Arial"/>
                <w:b/>
                <w:bCs/>
                <w:color w:val="auto"/>
                <w:sz w:val="20"/>
                <w:szCs w:val="20"/>
              </w:rPr>
              <w:t>(0.2)</w:t>
            </w:r>
          </w:p>
        </w:tc>
        <w:tc>
          <w:tcPr>
            <w:tcW w:w="813" w:type="dxa"/>
            <w:vAlign w:val="center"/>
          </w:tcPr>
          <w:p w:rsidR="00F0378E" w:rsidRPr="00F0378E" w:rsidRDefault="00F0378E"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0378E">
              <w:rPr>
                <w:rFonts w:cs="Arial"/>
                <w:bCs/>
                <w:color w:val="auto"/>
                <w:sz w:val="20"/>
                <w:szCs w:val="20"/>
              </w:rPr>
              <w:t>0</w:t>
            </w:r>
          </w:p>
        </w:tc>
      </w:tr>
      <w:tr w:rsidR="00F0378E" w:rsidRPr="0005794A" w:rsidTr="00F0378E">
        <w:trPr>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Revaluation Increases/ (decreases) recognised in the Surplus/Deficit on the Provision of Services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color w:val="auto"/>
                <w:sz w:val="20"/>
                <w:szCs w:val="20"/>
              </w:rPr>
            </w:pPr>
            <w:r w:rsidRPr="00F0378E">
              <w:rPr>
                <w:rFonts w:cs="Arial"/>
                <w:color w:val="auto"/>
                <w:sz w:val="20"/>
                <w:szCs w:val="20"/>
              </w:rPr>
              <w:t>(4.9)</w:t>
            </w:r>
          </w:p>
        </w:tc>
        <w:tc>
          <w:tcPr>
            <w:tcW w:w="1136"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jc w:val="center"/>
              <w:rPr>
                <w:rFonts w:cs="Arial"/>
                <w:color w:val="auto"/>
                <w:sz w:val="20"/>
                <w:szCs w:val="20"/>
              </w:rPr>
            </w:pPr>
            <w:r w:rsidRPr="00F0378E">
              <w:rPr>
                <w:rFonts w:cs="Arial"/>
                <w:color w:val="auto"/>
                <w:sz w:val="20"/>
                <w:szCs w:val="20"/>
              </w:rPr>
              <w:t>0</w:t>
            </w:r>
          </w:p>
        </w:tc>
        <w:tc>
          <w:tcPr>
            <w:tcW w:w="873"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jc w:val="center"/>
              <w:rPr>
                <w:rFonts w:cs="Arial"/>
                <w:bCs/>
                <w:color w:val="auto"/>
                <w:sz w:val="20"/>
                <w:szCs w:val="20"/>
              </w:rPr>
            </w:pPr>
            <w:r w:rsidRPr="00F0378E">
              <w:rPr>
                <w:rFonts w:cs="Arial"/>
                <w:bCs/>
                <w:color w:val="auto"/>
                <w:sz w:val="20"/>
                <w:szCs w:val="20"/>
              </w:rPr>
              <w:t>(0.5)</w:t>
            </w:r>
          </w:p>
        </w:tc>
        <w:tc>
          <w:tcPr>
            <w:tcW w:w="735"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bCs/>
                <w:color w:val="auto"/>
                <w:sz w:val="20"/>
                <w:szCs w:val="20"/>
              </w:rPr>
            </w:pPr>
            <w:r w:rsidRPr="00F0378E">
              <w:rPr>
                <w:rFonts w:cs="Arial"/>
                <w:b/>
                <w:bCs/>
                <w:color w:val="auto"/>
                <w:sz w:val="20"/>
                <w:szCs w:val="20"/>
              </w:rPr>
              <w:t>(5.4)</w:t>
            </w:r>
          </w:p>
        </w:tc>
        <w:tc>
          <w:tcPr>
            <w:tcW w:w="813"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sidRPr="00F0378E">
              <w:rPr>
                <w:rFonts w:cs="Arial"/>
                <w:bCs/>
                <w:color w:val="auto"/>
                <w:sz w:val="20"/>
                <w:szCs w:val="20"/>
              </w:rPr>
              <w:t>0</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proofErr w:type="spellStart"/>
            <w:r w:rsidRPr="00F0378E">
              <w:rPr>
                <w:rFonts w:cs="Arial"/>
                <w:b w:val="0"/>
                <w:color w:val="auto"/>
                <w:sz w:val="20"/>
                <w:szCs w:val="20"/>
              </w:rPr>
              <w:t>Derecognition</w:t>
            </w:r>
            <w:proofErr w:type="spellEnd"/>
            <w:r w:rsidRPr="00F0378E">
              <w:rPr>
                <w:rFonts w:cs="Arial"/>
                <w:b w:val="0"/>
                <w:color w:val="auto"/>
                <w:sz w:val="20"/>
                <w:szCs w:val="20"/>
              </w:rPr>
              <w:t xml:space="preserve"> – Disposals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105"/>
              <w:jc w:val="center"/>
              <w:rPr>
                <w:rFonts w:cs="Arial"/>
                <w:color w:val="auto"/>
                <w:sz w:val="20"/>
                <w:szCs w:val="20"/>
              </w:rPr>
            </w:pPr>
            <w:r w:rsidRPr="00F0378E">
              <w:rPr>
                <w:rFonts w:cs="Arial"/>
                <w:color w:val="auto"/>
                <w:sz w:val="20"/>
                <w:szCs w:val="20"/>
              </w:rPr>
              <w:t>(0.7)</w:t>
            </w:r>
          </w:p>
        </w:tc>
        <w:tc>
          <w:tcPr>
            <w:tcW w:w="1136" w:type="dxa"/>
            <w:vAlign w:val="center"/>
          </w:tcPr>
          <w:p w:rsidR="00F0378E" w:rsidRPr="00F0378E" w:rsidRDefault="00F0378E"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ind w:left="105"/>
              <w:jc w:val="center"/>
              <w:rPr>
                <w:rFonts w:cs="Arial"/>
                <w:color w:val="auto"/>
                <w:sz w:val="20"/>
                <w:szCs w:val="20"/>
              </w:rPr>
            </w:pPr>
            <w:r w:rsidRPr="00F0378E">
              <w:rPr>
                <w:rFonts w:cs="Arial"/>
                <w:color w:val="auto"/>
                <w:sz w:val="20"/>
                <w:szCs w:val="20"/>
              </w:rPr>
              <w:t>0</w:t>
            </w:r>
          </w:p>
        </w:tc>
        <w:tc>
          <w:tcPr>
            <w:tcW w:w="873" w:type="dxa"/>
            <w:vAlign w:val="center"/>
          </w:tcPr>
          <w:p w:rsidR="00F0378E" w:rsidRPr="00F0378E" w:rsidRDefault="00F0378E"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ind w:left="105"/>
              <w:rPr>
                <w:rFonts w:cs="Arial"/>
                <w:color w:val="auto"/>
                <w:sz w:val="20"/>
                <w:szCs w:val="20"/>
              </w:rPr>
            </w:pPr>
            <w:r w:rsidRPr="00F0378E">
              <w:rPr>
                <w:rFonts w:cs="Arial"/>
                <w:color w:val="auto"/>
                <w:sz w:val="20"/>
                <w:szCs w:val="20"/>
              </w:rPr>
              <w:t>0</w:t>
            </w:r>
          </w:p>
        </w:tc>
        <w:tc>
          <w:tcPr>
            <w:tcW w:w="735" w:type="dxa"/>
            <w:vAlign w:val="center"/>
          </w:tcPr>
          <w:p w:rsidR="00F0378E" w:rsidRPr="00F0378E" w:rsidRDefault="00F0378E"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105"/>
              <w:jc w:val="center"/>
              <w:rPr>
                <w:rFonts w:cs="Arial"/>
                <w:b/>
                <w:color w:val="auto"/>
                <w:sz w:val="20"/>
                <w:szCs w:val="20"/>
              </w:rPr>
            </w:pPr>
            <w:r w:rsidRPr="00F0378E">
              <w:rPr>
                <w:rFonts w:cs="Arial"/>
                <w:b/>
                <w:color w:val="auto"/>
                <w:sz w:val="20"/>
                <w:szCs w:val="20"/>
              </w:rPr>
              <w:t>(0.7)</w:t>
            </w:r>
          </w:p>
        </w:tc>
        <w:tc>
          <w:tcPr>
            <w:tcW w:w="813" w:type="dxa"/>
            <w:vAlign w:val="center"/>
          </w:tcPr>
          <w:p w:rsidR="00F0378E" w:rsidRPr="00F0378E" w:rsidRDefault="00F0378E"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r>
      <w:tr w:rsidR="00F0378E" w:rsidRPr="0005794A" w:rsidTr="00F0378E">
        <w:trPr>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Assets reclassified (to)/from Held for Sale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105"/>
              <w:jc w:val="center"/>
              <w:rPr>
                <w:rFonts w:cs="Arial"/>
                <w:color w:val="auto"/>
                <w:sz w:val="20"/>
                <w:szCs w:val="20"/>
              </w:rPr>
            </w:pPr>
            <w:r w:rsidRPr="00F0378E">
              <w:rPr>
                <w:rFonts w:cs="Arial"/>
                <w:color w:val="auto"/>
                <w:sz w:val="20"/>
                <w:szCs w:val="20"/>
              </w:rPr>
              <w:t>(0.4)</w:t>
            </w:r>
          </w:p>
        </w:tc>
        <w:tc>
          <w:tcPr>
            <w:tcW w:w="1136" w:type="dxa"/>
            <w:vAlign w:val="center"/>
          </w:tcPr>
          <w:p w:rsidR="00F0378E" w:rsidRPr="00F0378E" w:rsidRDefault="00F0378E" w:rsidP="00F0378E">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ind w:left="105"/>
              <w:jc w:val="center"/>
              <w:rPr>
                <w:rFonts w:cs="Arial"/>
                <w:color w:val="auto"/>
                <w:sz w:val="20"/>
                <w:szCs w:val="20"/>
              </w:rPr>
            </w:pPr>
            <w:r w:rsidRPr="00F0378E">
              <w:rPr>
                <w:rFonts w:cs="Arial"/>
                <w:color w:val="auto"/>
                <w:sz w:val="20"/>
                <w:szCs w:val="20"/>
              </w:rPr>
              <w:t>0</w:t>
            </w:r>
          </w:p>
        </w:tc>
        <w:tc>
          <w:tcPr>
            <w:tcW w:w="873" w:type="dxa"/>
            <w:vAlign w:val="center"/>
          </w:tcPr>
          <w:p w:rsidR="00F0378E" w:rsidRPr="00F0378E" w:rsidRDefault="00F0378E" w:rsidP="00F0378E">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ind w:left="105"/>
              <w:jc w:val="center"/>
              <w:rPr>
                <w:rFonts w:cs="Arial"/>
                <w:color w:val="auto"/>
                <w:sz w:val="20"/>
                <w:szCs w:val="20"/>
              </w:rPr>
            </w:pPr>
            <w:r w:rsidRPr="00F0378E">
              <w:rPr>
                <w:rFonts w:cs="Arial"/>
                <w:color w:val="auto"/>
                <w:sz w:val="20"/>
                <w:szCs w:val="20"/>
              </w:rPr>
              <w:t>0.8</w:t>
            </w:r>
          </w:p>
        </w:tc>
        <w:tc>
          <w:tcPr>
            <w:tcW w:w="735" w:type="dxa"/>
            <w:vAlign w:val="center"/>
          </w:tcPr>
          <w:p w:rsidR="00F0378E" w:rsidRPr="00F0378E" w:rsidRDefault="00F0378E" w:rsidP="00F0378E">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105"/>
              <w:jc w:val="center"/>
              <w:rPr>
                <w:rFonts w:cs="Arial"/>
                <w:b/>
                <w:color w:val="auto"/>
                <w:sz w:val="20"/>
                <w:szCs w:val="20"/>
              </w:rPr>
            </w:pPr>
            <w:r w:rsidRPr="00F0378E">
              <w:rPr>
                <w:rFonts w:cs="Arial"/>
                <w:b/>
                <w:color w:val="auto"/>
                <w:sz w:val="20"/>
                <w:szCs w:val="20"/>
              </w:rPr>
              <w:t>0.4</w:t>
            </w:r>
          </w:p>
        </w:tc>
        <w:tc>
          <w:tcPr>
            <w:tcW w:w="813" w:type="dxa"/>
            <w:vAlign w:val="center"/>
          </w:tcPr>
          <w:p w:rsidR="00F0378E" w:rsidRPr="00F0378E" w:rsidRDefault="00F0378E" w:rsidP="00F0378E">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Other movements in Cost or Valuation</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105"/>
              <w:jc w:val="center"/>
              <w:rPr>
                <w:rFonts w:cs="Arial"/>
                <w:color w:val="auto"/>
                <w:sz w:val="20"/>
                <w:szCs w:val="20"/>
              </w:rPr>
            </w:pPr>
            <w:r w:rsidRPr="00F0378E">
              <w:rPr>
                <w:rFonts w:cs="Arial"/>
                <w:color w:val="auto"/>
                <w:sz w:val="20"/>
                <w:szCs w:val="20"/>
              </w:rPr>
              <w:t>(0.3)</w:t>
            </w:r>
          </w:p>
        </w:tc>
        <w:tc>
          <w:tcPr>
            <w:tcW w:w="1136" w:type="dxa"/>
            <w:vAlign w:val="center"/>
          </w:tcPr>
          <w:p w:rsidR="00F0378E" w:rsidRPr="00F0378E" w:rsidRDefault="00F0378E"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ind w:left="105"/>
              <w:jc w:val="center"/>
              <w:rPr>
                <w:rFonts w:cs="Arial"/>
                <w:color w:val="auto"/>
                <w:sz w:val="20"/>
                <w:szCs w:val="20"/>
              </w:rPr>
            </w:pPr>
            <w:r w:rsidRPr="00F0378E">
              <w:rPr>
                <w:rFonts w:cs="Arial"/>
                <w:color w:val="auto"/>
                <w:sz w:val="20"/>
                <w:szCs w:val="20"/>
              </w:rPr>
              <w:t>0</w:t>
            </w:r>
          </w:p>
        </w:tc>
        <w:tc>
          <w:tcPr>
            <w:tcW w:w="873" w:type="dxa"/>
            <w:vAlign w:val="center"/>
          </w:tcPr>
          <w:p w:rsidR="00F0378E" w:rsidRPr="00F0378E" w:rsidRDefault="00F0378E"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ind w:left="105"/>
              <w:jc w:val="center"/>
              <w:rPr>
                <w:rFonts w:cs="Arial"/>
                <w:color w:val="auto"/>
                <w:sz w:val="20"/>
                <w:szCs w:val="20"/>
              </w:rPr>
            </w:pPr>
            <w:r w:rsidRPr="00F0378E">
              <w:rPr>
                <w:rFonts w:cs="Arial"/>
                <w:color w:val="auto"/>
                <w:sz w:val="20"/>
                <w:szCs w:val="20"/>
              </w:rPr>
              <w:t>0</w:t>
            </w:r>
          </w:p>
        </w:tc>
        <w:tc>
          <w:tcPr>
            <w:tcW w:w="735" w:type="dxa"/>
            <w:vAlign w:val="center"/>
          </w:tcPr>
          <w:p w:rsidR="00F0378E" w:rsidRPr="00F0378E" w:rsidRDefault="00F0378E"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105"/>
              <w:jc w:val="center"/>
              <w:rPr>
                <w:rFonts w:cs="Arial"/>
                <w:b/>
                <w:color w:val="auto"/>
                <w:sz w:val="20"/>
                <w:szCs w:val="20"/>
              </w:rPr>
            </w:pPr>
            <w:r w:rsidRPr="00F0378E">
              <w:rPr>
                <w:rFonts w:cs="Arial"/>
                <w:b/>
                <w:color w:val="auto"/>
                <w:sz w:val="20"/>
                <w:szCs w:val="20"/>
              </w:rPr>
              <w:t>(0.3)</w:t>
            </w:r>
          </w:p>
        </w:tc>
        <w:tc>
          <w:tcPr>
            <w:tcW w:w="813" w:type="dxa"/>
            <w:vAlign w:val="center"/>
          </w:tcPr>
          <w:p w:rsidR="00F0378E" w:rsidRPr="00F0378E" w:rsidRDefault="00F0378E"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r>
      <w:tr w:rsidR="00F0378E" w:rsidRPr="0005794A" w:rsidTr="00F0378E">
        <w:trPr>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0"/>
                <w:szCs w:val="20"/>
              </w:rPr>
            </w:pPr>
            <w:r w:rsidRPr="00F0378E">
              <w:rPr>
                <w:rFonts w:cs="Arial"/>
                <w:bCs w:val="0"/>
                <w:color w:val="auto"/>
                <w:sz w:val="20"/>
                <w:szCs w:val="20"/>
              </w:rPr>
              <w:t>As at 31</w:t>
            </w:r>
            <w:r w:rsidRPr="00F0378E">
              <w:rPr>
                <w:rFonts w:cs="Arial"/>
                <w:bCs w:val="0"/>
                <w:color w:val="auto"/>
                <w:sz w:val="20"/>
                <w:szCs w:val="20"/>
                <w:vertAlign w:val="superscript"/>
              </w:rPr>
              <w:t>st</w:t>
            </w:r>
            <w:r w:rsidRPr="00F0378E">
              <w:rPr>
                <w:rFonts w:cs="Arial"/>
                <w:bCs w:val="0"/>
                <w:color w:val="auto"/>
                <w:sz w:val="20"/>
                <w:szCs w:val="20"/>
              </w:rPr>
              <w:t xml:space="preserve"> March 2017</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bCs/>
                <w:color w:val="auto"/>
                <w:sz w:val="20"/>
                <w:szCs w:val="20"/>
              </w:rPr>
            </w:pPr>
            <w:r w:rsidRPr="00F0378E">
              <w:rPr>
                <w:rFonts w:cs="Arial"/>
                <w:b/>
                <w:bCs/>
                <w:color w:val="auto"/>
                <w:sz w:val="20"/>
                <w:szCs w:val="20"/>
              </w:rPr>
              <w:t>201.0</w:t>
            </w:r>
          </w:p>
        </w:tc>
        <w:tc>
          <w:tcPr>
            <w:tcW w:w="1136"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F0378E">
              <w:rPr>
                <w:rFonts w:cs="Arial"/>
                <w:b/>
                <w:bCs/>
                <w:color w:val="auto"/>
                <w:sz w:val="20"/>
                <w:szCs w:val="20"/>
              </w:rPr>
              <w:t>17.1</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jc w:val="center"/>
              <w:rPr>
                <w:rFonts w:cs="Arial"/>
                <w:b/>
                <w:bCs/>
                <w:color w:val="auto"/>
                <w:sz w:val="20"/>
                <w:szCs w:val="20"/>
              </w:rPr>
            </w:pPr>
            <w:r w:rsidRPr="00F0378E">
              <w:rPr>
                <w:rFonts w:cs="Arial"/>
                <w:b/>
                <w:bCs/>
                <w:color w:val="auto"/>
                <w:sz w:val="20"/>
                <w:szCs w:val="20"/>
              </w:rPr>
              <w:t>127.1</w:t>
            </w:r>
          </w:p>
        </w:tc>
        <w:tc>
          <w:tcPr>
            <w:tcW w:w="873"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F0378E">
              <w:rPr>
                <w:rFonts w:cs="Arial"/>
                <w:b/>
                <w:bCs/>
                <w:color w:val="auto"/>
                <w:sz w:val="20"/>
                <w:szCs w:val="20"/>
              </w:rPr>
              <w:t>8.6</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jc w:val="center"/>
              <w:rPr>
                <w:rFonts w:cs="Arial"/>
                <w:b/>
                <w:bCs/>
                <w:color w:val="auto"/>
                <w:sz w:val="20"/>
                <w:szCs w:val="20"/>
              </w:rPr>
            </w:pPr>
            <w:r w:rsidRPr="00F0378E">
              <w:rPr>
                <w:rFonts w:cs="Arial"/>
                <w:b/>
                <w:bCs/>
                <w:color w:val="auto"/>
                <w:sz w:val="20"/>
                <w:szCs w:val="20"/>
              </w:rPr>
              <w:t>1.0</w:t>
            </w:r>
          </w:p>
        </w:tc>
        <w:tc>
          <w:tcPr>
            <w:tcW w:w="735"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F0378E">
              <w:rPr>
                <w:rFonts w:cs="Arial"/>
                <w:b/>
                <w:bCs/>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bCs/>
                <w:color w:val="auto"/>
                <w:sz w:val="20"/>
                <w:szCs w:val="20"/>
              </w:rPr>
            </w:pPr>
            <w:r w:rsidRPr="00F0378E">
              <w:rPr>
                <w:rFonts w:cs="Arial"/>
                <w:b/>
                <w:bCs/>
                <w:color w:val="auto"/>
                <w:sz w:val="20"/>
                <w:szCs w:val="20"/>
              </w:rPr>
              <w:t>355.4</w:t>
            </w:r>
          </w:p>
        </w:tc>
        <w:tc>
          <w:tcPr>
            <w:tcW w:w="813"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sidRPr="00F0378E">
              <w:rPr>
                <w:rFonts w:cs="Arial"/>
                <w:b/>
                <w:bCs/>
                <w:color w:val="auto"/>
                <w:sz w:val="20"/>
                <w:szCs w:val="20"/>
              </w:rPr>
              <w:t>55.5</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2"/>
                <w:szCs w:val="22"/>
              </w:rPr>
            </w:pPr>
            <w:r w:rsidRPr="00F0378E">
              <w:rPr>
                <w:rFonts w:cs="Arial"/>
                <w:bCs w:val="0"/>
                <w:color w:val="auto"/>
                <w:sz w:val="22"/>
                <w:szCs w:val="22"/>
              </w:rPr>
              <w:t>Accumulated Depreciation and Impairment</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567"/>
              <w:jc w:val="center"/>
              <w:rPr>
                <w:rFonts w:cs="Arial"/>
                <w:b/>
                <w:color w:val="auto"/>
                <w:sz w:val="20"/>
                <w:szCs w:val="20"/>
              </w:rPr>
            </w:pPr>
          </w:p>
        </w:tc>
        <w:tc>
          <w:tcPr>
            <w:tcW w:w="1136"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ind w:left="567"/>
              <w:jc w:val="center"/>
              <w:rPr>
                <w:rFonts w:cs="Arial"/>
                <w:b/>
                <w:color w:val="auto"/>
                <w:sz w:val="20"/>
                <w:szCs w:val="20"/>
              </w:rPr>
            </w:pPr>
          </w:p>
        </w:tc>
        <w:tc>
          <w:tcPr>
            <w:tcW w:w="873"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ind w:left="567"/>
              <w:jc w:val="center"/>
              <w:rPr>
                <w:rFonts w:cs="Arial"/>
                <w:b/>
                <w:bCs/>
                <w:color w:val="auto"/>
              </w:rPr>
            </w:pPr>
          </w:p>
        </w:tc>
        <w:tc>
          <w:tcPr>
            <w:tcW w:w="735"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567"/>
              <w:jc w:val="center"/>
              <w:rPr>
                <w:rFonts w:cs="Arial"/>
                <w:b/>
                <w:bCs/>
                <w:color w:val="auto"/>
                <w:sz w:val="20"/>
                <w:szCs w:val="20"/>
              </w:rPr>
            </w:pPr>
          </w:p>
        </w:tc>
        <w:tc>
          <w:tcPr>
            <w:tcW w:w="813"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r>
      <w:tr w:rsidR="00F0378E" w:rsidRPr="0005794A" w:rsidTr="00F0378E">
        <w:trPr>
          <w:trHeight w:val="340"/>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color w:val="auto"/>
                <w:sz w:val="20"/>
                <w:szCs w:val="20"/>
              </w:rPr>
            </w:pPr>
            <w:r w:rsidRPr="00F0378E">
              <w:rPr>
                <w:rFonts w:cs="Arial"/>
                <w:color w:val="auto"/>
                <w:sz w:val="20"/>
                <w:szCs w:val="20"/>
              </w:rPr>
              <w:t>As at 1st April 2016</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(7.0)</w:t>
            </w:r>
          </w:p>
        </w:tc>
        <w:tc>
          <w:tcPr>
            <w:tcW w:w="1136"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(14.0)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(28.0)</w:t>
            </w:r>
          </w:p>
        </w:tc>
        <w:tc>
          <w:tcPr>
            <w:tcW w:w="873"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(0.4)</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0</w:t>
            </w:r>
          </w:p>
        </w:tc>
        <w:tc>
          <w:tcPr>
            <w:tcW w:w="735"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(49.4)</w:t>
            </w:r>
          </w:p>
        </w:tc>
        <w:tc>
          <w:tcPr>
            <w:tcW w:w="813"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(0.8)</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Depreciation charge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(4.1)</w:t>
            </w:r>
          </w:p>
        </w:tc>
        <w:tc>
          <w:tcPr>
            <w:tcW w:w="1136"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(0.8)</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(4.2)</w:t>
            </w:r>
          </w:p>
        </w:tc>
        <w:tc>
          <w:tcPr>
            <w:tcW w:w="873"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w:t>
            </w:r>
          </w:p>
        </w:tc>
        <w:tc>
          <w:tcPr>
            <w:tcW w:w="735"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(9.3)</w:t>
            </w:r>
          </w:p>
        </w:tc>
        <w:tc>
          <w:tcPr>
            <w:tcW w:w="813"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(1.5)</w:t>
            </w:r>
          </w:p>
        </w:tc>
      </w:tr>
      <w:tr w:rsidR="00F0378E" w:rsidRPr="0005794A" w:rsidTr="00F0378E">
        <w:trPr>
          <w:trHeight w:val="31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Depreciation written out to the Revaluation Reserve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0.7</w:t>
            </w:r>
          </w:p>
        </w:tc>
        <w:tc>
          <w:tcPr>
            <w:tcW w:w="1136"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w:t>
            </w:r>
          </w:p>
        </w:tc>
        <w:tc>
          <w:tcPr>
            <w:tcW w:w="873"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w:t>
            </w:r>
          </w:p>
        </w:tc>
        <w:tc>
          <w:tcPr>
            <w:tcW w:w="735"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0.7</w:t>
            </w:r>
          </w:p>
        </w:tc>
        <w:tc>
          <w:tcPr>
            <w:tcW w:w="813"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Revaluation Increases/ (decreases) recognised in the Surplus/Deficit on the Provision of Services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0.4</w:t>
            </w:r>
          </w:p>
        </w:tc>
        <w:tc>
          <w:tcPr>
            <w:tcW w:w="1136"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w:t>
            </w:r>
          </w:p>
        </w:tc>
        <w:tc>
          <w:tcPr>
            <w:tcW w:w="873"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w:t>
            </w:r>
          </w:p>
        </w:tc>
        <w:tc>
          <w:tcPr>
            <w:tcW w:w="735"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0.4</w:t>
            </w:r>
          </w:p>
        </w:tc>
        <w:tc>
          <w:tcPr>
            <w:tcW w:w="813"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r>
      <w:tr w:rsidR="00F0378E" w:rsidRPr="0005794A" w:rsidTr="00F0378E">
        <w:trPr>
          <w:trHeight w:val="34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proofErr w:type="spellStart"/>
            <w:r w:rsidRPr="00F0378E">
              <w:rPr>
                <w:rFonts w:cs="Arial"/>
                <w:b w:val="0"/>
                <w:color w:val="auto"/>
                <w:sz w:val="20"/>
                <w:szCs w:val="20"/>
              </w:rPr>
              <w:t>Derecognition</w:t>
            </w:r>
            <w:proofErr w:type="spellEnd"/>
            <w:r w:rsidRPr="00F0378E">
              <w:rPr>
                <w:rFonts w:cs="Arial"/>
                <w:b w:val="0"/>
                <w:color w:val="auto"/>
                <w:sz w:val="20"/>
                <w:szCs w:val="20"/>
              </w:rPr>
              <w:t xml:space="preserve"> – Disposals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0.1</w:t>
            </w:r>
          </w:p>
        </w:tc>
        <w:tc>
          <w:tcPr>
            <w:tcW w:w="1136"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w:t>
            </w:r>
          </w:p>
        </w:tc>
        <w:tc>
          <w:tcPr>
            <w:tcW w:w="873"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w:t>
            </w:r>
          </w:p>
        </w:tc>
        <w:tc>
          <w:tcPr>
            <w:tcW w:w="735"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0.1</w:t>
            </w:r>
          </w:p>
        </w:tc>
        <w:tc>
          <w:tcPr>
            <w:tcW w:w="813"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0378E">
              <w:rPr>
                <w:rFonts w:cs="Arial"/>
                <w:color w:val="auto"/>
                <w:sz w:val="20"/>
                <w:szCs w:val="20"/>
              </w:rPr>
              <w:t>0</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Other movements in Depreciation and Impairment</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w:t>
            </w:r>
          </w:p>
        </w:tc>
        <w:tc>
          <w:tcPr>
            <w:tcW w:w="1136"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w:t>
            </w:r>
          </w:p>
        </w:tc>
        <w:tc>
          <w:tcPr>
            <w:tcW w:w="873"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0</w:t>
            </w:r>
          </w:p>
        </w:tc>
        <w:tc>
          <w:tcPr>
            <w:tcW w:w="735"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0</w:t>
            </w:r>
          </w:p>
        </w:tc>
        <w:tc>
          <w:tcPr>
            <w:tcW w:w="813"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w:t>
            </w:r>
          </w:p>
        </w:tc>
      </w:tr>
      <w:tr w:rsidR="00F0378E" w:rsidRPr="0005794A" w:rsidTr="00F0378E">
        <w:trPr>
          <w:trHeight w:val="307"/>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0"/>
                <w:szCs w:val="20"/>
              </w:rPr>
            </w:pPr>
            <w:r w:rsidRPr="00F0378E">
              <w:rPr>
                <w:rFonts w:cs="Arial"/>
                <w:bCs w:val="0"/>
                <w:color w:val="auto"/>
                <w:sz w:val="20"/>
                <w:szCs w:val="20"/>
              </w:rPr>
              <w:t>As at 31st March 2017</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(9.9)</w:t>
            </w:r>
          </w:p>
        </w:tc>
        <w:tc>
          <w:tcPr>
            <w:tcW w:w="1136"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(14.8)</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(32.2)</w:t>
            </w:r>
          </w:p>
        </w:tc>
        <w:tc>
          <w:tcPr>
            <w:tcW w:w="873"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0</w:t>
            </w:r>
          </w:p>
        </w:tc>
        <w:tc>
          <w:tcPr>
            <w:tcW w:w="735"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(57.5)</w:t>
            </w:r>
          </w:p>
        </w:tc>
        <w:tc>
          <w:tcPr>
            <w:tcW w:w="813"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(2.3)</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2"/>
                <w:szCs w:val="22"/>
              </w:rPr>
            </w:pPr>
            <w:r w:rsidRPr="00F0378E">
              <w:rPr>
                <w:rFonts w:cs="Arial"/>
                <w:bCs w:val="0"/>
                <w:color w:val="auto"/>
                <w:sz w:val="22"/>
                <w:szCs w:val="22"/>
              </w:rPr>
              <w:t>Net Book Value:-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567"/>
              <w:jc w:val="center"/>
              <w:rPr>
                <w:rFonts w:cs="Arial"/>
                <w:b/>
                <w:color w:val="auto"/>
                <w:sz w:val="20"/>
                <w:szCs w:val="20"/>
                <w:highlight w:val="yellow"/>
              </w:rPr>
            </w:pPr>
          </w:p>
        </w:tc>
        <w:tc>
          <w:tcPr>
            <w:tcW w:w="1136" w:type="dxa"/>
            <w:vAlign w:val="center"/>
          </w:tcPr>
          <w:p w:rsidR="00F0378E" w:rsidRPr="00F0378E" w:rsidRDefault="00F0378E"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ind w:left="567"/>
              <w:jc w:val="center"/>
              <w:rPr>
                <w:rFonts w:cs="Arial"/>
                <w:b/>
                <w:color w:val="auto"/>
                <w:sz w:val="20"/>
                <w:szCs w:val="20"/>
              </w:rPr>
            </w:pPr>
          </w:p>
        </w:tc>
        <w:tc>
          <w:tcPr>
            <w:tcW w:w="873"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ind w:left="567"/>
              <w:jc w:val="center"/>
              <w:rPr>
                <w:rFonts w:cs="Arial"/>
                <w:b/>
                <w:bCs/>
                <w:color w:val="auto"/>
              </w:rPr>
            </w:pPr>
          </w:p>
        </w:tc>
        <w:tc>
          <w:tcPr>
            <w:tcW w:w="735"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567"/>
              <w:jc w:val="center"/>
              <w:rPr>
                <w:rFonts w:cs="Arial"/>
                <w:b/>
                <w:bCs/>
                <w:color w:val="auto"/>
                <w:sz w:val="20"/>
                <w:szCs w:val="20"/>
              </w:rPr>
            </w:pPr>
          </w:p>
        </w:tc>
        <w:tc>
          <w:tcPr>
            <w:tcW w:w="813"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r>
      <w:tr w:rsidR="00F0378E" w:rsidRPr="0005794A"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0"/>
                <w:szCs w:val="20"/>
              </w:rPr>
            </w:pPr>
            <w:r w:rsidRPr="00F0378E">
              <w:rPr>
                <w:rFonts w:cs="Arial"/>
                <w:bCs w:val="0"/>
                <w:color w:val="auto"/>
                <w:sz w:val="20"/>
                <w:szCs w:val="20"/>
              </w:rPr>
              <w:t>As at 31</w:t>
            </w:r>
            <w:r w:rsidRPr="00F0378E">
              <w:rPr>
                <w:rFonts w:cs="Arial"/>
                <w:bCs w:val="0"/>
                <w:color w:val="auto"/>
                <w:sz w:val="20"/>
                <w:szCs w:val="20"/>
                <w:vertAlign w:val="superscript"/>
              </w:rPr>
              <w:t>st</w:t>
            </w:r>
            <w:r w:rsidRPr="00F0378E">
              <w:rPr>
                <w:rFonts w:cs="Arial"/>
                <w:bCs w:val="0"/>
                <w:color w:val="auto"/>
                <w:sz w:val="20"/>
                <w:szCs w:val="20"/>
              </w:rPr>
              <w:t xml:space="preserve"> March 2017</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191.1</w:t>
            </w:r>
          </w:p>
        </w:tc>
        <w:tc>
          <w:tcPr>
            <w:tcW w:w="1136"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2.3</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94.9</w:t>
            </w:r>
          </w:p>
        </w:tc>
        <w:tc>
          <w:tcPr>
            <w:tcW w:w="873"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8.0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1.0</w:t>
            </w:r>
          </w:p>
        </w:tc>
        <w:tc>
          <w:tcPr>
            <w:tcW w:w="735"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b/>
                <w:color w:val="auto"/>
                <w:sz w:val="20"/>
                <w:szCs w:val="20"/>
              </w:rPr>
            </w:pPr>
            <w:r w:rsidRPr="00F0378E">
              <w:rPr>
                <w:rFonts w:cs="Arial"/>
                <w:b/>
                <w:color w:val="auto"/>
                <w:sz w:val="20"/>
                <w:szCs w:val="20"/>
              </w:rPr>
              <w:t>297.9</w:t>
            </w:r>
          </w:p>
        </w:tc>
        <w:tc>
          <w:tcPr>
            <w:tcW w:w="813" w:type="dxa"/>
            <w:vAlign w:val="center"/>
          </w:tcPr>
          <w:p w:rsidR="00F0378E" w:rsidRPr="00F0378E" w:rsidRDefault="00F0378E"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53.2</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bCs w:val="0"/>
                <w:color w:val="auto"/>
                <w:sz w:val="20"/>
                <w:szCs w:val="20"/>
              </w:rPr>
            </w:pPr>
            <w:r w:rsidRPr="00F0378E">
              <w:rPr>
                <w:rFonts w:cs="Arial"/>
                <w:b w:val="0"/>
                <w:bCs w:val="0"/>
                <w:color w:val="auto"/>
                <w:sz w:val="20"/>
                <w:szCs w:val="20"/>
              </w:rPr>
              <w:t>As at 31</w:t>
            </w:r>
            <w:r w:rsidRPr="00F0378E">
              <w:rPr>
                <w:rFonts w:cs="Arial"/>
                <w:b w:val="0"/>
                <w:bCs w:val="0"/>
                <w:color w:val="auto"/>
                <w:sz w:val="20"/>
                <w:szCs w:val="20"/>
                <w:vertAlign w:val="superscript"/>
              </w:rPr>
              <w:t>st</w:t>
            </w:r>
            <w:r w:rsidRPr="00F0378E">
              <w:rPr>
                <w:rFonts w:cs="Arial"/>
                <w:b w:val="0"/>
                <w:bCs w:val="0"/>
                <w:color w:val="auto"/>
                <w:sz w:val="20"/>
                <w:szCs w:val="20"/>
              </w:rPr>
              <w:t xml:space="preserve"> March 2016</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199.0</w:t>
            </w:r>
          </w:p>
        </w:tc>
        <w:tc>
          <w:tcPr>
            <w:tcW w:w="1136"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92.1</w:t>
            </w:r>
          </w:p>
        </w:tc>
        <w:tc>
          <w:tcPr>
            <w:tcW w:w="873"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7.1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1.0</w:t>
            </w:r>
          </w:p>
        </w:tc>
        <w:tc>
          <w:tcPr>
            <w:tcW w:w="735"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spacing w:after="0" w:line="210" w:lineRule="atLeast"/>
              <w:jc w:val="center"/>
              <w:rPr>
                <w:rFonts w:cs="Arial"/>
                <w:color w:val="auto"/>
                <w:sz w:val="20"/>
                <w:szCs w:val="20"/>
              </w:rPr>
            </w:pPr>
            <w:r w:rsidRPr="00F0378E">
              <w:rPr>
                <w:rFonts w:cs="Arial"/>
                <w:color w:val="auto"/>
                <w:sz w:val="20"/>
                <w:szCs w:val="20"/>
              </w:rPr>
              <w:t>302.7</w:t>
            </w:r>
          </w:p>
        </w:tc>
        <w:tc>
          <w:tcPr>
            <w:tcW w:w="813" w:type="dxa"/>
            <w:vAlign w:val="center"/>
          </w:tcPr>
          <w:p w:rsidR="00F0378E" w:rsidRPr="00F0378E" w:rsidRDefault="00F0378E"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0378E">
              <w:rPr>
                <w:rFonts w:cs="Arial"/>
                <w:color w:val="auto"/>
                <w:sz w:val="20"/>
                <w:szCs w:val="20"/>
              </w:rPr>
              <w:t>54.6</w:t>
            </w:r>
          </w:p>
        </w:tc>
      </w:tr>
      <w:tr w:rsidR="00F0378E" w:rsidRPr="0005794A" w:rsidTr="00F0378E">
        <w:trPr>
          <w:trHeight w:val="1396"/>
        </w:trPr>
        <w:tc>
          <w:tcPr>
            <w:cnfStyle w:val="001000000000" w:firstRow="0" w:lastRow="0" w:firstColumn="1" w:lastColumn="0" w:oddVBand="0" w:evenVBand="0" w:oddHBand="0" w:evenHBand="0" w:firstRowFirstColumn="0" w:firstRowLastColumn="0" w:lastRowFirstColumn="0" w:lastRowLastColumn="0"/>
            <w:tcW w:w="7636" w:type="dxa"/>
            <w:shd w:val="clear" w:color="auto" w:fill="4BACC6" w:themeFill="accent5"/>
          </w:tcPr>
          <w:p w:rsidR="00F0378E" w:rsidRPr="00F0378E" w:rsidRDefault="00F0378E" w:rsidP="00F0378E">
            <w:pPr>
              <w:pStyle w:val="CodeNotesExampleText"/>
              <w:widowControl w:val="0"/>
              <w:spacing w:line="210" w:lineRule="atLeast"/>
              <w:ind w:left="105"/>
              <w:jc w:val="center"/>
              <w:rPr>
                <w:rFonts w:cs="Arial"/>
                <w:b w:val="0"/>
                <w:color w:val="auto"/>
                <w:sz w:val="24"/>
                <w:szCs w:val="24"/>
              </w:rPr>
            </w:pPr>
          </w:p>
          <w:p w:rsidR="00F0378E" w:rsidRPr="00F0378E" w:rsidRDefault="00F0378E" w:rsidP="00F0378E">
            <w:pPr>
              <w:pStyle w:val="CodeNotesExampleText"/>
              <w:widowControl w:val="0"/>
              <w:spacing w:line="210" w:lineRule="atLeast"/>
              <w:ind w:left="105"/>
              <w:jc w:val="center"/>
              <w:rPr>
                <w:rFonts w:cs="Arial"/>
                <w:b w:val="0"/>
                <w:color w:val="auto"/>
                <w:sz w:val="20"/>
                <w:szCs w:val="20"/>
              </w:rPr>
            </w:pPr>
            <w:r w:rsidRPr="00F0378E">
              <w:rPr>
                <w:rFonts w:cs="Arial"/>
                <w:b w:val="0"/>
                <w:color w:val="auto"/>
                <w:sz w:val="24"/>
                <w:szCs w:val="24"/>
              </w:rPr>
              <w:t xml:space="preserve">2017/18 </w:t>
            </w:r>
          </w:p>
          <w:p w:rsidR="00F0378E" w:rsidRPr="00F0378E" w:rsidRDefault="00F0378E" w:rsidP="00F0378E">
            <w:pPr>
              <w:pStyle w:val="CodeNotesExampleText"/>
              <w:widowControl w:val="0"/>
              <w:spacing w:line="210" w:lineRule="atLeast"/>
              <w:ind w:left="105"/>
              <w:jc w:val="center"/>
              <w:rPr>
                <w:rFonts w:cs="Arial"/>
                <w:b w:val="0"/>
                <w:color w:val="auto"/>
                <w:sz w:val="20"/>
                <w:szCs w:val="20"/>
              </w:rPr>
            </w:pPr>
          </w:p>
          <w:p w:rsidR="00F0378E" w:rsidRPr="00F0378E" w:rsidRDefault="00F0378E" w:rsidP="00F0378E">
            <w:pPr>
              <w:pStyle w:val="CodeNotesExampleText"/>
              <w:widowControl w:val="0"/>
              <w:spacing w:line="210" w:lineRule="atLeast"/>
              <w:ind w:left="105"/>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shd w:val="clear" w:color="auto" w:fill="4BACC6" w:themeFill="accent5"/>
            <w:textDirection w:val="tbRl"/>
          </w:tcPr>
          <w:p w:rsidR="00F0378E" w:rsidRPr="00F0378E" w:rsidRDefault="00F0378E" w:rsidP="00F0378E">
            <w:pPr>
              <w:pStyle w:val="CodeNotesExampleText"/>
              <w:spacing w:line="210" w:lineRule="atLeast"/>
              <w:ind w:left="108" w:right="113"/>
              <w:jc w:val="center"/>
              <w:rPr>
                <w:rFonts w:cs="Arial"/>
                <w:bCs/>
                <w:color w:val="auto"/>
              </w:rPr>
            </w:pPr>
            <w:r w:rsidRPr="00F0378E">
              <w:rPr>
                <w:rFonts w:cs="Arial"/>
                <w:bCs/>
                <w:color w:val="auto"/>
              </w:rPr>
              <w:t>Other Land and Buildings</w:t>
            </w:r>
          </w:p>
        </w:tc>
        <w:tc>
          <w:tcPr>
            <w:tcW w:w="1136" w:type="dxa"/>
            <w:shd w:val="clear" w:color="auto" w:fill="4BACC6" w:themeFill="accent5"/>
            <w:textDirection w:val="tbRl"/>
          </w:tcPr>
          <w:p w:rsidR="00F0378E" w:rsidRPr="00F0378E" w:rsidRDefault="00F0378E" w:rsidP="00F0378E">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F0378E">
              <w:rPr>
                <w:rFonts w:cs="Arial"/>
                <w:bCs/>
                <w:color w:val="auto"/>
              </w:rPr>
              <w:t xml:space="preserve">Vehicles, Plant &amp; </w:t>
            </w:r>
            <w:proofErr w:type="spellStart"/>
            <w:r w:rsidRPr="00F0378E">
              <w:rPr>
                <w:rFonts w:cs="Arial"/>
                <w:bCs/>
                <w:color w:val="auto"/>
              </w:rPr>
              <w:t>Equipm’t</w:t>
            </w:r>
            <w:proofErr w:type="spellEnd"/>
          </w:p>
        </w:tc>
        <w:tc>
          <w:tcPr>
            <w:cnfStyle w:val="000010000000" w:firstRow="0" w:lastRow="0" w:firstColumn="0" w:lastColumn="0" w:oddVBand="1" w:evenVBand="0" w:oddHBand="0" w:evenHBand="0" w:firstRowFirstColumn="0" w:firstRowLastColumn="0" w:lastRowFirstColumn="0" w:lastRowLastColumn="0"/>
            <w:tcW w:w="832" w:type="dxa"/>
            <w:shd w:val="clear" w:color="auto" w:fill="4BACC6" w:themeFill="accent5"/>
            <w:textDirection w:val="tbRl"/>
          </w:tcPr>
          <w:p w:rsidR="00F0378E" w:rsidRPr="00F0378E" w:rsidRDefault="00F0378E" w:rsidP="00F0378E">
            <w:pPr>
              <w:pStyle w:val="CodeNotesExampleText"/>
              <w:widowControl w:val="0"/>
              <w:spacing w:line="210" w:lineRule="atLeast"/>
              <w:ind w:left="105" w:right="113"/>
              <w:jc w:val="center"/>
              <w:rPr>
                <w:rFonts w:cs="Arial"/>
                <w:bCs/>
                <w:color w:val="auto"/>
              </w:rPr>
            </w:pPr>
            <w:r w:rsidRPr="00F0378E">
              <w:rPr>
                <w:rFonts w:cs="Arial"/>
                <w:bCs/>
                <w:color w:val="auto"/>
              </w:rPr>
              <w:t>Infra-structure Assets</w:t>
            </w:r>
          </w:p>
        </w:tc>
        <w:tc>
          <w:tcPr>
            <w:tcW w:w="873" w:type="dxa"/>
            <w:shd w:val="clear" w:color="auto" w:fill="4BACC6" w:themeFill="accent5"/>
            <w:textDirection w:val="tbRl"/>
          </w:tcPr>
          <w:p w:rsidR="00F0378E" w:rsidRPr="00F0378E" w:rsidRDefault="00F0378E" w:rsidP="00F0378E">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F0378E">
              <w:rPr>
                <w:rFonts w:cs="Arial"/>
                <w:bCs/>
                <w:color w:val="auto"/>
              </w:rPr>
              <w:t>Community Assets</w:t>
            </w:r>
          </w:p>
        </w:tc>
        <w:tc>
          <w:tcPr>
            <w:cnfStyle w:val="000010000000" w:firstRow="0" w:lastRow="0" w:firstColumn="0" w:lastColumn="0" w:oddVBand="1" w:evenVBand="0" w:oddHBand="0" w:evenHBand="0" w:firstRowFirstColumn="0" w:firstRowLastColumn="0" w:lastRowFirstColumn="0" w:lastRowLastColumn="0"/>
            <w:tcW w:w="828" w:type="dxa"/>
            <w:shd w:val="clear" w:color="auto" w:fill="4BACC6" w:themeFill="accent5"/>
            <w:textDirection w:val="tbRl"/>
          </w:tcPr>
          <w:p w:rsidR="00F0378E" w:rsidRPr="00F0378E" w:rsidRDefault="00F0378E" w:rsidP="00F0378E">
            <w:pPr>
              <w:pStyle w:val="CodeNotesExampleText"/>
              <w:widowControl w:val="0"/>
              <w:spacing w:line="210" w:lineRule="atLeast"/>
              <w:ind w:left="105" w:right="113"/>
              <w:jc w:val="center"/>
              <w:rPr>
                <w:rFonts w:cs="Arial"/>
                <w:bCs/>
                <w:color w:val="auto"/>
              </w:rPr>
            </w:pPr>
            <w:r w:rsidRPr="00F0378E">
              <w:rPr>
                <w:rFonts w:cs="Arial"/>
                <w:bCs/>
                <w:color w:val="auto"/>
              </w:rPr>
              <w:t>Surplus Assets</w:t>
            </w:r>
          </w:p>
        </w:tc>
        <w:tc>
          <w:tcPr>
            <w:tcW w:w="735" w:type="dxa"/>
            <w:shd w:val="clear" w:color="auto" w:fill="4BACC6" w:themeFill="accent5"/>
            <w:textDirection w:val="tbRl"/>
          </w:tcPr>
          <w:p w:rsidR="00F0378E" w:rsidRPr="00F0378E" w:rsidRDefault="00F0378E" w:rsidP="00F0378E">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F0378E">
              <w:rPr>
                <w:rFonts w:cs="Arial"/>
                <w:bCs/>
                <w:color w:val="auto"/>
              </w:rPr>
              <w:t xml:space="preserve">Assets Under </w:t>
            </w:r>
            <w:proofErr w:type="spellStart"/>
            <w:r w:rsidRPr="00F0378E">
              <w:rPr>
                <w:rFonts w:cs="Arial"/>
                <w:bCs/>
                <w:color w:val="auto"/>
              </w:rPr>
              <w:t>Const</w:t>
            </w:r>
            <w:proofErr w:type="spellEnd"/>
            <w:r w:rsidRPr="00F0378E">
              <w:rPr>
                <w:rFonts w:cs="Arial"/>
                <w:bCs/>
                <w:color w:val="auto"/>
              </w:rPr>
              <w:t>-ruction</w:t>
            </w:r>
          </w:p>
        </w:tc>
        <w:tc>
          <w:tcPr>
            <w:cnfStyle w:val="000010000000" w:firstRow="0" w:lastRow="0" w:firstColumn="0" w:lastColumn="0" w:oddVBand="1" w:evenVBand="0" w:oddHBand="0" w:evenHBand="0" w:firstRowFirstColumn="0" w:firstRowLastColumn="0" w:lastRowFirstColumn="0" w:lastRowLastColumn="0"/>
            <w:tcW w:w="994" w:type="dxa"/>
            <w:shd w:val="clear" w:color="auto" w:fill="4BACC6" w:themeFill="accent5"/>
            <w:textDirection w:val="tbRl"/>
          </w:tcPr>
          <w:p w:rsidR="00F0378E" w:rsidRPr="00F0378E" w:rsidRDefault="00F0378E" w:rsidP="00F0378E">
            <w:pPr>
              <w:pStyle w:val="CodeNotesExampleText"/>
              <w:widowControl w:val="0"/>
              <w:spacing w:line="210" w:lineRule="atLeast"/>
              <w:ind w:left="105" w:right="113"/>
              <w:jc w:val="center"/>
              <w:rPr>
                <w:rFonts w:cs="Arial"/>
                <w:b/>
                <w:bCs/>
                <w:color w:val="auto"/>
              </w:rPr>
            </w:pPr>
            <w:r w:rsidRPr="00F0378E">
              <w:rPr>
                <w:rFonts w:cs="Arial"/>
                <w:b/>
                <w:bCs/>
                <w:color w:val="auto"/>
              </w:rPr>
              <w:t xml:space="preserve">Total      Property, Plant &amp; </w:t>
            </w:r>
            <w:proofErr w:type="spellStart"/>
            <w:r w:rsidRPr="00F0378E">
              <w:rPr>
                <w:rFonts w:cs="Arial"/>
                <w:b/>
                <w:bCs/>
                <w:color w:val="auto"/>
              </w:rPr>
              <w:t>Equipm’t</w:t>
            </w:r>
            <w:proofErr w:type="spellEnd"/>
          </w:p>
        </w:tc>
        <w:tc>
          <w:tcPr>
            <w:tcW w:w="813" w:type="dxa"/>
            <w:shd w:val="clear" w:color="auto" w:fill="4BACC6" w:themeFill="accent5"/>
            <w:textDirection w:val="tbRl"/>
          </w:tcPr>
          <w:p w:rsidR="00F0378E" w:rsidRPr="00F0378E" w:rsidRDefault="00F0378E" w:rsidP="00F0378E">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F0378E">
              <w:rPr>
                <w:rFonts w:cs="Arial"/>
                <w:bCs/>
                <w:color w:val="auto"/>
              </w:rPr>
              <w:t>PFI Assets</w:t>
            </w:r>
          </w:p>
          <w:p w:rsidR="00F0378E" w:rsidRPr="00F0378E" w:rsidRDefault="00F0378E" w:rsidP="00F0378E">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F0378E">
              <w:rPr>
                <w:rFonts w:cs="Arial"/>
                <w:b/>
                <w:bCs/>
                <w:color w:val="auto"/>
              </w:rPr>
              <w:t xml:space="preserve"> </w:t>
            </w:r>
            <w:r w:rsidRPr="00F0378E">
              <w:rPr>
                <w:rFonts w:cs="Arial"/>
                <w:bCs/>
                <w:color w:val="auto"/>
              </w:rPr>
              <w:t xml:space="preserve"> in </w:t>
            </w:r>
          </w:p>
          <w:p w:rsidR="00F0378E" w:rsidRPr="00F0378E" w:rsidRDefault="00F0378E" w:rsidP="00F0378E">
            <w:pPr>
              <w:pStyle w:val="CodeNotesExampleText"/>
              <w:widowControl w:val="0"/>
              <w:spacing w:line="210" w:lineRule="atLeast"/>
              <w:ind w:left="105" w:right="113"/>
              <w:jc w:val="center"/>
              <w:cnfStyle w:val="000000000000" w:firstRow="0" w:lastRow="0" w:firstColumn="0" w:lastColumn="0" w:oddVBand="0" w:evenVBand="0" w:oddHBand="0" w:evenHBand="0" w:firstRowFirstColumn="0" w:firstRowLastColumn="0" w:lastRowFirstColumn="0" w:lastRowLastColumn="0"/>
              <w:rPr>
                <w:rFonts w:cs="Arial"/>
                <w:bCs/>
                <w:color w:val="auto"/>
              </w:rPr>
            </w:pPr>
            <w:r w:rsidRPr="00F0378E">
              <w:rPr>
                <w:rFonts w:cs="Arial"/>
                <w:bCs/>
                <w:color w:val="auto"/>
              </w:rPr>
              <w:t>P,P &amp; E</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636" w:type="dxa"/>
          </w:tcPr>
          <w:p w:rsidR="00F0378E" w:rsidRPr="00F0378E" w:rsidRDefault="00F0378E" w:rsidP="00F0378E">
            <w:pPr>
              <w:pStyle w:val="CodeNotesExampleText"/>
              <w:widowControl w:val="0"/>
              <w:spacing w:line="210" w:lineRule="atLeast"/>
              <w:ind w:left="105"/>
              <w:rPr>
                <w:rFonts w:cs="Arial"/>
                <w:color w:val="auto"/>
                <w:sz w:val="20"/>
                <w:szCs w:val="20"/>
              </w:rPr>
            </w:pPr>
            <w:r w:rsidRPr="00F0378E">
              <w:rPr>
                <w:rFonts w:cs="Arial"/>
                <w:color w:val="auto"/>
                <w:sz w:val="20"/>
                <w:szCs w:val="20"/>
              </w:rPr>
              <w:t> </w:t>
            </w:r>
          </w:p>
        </w:tc>
        <w:tc>
          <w:tcPr>
            <w:cnfStyle w:val="000010000000" w:firstRow="0" w:lastRow="0" w:firstColumn="0" w:lastColumn="0" w:oddVBand="1" w:evenVBand="0" w:oddHBand="0" w:evenHBand="0" w:firstRowFirstColumn="0" w:firstRowLastColumn="0" w:lastRowFirstColumn="0" w:lastRowLastColumn="0"/>
            <w:tcW w:w="994" w:type="dxa"/>
          </w:tcPr>
          <w:p w:rsidR="00F0378E" w:rsidRPr="00F0378E" w:rsidRDefault="00F0378E" w:rsidP="00F0378E">
            <w:pPr>
              <w:pStyle w:val="CodeNotesExampleText"/>
              <w:widowControl w:val="0"/>
              <w:spacing w:line="210" w:lineRule="atLeast"/>
              <w:ind w:left="105"/>
              <w:jc w:val="center"/>
              <w:rPr>
                <w:rFonts w:cs="Arial"/>
                <w:bCs/>
                <w:color w:val="auto"/>
                <w:sz w:val="20"/>
                <w:szCs w:val="20"/>
              </w:rPr>
            </w:pPr>
            <w:r w:rsidRPr="00F0378E">
              <w:rPr>
                <w:rFonts w:cs="Arial"/>
                <w:bCs/>
                <w:color w:val="auto"/>
                <w:sz w:val="20"/>
                <w:szCs w:val="20"/>
              </w:rPr>
              <w:t>£m</w:t>
            </w:r>
          </w:p>
        </w:tc>
        <w:tc>
          <w:tcPr>
            <w:tcW w:w="1136" w:type="dxa"/>
          </w:tcPr>
          <w:p w:rsidR="00F0378E" w:rsidRPr="00F0378E" w:rsidRDefault="00F0378E" w:rsidP="00F0378E">
            <w:pPr>
              <w:pStyle w:val="CodeNotesExampleText"/>
              <w:widowControl w:val="0"/>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0378E">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832" w:type="dxa"/>
          </w:tcPr>
          <w:p w:rsidR="00F0378E" w:rsidRPr="00F0378E" w:rsidRDefault="00F0378E" w:rsidP="00F0378E">
            <w:pPr>
              <w:pStyle w:val="CodeNotesExampleText"/>
              <w:widowControl w:val="0"/>
              <w:spacing w:line="210" w:lineRule="atLeast"/>
              <w:ind w:left="210"/>
              <w:jc w:val="center"/>
              <w:rPr>
                <w:rFonts w:cs="Arial"/>
                <w:bCs/>
                <w:color w:val="auto"/>
                <w:sz w:val="20"/>
                <w:szCs w:val="20"/>
              </w:rPr>
            </w:pPr>
            <w:r w:rsidRPr="00F0378E">
              <w:rPr>
                <w:rFonts w:cs="Arial"/>
                <w:bCs/>
                <w:color w:val="auto"/>
                <w:sz w:val="20"/>
                <w:szCs w:val="20"/>
              </w:rPr>
              <w:t>£m</w:t>
            </w:r>
          </w:p>
        </w:tc>
        <w:tc>
          <w:tcPr>
            <w:tcW w:w="873" w:type="dxa"/>
          </w:tcPr>
          <w:p w:rsidR="00F0378E" w:rsidRPr="00F0378E" w:rsidRDefault="00F0378E" w:rsidP="00F0378E">
            <w:pPr>
              <w:pStyle w:val="CodeNotesExampleText"/>
              <w:widowControl w:val="0"/>
              <w:spacing w:line="210" w:lineRule="atLeast"/>
              <w:ind w:left="21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0378E">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828" w:type="dxa"/>
          </w:tcPr>
          <w:p w:rsidR="00F0378E" w:rsidRPr="00F0378E" w:rsidRDefault="00F0378E" w:rsidP="00F0378E">
            <w:pPr>
              <w:pStyle w:val="CodeNotesExampleText"/>
              <w:widowControl w:val="0"/>
              <w:spacing w:line="210" w:lineRule="atLeast"/>
              <w:ind w:left="105"/>
              <w:jc w:val="center"/>
              <w:rPr>
                <w:rFonts w:cs="Arial"/>
                <w:bCs/>
                <w:color w:val="auto"/>
              </w:rPr>
            </w:pPr>
            <w:r w:rsidRPr="00F0378E">
              <w:rPr>
                <w:rFonts w:cs="Arial"/>
                <w:bCs/>
                <w:color w:val="auto"/>
              </w:rPr>
              <w:t>£m</w:t>
            </w:r>
          </w:p>
        </w:tc>
        <w:tc>
          <w:tcPr>
            <w:tcW w:w="735" w:type="dxa"/>
          </w:tcPr>
          <w:p w:rsidR="00F0378E" w:rsidRPr="00F0378E" w:rsidRDefault="00F0378E" w:rsidP="00F0378E">
            <w:pPr>
              <w:pStyle w:val="CodeNotesExampleText"/>
              <w:widowControl w:val="0"/>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0378E">
              <w:rPr>
                <w:rFonts w:cs="Arial"/>
                <w:bCs/>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994" w:type="dxa"/>
          </w:tcPr>
          <w:p w:rsidR="00F0378E" w:rsidRPr="00F0378E" w:rsidRDefault="00F0378E" w:rsidP="00F0378E">
            <w:pPr>
              <w:pStyle w:val="CodeNotesExampleText"/>
              <w:widowControl w:val="0"/>
              <w:spacing w:line="210" w:lineRule="atLeast"/>
              <w:ind w:left="210"/>
              <w:jc w:val="center"/>
              <w:rPr>
                <w:rFonts w:cs="Arial"/>
                <w:bCs/>
                <w:color w:val="auto"/>
                <w:sz w:val="20"/>
                <w:szCs w:val="20"/>
              </w:rPr>
            </w:pPr>
            <w:r w:rsidRPr="00F0378E">
              <w:rPr>
                <w:rFonts w:cs="Arial"/>
                <w:bCs/>
                <w:color w:val="auto"/>
                <w:sz w:val="20"/>
                <w:szCs w:val="20"/>
              </w:rPr>
              <w:t>£m</w:t>
            </w:r>
          </w:p>
        </w:tc>
        <w:tc>
          <w:tcPr>
            <w:tcW w:w="813" w:type="dxa"/>
          </w:tcPr>
          <w:p w:rsidR="00F0378E" w:rsidRPr="00F0378E" w:rsidRDefault="00F0378E" w:rsidP="00F0378E">
            <w:pPr>
              <w:pStyle w:val="CodeNotesExampleText"/>
              <w:widowControl w:val="0"/>
              <w:spacing w:line="210" w:lineRule="atLeast"/>
              <w:ind w:left="21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0378E">
              <w:rPr>
                <w:rFonts w:cs="Arial"/>
                <w:bCs/>
                <w:color w:val="auto"/>
                <w:sz w:val="20"/>
                <w:szCs w:val="20"/>
              </w:rPr>
              <w:t>£m</w:t>
            </w:r>
          </w:p>
        </w:tc>
      </w:tr>
      <w:tr w:rsidR="00F0378E" w:rsidRPr="0005794A" w:rsidTr="00F0378E">
        <w:trPr>
          <w:trHeight w:val="239"/>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2"/>
                <w:szCs w:val="22"/>
              </w:rPr>
            </w:pPr>
            <w:r w:rsidRPr="00F0378E">
              <w:rPr>
                <w:rFonts w:cs="Arial"/>
                <w:bCs w:val="0"/>
                <w:color w:val="auto"/>
                <w:sz w:val="22"/>
                <w:szCs w:val="22"/>
              </w:rPr>
              <w:t>Cost or Valuation</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bCs/>
                <w:color w:val="auto"/>
                <w:sz w:val="20"/>
                <w:szCs w:val="20"/>
              </w:rPr>
            </w:pPr>
          </w:p>
        </w:tc>
        <w:tc>
          <w:tcPr>
            <w:tcW w:w="1136"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jc w:val="center"/>
              <w:rPr>
                <w:rFonts w:cs="Arial"/>
                <w:b/>
                <w:bCs/>
                <w:color w:val="auto"/>
                <w:sz w:val="20"/>
                <w:szCs w:val="20"/>
              </w:rPr>
            </w:pPr>
          </w:p>
        </w:tc>
        <w:tc>
          <w:tcPr>
            <w:tcW w:w="873"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jc w:val="center"/>
              <w:rPr>
                <w:rFonts w:cs="Arial"/>
                <w:b/>
                <w:bCs/>
                <w:color w:val="auto"/>
                <w:sz w:val="20"/>
                <w:szCs w:val="20"/>
              </w:rPr>
            </w:pPr>
          </w:p>
        </w:tc>
        <w:tc>
          <w:tcPr>
            <w:tcW w:w="735"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jc w:val="center"/>
              <w:rPr>
                <w:rFonts w:cs="Arial"/>
                <w:b/>
                <w:bCs/>
                <w:color w:val="auto"/>
                <w:sz w:val="20"/>
                <w:szCs w:val="20"/>
              </w:rPr>
            </w:pPr>
          </w:p>
        </w:tc>
        <w:tc>
          <w:tcPr>
            <w:tcW w:w="813" w:type="dxa"/>
            <w:vAlign w:val="center"/>
          </w:tcPr>
          <w:p w:rsidR="00F0378E" w:rsidRPr="00F0378E" w:rsidRDefault="00F0378E"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p>
        </w:tc>
      </w:tr>
      <w:tr w:rsidR="00D6245E" w:rsidRPr="0005794A" w:rsidTr="00F0378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636" w:type="dxa"/>
            <w:vAlign w:val="center"/>
          </w:tcPr>
          <w:p w:rsidR="00D6245E" w:rsidRPr="00F0378E" w:rsidRDefault="00D6245E" w:rsidP="00D6245E">
            <w:pPr>
              <w:pStyle w:val="CodeNotesExampleText"/>
              <w:spacing w:line="210" w:lineRule="atLeast"/>
              <w:ind w:left="105"/>
              <w:rPr>
                <w:rFonts w:cs="Arial"/>
                <w:color w:val="auto"/>
                <w:sz w:val="20"/>
                <w:szCs w:val="20"/>
              </w:rPr>
            </w:pPr>
            <w:r w:rsidRPr="00F0378E">
              <w:rPr>
                <w:rFonts w:cs="Arial"/>
                <w:color w:val="auto"/>
                <w:sz w:val="20"/>
                <w:szCs w:val="20"/>
              </w:rPr>
              <w:t>As at 1</w:t>
            </w:r>
            <w:r w:rsidRPr="00F0378E">
              <w:rPr>
                <w:rFonts w:cs="Arial"/>
                <w:color w:val="auto"/>
                <w:sz w:val="20"/>
                <w:szCs w:val="20"/>
                <w:vertAlign w:val="superscript"/>
              </w:rPr>
              <w:t>st</w:t>
            </w:r>
            <w:r w:rsidRPr="00F0378E">
              <w:rPr>
                <w:rFonts w:cs="Arial"/>
                <w:color w:val="auto"/>
                <w:sz w:val="20"/>
                <w:szCs w:val="20"/>
              </w:rPr>
              <w:t xml:space="preserve"> April 2017</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D6245E" w:rsidRPr="00F0378E" w:rsidRDefault="00D6245E" w:rsidP="00D6245E">
            <w:pPr>
              <w:pStyle w:val="CodeNotesExampleText"/>
              <w:spacing w:line="210" w:lineRule="atLeast"/>
              <w:jc w:val="center"/>
              <w:rPr>
                <w:rFonts w:cs="Arial"/>
                <w:b/>
                <w:bCs/>
                <w:color w:val="auto"/>
                <w:sz w:val="20"/>
                <w:szCs w:val="20"/>
              </w:rPr>
            </w:pPr>
            <w:r w:rsidRPr="00F0378E">
              <w:rPr>
                <w:rFonts w:cs="Arial"/>
                <w:b/>
                <w:bCs/>
                <w:color w:val="auto"/>
                <w:sz w:val="20"/>
                <w:szCs w:val="20"/>
              </w:rPr>
              <w:t>201.0</w:t>
            </w:r>
          </w:p>
        </w:tc>
        <w:tc>
          <w:tcPr>
            <w:tcW w:w="1136" w:type="dxa"/>
            <w:vAlign w:val="center"/>
          </w:tcPr>
          <w:p w:rsidR="00D6245E" w:rsidRPr="00F0378E" w:rsidRDefault="00D6245E" w:rsidP="00D6245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F0378E">
              <w:rPr>
                <w:rFonts w:cs="Arial"/>
                <w:b/>
                <w:bCs/>
                <w:color w:val="auto"/>
                <w:sz w:val="20"/>
                <w:szCs w:val="20"/>
              </w:rPr>
              <w:t>17.1</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D6245E" w:rsidRPr="00F0378E" w:rsidRDefault="00D6245E" w:rsidP="00D6245E">
            <w:pPr>
              <w:pStyle w:val="CodeNotesExampleText"/>
              <w:spacing w:line="210" w:lineRule="atLeast"/>
              <w:jc w:val="center"/>
              <w:rPr>
                <w:rFonts w:cs="Arial"/>
                <w:b/>
                <w:bCs/>
                <w:color w:val="auto"/>
                <w:sz w:val="20"/>
                <w:szCs w:val="20"/>
              </w:rPr>
            </w:pPr>
            <w:r w:rsidRPr="00F0378E">
              <w:rPr>
                <w:rFonts w:cs="Arial"/>
                <w:b/>
                <w:bCs/>
                <w:color w:val="auto"/>
                <w:sz w:val="20"/>
                <w:szCs w:val="20"/>
              </w:rPr>
              <w:t>127.1</w:t>
            </w:r>
          </w:p>
        </w:tc>
        <w:tc>
          <w:tcPr>
            <w:tcW w:w="873" w:type="dxa"/>
            <w:vAlign w:val="center"/>
          </w:tcPr>
          <w:p w:rsidR="00D6245E" w:rsidRPr="00F0378E" w:rsidRDefault="00D6245E" w:rsidP="00D6245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F0378E">
              <w:rPr>
                <w:rFonts w:cs="Arial"/>
                <w:b/>
                <w:bCs/>
                <w:color w:val="auto"/>
                <w:sz w:val="20"/>
                <w:szCs w:val="20"/>
              </w:rPr>
              <w:t>8.6</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D6245E" w:rsidRPr="00F0378E" w:rsidRDefault="00D6245E" w:rsidP="00D6245E">
            <w:pPr>
              <w:pStyle w:val="CodeNotesExampleText"/>
              <w:spacing w:line="210" w:lineRule="atLeast"/>
              <w:jc w:val="center"/>
              <w:rPr>
                <w:rFonts w:cs="Arial"/>
                <w:b/>
                <w:bCs/>
                <w:color w:val="auto"/>
                <w:sz w:val="20"/>
                <w:szCs w:val="20"/>
              </w:rPr>
            </w:pPr>
            <w:r w:rsidRPr="00F0378E">
              <w:rPr>
                <w:rFonts w:cs="Arial"/>
                <w:b/>
                <w:bCs/>
                <w:color w:val="auto"/>
                <w:sz w:val="20"/>
                <w:szCs w:val="20"/>
              </w:rPr>
              <w:t>1.0</w:t>
            </w:r>
          </w:p>
        </w:tc>
        <w:tc>
          <w:tcPr>
            <w:tcW w:w="735" w:type="dxa"/>
            <w:vAlign w:val="center"/>
          </w:tcPr>
          <w:p w:rsidR="00D6245E" w:rsidRPr="00F0378E" w:rsidRDefault="00D6245E" w:rsidP="00D6245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F0378E">
              <w:rPr>
                <w:rFonts w:cs="Arial"/>
                <w:b/>
                <w:bCs/>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D6245E" w:rsidRPr="00F0378E" w:rsidRDefault="00D6245E" w:rsidP="00D6245E">
            <w:pPr>
              <w:pStyle w:val="CodeNotesExampleText"/>
              <w:spacing w:line="210" w:lineRule="atLeast"/>
              <w:jc w:val="center"/>
              <w:rPr>
                <w:rFonts w:cs="Arial"/>
                <w:b/>
                <w:bCs/>
                <w:color w:val="auto"/>
                <w:sz w:val="20"/>
                <w:szCs w:val="20"/>
              </w:rPr>
            </w:pPr>
            <w:r w:rsidRPr="00F0378E">
              <w:rPr>
                <w:rFonts w:cs="Arial"/>
                <w:b/>
                <w:bCs/>
                <w:color w:val="auto"/>
                <w:sz w:val="20"/>
                <w:szCs w:val="20"/>
              </w:rPr>
              <w:t>355.4</w:t>
            </w:r>
          </w:p>
        </w:tc>
        <w:tc>
          <w:tcPr>
            <w:tcW w:w="813" w:type="dxa"/>
            <w:vAlign w:val="center"/>
          </w:tcPr>
          <w:p w:rsidR="00D6245E" w:rsidRPr="00F0378E" w:rsidRDefault="00D6245E" w:rsidP="00D6245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r w:rsidRPr="00F0378E">
              <w:rPr>
                <w:rFonts w:cs="Arial"/>
                <w:b/>
                <w:bCs/>
                <w:color w:val="auto"/>
                <w:sz w:val="20"/>
                <w:szCs w:val="20"/>
              </w:rPr>
              <w:t>55.5</w:t>
            </w:r>
          </w:p>
        </w:tc>
      </w:tr>
      <w:tr w:rsidR="00F0378E" w:rsidRPr="0005794A" w:rsidTr="00F0378E">
        <w:trPr>
          <w:trHeight w:val="275"/>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Additions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431ED0" w:rsidP="0048602B">
            <w:pPr>
              <w:pStyle w:val="CodeNotesExampleText"/>
              <w:spacing w:line="210" w:lineRule="atLeast"/>
              <w:jc w:val="center"/>
              <w:rPr>
                <w:rFonts w:cs="Arial"/>
                <w:color w:val="auto"/>
                <w:sz w:val="20"/>
                <w:szCs w:val="20"/>
              </w:rPr>
            </w:pPr>
            <w:r>
              <w:rPr>
                <w:rFonts w:cs="Arial"/>
                <w:color w:val="auto"/>
                <w:sz w:val="20"/>
                <w:szCs w:val="20"/>
              </w:rPr>
              <w:t>6.</w:t>
            </w:r>
            <w:r w:rsidR="0048602B">
              <w:rPr>
                <w:rFonts w:cs="Arial"/>
                <w:color w:val="auto"/>
                <w:sz w:val="20"/>
                <w:szCs w:val="20"/>
              </w:rPr>
              <w:t>3</w:t>
            </w:r>
          </w:p>
        </w:tc>
        <w:tc>
          <w:tcPr>
            <w:tcW w:w="1136" w:type="dxa"/>
            <w:vAlign w:val="center"/>
          </w:tcPr>
          <w:p w:rsidR="00F0378E" w:rsidRPr="00F0378E" w:rsidRDefault="00431ED0"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pStyle w:val="CodeNotesExampleText"/>
              <w:spacing w:line="210" w:lineRule="atLeast"/>
              <w:jc w:val="center"/>
              <w:rPr>
                <w:rFonts w:cs="Arial"/>
                <w:color w:val="auto"/>
                <w:sz w:val="20"/>
                <w:szCs w:val="20"/>
              </w:rPr>
            </w:pPr>
            <w:r>
              <w:rPr>
                <w:rFonts w:cs="Arial"/>
                <w:color w:val="auto"/>
                <w:sz w:val="20"/>
                <w:szCs w:val="20"/>
              </w:rPr>
              <w:t>6.5</w:t>
            </w:r>
          </w:p>
        </w:tc>
        <w:tc>
          <w:tcPr>
            <w:tcW w:w="873" w:type="dxa"/>
            <w:vAlign w:val="center"/>
          </w:tcPr>
          <w:p w:rsidR="00F0378E" w:rsidRPr="00F0378E" w:rsidRDefault="00431ED0"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pStyle w:val="CodeNotesExampleText"/>
              <w:spacing w:line="210" w:lineRule="atLeast"/>
              <w:jc w:val="center"/>
              <w:rPr>
                <w:rFonts w:cs="Arial"/>
                <w:bCs/>
                <w:color w:val="auto"/>
                <w:sz w:val="20"/>
                <w:szCs w:val="20"/>
              </w:rPr>
            </w:pPr>
            <w:r>
              <w:rPr>
                <w:rFonts w:cs="Arial"/>
                <w:bCs/>
                <w:color w:val="auto"/>
                <w:sz w:val="20"/>
                <w:szCs w:val="20"/>
              </w:rPr>
              <w:t>0</w:t>
            </w:r>
          </w:p>
        </w:tc>
        <w:tc>
          <w:tcPr>
            <w:tcW w:w="735" w:type="dxa"/>
            <w:vAlign w:val="center"/>
          </w:tcPr>
          <w:p w:rsidR="00F0378E" w:rsidRPr="00F0378E" w:rsidRDefault="00431ED0"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2.4</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04389" w:rsidP="0048602B">
            <w:pPr>
              <w:pStyle w:val="CodeNotesExampleText"/>
              <w:spacing w:line="210" w:lineRule="atLeast"/>
              <w:jc w:val="center"/>
              <w:rPr>
                <w:rFonts w:cs="Arial"/>
                <w:b/>
                <w:color w:val="auto"/>
                <w:sz w:val="20"/>
                <w:szCs w:val="20"/>
              </w:rPr>
            </w:pPr>
            <w:r>
              <w:rPr>
                <w:rFonts w:cs="Arial"/>
                <w:b/>
                <w:color w:val="auto"/>
                <w:sz w:val="20"/>
                <w:szCs w:val="20"/>
              </w:rPr>
              <w:t>15.</w:t>
            </w:r>
            <w:r w:rsidR="0048602B">
              <w:rPr>
                <w:rFonts w:cs="Arial"/>
                <w:b/>
                <w:color w:val="auto"/>
                <w:sz w:val="20"/>
                <w:szCs w:val="20"/>
              </w:rPr>
              <w:t>9</w:t>
            </w:r>
          </w:p>
        </w:tc>
        <w:tc>
          <w:tcPr>
            <w:tcW w:w="813" w:type="dxa"/>
            <w:vAlign w:val="center"/>
          </w:tcPr>
          <w:p w:rsidR="00F0378E" w:rsidRPr="00F0378E" w:rsidRDefault="0048602B" w:rsidP="0048602B">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0.1</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Revaluation increases/ (decreases) recognised in the Revaluation Reserve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66479" w:rsidP="00431ED0">
            <w:pPr>
              <w:pStyle w:val="CodeNotesExampleText"/>
              <w:spacing w:line="210" w:lineRule="atLeast"/>
              <w:jc w:val="center"/>
              <w:rPr>
                <w:rFonts w:cs="Arial"/>
                <w:color w:val="auto"/>
                <w:sz w:val="20"/>
                <w:szCs w:val="20"/>
              </w:rPr>
            </w:pPr>
            <w:r>
              <w:rPr>
                <w:rFonts w:cs="Arial"/>
                <w:color w:val="auto"/>
                <w:sz w:val="20"/>
                <w:szCs w:val="20"/>
              </w:rPr>
              <w:t>8.1</w:t>
            </w:r>
          </w:p>
        </w:tc>
        <w:tc>
          <w:tcPr>
            <w:tcW w:w="1136" w:type="dxa"/>
            <w:vAlign w:val="center"/>
          </w:tcPr>
          <w:p w:rsidR="00F0378E" w:rsidRPr="00F0378E" w:rsidRDefault="00431ED0"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pStyle w:val="CodeNotesExampleText"/>
              <w:spacing w:line="210" w:lineRule="atLeast"/>
              <w:jc w:val="center"/>
              <w:rPr>
                <w:rFonts w:cs="Arial"/>
                <w:color w:val="auto"/>
                <w:sz w:val="20"/>
                <w:szCs w:val="20"/>
              </w:rPr>
            </w:pPr>
            <w:r>
              <w:rPr>
                <w:rFonts w:cs="Arial"/>
                <w:color w:val="auto"/>
                <w:sz w:val="20"/>
                <w:szCs w:val="20"/>
              </w:rPr>
              <w:t>0</w:t>
            </w:r>
          </w:p>
        </w:tc>
        <w:tc>
          <w:tcPr>
            <w:tcW w:w="873" w:type="dxa"/>
            <w:vAlign w:val="center"/>
          </w:tcPr>
          <w:p w:rsidR="00F0378E" w:rsidRPr="00F0378E" w:rsidRDefault="00431ED0"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pStyle w:val="CodeNotesExampleText"/>
              <w:spacing w:line="210" w:lineRule="atLeast"/>
              <w:jc w:val="center"/>
              <w:rPr>
                <w:rFonts w:cs="Arial"/>
                <w:bCs/>
                <w:color w:val="auto"/>
                <w:sz w:val="20"/>
                <w:szCs w:val="20"/>
              </w:rPr>
            </w:pPr>
            <w:r>
              <w:rPr>
                <w:rFonts w:cs="Arial"/>
                <w:bCs/>
                <w:color w:val="auto"/>
                <w:sz w:val="20"/>
                <w:szCs w:val="20"/>
              </w:rPr>
              <w:t>0</w:t>
            </w:r>
          </w:p>
        </w:tc>
        <w:tc>
          <w:tcPr>
            <w:tcW w:w="735" w:type="dxa"/>
            <w:vAlign w:val="center"/>
          </w:tcPr>
          <w:p w:rsidR="00F0378E" w:rsidRPr="00F0378E" w:rsidRDefault="00431ED0"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66479" w:rsidP="00666479">
            <w:pPr>
              <w:pStyle w:val="CodeNotesExampleText"/>
              <w:spacing w:line="210" w:lineRule="atLeast"/>
              <w:jc w:val="center"/>
              <w:rPr>
                <w:rFonts w:cs="Arial"/>
                <w:b/>
                <w:bCs/>
                <w:color w:val="auto"/>
                <w:sz w:val="20"/>
                <w:szCs w:val="20"/>
              </w:rPr>
            </w:pPr>
            <w:r>
              <w:rPr>
                <w:rFonts w:cs="Arial"/>
                <w:b/>
                <w:bCs/>
                <w:color w:val="auto"/>
                <w:sz w:val="20"/>
                <w:szCs w:val="20"/>
              </w:rPr>
              <w:t>8.1</w:t>
            </w:r>
          </w:p>
        </w:tc>
        <w:tc>
          <w:tcPr>
            <w:tcW w:w="813" w:type="dxa"/>
            <w:vAlign w:val="center"/>
          </w:tcPr>
          <w:p w:rsidR="00F0378E" w:rsidRPr="00F0378E" w:rsidRDefault="00666479" w:rsidP="00666479">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Pr>
                <w:rFonts w:cs="Arial"/>
                <w:bCs/>
                <w:color w:val="auto"/>
                <w:sz w:val="20"/>
                <w:szCs w:val="20"/>
              </w:rPr>
              <w:t>0.3</w:t>
            </w:r>
          </w:p>
        </w:tc>
      </w:tr>
      <w:tr w:rsidR="00F0378E" w:rsidRPr="0005794A"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Revaluation Increases/ (decreases) recognised in the Surplus/Deficit on the Provision of Services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431ED0" w:rsidP="00666479">
            <w:pPr>
              <w:pStyle w:val="CodeNotesExampleText"/>
              <w:spacing w:line="210" w:lineRule="atLeast"/>
              <w:jc w:val="center"/>
              <w:rPr>
                <w:rFonts w:cs="Arial"/>
                <w:color w:val="auto"/>
                <w:sz w:val="20"/>
                <w:szCs w:val="20"/>
              </w:rPr>
            </w:pPr>
            <w:r>
              <w:rPr>
                <w:rFonts w:cs="Arial"/>
                <w:color w:val="auto"/>
                <w:sz w:val="20"/>
                <w:szCs w:val="20"/>
              </w:rPr>
              <w:t>(</w:t>
            </w:r>
            <w:r w:rsidR="00666479">
              <w:rPr>
                <w:rFonts w:cs="Arial"/>
                <w:color w:val="auto"/>
                <w:sz w:val="20"/>
                <w:szCs w:val="20"/>
              </w:rPr>
              <w:t>13</w:t>
            </w:r>
            <w:r>
              <w:rPr>
                <w:rFonts w:cs="Arial"/>
                <w:color w:val="auto"/>
                <w:sz w:val="20"/>
                <w:szCs w:val="20"/>
              </w:rPr>
              <w:t>.3)</w:t>
            </w:r>
          </w:p>
        </w:tc>
        <w:tc>
          <w:tcPr>
            <w:tcW w:w="1136" w:type="dxa"/>
            <w:vAlign w:val="center"/>
          </w:tcPr>
          <w:p w:rsidR="00F0378E" w:rsidRPr="00F0378E" w:rsidRDefault="00431ED0" w:rsidP="00431ED0">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pStyle w:val="CodeNotesExampleText"/>
              <w:spacing w:line="210" w:lineRule="atLeast"/>
              <w:jc w:val="center"/>
              <w:rPr>
                <w:rFonts w:cs="Arial"/>
                <w:color w:val="auto"/>
                <w:sz w:val="20"/>
                <w:szCs w:val="20"/>
              </w:rPr>
            </w:pPr>
            <w:r>
              <w:rPr>
                <w:rFonts w:cs="Arial"/>
                <w:color w:val="auto"/>
                <w:sz w:val="20"/>
                <w:szCs w:val="20"/>
              </w:rPr>
              <w:t>0</w:t>
            </w:r>
          </w:p>
        </w:tc>
        <w:tc>
          <w:tcPr>
            <w:tcW w:w="873" w:type="dxa"/>
            <w:vAlign w:val="center"/>
          </w:tcPr>
          <w:p w:rsidR="00F0378E" w:rsidRPr="00F0378E" w:rsidRDefault="00431ED0"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pStyle w:val="CodeNotesExampleText"/>
              <w:spacing w:line="210" w:lineRule="atLeast"/>
              <w:jc w:val="center"/>
              <w:rPr>
                <w:rFonts w:cs="Arial"/>
                <w:bCs/>
                <w:color w:val="auto"/>
                <w:sz w:val="20"/>
                <w:szCs w:val="20"/>
              </w:rPr>
            </w:pPr>
            <w:r>
              <w:rPr>
                <w:rFonts w:cs="Arial"/>
                <w:bCs/>
                <w:color w:val="auto"/>
                <w:sz w:val="20"/>
                <w:szCs w:val="20"/>
              </w:rPr>
              <w:t>0</w:t>
            </w:r>
          </w:p>
        </w:tc>
        <w:tc>
          <w:tcPr>
            <w:tcW w:w="735" w:type="dxa"/>
            <w:vAlign w:val="center"/>
          </w:tcPr>
          <w:p w:rsidR="00F0378E" w:rsidRPr="00F0378E" w:rsidRDefault="00431ED0"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04389" w:rsidP="00666479">
            <w:pPr>
              <w:pStyle w:val="CodeNotesExampleText"/>
              <w:spacing w:line="210" w:lineRule="atLeast"/>
              <w:jc w:val="center"/>
              <w:rPr>
                <w:rFonts w:cs="Arial"/>
                <w:b/>
                <w:bCs/>
                <w:color w:val="auto"/>
                <w:sz w:val="20"/>
                <w:szCs w:val="20"/>
              </w:rPr>
            </w:pPr>
            <w:r>
              <w:rPr>
                <w:rFonts w:cs="Arial"/>
                <w:b/>
                <w:bCs/>
                <w:color w:val="auto"/>
                <w:sz w:val="20"/>
                <w:szCs w:val="20"/>
              </w:rPr>
              <w:t>(</w:t>
            </w:r>
            <w:r w:rsidR="00666479">
              <w:rPr>
                <w:rFonts w:cs="Arial"/>
                <w:b/>
                <w:bCs/>
                <w:color w:val="auto"/>
                <w:sz w:val="20"/>
                <w:szCs w:val="20"/>
              </w:rPr>
              <w:t>13</w:t>
            </w:r>
            <w:r>
              <w:rPr>
                <w:rFonts w:cs="Arial"/>
                <w:b/>
                <w:bCs/>
                <w:color w:val="auto"/>
                <w:sz w:val="20"/>
                <w:szCs w:val="20"/>
              </w:rPr>
              <w:t>.4)</w:t>
            </w:r>
          </w:p>
        </w:tc>
        <w:tc>
          <w:tcPr>
            <w:tcW w:w="813" w:type="dxa"/>
            <w:vAlign w:val="center"/>
          </w:tcPr>
          <w:p w:rsidR="00F0378E" w:rsidRPr="00F0378E" w:rsidRDefault="00AE2115" w:rsidP="00666479">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Cs/>
                <w:color w:val="auto"/>
                <w:sz w:val="20"/>
                <w:szCs w:val="20"/>
              </w:rPr>
            </w:pPr>
            <w:r>
              <w:rPr>
                <w:rFonts w:cs="Arial"/>
                <w:bCs/>
                <w:color w:val="auto"/>
                <w:sz w:val="20"/>
                <w:szCs w:val="20"/>
              </w:rPr>
              <w:t>(</w:t>
            </w:r>
            <w:r w:rsidR="00666479">
              <w:rPr>
                <w:rFonts w:cs="Arial"/>
                <w:bCs/>
                <w:color w:val="auto"/>
                <w:sz w:val="20"/>
                <w:szCs w:val="20"/>
              </w:rPr>
              <w:t>9.0</w:t>
            </w:r>
            <w:r>
              <w:rPr>
                <w:rFonts w:cs="Arial"/>
                <w:bCs/>
                <w:color w:val="auto"/>
                <w:sz w:val="20"/>
                <w:szCs w:val="20"/>
              </w:rPr>
              <w:t>)</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proofErr w:type="spellStart"/>
            <w:r w:rsidRPr="00F0378E">
              <w:rPr>
                <w:rFonts w:cs="Arial"/>
                <w:b w:val="0"/>
                <w:color w:val="auto"/>
                <w:sz w:val="20"/>
                <w:szCs w:val="20"/>
              </w:rPr>
              <w:t>Derecognition</w:t>
            </w:r>
            <w:proofErr w:type="spellEnd"/>
            <w:r w:rsidRPr="00F0378E">
              <w:rPr>
                <w:rFonts w:cs="Arial"/>
                <w:b w:val="0"/>
                <w:color w:val="auto"/>
                <w:sz w:val="20"/>
                <w:szCs w:val="20"/>
              </w:rPr>
              <w:t xml:space="preserve"> </w:t>
            </w:r>
            <w:r w:rsidR="00C817A0">
              <w:rPr>
                <w:rFonts w:cs="Arial"/>
                <w:b w:val="0"/>
                <w:color w:val="auto"/>
                <w:sz w:val="20"/>
                <w:szCs w:val="20"/>
              </w:rPr>
              <w:t>–</w:t>
            </w:r>
            <w:r w:rsidRPr="00F0378E">
              <w:rPr>
                <w:rFonts w:cs="Arial"/>
                <w:b w:val="0"/>
                <w:color w:val="auto"/>
                <w:sz w:val="20"/>
                <w:szCs w:val="20"/>
              </w:rPr>
              <w:t xml:space="preserve"> Disposals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431ED0" w:rsidP="00F0378E">
            <w:pPr>
              <w:pStyle w:val="CodeNotesExampleText"/>
              <w:spacing w:line="210" w:lineRule="atLeast"/>
              <w:ind w:left="105"/>
              <w:jc w:val="center"/>
              <w:rPr>
                <w:rFonts w:cs="Arial"/>
                <w:color w:val="auto"/>
                <w:sz w:val="20"/>
                <w:szCs w:val="20"/>
              </w:rPr>
            </w:pPr>
            <w:r>
              <w:rPr>
                <w:rFonts w:cs="Arial"/>
                <w:color w:val="auto"/>
                <w:sz w:val="20"/>
                <w:szCs w:val="20"/>
              </w:rPr>
              <w:t>(7.8)</w:t>
            </w:r>
          </w:p>
        </w:tc>
        <w:tc>
          <w:tcPr>
            <w:tcW w:w="1136" w:type="dxa"/>
            <w:vAlign w:val="center"/>
          </w:tcPr>
          <w:p w:rsidR="00F0378E" w:rsidRPr="00F0378E" w:rsidRDefault="00431ED0" w:rsidP="00431ED0">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pStyle w:val="CodeNotesExampleText"/>
              <w:spacing w:line="210" w:lineRule="atLeast"/>
              <w:ind w:left="105"/>
              <w:jc w:val="center"/>
              <w:rPr>
                <w:rFonts w:cs="Arial"/>
                <w:color w:val="auto"/>
                <w:sz w:val="20"/>
                <w:szCs w:val="20"/>
              </w:rPr>
            </w:pPr>
            <w:r>
              <w:rPr>
                <w:rFonts w:cs="Arial"/>
                <w:color w:val="auto"/>
                <w:sz w:val="20"/>
                <w:szCs w:val="20"/>
              </w:rPr>
              <w:t>0</w:t>
            </w:r>
          </w:p>
        </w:tc>
        <w:tc>
          <w:tcPr>
            <w:tcW w:w="873" w:type="dxa"/>
            <w:vAlign w:val="center"/>
          </w:tcPr>
          <w:p w:rsidR="00F0378E" w:rsidRPr="00F0378E" w:rsidRDefault="00431ED0"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431ED0">
            <w:pPr>
              <w:pStyle w:val="CodeNotesExampleText"/>
              <w:spacing w:line="210" w:lineRule="atLeast"/>
              <w:ind w:left="105"/>
              <w:jc w:val="center"/>
              <w:rPr>
                <w:rFonts w:cs="Arial"/>
                <w:color w:val="auto"/>
                <w:sz w:val="20"/>
                <w:szCs w:val="20"/>
              </w:rPr>
            </w:pPr>
            <w:r>
              <w:rPr>
                <w:rFonts w:cs="Arial"/>
                <w:color w:val="auto"/>
                <w:sz w:val="20"/>
                <w:szCs w:val="20"/>
              </w:rPr>
              <w:t>0</w:t>
            </w:r>
          </w:p>
        </w:tc>
        <w:tc>
          <w:tcPr>
            <w:tcW w:w="735" w:type="dxa"/>
            <w:vAlign w:val="center"/>
          </w:tcPr>
          <w:p w:rsidR="00F0378E" w:rsidRPr="00F0378E" w:rsidRDefault="00431ED0"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04389" w:rsidP="00F0378E">
            <w:pPr>
              <w:pStyle w:val="CodeNotesExampleText"/>
              <w:spacing w:line="210" w:lineRule="atLeast"/>
              <w:ind w:left="105"/>
              <w:jc w:val="center"/>
              <w:rPr>
                <w:rFonts w:cs="Arial"/>
                <w:b/>
                <w:color w:val="auto"/>
                <w:sz w:val="20"/>
                <w:szCs w:val="20"/>
              </w:rPr>
            </w:pPr>
            <w:r>
              <w:rPr>
                <w:rFonts w:cs="Arial"/>
                <w:b/>
                <w:color w:val="auto"/>
                <w:sz w:val="20"/>
                <w:szCs w:val="20"/>
              </w:rPr>
              <w:t>(7.8)</w:t>
            </w:r>
          </w:p>
        </w:tc>
        <w:tc>
          <w:tcPr>
            <w:tcW w:w="813" w:type="dxa"/>
            <w:vAlign w:val="center"/>
          </w:tcPr>
          <w:p w:rsidR="00F0378E" w:rsidRPr="00F0378E" w:rsidRDefault="00AE2115"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r>
      <w:tr w:rsidR="00F0378E" w:rsidRPr="0005794A"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Assets reclassified (to)/from Held for Sale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04389" w:rsidP="00F0378E">
            <w:pPr>
              <w:pStyle w:val="CodeNotesExampleText"/>
              <w:spacing w:line="210" w:lineRule="atLeast"/>
              <w:ind w:left="105"/>
              <w:jc w:val="center"/>
              <w:rPr>
                <w:rFonts w:cs="Arial"/>
                <w:color w:val="auto"/>
                <w:sz w:val="20"/>
                <w:szCs w:val="20"/>
              </w:rPr>
            </w:pPr>
            <w:r>
              <w:rPr>
                <w:rFonts w:cs="Arial"/>
                <w:color w:val="auto"/>
                <w:sz w:val="20"/>
                <w:szCs w:val="20"/>
              </w:rPr>
              <w:t>0</w:t>
            </w:r>
          </w:p>
        </w:tc>
        <w:tc>
          <w:tcPr>
            <w:tcW w:w="1136" w:type="dxa"/>
            <w:vAlign w:val="center"/>
          </w:tcPr>
          <w:p w:rsidR="00F0378E" w:rsidRPr="00F0378E" w:rsidRDefault="00431ED0" w:rsidP="00431ED0">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pStyle w:val="CodeNotesExampleText"/>
              <w:spacing w:line="210" w:lineRule="atLeast"/>
              <w:ind w:left="105"/>
              <w:jc w:val="center"/>
              <w:rPr>
                <w:rFonts w:cs="Arial"/>
                <w:color w:val="auto"/>
                <w:sz w:val="20"/>
                <w:szCs w:val="20"/>
              </w:rPr>
            </w:pPr>
            <w:r>
              <w:rPr>
                <w:rFonts w:cs="Arial"/>
                <w:color w:val="auto"/>
                <w:sz w:val="20"/>
                <w:szCs w:val="20"/>
              </w:rPr>
              <w:t>0</w:t>
            </w:r>
          </w:p>
        </w:tc>
        <w:tc>
          <w:tcPr>
            <w:tcW w:w="873" w:type="dxa"/>
            <w:vAlign w:val="center"/>
          </w:tcPr>
          <w:p w:rsidR="00F0378E" w:rsidRPr="00F0378E" w:rsidRDefault="00431ED0" w:rsidP="00F0378E">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9B3396" w:rsidRDefault="009D1640" w:rsidP="00F0378E">
            <w:pPr>
              <w:pStyle w:val="CodeNotesExampleText"/>
              <w:spacing w:line="210" w:lineRule="atLeast"/>
              <w:ind w:left="105"/>
              <w:jc w:val="center"/>
              <w:rPr>
                <w:rFonts w:cs="Arial"/>
                <w:color w:val="auto"/>
                <w:sz w:val="20"/>
                <w:szCs w:val="20"/>
              </w:rPr>
            </w:pPr>
            <w:r w:rsidRPr="009B3396">
              <w:rPr>
                <w:rFonts w:cs="Arial"/>
                <w:color w:val="auto"/>
                <w:sz w:val="20"/>
                <w:szCs w:val="20"/>
              </w:rPr>
              <w:t>(</w:t>
            </w:r>
            <w:r w:rsidR="00431ED0" w:rsidRPr="009B3396">
              <w:rPr>
                <w:rFonts w:cs="Arial"/>
                <w:color w:val="auto"/>
                <w:sz w:val="20"/>
                <w:szCs w:val="20"/>
              </w:rPr>
              <w:t>0</w:t>
            </w:r>
            <w:r w:rsidRPr="009B3396">
              <w:rPr>
                <w:rFonts w:cs="Arial"/>
                <w:color w:val="auto"/>
                <w:sz w:val="20"/>
                <w:szCs w:val="20"/>
              </w:rPr>
              <w:t>.4)</w:t>
            </w:r>
          </w:p>
        </w:tc>
        <w:tc>
          <w:tcPr>
            <w:tcW w:w="735" w:type="dxa"/>
            <w:vAlign w:val="center"/>
          </w:tcPr>
          <w:p w:rsidR="00F0378E" w:rsidRPr="009B3396" w:rsidRDefault="00431ED0" w:rsidP="00F0378E">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9B3396">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9B3396" w:rsidRDefault="009D1640" w:rsidP="00F0378E">
            <w:pPr>
              <w:pStyle w:val="CodeNotesExampleText"/>
              <w:spacing w:line="210" w:lineRule="atLeast"/>
              <w:ind w:left="105"/>
              <w:jc w:val="center"/>
              <w:rPr>
                <w:rFonts w:cs="Arial"/>
                <w:b/>
                <w:color w:val="auto"/>
                <w:sz w:val="20"/>
                <w:szCs w:val="20"/>
              </w:rPr>
            </w:pPr>
            <w:r w:rsidRPr="009B3396">
              <w:rPr>
                <w:rFonts w:cs="Arial"/>
                <w:b/>
                <w:color w:val="auto"/>
                <w:sz w:val="20"/>
                <w:szCs w:val="20"/>
              </w:rPr>
              <w:t>(</w:t>
            </w:r>
            <w:r w:rsidR="00604389" w:rsidRPr="009B3396">
              <w:rPr>
                <w:rFonts w:cs="Arial"/>
                <w:b/>
                <w:color w:val="auto"/>
                <w:sz w:val="20"/>
                <w:szCs w:val="20"/>
              </w:rPr>
              <w:t>0</w:t>
            </w:r>
            <w:r w:rsidRPr="009B3396">
              <w:rPr>
                <w:rFonts w:cs="Arial"/>
                <w:b/>
                <w:color w:val="auto"/>
                <w:sz w:val="20"/>
                <w:szCs w:val="20"/>
              </w:rPr>
              <w:t>.4)</w:t>
            </w:r>
          </w:p>
        </w:tc>
        <w:tc>
          <w:tcPr>
            <w:tcW w:w="813" w:type="dxa"/>
            <w:vAlign w:val="center"/>
          </w:tcPr>
          <w:p w:rsidR="00F0378E" w:rsidRPr="00F0378E" w:rsidRDefault="00AE2115" w:rsidP="00F0378E">
            <w:pPr>
              <w:pStyle w:val="CodeNotesExampleText"/>
              <w:spacing w:line="210" w:lineRule="atLeast"/>
              <w:ind w:left="105"/>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Other movements in Cost or Valuation</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666479" w:rsidRDefault="00604389" w:rsidP="00666479">
            <w:pPr>
              <w:pStyle w:val="CodeNotesExampleText"/>
              <w:spacing w:line="210" w:lineRule="atLeast"/>
              <w:ind w:left="105"/>
              <w:jc w:val="center"/>
              <w:rPr>
                <w:rFonts w:cs="Arial"/>
                <w:color w:val="auto"/>
                <w:sz w:val="20"/>
                <w:szCs w:val="20"/>
              </w:rPr>
            </w:pPr>
            <w:r w:rsidRPr="00666479">
              <w:rPr>
                <w:rFonts w:cs="Arial"/>
                <w:color w:val="auto"/>
                <w:sz w:val="20"/>
                <w:szCs w:val="20"/>
              </w:rPr>
              <w:t>(</w:t>
            </w:r>
            <w:r w:rsidR="00666479" w:rsidRPr="00666479">
              <w:rPr>
                <w:rFonts w:cs="Arial"/>
                <w:color w:val="auto"/>
                <w:sz w:val="20"/>
                <w:szCs w:val="20"/>
              </w:rPr>
              <w:t>0</w:t>
            </w:r>
            <w:r w:rsidRPr="00666479">
              <w:rPr>
                <w:rFonts w:cs="Arial"/>
                <w:color w:val="auto"/>
                <w:sz w:val="20"/>
                <w:szCs w:val="20"/>
              </w:rPr>
              <w:t>.</w:t>
            </w:r>
            <w:r w:rsidR="0048602B" w:rsidRPr="00666479">
              <w:rPr>
                <w:rFonts w:cs="Arial"/>
                <w:color w:val="auto"/>
                <w:sz w:val="20"/>
                <w:szCs w:val="20"/>
              </w:rPr>
              <w:t>4</w:t>
            </w:r>
            <w:r w:rsidRPr="00666479">
              <w:rPr>
                <w:rFonts w:cs="Arial"/>
                <w:color w:val="auto"/>
                <w:sz w:val="20"/>
                <w:szCs w:val="20"/>
              </w:rPr>
              <w:t>)</w:t>
            </w:r>
          </w:p>
        </w:tc>
        <w:tc>
          <w:tcPr>
            <w:tcW w:w="1136" w:type="dxa"/>
            <w:vAlign w:val="center"/>
          </w:tcPr>
          <w:p w:rsidR="00F0378E" w:rsidRPr="00F0378E" w:rsidRDefault="00431ED0" w:rsidP="00431ED0">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pStyle w:val="CodeNotesExampleText"/>
              <w:spacing w:line="210" w:lineRule="atLeast"/>
              <w:ind w:left="105"/>
              <w:jc w:val="center"/>
              <w:rPr>
                <w:rFonts w:cs="Arial"/>
                <w:color w:val="auto"/>
                <w:sz w:val="20"/>
                <w:szCs w:val="20"/>
              </w:rPr>
            </w:pPr>
            <w:r>
              <w:rPr>
                <w:rFonts w:cs="Arial"/>
                <w:color w:val="auto"/>
                <w:sz w:val="20"/>
                <w:szCs w:val="20"/>
              </w:rPr>
              <w:t>0</w:t>
            </w:r>
          </w:p>
        </w:tc>
        <w:tc>
          <w:tcPr>
            <w:tcW w:w="873" w:type="dxa"/>
            <w:vAlign w:val="center"/>
          </w:tcPr>
          <w:p w:rsidR="00F0378E" w:rsidRPr="00F0378E" w:rsidRDefault="00431ED0"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9B3396" w:rsidRDefault="00431ED0" w:rsidP="009D1640">
            <w:pPr>
              <w:pStyle w:val="CodeNotesExampleText"/>
              <w:spacing w:line="210" w:lineRule="atLeast"/>
              <w:ind w:left="105"/>
              <w:jc w:val="center"/>
              <w:rPr>
                <w:rFonts w:cs="Arial"/>
                <w:color w:val="auto"/>
                <w:sz w:val="20"/>
                <w:szCs w:val="20"/>
              </w:rPr>
            </w:pPr>
            <w:r w:rsidRPr="009B3396">
              <w:rPr>
                <w:rFonts w:cs="Arial"/>
                <w:color w:val="auto"/>
                <w:sz w:val="20"/>
                <w:szCs w:val="20"/>
              </w:rPr>
              <w:t>0.</w:t>
            </w:r>
            <w:r w:rsidR="009D1640" w:rsidRPr="009B3396">
              <w:rPr>
                <w:rFonts w:cs="Arial"/>
                <w:color w:val="auto"/>
                <w:sz w:val="20"/>
                <w:szCs w:val="20"/>
              </w:rPr>
              <w:t>5</w:t>
            </w:r>
          </w:p>
        </w:tc>
        <w:tc>
          <w:tcPr>
            <w:tcW w:w="735" w:type="dxa"/>
            <w:vAlign w:val="center"/>
          </w:tcPr>
          <w:p w:rsidR="00F0378E" w:rsidRPr="009B3396" w:rsidRDefault="00431ED0"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9B3396">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9B3396" w:rsidRDefault="009D1640" w:rsidP="00666479">
            <w:pPr>
              <w:pStyle w:val="CodeNotesExampleText"/>
              <w:spacing w:line="210" w:lineRule="atLeast"/>
              <w:ind w:left="105"/>
              <w:jc w:val="center"/>
              <w:rPr>
                <w:rFonts w:cs="Arial"/>
                <w:b/>
                <w:color w:val="auto"/>
                <w:sz w:val="20"/>
                <w:szCs w:val="20"/>
              </w:rPr>
            </w:pPr>
            <w:r w:rsidRPr="009B3396">
              <w:rPr>
                <w:rFonts w:cs="Arial"/>
                <w:b/>
                <w:color w:val="auto"/>
                <w:sz w:val="20"/>
                <w:szCs w:val="20"/>
              </w:rPr>
              <w:t>0.1</w:t>
            </w:r>
          </w:p>
        </w:tc>
        <w:tc>
          <w:tcPr>
            <w:tcW w:w="813" w:type="dxa"/>
            <w:vAlign w:val="center"/>
          </w:tcPr>
          <w:p w:rsidR="00F0378E" w:rsidRPr="00F0378E" w:rsidRDefault="00AE2115" w:rsidP="00F0378E">
            <w:pPr>
              <w:pStyle w:val="CodeNotesExampleText"/>
              <w:spacing w:line="210" w:lineRule="atLeast"/>
              <w:ind w:left="105"/>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r>
      <w:tr w:rsidR="00F0378E" w:rsidRPr="0005794A" w:rsidTr="00F0378E">
        <w:trPr>
          <w:trHeight w:val="29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0"/>
                <w:szCs w:val="20"/>
              </w:rPr>
            </w:pPr>
            <w:r w:rsidRPr="00F0378E">
              <w:rPr>
                <w:rFonts w:cs="Arial"/>
                <w:bCs w:val="0"/>
                <w:color w:val="auto"/>
                <w:sz w:val="20"/>
                <w:szCs w:val="20"/>
              </w:rPr>
              <w:t>As at 31</w:t>
            </w:r>
            <w:r w:rsidRPr="00F0378E">
              <w:rPr>
                <w:rFonts w:cs="Arial"/>
                <w:bCs w:val="0"/>
                <w:color w:val="auto"/>
                <w:sz w:val="20"/>
                <w:szCs w:val="20"/>
                <w:vertAlign w:val="superscript"/>
              </w:rPr>
              <w:t>st</w:t>
            </w:r>
            <w:r w:rsidRPr="00F0378E">
              <w:rPr>
                <w:rFonts w:cs="Arial"/>
                <w:bCs w:val="0"/>
                <w:color w:val="auto"/>
                <w:sz w:val="20"/>
                <w:szCs w:val="20"/>
              </w:rPr>
              <w:t xml:space="preserve"> March 2018</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66479" w:rsidP="00666479">
            <w:pPr>
              <w:pStyle w:val="CodeNotesExampleText"/>
              <w:spacing w:line="210" w:lineRule="atLeast"/>
              <w:jc w:val="center"/>
              <w:rPr>
                <w:rFonts w:cs="Arial"/>
                <w:b/>
                <w:bCs/>
                <w:color w:val="auto"/>
                <w:sz w:val="20"/>
                <w:szCs w:val="20"/>
              </w:rPr>
            </w:pPr>
            <w:r>
              <w:rPr>
                <w:rFonts w:cs="Arial"/>
                <w:b/>
                <w:bCs/>
                <w:color w:val="auto"/>
                <w:sz w:val="20"/>
                <w:szCs w:val="20"/>
              </w:rPr>
              <w:t>193.9</w:t>
            </w:r>
          </w:p>
        </w:tc>
        <w:tc>
          <w:tcPr>
            <w:tcW w:w="1136" w:type="dxa"/>
            <w:vAlign w:val="center"/>
          </w:tcPr>
          <w:p w:rsidR="00F0378E" w:rsidRPr="00F0378E" w:rsidRDefault="00431ED0" w:rsidP="00604389">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Pr>
                <w:rFonts w:cs="Arial"/>
                <w:b/>
                <w:bCs/>
                <w:color w:val="auto"/>
                <w:sz w:val="20"/>
                <w:szCs w:val="20"/>
              </w:rPr>
              <w:t>17.</w:t>
            </w:r>
            <w:r w:rsidR="00604389">
              <w:rPr>
                <w:rFonts w:cs="Arial"/>
                <w:b/>
                <w:bCs/>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AE2115" w:rsidP="00604389">
            <w:pPr>
              <w:pStyle w:val="CodeNotesExampleText"/>
              <w:spacing w:line="210" w:lineRule="atLeast"/>
              <w:jc w:val="center"/>
              <w:rPr>
                <w:rFonts w:cs="Arial"/>
                <w:b/>
                <w:bCs/>
                <w:color w:val="auto"/>
                <w:sz w:val="20"/>
                <w:szCs w:val="20"/>
              </w:rPr>
            </w:pPr>
            <w:r>
              <w:rPr>
                <w:rFonts w:cs="Arial"/>
                <w:b/>
                <w:bCs/>
                <w:color w:val="auto"/>
                <w:sz w:val="20"/>
                <w:szCs w:val="20"/>
              </w:rPr>
              <w:t>133.</w:t>
            </w:r>
            <w:r w:rsidR="00604389">
              <w:rPr>
                <w:rFonts w:cs="Arial"/>
                <w:b/>
                <w:bCs/>
                <w:color w:val="auto"/>
                <w:sz w:val="20"/>
                <w:szCs w:val="20"/>
              </w:rPr>
              <w:t>6</w:t>
            </w:r>
          </w:p>
        </w:tc>
        <w:tc>
          <w:tcPr>
            <w:tcW w:w="873" w:type="dxa"/>
            <w:vAlign w:val="center"/>
          </w:tcPr>
          <w:p w:rsidR="00F0378E" w:rsidRPr="00F0378E" w:rsidRDefault="00431ED0"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Pr>
                <w:rFonts w:cs="Arial"/>
                <w:b/>
                <w:bCs/>
                <w:color w:val="auto"/>
                <w:sz w:val="20"/>
                <w:szCs w:val="20"/>
              </w:rPr>
              <w:t>9.1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pStyle w:val="CodeNotesExampleText"/>
              <w:spacing w:line="210" w:lineRule="atLeast"/>
              <w:jc w:val="center"/>
              <w:rPr>
                <w:rFonts w:cs="Arial"/>
                <w:b/>
                <w:bCs/>
                <w:color w:val="auto"/>
                <w:sz w:val="20"/>
                <w:szCs w:val="20"/>
              </w:rPr>
            </w:pPr>
            <w:r>
              <w:rPr>
                <w:rFonts w:cs="Arial"/>
                <w:b/>
                <w:bCs/>
                <w:color w:val="auto"/>
                <w:sz w:val="20"/>
                <w:szCs w:val="20"/>
              </w:rPr>
              <w:t>1.1</w:t>
            </w:r>
          </w:p>
        </w:tc>
        <w:tc>
          <w:tcPr>
            <w:tcW w:w="735" w:type="dxa"/>
            <w:vAlign w:val="center"/>
          </w:tcPr>
          <w:p w:rsidR="00F0378E" w:rsidRPr="00F0378E" w:rsidRDefault="00431ED0"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Pr>
                <w:rFonts w:cs="Arial"/>
                <w:b/>
                <w:bCs/>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66479" w:rsidP="00F0378E">
            <w:pPr>
              <w:pStyle w:val="CodeNotesExampleText"/>
              <w:spacing w:line="210" w:lineRule="atLeast"/>
              <w:jc w:val="center"/>
              <w:rPr>
                <w:rFonts w:cs="Arial"/>
                <w:b/>
                <w:bCs/>
                <w:color w:val="auto"/>
                <w:sz w:val="20"/>
                <w:szCs w:val="20"/>
              </w:rPr>
            </w:pPr>
            <w:r>
              <w:rPr>
                <w:rFonts w:cs="Arial"/>
                <w:b/>
                <w:bCs/>
                <w:color w:val="auto"/>
                <w:sz w:val="20"/>
                <w:szCs w:val="20"/>
              </w:rPr>
              <w:t>357.9</w:t>
            </w:r>
          </w:p>
        </w:tc>
        <w:tc>
          <w:tcPr>
            <w:tcW w:w="813" w:type="dxa"/>
            <w:vAlign w:val="center"/>
          </w:tcPr>
          <w:p w:rsidR="00F0378E" w:rsidRPr="00F0378E" w:rsidRDefault="00666479" w:rsidP="00F0378E">
            <w:pPr>
              <w:pStyle w:val="CodeNotesExampleText"/>
              <w:spacing w:line="210" w:lineRule="atLeast"/>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Pr>
            </w:pPr>
            <w:r>
              <w:rPr>
                <w:rFonts w:cs="Arial"/>
                <w:b/>
                <w:bCs/>
                <w:color w:val="auto"/>
                <w:sz w:val="20"/>
                <w:szCs w:val="20"/>
              </w:rPr>
              <w:t>46.9</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2"/>
                <w:szCs w:val="22"/>
              </w:rPr>
            </w:pPr>
            <w:r w:rsidRPr="00F0378E">
              <w:rPr>
                <w:rFonts w:cs="Arial"/>
                <w:bCs w:val="0"/>
                <w:color w:val="auto"/>
                <w:sz w:val="22"/>
                <w:szCs w:val="22"/>
              </w:rPr>
              <w:t>Accumulated Depreciation and Impairment</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567"/>
              <w:jc w:val="center"/>
              <w:rPr>
                <w:rFonts w:cs="Arial"/>
                <w:b/>
                <w:color w:val="auto"/>
                <w:sz w:val="20"/>
                <w:szCs w:val="20"/>
              </w:rPr>
            </w:pPr>
          </w:p>
        </w:tc>
        <w:tc>
          <w:tcPr>
            <w:tcW w:w="1136"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ind w:left="567"/>
              <w:jc w:val="center"/>
              <w:rPr>
                <w:rFonts w:cs="Arial"/>
                <w:b/>
                <w:color w:val="auto"/>
                <w:sz w:val="20"/>
                <w:szCs w:val="20"/>
              </w:rPr>
            </w:pPr>
          </w:p>
        </w:tc>
        <w:tc>
          <w:tcPr>
            <w:tcW w:w="873"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ind w:left="567"/>
              <w:jc w:val="center"/>
              <w:rPr>
                <w:rFonts w:cs="Arial"/>
                <w:b/>
                <w:bCs/>
                <w:color w:val="auto"/>
              </w:rPr>
            </w:pPr>
          </w:p>
        </w:tc>
        <w:tc>
          <w:tcPr>
            <w:tcW w:w="735"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567"/>
              <w:jc w:val="center"/>
              <w:rPr>
                <w:rFonts w:cs="Arial"/>
                <w:b/>
                <w:bCs/>
                <w:color w:val="auto"/>
                <w:sz w:val="20"/>
                <w:szCs w:val="20"/>
              </w:rPr>
            </w:pPr>
          </w:p>
        </w:tc>
        <w:tc>
          <w:tcPr>
            <w:tcW w:w="813"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r>
      <w:tr w:rsidR="00D6245E" w:rsidRPr="0005794A" w:rsidTr="00F0378E">
        <w:trPr>
          <w:trHeight w:val="273"/>
        </w:trPr>
        <w:tc>
          <w:tcPr>
            <w:cnfStyle w:val="001000000000" w:firstRow="0" w:lastRow="0" w:firstColumn="1" w:lastColumn="0" w:oddVBand="0" w:evenVBand="0" w:oddHBand="0" w:evenHBand="0" w:firstRowFirstColumn="0" w:firstRowLastColumn="0" w:lastRowFirstColumn="0" w:lastRowLastColumn="0"/>
            <w:tcW w:w="7636" w:type="dxa"/>
            <w:vAlign w:val="center"/>
          </w:tcPr>
          <w:p w:rsidR="00D6245E" w:rsidRPr="00F0378E" w:rsidRDefault="00D6245E" w:rsidP="00D6245E">
            <w:pPr>
              <w:pStyle w:val="CodeNotesExampleText"/>
              <w:spacing w:line="210" w:lineRule="atLeast"/>
              <w:ind w:left="105"/>
              <w:rPr>
                <w:rFonts w:cs="Arial"/>
                <w:color w:val="auto"/>
                <w:sz w:val="20"/>
                <w:szCs w:val="20"/>
              </w:rPr>
            </w:pPr>
            <w:r w:rsidRPr="00F0378E">
              <w:rPr>
                <w:rFonts w:cs="Arial"/>
                <w:color w:val="auto"/>
                <w:sz w:val="20"/>
                <w:szCs w:val="20"/>
              </w:rPr>
              <w:t>As at 1st April 2017</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D6245E" w:rsidRPr="00F0378E" w:rsidRDefault="00D6245E" w:rsidP="00D6245E">
            <w:pPr>
              <w:spacing w:after="0" w:line="210" w:lineRule="atLeast"/>
              <w:jc w:val="center"/>
              <w:rPr>
                <w:rFonts w:cs="Arial"/>
                <w:b/>
                <w:color w:val="auto"/>
                <w:sz w:val="20"/>
                <w:szCs w:val="20"/>
              </w:rPr>
            </w:pPr>
            <w:r w:rsidRPr="00F0378E">
              <w:rPr>
                <w:rFonts w:cs="Arial"/>
                <w:b/>
                <w:color w:val="auto"/>
                <w:sz w:val="20"/>
                <w:szCs w:val="20"/>
              </w:rPr>
              <w:t>(9.9)</w:t>
            </w:r>
          </w:p>
        </w:tc>
        <w:tc>
          <w:tcPr>
            <w:tcW w:w="1136" w:type="dxa"/>
            <w:vAlign w:val="center"/>
          </w:tcPr>
          <w:p w:rsidR="00D6245E" w:rsidRPr="00F0378E" w:rsidRDefault="00D6245E" w:rsidP="00D6245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(14.8)</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D6245E" w:rsidRPr="00F0378E" w:rsidRDefault="00D6245E" w:rsidP="00D6245E">
            <w:pPr>
              <w:spacing w:after="0" w:line="210" w:lineRule="atLeast"/>
              <w:jc w:val="center"/>
              <w:rPr>
                <w:rFonts w:cs="Arial"/>
                <w:b/>
                <w:color w:val="auto"/>
                <w:sz w:val="20"/>
                <w:szCs w:val="20"/>
              </w:rPr>
            </w:pPr>
            <w:r w:rsidRPr="00F0378E">
              <w:rPr>
                <w:rFonts w:cs="Arial"/>
                <w:b/>
                <w:color w:val="auto"/>
                <w:sz w:val="20"/>
                <w:szCs w:val="20"/>
              </w:rPr>
              <w:t>(32.2)</w:t>
            </w:r>
          </w:p>
        </w:tc>
        <w:tc>
          <w:tcPr>
            <w:tcW w:w="873" w:type="dxa"/>
            <w:vAlign w:val="center"/>
          </w:tcPr>
          <w:p w:rsidR="00D6245E" w:rsidRPr="00F0378E" w:rsidRDefault="00D6245E" w:rsidP="00D6245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D6245E" w:rsidRPr="00F0378E" w:rsidRDefault="00D6245E" w:rsidP="00D6245E">
            <w:pPr>
              <w:spacing w:after="0" w:line="210" w:lineRule="atLeast"/>
              <w:jc w:val="center"/>
              <w:rPr>
                <w:rFonts w:cs="Arial"/>
                <w:b/>
                <w:color w:val="auto"/>
                <w:sz w:val="20"/>
                <w:szCs w:val="20"/>
              </w:rPr>
            </w:pPr>
            <w:r w:rsidRPr="00F0378E">
              <w:rPr>
                <w:rFonts w:cs="Arial"/>
                <w:b/>
                <w:color w:val="auto"/>
                <w:sz w:val="20"/>
                <w:szCs w:val="20"/>
              </w:rPr>
              <w:t>0</w:t>
            </w:r>
          </w:p>
        </w:tc>
        <w:tc>
          <w:tcPr>
            <w:tcW w:w="735" w:type="dxa"/>
            <w:vAlign w:val="center"/>
          </w:tcPr>
          <w:p w:rsidR="00D6245E" w:rsidRPr="00F0378E" w:rsidRDefault="00D6245E" w:rsidP="00D6245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D6245E" w:rsidRPr="00F0378E" w:rsidRDefault="00D6245E" w:rsidP="00D6245E">
            <w:pPr>
              <w:spacing w:after="0" w:line="210" w:lineRule="atLeast"/>
              <w:jc w:val="center"/>
              <w:rPr>
                <w:rFonts w:cs="Arial"/>
                <w:b/>
                <w:color w:val="auto"/>
                <w:sz w:val="20"/>
                <w:szCs w:val="20"/>
              </w:rPr>
            </w:pPr>
            <w:r w:rsidRPr="00F0378E">
              <w:rPr>
                <w:rFonts w:cs="Arial"/>
                <w:b/>
                <w:color w:val="auto"/>
                <w:sz w:val="20"/>
                <w:szCs w:val="20"/>
              </w:rPr>
              <w:t>(57.5)</w:t>
            </w:r>
          </w:p>
        </w:tc>
        <w:tc>
          <w:tcPr>
            <w:tcW w:w="813" w:type="dxa"/>
            <w:vAlign w:val="center"/>
          </w:tcPr>
          <w:p w:rsidR="00D6245E" w:rsidRPr="00F0378E" w:rsidRDefault="00D6245E" w:rsidP="00D6245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F0378E">
              <w:rPr>
                <w:rFonts w:cs="Arial"/>
                <w:b/>
                <w:color w:val="auto"/>
                <w:sz w:val="20"/>
                <w:szCs w:val="20"/>
              </w:rPr>
              <w:t>(2.3)</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Depreciation charge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AE2115" w:rsidP="00666479">
            <w:pPr>
              <w:spacing w:after="0" w:line="210" w:lineRule="atLeast"/>
              <w:jc w:val="center"/>
              <w:rPr>
                <w:rFonts w:cs="Arial"/>
                <w:color w:val="auto"/>
                <w:sz w:val="20"/>
                <w:szCs w:val="20"/>
              </w:rPr>
            </w:pPr>
            <w:r>
              <w:rPr>
                <w:rFonts w:cs="Arial"/>
                <w:color w:val="auto"/>
                <w:sz w:val="20"/>
                <w:szCs w:val="20"/>
              </w:rPr>
              <w:t>(4.</w:t>
            </w:r>
            <w:r w:rsidR="00666479">
              <w:rPr>
                <w:rFonts w:cs="Arial"/>
                <w:color w:val="auto"/>
                <w:sz w:val="20"/>
                <w:szCs w:val="20"/>
              </w:rPr>
              <w:t>2</w:t>
            </w:r>
            <w:r>
              <w:rPr>
                <w:rFonts w:cs="Arial"/>
                <w:color w:val="auto"/>
                <w:sz w:val="20"/>
                <w:szCs w:val="20"/>
              </w:rPr>
              <w:t>)</w:t>
            </w:r>
          </w:p>
        </w:tc>
        <w:tc>
          <w:tcPr>
            <w:tcW w:w="1136" w:type="dxa"/>
            <w:vAlign w:val="center"/>
          </w:tcPr>
          <w:p w:rsidR="00F0378E" w:rsidRPr="00F0378E" w:rsidRDefault="00431ED0" w:rsidP="00604389">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r w:rsidR="00604389">
              <w:rPr>
                <w:rFonts w:cs="Arial"/>
                <w:color w:val="auto"/>
                <w:sz w:val="20"/>
                <w:szCs w:val="20"/>
              </w:rPr>
              <w:t>6</w:t>
            </w:r>
            <w:r>
              <w:rPr>
                <w:rFonts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604389">
            <w:pPr>
              <w:spacing w:after="0" w:line="210" w:lineRule="atLeast"/>
              <w:jc w:val="center"/>
              <w:rPr>
                <w:rFonts w:cs="Arial"/>
                <w:color w:val="auto"/>
                <w:sz w:val="20"/>
                <w:szCs w:val="20"/>
              </w:rPr>
            </w:pPr>
            <w:r>
              <w:rPr>
                <w:rFonts w:cs="Arial"/>
                <w:color w:val="auto"/>
                <w:sz w:val="20"/>
                <w:szCs w:val="20"/>
              </w:rPr>
              <w:t>(4.</w:t>
            </w:r>
            <w:r w:rsidR="00604389">
              <w:rPr>
                <w:rFonts w:cs="Arial"/>
                <w:color w:val="auto"/>
                <w:sz w:val="20"/>
                <w:szCs w:val="20"/>
              </w:rPr>
              <w:t>6</w:t>
            </w:r>
            <w:r>
              <w:rPr>
                <w:rFonts w:cs="Arial"/>
                <w:color w:val="auto"/>
                <w:sz w:val="20"/>
                <w:szCs w:val="20"/>
              </w:rPr>
              <w:t>)</w:t>
            </w:r>
          </w:p>
        </w:tc>
        <w:tc>
          <w:tcPr>
            <w:tcW w:w="873" w:type="dxa"/>
            <w:vAlign w:val="center"/>
          </w:tcPr>
          <w:p w:rsidR="00F0378E" w:rsidRPr="00F0378E" w:rsidRDefault="00431ED0"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spacing w:after="0" w:line="210" w:lineRule="atLeast"/>
              <w:jc w:val="center"/>
              <w:rPr>
                <w:rFonts w:cs="Arial"/>
                <w:color w:val="auto"/>
                <w:sz w:val="20"/>
                <w:szCs w:val="20"/>
              </w:rPr>
            </w:pPr>
            <w:r>
              <w:rPr>
                <w:rFonts w:cs="Arial"/>
                <w:color w:val="auto"/>
                <w:sz w:val="20"/>
                <w:szCs w:val="20"/>
              </w:rPr>
              <w:t>0</w:t>
            </w:r>
          </w:p>
        </w:tc>
        <w:tc>
          <w:tcPr>
            <w:tcW w:w="735" w:type="dxa"/>
            <w:vAlign w:val="center"/>
          </w:tcPr>
          <w:p w:rsidR="00F0378E" w:rsidRPr="00F0378E" w:rsidRDefault="00431ED0"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905291" w:rsidP="00B72A71">
            <w:pPr>
              <w:spacing w:after="0" w:line="210" w:lineRule="atLeast"/>
              <w:jc w:val="center"/>
              <w:rPr>
                <w:rFonts w:cs="Arial"/>
                <w:b/>
                <w:color w:val="auto"/>
                <w:sz w:val="20"/>
                <w:szCs w:val="20"/>
              </w:rPr>
            </w:pPr>
            <w:r>
              <w:rPr>
                <w:rFonts w:cs="Arial"/>
                <w:b/>
                <w:color w:val="auto"/>
                <w:sz w:val="20"/>
                <w:szCs w:val="20"/>
              </w:rPr>
              <w:t>(9.</w:t>
            </w:r>
            <w:r w:rsidR="00B72A71">
              <w:rPr>
                <w:rFonts w:cs="Arial"/>
                <w:b/>
                <w:color w:val="auto"/>
                <w:sz w:val="20"/>
                <w:szCs w:val="20"/>
              </w:rPr>
              <w:t>5</w:t>
            </w:r>
            <w:r>
              <w:rPr>
                <w:rFonts w:cs="Arial"/>
                <w:b/>
                <w:color w:val="auto"/>
                <w:sz w:val="20"/>
                <w:szCs w:val="20"/>
              </w:rPr>
              <w:t>)</w:t>
            </w:r>
          </w:p>
        </w:tc>
        <w:tc>
          <w:tcPr>
            <w:tcW w:w="813" w:type="dxa"/>
            <w:vAlign w:val="center"/>
          </w:tcPr>
          <w:p w:rsidR="00F0378E" w:rsidRPr="00F0378E" w:rsidRDefault="00F15FE4" w:rsidP="00B72A71">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w:t>
            </w:r>
            <w:r w:rsidR="00431ED0">
              <w:rPr>
                <w:rFonts w:cs="Arial"/>
                <w:color w:val="auto"/>
                <w:sz w:val="20"/>
                <w:szCs w:val="20"/>
              </w:rPr>
              <w:t>1.</w:t>
            </w:r>
            <w:r w:rsidR="00666479">
              <w:rPr>
                <w:rFonts w:cs="Arial"/>
                <w:color w:val="auto"/>
                <w:sz w:val="20"/>
                <w:szCs w:val="20"/>
              </w:rPr>
              <w:t>4</w:t>
            </w:r>
            <w:r>
              <w:rPr>
                <w:rFonts w:cs="Arial"/>
                <w:color w:val="auto"/>
                <w:sz w:val="20"/>
                <w:szCs w:val="20"/>
              </w:rPr>
              <w:t>)</w:t>
            </w:r>
          </w:p>
        </w:tc>
      </w:tr>
      <w:tr w:rsidR="00F0378E" w:rsidRPr="0005794A"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Depreciation written out to the Revaluation Reserve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AE2115" w:rsidP="00AE2115">
            <w:pPr>
              <w:spacing w:after="0" w:line="210" w:lineRule="atLeast"/>
              <w:jc w:val="center"/>
              <w:rPr>
                <w:rFonts w:cs="Arial"/>
                <w:color w:val="auto"/>
                <w:sz w:val="20"/>
                <w:szCs w:val="20"/>
              </w:rPr>
            </w:pPr>
            <w:r>
              <w:rPr>
                <w:rFonts w:cs="Arial"/>
                <w:color w:val="auto"/>
                <w:sz w:val="20"/>
                <w:szCs w:val="20"/>
              </w:rPr>
              <w:t>3.6</w:t>
            </w:r>
          </w:p>
        </w:tc>
        <w:tc>
          <w:tcPr>
            <w:tcW w:w="1136"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spacing w:after="0" w:line="210" w:lineRule="atLeast"/>
              <w:jc w:val="center"/>
              <w:rPr>
                <w:rFonts w:cs="Arial"/>
                <w:color w:val="auto"/>
                <w:sz w:val="20"/>
                <w:szCs w:val="20"/>
              </w:rPr>
            </w:pPr>
            <w:r>
              <w:rPr>
                <w:rFonts w:cs="Arial"/>
                <w:color w:val="auto"/>
                <w:sz w:val="20"/>
                <w:szCs w:val="20"/>
              </w:rPr>
              <w:t>0</w:t>
            </w:r>
          </w:p>
        </w:tc>
        <w:tc>
          <w:tcPr>
            <w:tcW w:w="873"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spacing w:after="0" w:line="210" w:lineRule="atLeast"/>
              <w:jc w:val="center"/>
              <w:rPr>
                <w:rFonts w:cs="Arial"/>
                <w:color w:val="auto"/>
                <w:sz w:val="20"/>
                <w:szCs w:val="20"/>
              </w:rPr>
            </w:pPr>
            <w:r>
              <w:rPr>
                <w:rFonts w:cs="Arial"/>
                <w:color w:val="auto"/>
                <w:sz w:val="20"/>
                <w:szCs w:val="20"/>
              </w:rPr>
              <w:t>0</w:t>
            </w:r>
          </w:p>
        </w:tc>
        <w:tc>
          <w:tcPr>
            <w:tcW w:w="735"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905291" w:rsidP="00F0378E">
            <w:pPr>
              <w:spacing w:after="0" w:line="210" w:lineRule="atLeast"/>
              <w:jc w:val="center"/>
              <w:rPr>
                <w:rFonts w:cs="Arial"/>
                <w:b/>
                <w:color w:val="auto"/>
                <w:sz w:val="20"/>
                <w:szCs w:val="20"/>
              </w:rPr>
            </w:pPr>
            <w:r>
              <w:rPr>
                <w:rFonts w:cs="Arial"/>
                <w:b/>
                <w:color w:val="auto"/>
                <w:sz w:val="20"/>
                <w:szCs w:val="20"/>
              </w:rPr>
              <w:t>3.6</w:t>
            </w:r>
          </w:p>
        </w:tc>
        <w:tc>
          <w:tcPr>
            <w:tcW w:w="813" w:type="dxa"/>
            <w:vAlign w:val="center"/>
          </w:tcPr>
          <w:p w:rsidR="00F0378E" w:rsidRPr="00F0378E" w:rsidRDefault="00F15FE4" w:rsidP="00B72A71">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2.0</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Revaluation Increases/ (decreases) recognised in the Surplus/Deficit on the Provision of Services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66479" w:rsidP="00666479">
            <w:pPr>
              <w:spacing w:after="0" w:line="210" w:lineRule="atLeast"/>
              <w:jc w:val="center"/>
              <w:rPr>
                <w:rFonts w:cs="Arial"/>
                <w:color w:val="auto"/>
                <w:sz w:val="20"/>
                <w:szCs w:val="20"/>
              </w:rPr>
            </w:pPr>
            <w:r>
              <w:rPr>
                <w:rFonts w:cs="Arial"/>
                <w:color w:val="auto"/>
                <w:sz w:val="20"/>
                <w:szCs w:val="20"/>
              </w:rPr>
              <w:t>1.8</w:t>
            </w:r>
          </w:p>
        </w:tc>
        <w:tc>
          <w:tcPr>
            <w:tcW w:w="1136" w:type="dxa"/>
            <w:vAlign w:val="center"/>
          </w:tcPr>
          <w:p w:rsidR="00F0378E" w:rsidRPr="00F0378E" w:rsidRDefault="00431ED0"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spacing w:after="0" w:line="210" w:lineRule="atLeast"/>
              <w:jc w:val="center"/>
              <w:rPr>
                <w:rFonts w:cs="Arial"/>
                <w:color w:val="auto"/>
                <w:sz w:val="20"/>
                <w:szCs w:val="20"/>
              </w:rPr>
            </w:pPr>
            <w:r>
              <w:rPr>
                <w:rFonts w:cs="Arial"/>
                <w:color w:val="auto"/>
                <w:sz w:val="20"/>
                <w:szCs w:val="20"/>
              </w:rPr>
              <w:t>0</w:t>
            </w:r>
          </w:p>
        </w:tc>
        <w:tc>
          <w:tcPr>
            <w:tcW w:w="873" w:type="dxa"/>
            <w:vAlign w:val="center"/>
          </w:tcPr>
          <w:p w:rsidR="00F0378E" w:rsidRPr="00F0378E" w:rsidRDefault="00431ED0"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spacing w:after="0" w:line="210" w:lineRule="atLeast"/>
              <w:jc w:val="center"/>
              <w:rPr>
                <w:rFonts w:cs="Arial"/>
                <w:color w:val="auto"/>
                <w:sz w:val="20"/>
                <w:szCs w:val="20"/>
              </w:rPr>
            </w:pPr>
            <w:r>
              <w:rPr>
                <w:rFonts w:cs="Arial"/>
                <w:color w:val="auto"/>
                <w:sz w:val="20"/>
                <w:szCs w:val="20"/>
              </w:rPr>
              <w:t>0</w:t>
            </w:r>
          </w:p>
        </w:tc>
        <w:tc>
          <w:tcPr>
            <w:tcW w:w="735" w:type="dxa"/>
            <w:vAlign w:val="center"/>
          </w:tcPr>
          <w:p w:rsidR="00F0378E" w:rsidRPr="00F0378E" w:rsidRDefault="00431ED0"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B72A71" w:rsidP="00905291">
            <w:pPr>
              <w:spacing w:after="0" w:line="210" w:lineRule="atLeast"/>
              <w:jc w:val="center"/>
              <w:rPr>
                <w:rFonts w:cs="Arial"/>
                <w:b/>
                <w:color w:val="auto"/>
                <w:sz w:val="20"/>
                <w:szCs w:val="20"/>
              </w:rPr>
            </w:pPr>
            <w:r>
              <w:rPr>
                <w:rFonts w:cs="Arial"/>
                <w:b/>
                <w:color w:val="auto"/>
                <w:sz w:val="20"/>
                <w:szCs w:val="20"/>
              </w:rPr>
              <w:t>1.8</w:t>
            </w:r>
          </w:p>
        </w:tc>
        <w:tc>
          <w:tcPr>
            <w:tcW w:w="813" w:type="dxa"/>
            <w:vAlign w:val="center"/>
          </w:tcPr>
          <w:p w:rsidR="00F0378E" w:rsidRPr="00F0378E" w:rsidRDefault="00F15FE4" w:rsidP="00060C07">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1.3</w:t>
            </w:r>
          </w:p>
        </w:tc>
      </w:tr>
      <w:tr w:rsidR="00F0378E" w:rsidRPr="0005794A"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proofErr w:type="spellStart"/>
            <w:r w:rsidRPr="00F0378E">
              <w:rPr>
                <w:rFonts w:cs="Arial"/>
                <w:b w:val="0"/>
                <w:color w:val="auto"/>
                <w:sz w:val="20"/>
                <w:szCs w:val="20"/>
              </w:rPr>
              <w:t>Derecognition</w:t>
            </w:r>
            <w:proofErr w:type="spellEnd"/>
            <w:r w:rsidRPr="00F0378E">
              <w:rPr>
                <w:rFonts w:cs="Arial"/>
                <w:b w:val="0"/>
                <w:color w:val="auto"/>
                <w:sz w:val="20"/>
                <w:szCs w:val="20"/>
              </w:rPr>
              <w:t xml:space="preserve"> </w:t>
            </w:r>
            <w:r w:rsidR="00C817A0">
              <w:rPr>
                <w:rFonts w:cs="Arial"/>
                <w:b w:val="0"/>
                <w:color w:val="auto"/>
                <w:sz w:val="20"/>
                <w:szCs w:val="20"/>
              </w:rPr>
              <w:t>–</w:t>
            </w:r>
            <w:r w:rsidRPr="00F0378E">
              <w:rPr>
                <w:rFonts w:cs="Arial"/>
                <w:b w:val="0"/>
                <w:color w:val="auto"/>
                <w:sz w:val="20"/>
                <w:szCs w:val="20"/>
              </w:rPr>
              <w:t xml:space="preserve"> Disposals</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04389" w:rsidP="00F0378E">
            <w:pPr>
              <w:spacing w:after="0" w:line="210" w:lineRule="atLeast"/>
              <w:jc w:val="center"/>
              <w:rPr>
                <w:rFonts w:cs="Arial"/>
                <w:color w:val="auto"/>
                <w:sz w:val="20"/>
                <w:szCs w:val="20"/>
              </w:rPr>
            </w:pPr>
            <w:r>
              <w:rPr>
                <w:rFonts w:cs="Arial"/>
                <w:color w:val="auto"/>
                <w:sz w:val="20"/>
                <w:szCs w:val="20"/>
              </w:rPr>
              <w:t>0.4</w:t>
            </w:r>
          </w:p>
        </w:tc>
        <w:tc>
          <w:tcPr>
            <w:tcW w:w="1136"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spacing w:after="0" w:line="210" w:lineRule="atLeast"/>
              <w:jc w:val="center"/>
              <w:rPr>
                <w:rFonts w:cs="Arial"/>
                <w:color w:val="auto"/>
                <w:sz w:val="20"/>
                <w:szCs w:val="20"/>
              </w:rPr>
            </w:pPr>
            <w:r>
              <w:rPr>
                <w:rFonts w:cs="Arial"/>
                <w:color w:val="auto"/>
                <w:sz w:val="20"/>
                <w:szCs w:val="20"/>
              </w:rPr>
              <w:t>0</w:t>
            </w:r>
          </w:p>
        </w:tc>
        <w:tc>
          <w:tcPr>
            <w:tcW w:w="873"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spacing w:after="0" w:line="210" w:lineRule="atLeast"/>
              <w:jc w:val="center"/>
              <w:rPr>
                <w:rFonts w:cs="Arial"/>
                <w:color w:val="auto"/>
                <w:sz w:val="20"/>
                <w:szCs w:val="20"/>
              </w:rPr>
            </w:pPr>
            <w:r>
              <w:rPr>
                <w:rFonts w:cs="Arial"/>
                <w:color w:val="auto"/>
                <w:sz w:val="20"/>
                <w:szCs w:val="20"/>
              </w:rPr>
              <w:t>0</w:t>
            </w:r>
          </w:p>
        </w:tc>
        <w:tc>
          <w:tcPr>
            <w:tcW w:w="735"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905291" w:rsidP="00F0378E">
            <w:pPr>
              <w:spacing w:after="0" w:line="210" w:lineRule="atLeast"/>
              <w:jc w:val="center"/>
              <w:rPr>
                <w:rFonts w:cs="Arial"/>
                <w:b/>
                <w:color w:val="auto"/>
                <w:sz w:val="20"/>
                <w:szCs w:val="20"/>
              </w:rPr>
            </w:pPr>
            <w:r>
              <w:rPr>
                <w:rFonts w:cs="Arial"/>
                <w:b/>
                <w:color w:val="auto"/>
                <w:sz w:val="20"/>
                <w:szCs w:val="20"/>
              </w:rPr>
              <w:t>0.4</w:t>
            </w:r>
          </w:p>
        </w:tc>
        <w:tc>
          <w:tcPr>
            <w:tcW w:w="813"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 w:val="0"/>
                <w:color w:val="auto"/>
                <w:sz w:val="20"/>
                <w:szCs w:val="20"/>
              </w:rPr>
            </w:pPr>
            <w:r w:rsidRPr="00F0378E">
              <w:rPr>
                <w:rFonts w:cs="Arial"/>
                <w:b w:val="0"/>
                <w:color w:val="auto"/>
                <w:sz w:val="20"/>
                <w:szCs w:val="20"/>
              </w:rPr>
              <w:t>Other movements in Depreciation and Impairment</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AE2115" w:rsidP="00F0378E">
            <w:pPr>
              <w:spacing w:after="0" w:line="210" w:lineRule="atLeast"/>
              <w:jc w:val="center"/>
              <w:rPr>
                <w:rFonts w:cs="Arial"/>
                <w:color w:val="auto"/>
                <w:sz w:val="20"/>
                <w:szCs w:val="20"/>
              </w:rPr>
            </w:pPr>
            <w:r>
              <w:rPr>
                <w:rFonts w:cs="Arial"/>
                <w:color w:val="auto"/>
                <w:sz w:val="20"/>
                <w:szCs w:val="20"/>
              </w:rPr>
              <w:t>0</w:t>
            </w:r>
          </w:p>
        </w:tc>
        <w:tc>
          <w:tcPr>
            <w:tcW w:w="1136" w:type="dxa"/>
            <w:vAlign w:val="center"/>
          </w:tcPr>
          <w:p w:rsidR="00F0378E" w:rsidRPr="00F0378E" w:rsidRDefault="00431ED0"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spacing w:after="0" w:line="210" w:lineRule="atLeast"/>
              <w:jc w:val="center"/>
              <w:rPr>
                <w:rFonts w:cs="Arial"/>
                <w:color w:val="auto"/>
                <w:sz w:val="20"/>
                <w:szCs w:val="20"/>
              </w:rPr>
            </w:pPr>
            <w:r>
              <w:rPr>
                <w:rFonts w:cs="Arial"/>
                <w:color w:val="auto"/>
                <w:sz w:val="20"/>
                <w:szCs w:val="20"/>
              </w:rPr>
              <w:t>0</w:t>
            </w:r>
          </w:p>
        </w:tc>
        <w:tc>
          <w:tcPr>
            <w:tcW w:w="873" w:type="dxa"/>
            <w:vAlign w:val="center"/>
          </w:tcPr>
          <w:p w:rsidR="00F0378E" w:rsidRPr="00F0378E" w:rsidRDefault="00431ED0"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spacing w:after="0" w:line="210" w:lineRule="atLeast"/>
              <w:jc w:val="center"/>
              <w:rPr>
                <w:rFonts w:cs="Arial"/>
                <w:color w:val="auto"/>
                <w:sz w:val="20"/>
                <w:szCs w:val="20"/>
              </w:rPr>
            </w:pPr>
            <w:r>
              <w:rPr>
                <w:rFonts w:cs="Arial"/>
                <w:color w:val="auto"/>
                <w:sz w:val="20"/>
                <w:szCs w:val="20"/>
              </w:rPr>
              <w:t>0</w:t>
            </w:r>
          </w:p>
        </w:tc>
        <w:tc>
          <w:tcPr>
            <w:tcW w:w="735" w:type="dxa"/>
            <w:vAlign w:val="center"/>
          </w:tcPr>
          <w:p w:rsidR="00F0378E" w:rsidRPr="00F0378E" w:rsidRDefault="00431ED0"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905291" w:rsidP="00666479">
            <w:pPr>
              <w:spacing w:after="0" w:line="210" w:lineRule="atLeast"/>
              <w:jc w:val="center"/>
              <w:rPr>
                <w:rFonts w:cs="Arial"/>
                <w:b/>
                <w:color w:val="auto"/>
                <w:sz w:val="20"/>
                <w:szCs w:val="20"/>
              </w:rPr>
            </w:pPr>
            <w:r>
              <w:rPr>
                <w:rFonts w:cs="Arial"/>
                <w:b/>
                <w:color w:val="auto"/>
                <w:sz w:val="20"/>
                <w:szCs w:val="20"/>
              </w:rPr>
              <w:t>0</w:t>
            </w:r>
          </w:p>
        </w:tc>
        <w:tc>
          <w:tcPr>
            <w:tcW w:w="813" w:type="dxa"/>
            <w:vAlign w:val="center"/>
          </w:tcPr>
          <w:p w:rsidR="00F0378E" w:rsidRPr="00F0378E" w:rsidRDefault="00666479" w:rsidP="00F0378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0</w:t>
            </w:r>
          </w:p>
        </w:tc>
      </w:tr>
      <w:tr w:rsidR="00F0378E" w:rsidRPr="0005794A" w:rsidTr="00F0378E">
        <w:trPr>
          <w:trHeight w:val="320"/>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0"/>
                <w:szCs w:val="20"/>
              </w:rPr>
            </w:pPr>
            <w:r w:rsidRPr="00F0378E">
              <w:rPr>
                <w:rFonts w:cs="Arial"/>
                <w:bCs w:val="0"/>
                <w:color w:val="auto"/>
                <w:sz w:val="20"/>
                <w:szCs w:val="20"/>
              </w:rPr>
              <w:t>As at 31st March 2018</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431ED0" w:rsidP="00666479">
            <w:pPr>
              <w:spacing w:after="0" w:line="210" w:lineRule="atLeast"/>
              <w:jc w:val="center"/>
              <w:rPr>
                <w:rFonts w:cs="Arial"/>
                <w:b/>
                <w:color w:val="auto"/>
                <w:sz w:val="20"/>
                <w:szCs w:val="20"/>
              </w:rPr>
            </w:pPr>
            <w:r>
              <w:rPr>
                <w:rFonts w:cs="Arial"/>
                <w:b/>
                <w:color w:val="auto"/>
                <w:sz w:val="20"/>
                <w:szCs w:val="20"/>
              </w:rPr>
              <w:t>(</w:t>
            </w:r>
            <w:r w:rsidR="00666479">
              <w:rPr>
                <w:rFonts w:cs="Arial"/>
                <w:b/>
                <w:color w:val="auto"/>
                <w:sz w:val="20"/>
                <w:szCs w:val="20"/>
              </w:rPr>
              <w:t>8.3</w:t>
            </w:r>
            <w:r>
              <w:rPr>
                <w:rFonts w:cs="Arial"/>
                <w:b/>
                <w:color w:val="auto"/>
                <w:sz w:val="20"/>
                <w:szCs w:val="20"/>
              </w:rPr>
              <w:t>)</w:t>
            </w:r>
          </w:p>
        </w:tc>
        <w:tc>
          <w:tcPr>
            <w:tcW w:w="1136" w:type="dxa"/>
            <w:vAlign w:val="center"/>
          </w:tcPr>
          <w:p w:rsidR="00F0378E" w:rsidRPr="00F0378E" w:rsidRDefault="00431ED0" w:rsidP="00604389">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(15.</w:t>
            </w:r>
            <w:r w:rsidR="00604389">
              <w:rPr>
                <w:rFonts w:cs="Arial"/>
                <w:b/>
                <w:color w:val="auto"/>
                <w:sz w:val="20"/>
                <w:szCs w:val="20"/>
              </w:rPr>
              <w:t>4</w:t>
            </w: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604389">
            <w:pPr>
              <w:spacing w:after="0" w:line="210" w:lineRule="atLeast"/>
              <w:jc w:val="center"/>
              <w:rPr>
                <w:rFonts w:cs="Arial"/>
                <w:b/>
                <w:color w:val="auto"/>
                <w:sz w:val="20"/>
                <w:szCs w:val="20"/>
              </w:rPr>
            </w:pPr>
            <w:r>
              <w:rPr>
                <w:rFonts w:cs="Arial"/>
                <w:b/>
                <w:color w:val="auto"/>
                <w:sz w:val="20"/>
                <w:szCs w:val="20"/>
              </w:rPr>
              <w:t>(36.</w:t>
            </w:r>
            <w:r w:rsidR="00604389">
              <w:rPr>
                <w:rFonts w:cs="Arial"/>
                <w:b/>
                <w:color w:val="auto"/>
                <w:sz w:val="20"/>
                <w:szCs w:val="20"/>
              </w:rPr>
              <w:t>8</w:t>
            </w:r>
            <w:r>
              <w:rPr>
                <w:rFonts w:cs="Arial"/>
                <w:b/>
                <w:color w:val="auto"/>
                <w:sz w:val="20"/>
                <w:szCs w:val="20"/>
              </w:rPr>
              <w:t>)</w:t>
            </w:r>
          </w:p>
        </w:tc>
        <w:tc>
          <w:tcPr>
            <w:tcW w:w="873"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(0.7)</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spacing w:after="0" w:line="210" w:lineRule="atLeast"/>
              <w:jc w:val="center"/>
              <w:rPr>
                <w:rFonts w:cs="Arial"/>
                <w:b/>
                <w:color w:val="auto"/>
                <w:sz w:val="20"/>
                <w:szCs w:val="20"/>
              </w:rPr>
            </w:pPr>
            <w:r>
              <w:rPr>
                <w:rFonts w:cs="Arial"/>
                <w:b/>
                <w:color w:val="auto"/>
                <w:sz w:val="20"/>
                <w:szCs w:val="20"/>
              </w:rPr>
              <w:t>0</w:t>
            </w:r>
          </w:p>
        </w:tc>
        <w:tc>
          <w:tcPr>
            <w:tcW w:w="735"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AE2115" w:rsidP="00666479">
            <w:pPr>
              <w:spacing w:after="0" w:line="210" w:lineRule="atLeast"/>
              <w:jc w:val="center"/>
              <w:rPr>
                <w:rFonts w:cs="Arial"/>
                <w:b/>
                <w:color w:val="auto"/>
                <w:sz w:val="20"/>
                <w:szCs w:val="20"/>
              </w:rPr>
            </w:pPr>
            <w:r>
              <w:rPr>
                <w:rFonts w:cs="Arial"/>
                <w:b/>
                <w:color w:val="auto"/>
                <w:sz w:val="20"/>
                <w:szCs w:val="20"/>
              </w:rPr>
              <w:t>(6</w:t>
            </w:r>
            <w:r w:rsidR="00666479">
              <w:rPr>
                <w:rFonts w:cs="Arial"/>
                <w:b/>
                <w:color w:val="auto"/>
                <w:sz w:val="20"/>
                <w:szCs w:val="20"/>
              </w:rPr>
              <w:t>1.2</w:t>
            </w:r>
            <w:r>
              <w:rPr>
                <w:rFonts w:cs="Arial"/>
                <w:b/>
                <w:color w:val="auto"/>
                <w:sz w:val="20"/>
                <w:szCs w:val="20"/>
              </w:rPr>
              <w:t>)</w:t>
            </w:r>
          </w:p>
        </w:tc>
        <w:tc>
          <w:tcPr>
            <w:tcW w:w="813" w:type="dxa"/>
            <w:vAlign w:val="center"/>
          </w:tcPr>
          <w:p w:rsidR="00F0378E" w:rsidRPr="00F0378E" w:rsidRDefault="00431ED0" w:rsidP="00666479">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w:t>
            </w:r>
            <w:r w:rsidR="00666479">
              <w:rPr>
                <w:rFonts w:cs="Arial"/>
                <w:b/>
                <w:color w:val="auto"/>
                <w:sz w:val="20"/>
                <w:szCs w:val="20"/>
              </w:rPr>
              <w:t>0.4</w:t>
            </w:r>
            <w:r>
              <w:rPr>
                <w:rFonts w:cs="Arial"/>
                <w:b/>
                <w:color w:val="auto"/>
                <w:sz w:val="20"/>
                <w:szCs w:val="20"/>
              </w:rPr>
              <w:t>)</w:t>
            </w:r>
          </w:p>
        </w:tc>
      </w:tr>
      <w:tr w:rsidR="00F0378E" w:rsidRPr="0005794A" w:rsidTr="00F0378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2"/>
                <w:szCs w:val="22"/>
              </w:rPr>
            </w:pPr>
            <w:r w:rsidRPr="00F0378E">
              <w:rPr>
                <w:rFonts w:cs="Arial"/>
                <w:bCs w:val="0"/>
                <w:color w:val="auto"/>
                <w:sz w:val="22"/>
                <w:szCs w:val="22"/>
              </w:rPr>
              <w:t>Net Book Value:-</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567"/>
              <w:jc w:val="center"/>
              <w:rPr>
                <w:rFonts w:cs="Arial"/>
                <w:b/>
                <w:color w:val="auto"/>
                <w:sz w:val="20"/>
                <w:szCs w:val="20"/>
                <w:highlight w:val="yellow"/>
              </w:rPr>
            </w:pPr>
          </w:p>
        </w:tc>
        <w:tc>
          <w:tcPr>
            <w:tcW w:w="1136" w:type="dxa"/>
            <w:vAlign w:val="center"/>
          </w:tcPr>
          <w:p w:rsidR="00F0378E" w:rsidRPr="00F0378E" w:rsidRDefault="00F0378E" w:rsidP="00F0378E">
            <w:pPr>
              <w:pStyle w:val="CodeNotesExampleText"/>
              <w:spacing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F0378E" w:rsidP="00F0378E">
            <w:pPr>
              <w:pStyle w:val="CodeNotesExampleText"/>
              <w:spacing w:line="210" w:lineRule="atLeast"/>
              <w:ind w:left="567"/>
              <w:jc w:val="center"/>
              <w:rPr>
                <w:rFonts w:cs="Arial"/>
                <w:b/>
                <w:color w:val="auto"/>
                <w:sz w:val="20"/>
                <w:szCs w:val="20"/>
              </w:rPr>
            </w:pPr>
          </w:p>
        </w:tc>
        <w:tc>
          <w:tcPr>
            <w:tcW w:w="873"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F0378E" w:rsidP="00F0378E">
            <w:pPr>
              <w:pStyle w:val="CodeNotesExampleText"/>
              <w:spacing w:line="210" w:lineRule="atLeast"/>
              <w:ind w:left="567"/>
              <w:jc w:val="center"/>
              <w:rPr>
                <w:rFonts w:cs="Arial"/>
                <w:b/>
                <w:bCs/>
                <w:color w:val="auto"/>
              </w:rPr>
            </w:pPr>
          </w:p>
        </w:tc>
        <w:tc>
          <w:tcPr>
            <w:tcW w:w="735"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F0378E" w:rsidP="00F0378E">
            <w:pPr>
              <w:pStyle w:val="CodeNotesExampleText"/>
              <w:spacing w:line="210" w:lineRule="atLeast"/>
              <w:ind w:left="567"/>
              <w:jc w:val="center"/>
              <w:rPr>
                <w:rFonts w:cs="Arial"/>
                <w:b/>
                <w:bCs/>
                <w:color w:val="auto"/>
                <w:sz w:val="20"/>
                <w:szCs w:val="20"/>
              </w:rPr>
            </w:pPr>
          </w:p>
        </w:tc>
        <w:tc>
          <w:tcPr>
            <w:tcW w:w="813" w:type="dxa"/>
            <w:vAlign w:val="center"/>
          </w:tcPr>
          <w:p w:rsidR="00F0378E" w:rsidRPr="00F0378E" w:rsidRDefault="00F0378E" w:rsidP="00F0378E">
            <w:pPr>
              <w:pStyle w:val="CodeNotesExampleText"/>
              <w:spacing w:line="210" w:lineRule="atLeast"/>
              <w:ind w:left="567"/>
              <w:jc w:val="center"/>
              <w:cnfStyle w:val="000000100000" w:firstRow="0" w:lastRow="0" w:firstColumn="0" w:lastColumn="0" w:oddVBand="0" w:evenVBand="0" w:oddHBand="1" w:evenHBand="0" w:firstRowFirstColumn="0" w:firstRowLastColumn="0" w:lastRowFirstColumn="0" w:lastRowLastColumn="0"/>
              <w:rPr>
                <w:rFonts w:cs="Arial"/>
                <w:b/>
                <w:bCs/>
                <w:color w:val="auto"/>
                <w:sz w:val="20"/>
                <w:szCs w:val="20"/>
              </w:rPr>
            </w:pPr>
          </w:p>
        </w:tc>
      </w:tr>
      <w:tr w:rsidR="00F0378E" w:rsidRPr="0005794A" w:rsidTr="00F0378E">
        <w:trPr>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F0378E" w:rsidRPr="00F0378E" w:rsidRDefault="00F0378E" w:rsidP="00F0378E">
            <w:pPr>
              <w:pStyle w:val="CodeNotesExampleText"/>
              <w:spacing w:line="210" w:lineRule="atLeast"/>
              <w:ind w:left="105"/>
              <w:rPr>
                <w:rFonts w:cs="Arial"/>
                <w:bCs w:val="0"/>
                <w:color w:val="auto"/>
                <w:sz w:val="20"/>
                <w:szCs w:val="20"/>
              </w:rPr>
            </w:pPr>
            <w:r w:rsidRPr="00F0378E">
              <w:rPr>
                <w:rFonts w:cs="Arial"/>
                <w:bCs w:val="0"/>
                <w:color w:val="auto"/>
                <w:sz w:val="20"/>
                <w:szCs w:val="20"/>
              </w:rPr>
              <w:t>As at 31</w:t>
            </w:r>
            <w:r w:rsidRPr="00F0378E">
              <w:rPr>
                <w:rFonts w:cs="Arial"/>
                <w:bCs w:val="0"/>
                <w:color w:val="auto"/>
                <w:sz w:val="20"/>
                <w:szCs w:val="20"/>
                <w:vertAlign w:val="superscript"/>
              </w:rPr>
              <w:t>st</w:t>
            </w:r>
            <w:r w:rsidRPr="00F0378E">
              <w:rPr>
                <w:rFonts w:cs="Arial"/>
                <w:bCs w:val="0"/>
                <w:color w:val="auto"/>
                <w:sz w:val="20"/>
                <w:szCs w:val="20"/>
              </w:rPr>
              <w:t xml:space="preserve"> March 2018</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66479" w:rsidP="00666479">
            <w:pPr>
              <w:spacing w:after="0" w:line="210" w:lineRule="atLeast"/>
              <w:jc w:val="center"/>
              <w:rPr>
                <w:rFonts w:cs="Arial"/>
                <w:b/>
                <w:color w:val="auto"/>
                <w:sz w:val="20"/>
                <w:szCs w:val="20"/>
              </w:rPr>
            </w:pPr>
            <w:r>
              <w:rPr>
                <w:rFonts w:cs="Arial"/>
                <w:b/>
                <w:color w:val="auto"/>
                <w:sz w:val="20"/>
                <w:szCs w:val="20"/>
              </w:rPr>
              <w:t>185.6</w:t>
            </w:r>
          </w:p>
        </w:tc>
        <w:tc>
          <w:tcPr>
            <w:tcW w:w="1136"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1.8</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F0378E" w:rsidRPr="00F0378E" w:rsidRDefault="00431ED0" w:rsidP="00F0378E">
            <w:pPr>
              <w:spacing w:after="0" w:line="210" w:lineRule="atLeast"/>
              <w:jc w:val="center"/>
              <w:rPr>
                <w:rFonts w:cs="Arial"/>
                <w:b/>
                <w:color w:val="auto"/>
                <w:sz w:val="20"/>
                <w:szCs w:val="20"/>
              </w:rPr>
            </w:pPr>
            <w:r>
              <w:rPr>
                <w:rFonts w:cs="Arial"/>
                <w:b/>
                <w:color w:val="auto"/>
                <w:sz w:val="20"/>
                <w:szCs w:val="20"/>
              </w:rPr>
              <w:t>96.8</w:t>
            </w:r>
          </w:p>
        </w:tc>
        <w:tc>
          <w:tcPr>
            <w:tcW w:w="873"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8.4</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F0378E" w:rsidRPr="00F0378E" w:rsidRDefault="00431ED0" w:rsidP="00F0378E">
            <w:pPr>
              <w:spacing w:after="0" w:line="210" w:lineRule="atLeast"/>
              <w:jc w:val="center"/>
              <w:rPr>
                <w:rFonts w:cs="Arial"/>
                <w:b/>
                <w:color w:val="auto"/>
                <w:sz w:val="20"/>
                <w:szCs w:val="20"/>
              </w:rPr>
            </w:pPr>
            <w:r>
              <w:rPr>
                <w:rFonts w:cs="Arial"/>
                <w:b/>
                <w:color w:val="auto"/>
                <w:sz w:val="20"/>
                <w:szCs w:val="20"/>
              </w:rPr>
              <w:t>1.1</w:t>
            </w:r>
          </w:p>
        </w:tc>
        <w:tc>
          <w:tcPr>
            <w:tcW w:w="735" w:type="dxa"/>
            <w:vAlign w:val="center"/>
          </w:tcPr>
          <w:p w:rsidR="00F0378E" w:rsidRPr="00F0378E" w:rsidRDefault="00431ED0" w:rsidP="00F0378E">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F0378E" w:rsidRPr="00F0378E" w:rsidRDefault="00666479" w:rsidP="00F0378E">
            <w:pPr>
              <w:spacing w:after="0" w:line="210" w:lineRule="atLeast"/>
              <w:jc w:val="center"/>
              <w:rPr>
                <w:rFonts w:cs="Arial"/>
                <w:b/>
                <w:color w:val="auto"/>
                <w:sz w:val="20"/>
                <w:szCs w:val="20"/>
              </w:rPr>
            </w:pPr>
            <w:r>
              <w:rPr>
                <w:rFonts w:cs="Arial"/>
                <w:b/>
                <w:color w:val="auto"/>
                <w:sz w:val="20"/>
                <w:szCs w:val="20"/>
              </w:rPr>
              <w:t>296.7</w:t>
            </w:r>
          </w:p>
        </w:tc>
        <w:tc>
          <w:tcPr>
            <w:tcW w:w="813" w:type="dxa"/>
            <w:vAlign w:val="center"/>
          </w:tcPr>
          <w:p w:rsidR="00F0378E" w:rsidRPr="00F0378E" w:rsidRDefault="00666479" w:rsidP="00666479">
            <w:pPr>
              <w:spacing w:after="0" w:line="210" w:lineRule="atLeast"/>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46.5</w:t>
            </w:r>
          </w:p>
        </w:tc>
      </w:tr>
      <w:tr w:rsidR="00D6245E" w:rsidRPr="0005794A" w:rsidTr="00F0378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636" w:type="dxa"/>
            <w:vAlign w:val="center"/>
          </w:tcPr>
          <w:p w:rsidR="00D6245E" w:rsidRPr="00F0378E" w:rsidRDefault="00D6245E" w:rsidP="00D6245E">
            <w:pPr>
              <w:pStyle w:val="CodeNotesExampleText"/>
              <w:spacing w:line="210" w:lineRule="atLeast"/>
              <w:ind w:left="105"/>
              <w:rPr>
                <w:rFonts w:cs="Arial"/>
                <w:b w:val="0"/>
                <w:bCs w:val="0"/>
                <w:color w:val="auto"/>
                <w:sz w:val="20"/>
                <w:szCs w:val="20"/>
              </w:rPr>
            </w:pPr>
            <w:r w:rsidRPr="00F0378E">
              <w:rPr>
                <w:rFonts w:cs="Arial"/>
                <w:b w:val="0"/>
                <w:bCs w:val="0"/>
                <w:color w:val="auto"/>
                <w:sz w:val="20"/>
                <w:szCs w:val="20"/>
              </w:rPr>
              <w:t>As at 31</w:t>
            </w:r>
            <w:r w:rsidRPr="00F0378E">
              <w:rPr>
                <w:rFonts w:cs="Arial"/>
                <w:b w:val="0"/>
                <w:bCs w:val="0"/>
                <w:color w:val="auto"/>
                <w:sz w:val="20"/>
                <w:szCs w:val="20"/>
                <w:vertAlign w:val="superscript"/>
              </w:rPr>
              <w:t>st</w:t>
            </w:r>
            <w:r w:rsidRPr="00F0378E">
              <w:rPr>
                <w:rFonts w:cs="Arial"/>
                <w:b w:val="0"/>
                <w:bCs w:val="0"/>
                <w:color w:val="auto"/>
                <w:sz w:val="20"/>
                <w:szCs w:val="20"/>
              </w:rPr>
              <w:t xml:space="preserve"> March 2017</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D6245E" w:rsidRPr="00F0378E" w:rsidRDefault="00D6245E" w:rsidP="00D6245E">
            <w:pPr>
              <w:spacing w:after="0" w:line="210" w:lineRule="atLeast"/>
              <w:jc w:val="center"/>
              <w:rPr>
                <w:rFonts w:cs="Arial"/>
                <w:b/>
                <w:color w:val="auto"/>
                <w:sz w:val="20"/>
                <w:szCs w:val="20"/>
              </w:rPr>
            </w:pPr>
            <w:r w:rsidRPr="00F0378E">
              <w:rPr>
                <w:rFonts w:cs="Arial"/>
                <w:b/>
                <w:color w:val="auto"/>
                <w:sz w:val="20"/>
                <w:szCs w:val="20"/>
              </w:rPr>
              <w:t>191.1</w:t>
            </w:r>
          </w:p>
        </w:tc>
        <w:tc>
          <w:tcPr>
            <w:tcW w:w="1136" w:type="dxa"/>
            <w:vAlign w:val="center"/>
          </w:tcPr>
          <w:p w:rsidR="00D6245E" w:rsidRPr="00F0378E" w:rsidRDefault="00D6245E" w:rsidP="00D6245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F0378E">
              <w:rPr>
                <w:rFonts w:cs="Arial"/>
                <w:b/>
                <w:color w:val="auto"/>
                <w:sz w:val="20"/>
                <w:szCs w:val="20"/>
              </w:rPr>
              <w:t>2.3</w:t>
            </w:r>
          </w:p>
        </w:tc>
        <w:tc>
          <w:tcPr>
            <w:cnfStyle w:val="000010000000" w:firstRow="0" w:lastRow="0" w:firstColumn="0" w:lastColumn="0" w:oddVBand="1" w:evenVBand="0" w:oddHBand="0" w:evenHBand="0" w:firstRowFirstColumn="0" w:firstRowLastColumn="0" w:lastRowFirstColumn="0" w:lastRowLastColumn="0"/>
            <w:tcW w:w="832" w:type="dxa"/>
            <w:vAlign w:val="center"/>
          </w:tcPr>
          <w:p w:rsidR="00D6245E" w:rsidRPr="00F0378E" w:rsidRDefault="00D6245E" w:rsidP="00D6245E">
            <w:pPr>
              <w:spacing w:after="0" w:line="210" w:lineRule="atLeast"/>
              <w:jc w:val="center"/>
              <w:rPr>
                <w:rFonts w:cs="Arial"/>
                <w:b/>
                <w:color w:val="auto"/>
                <w:sz w:val="20"/>
                <w:szCs w:val="20"/>
              </w:rPr>
            </w:pPr>
            <w:r w:rsidRPr="00F0378E">
              <w:rPr>
                <w:rFonts w:cs="Arial"/>
                <w:b/>
                <w:color w:val="auto"/>
                <w:sz w:val="20"/>
                <w:szCs w:val="20"/>
              </w:rPr>
              <w:t>94.9</w:t>
            </w:r>
          </w:p>
        </w:tc>
        <w:tc>
          <w:tcPr>
            <w:tcW w:w="873" w:type="dxa"/>
            <w:vAlign w:val="center"/>
          </w:tcPr>
          <w:p w:rsidR="00D6245E" w:rsidRPr="00F0378E" w:rsidRDefault="00D6245E" w:rsidP="00D6245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F0378E">
              <w:rPr>
                <w:rFonts w:cs="Arial"/>
                <w:b/>
                <w:color w:val="auto"/>
                <w:sz w:val="20"/>
                <w:szCs w:val="20"/>
              </w:rPr>
              <w:t>8.0</w:t>
            </w:r>
          </w:p>
        </w:tc>
        <w:tc>
          <w:tcPr>
            <w:cnfStyle w:val="000010000000" w:firstRow="0" w:lastRow="0" w:firstColumn="0" w:lastColumn="0" w:oddVBand="1" w:evenVBand="0" w:oddHBand="0" w:evenHBand="0" w:firstRowFirstColumn="0" w:firstRowLastColumn="0" w:lastRowFirstColumn="0" w:lastRowLastColumn="0"/>
            <w:tcW w:w="828" w:type="dxa"/>
            <w:vAlign w:val="center"/>
          </w:tcPr>
          <w:p w:rsidR="00D6245E" w:rsidRPr="00F0378E" w:rsidRDefault="00D6245E" w:rsidP="00D6245E">
            <w:pPr>
              <w:spacing w:after="0" w:line="210" w:lineRule="atLeast"/>
              <w:jc w:val="center"/>
              <w:rPr>
                <w:rFonts w:cs="Arial"/>
                <w:b/>
                <w:color w:val="auto"/>
                <w:sz w:val="20"/>
                <w:szCs w:val="20"/>
              </w:rPr>
            </w:pPr>
            <w:r w:rsidRPr="00F0378E">
              <w:rPr>
                <w:rFonts w:cs="Arial"/>
                <w:b/>
                <w:color w:val="auto"/>
                <w:sz w:val="20"/>
                <w:szCs w:val="20"/>
              </w:rPr>
              <w:t>1.0</w:t>
            </w:r>
          </w:p>
        </w:tc>
        <w:tc>
          <w:tcPr>
            <w:tcW w:w="735" w:type="dxa"/>
            <w:vAlign w:val="center"/>
          </w:tcPr>
          <w:p w:rsidR="00D6245E" w:rsidRPr="00F0378E" w:rsidRDefault="00D6245E" w:rsidP="00D6245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F0378E">
              <w:rPr>
                <w:rFonts w:cs="Arial"/>
                <w:b/>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994" w:type="dxa"/>
            <w:vAlign w:val="center"/>
          </w:tcPr>
          <w:p w:rsidR="00D6245E" w:rsidRPr="00F0378E" w:rsidRDefault="00D6245E" w:rsidP="00D6245E">
            <w:pPr>
              <w:spacing w:after="0" w:line="210" w:lineRule="atLeast"/>
              <w:jc w:val="center"/>
              <w:rPr>
                <w:rFonts w:cs="Arial"/>
                <w:b/>
                <w:color w:val="auto"/>
                <w:sz w:val="20"/>
                <w:szCs w:val="20"/>
              </w:rPr>
            </w:pPr>
            <w:r w:rsidRPr="00F0378E">
              <w:rPr>
                <w:rFonts w:cs="Arial"/>
                <w:b/>
                <w:color w:val="auto"/>
                <w:sz w:val="20"/>
                <w:szCs w:val="20"/>
              </w:rPr>
              <w:t>297.9</w:t>
            </w:r>
          </w:p>
        </w:tc>
        <w:tc>
          <w:tcPr>
            <w:tcW w:w="813" w:type="dxa"/>
            <w:vAlign w:val="center"/>
          </w:tcPr>
          <w:p w:rsidR="00D6245E" w:rsidRPr="00F0378E" w:rsidRDefault="00D6245E" w:rsidP="00D6245E">
            <w:pPr>
              <w:spacing w:after="0" w:line="210" w:lineRule="atLeast"/>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F0378E">
              <w:rPr>
                <w:rFonts w:cs="Arial"/>
                <w:b/>
                <w:color w:val="auto"/>
                <w:sz w:val="20"/>
                <w:szCs w:val="20"/>
              </w:rPr>
              <w:t>53.2</w:t>
            </w:r>
          </w:p>
        </w:tc>
      </w:tr>
    </w:tbl>
    <w:p w:rsidR="005253A3" w:rsidRPr="0005794A" w:rsidRDefault="005253A3" w:rsidP="00974DAF">
      <w:pPr>
        <w:pStyle w:val="ExampleSub"/>
        <w:keepNext w:val="0"/>
        <w:keepLines w:val="0"/>
        <w:spacing w:before="0" w:line="240" w:lineRule="auto"/>
        <w:ind w:left="0"/>
        <w:outlineLvl w:val="0"/>
        <w:rPr>
          <w:rFonts w:ascii="Arial" w:hAnsi="Arial" w:cs="Arial"/>
          <w:b w:val="0"/>
          <w:bCs w:val="0"/>
          <w:color w:val="548DD4" w:themeColor="text2" w:themeTint="99"/>
          <w:sz w:val="20"/>
          <w:szCs w:val="20"/>
        </w:rPr>
        <w:sectPr w:rsidR="005253A3" w:rsidRPr="0005794A" w:rsidSect="005253A3">
          <w:pgSz w:w="16838" w:h="11906" w:orient="landscape" w:code="9"/>
          <w:pgMar w:top="1440" w:right="1440" w:bottom="1440" w:left="1440" w:header="544" w:footer="544" w:gutter="0"/>
          <w:cols w:space="708"/>
          <w:titlePg/>
          <w:docGrid w:linePitch="360"/>
        </w:sectPr>
      </w:pPr>
    </w:p>
    <w:p w:rsidR="00E51139" w:rsidRPr="005941FF" w:rsidRDefault="00FA45D0" w:rsidP="008D0906">
      <w:pPr>
        <w:pStyle w:val="CodeNotesExampleText"/>
        <w:widowControl w:val="0"/>
        <w:outlineLvl w:val="0"/>
        <w:rPr>
          <w:rFonts w:cs="Arial"/>
          <w:b/>
          <w:color w:val="auto"/>
          <w:sz w:val="20"/>
          <w:szCs w:val="20"/>
        </w:rPr>
      </w:pPr>
      <w:r w:rsidRPr="005941FF">
        <w:rPr>
          <w:rFonts w:cs="Arial"/>
          <w:b/>
          <w:color w:val="auto"/>
          <w:sz w:val="20"/>
          <w:szCs w:val="20"/>
        </w:rPr>
        <w:lastRenderedPageBreak/>
        <w:t>Co</w:t>
      </w:r>
      <w:r w:rsidR="00E51139" w:rsidRPr="005941FF">
        <w:rPr>
          <w:rFonts w:cs="Arial"/>
          <w:b/>
          <w:color w:val="auto"/>
          <w:sz w:val="20"/>
          <w:szCs w:val="20"/>
        </w:rPr>
        <w:t>ntractual Commitments for the acquisition of Propert</w:t>
      </w:r>
      <w:r w:rsidR="00CC4FA9" w:rsidRPr="005941FF">
        <w:rPr>
          <w:rFonts w:cs="Arial"/>
          <w:b/>
          <w:color w:val="auto"/>
          <w:sz w:val="20"/>
          <w:szCs w:val="20"/>
        </w:rPr>
        <w:t>y, Plant and Equipment as at 31</w:t>
      </w:r>
      <w:r w:rsidR="00CC4FA9" w:rsidRPr="005941FF">
        <w:rPr>
          <w:rFonts w:cs="Arial"/>
          <w:b/>
          <w:color w:val="auto"/>
          <w:sz w:val="20"/>
          <w:szCs w:val="20"/>
          <w:vertAlign w:val="superscript"/>
        </w:rPr>
        <w:t>st</w:t>
      </w:r>
      <w:r w:rsidR="00CC4FA9" w:rsidRPr="005941FF">
        <w:rPr>
          <w:rFonts w:cs="Arial"/>
          <w:b/>
          <w:color w:val="auto"/>
          <w:sz w:val="20"/>
          <w:szCs w:val="20"/>
        </w:rPr>
        <w:t xml:space="preserve"> </w:t>
      </w:r>
      <w:r w:rsidR="00E51139" w:rsidRPr="005941FF">
        <w:rPr>
          <w:rFonts w:cs="Arial"/>
          <w:b/>
          <w:color w:val="auto"/>
          <w:sz w:val="20"/>
          <w:szCs w:val="20"/>
        </w:rPr>
        <w:t>March 201</w:t>
      </w:r>
      <w:r w:rsidR="00F0378E" w:rsidRPr="005941FF">
        <w:rPr>
          <w:rFonts w:cs="Arial"/>
          <w:b/>
          <w:color w:val="auto"/>
          <w:sz w:val="20"/>
          <w:szCs w:val="20"/>
        </w:rPr>
        <w:t>8</w:t>
      </w:r>
    </w:p>
    <w:p w:rsidR="00E51139" w:rsidRPr="0005794A" w:rsidRDefault="00E51139" w:rsidP="002A779E">
      <w:pPr>
        <w:pStyle w:val="CodeNotesExampleText"/>
        <w:widowControl w:val="0"/>
        <w:ind w:left="567"/>
        <w:outlineLvl w:val="0"/>
        <w:rPr>
          <w:rFonts w:cs="Arial"/>
          <w:color w:val="548DD4" w:themeColor="text2" w:themeTint="99"/>
          <w:sz w:val="20"/>
          <w:szCs w:val="20"/>
          <w:u w:val="single"/>
        </w:rPr>
      </w:pPr>
    </w:p>
    <w:p w:rsidR="00E51139" w:rsidRPr="000764A5" w:rsidRDefault="00E51139" w:rsidP="002A779E">
      <w:pPr>
        <w:pStyle w:val="CodeNotesExampleText"/>
        <w:widowControl w:val="0"/>
        <w:ind w:left="567"/>
        <w:outlineLvl w:val="0"/>
        <w:rPr>
          <w:rFonts w:cs="Arial"/>
          <w:color w:val="auto"/>
          <w:sz w:val="20"/>
          <w:szCs w:val="20"/>
        </w:rPr>
      </w:pPr>
      <w:r w:rsidRPr="000764A5">
        <w:rPr>
          <w:rFonts w:cs="Arial"/>
          <w:color w:val="auto"/>
          <w:sz w:val="20"/>
          <w:szCs w:val="20"/>
        </w:rPr>
        <w:t>The significant commitments on capital schemes with a value greater than £</w:t>
      </w:r>
      <w:r w:rsidR="007F35BB" w:rsidRPr="000764A5">
        <w:rPr>
          <w:rFonts w:cs="Arial"/>
          <w:color w:val="auto"/>
          <w:sz w:val="20"/>
          <w:szCs w:val="20"/>
        </w:rPr>
        <w:t>0.5</w:t>
      </w:r>
      <w:r w:rsidR="00FB55B3" w:rsidRPr="000764A5">
        <w:rPr>
          <w:rFonts w:cs="Arial"/>
          <w:color w:val="auto"/>
          <w:sz w:val="20"/>
          <w:szCs w:val="20"/>
        </w:rPr>
        <w:t>m</w:t>
      </w:r>
      <w:r w:rsidRPr="000764A5">
        <w:rPr>
          <w:rFonts w:cs="Arial"/>
          <w:color w:val="auto"/>
          <w:sz w:val="20"/>
          <w:szCs w:val="20"/>
        </w:rPr>
        <w:t xml:space="preserve"> together with the likely year of spend are shown in the table below</w:t>
      </w:r>
      <w:r w:rsidR="00BE348A" w:rsidRPr="000764A5">
        <w:rPr>
          <w:rFonts w:cs="Arial"/>
          <w:color w:val="auto"/>
          <w:sz w:val="20"/>
          <w:szCs w:val="20"/>
        </w:rPr>
        <w:t>. Similar commitments for the previous financial year were £</w:t>
      </w:r>
      <w:r w:rsidR="009D3244" w:rsidRPr="000764A5">
        <w:rPr>
          <w:rFonts w:cs="Arial"/>
          <w:color w:val="auto"/>
          <w:sz w:val="20"/>
          <w:szCs w:val="20"/>
        </w:rPr>
        <w:t>6</w:t>
      </w:r>
      <w:r w:rsidR="00BE348A" w:rsidRPr="000764A5">
        <w:rPr>
          <w:rFonts w:cs="Arial"/>
          <w:color w:val="auto"/>
          <w:sz w:val="20"/>
          <w:szCs w:val="20"/>
        </w:rPr>
        <w:t>m.</w:t>
      </w:r>
    </w:p>
    <w:p w:rsidR="00E51139" w:rsidRPr="0005794A" w:rsidRDefault="00E51139" w:rsidP="002A779E">
      <w:pPr>
        <w:pStyle w:val="CodeNotesExampleText"/>
        <w:widowControl w:val="0"/>
        <w:ind w:left="567"/>
        <w:outlineLvl w:val="0"/>
        <w:rPr>
          <w:rFonts w:cs="Arial"/>
          <w:color w:val="548DD4" w:themeColor="text2" w:themeTint="99"/>
          <w:sz w:val="20"/>
          <w:szCs w:val="20"/>
        </w:rPr>
      </w:pPr>
    </w:p>
    <w:tbl>
      <w:tblPr>
        <w:tblStyle w:val="ListTable3-Accent51"/>
        <w:tblW w:w="9497" w:type="dxa"/>
        <w:tblInd w:w="250" w:type="dxa"/>
        <w:tblLayout w:type="fixed"/>
        <w:tblLook w:val="01E0" w:firstRow="1" w:lastRow="1" w:firstColumn="1" w:lastColumn="1" w:noHBand="0" w:noVBand="0"/>
      </w:tblPr>
      <w:tblGrid>
        <w:gridCol w:w="2268"/>
        <w:gridCol w:w="4111"/>
        <w:gridCol w:w="1134"/>
        <w:gridCol w:w="992"/>
        <w:gridCol w:w="992"/>
      </w:tblGrid>
      <w:tr w:rsidR="00E51139" w:rsidRPr="0005794A" w:rsidTr="009D32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rsidR="00E51139" w:rsidRPr="005941FF" w:rsidRDefault="00E51139" w:rsidP="00CE6D72">
            <w:pPr>
              <w:pStyle w:val="CodeNotesExampleText"/>
              <w:widowControl w:val="0"/>
              <w:outlineLvl w:val="0"/>
              <w:rPr>
                <w:rFonts w:cs="Arial"/>
                <w:b w:val="0"/>
                <w:color w:val="auto"/>
                <w:sz w:val="20"/>
                <w:szCs w:val="20"/>
              </w:rPr>
            </w:pPr>
            <w:r w:rsidRPr="005941FF">
              <w:rPr>
                <w:rFonts w:cs="Arial"/>
                <w:b w:val="0"/>
                <w:color w:val="auto"/>
                <w:sz w:val="20"/>
                <w:szCs w:val="20"/>
              </w:rPr>
              <w:t>Contract</w:t>
            </w:r>
          </w:p>
        </w:tc>
        <w:tc>
          <w:tcPr>
            <w:cnfStyle w:val="000010000000" w:firstRow="0" w:lastRow="0" w:firstColumn="0" w:lastColumn="0" w:oddVBand="1" w:evenVBand="0" w:oddHBand="0" w:evenHBand="0" w:firstRowFirstColumn="0" w:firstRowLastColumn="0" w:lastRowFirstColumn="0" w:lastRowLastColumn="0"/>
            <w:tcW w:w="4111" w:type="dxa"/>
          </w:tcPr>
          <w:p w:rsidR="00E51139" w:rsidRPr="005941FF" w:rsidRDefault="00E51139" w:rsidP="00CE6D72">
            <w:pPr>
              <w:pStyle w:val="CodeNotesExampleText"/>
              <w:widowControl w:val="0"/>
              <w:outlineLvl w:val="0"/>
              <w:rPr>
                <w:rFonts w:cs="Arial"/>
                <w:b w:val="0"/>
                <w:color w:val="auto"/>
                <w:sz w:val="20"/>
                <w:szCs w:val="20"/>
              </w:rPr>
            </w:pPr>
            <w:r w:rsidRPr="005941FF">
              <w:rPr>
                <w:rFonts w:cs="Arial"/>
                <w:b w:val="0"/>
                <w:color w:val="auto"/>
                <w:sz w:val="20"/>
                <w:szCs w:val="20"/>
              </w:rPr>
              <w:t>Purpose</w:t>
            </w:r>
          </w:p>
        </w:tc>
        <w:tc>
          <w:tcPr>
            <w:tcW w:w="1134" w:type="dxa"/>
          </w:tcPr>
          <w:p w:rsidR="00E51139" w:rsidRPr="005941FF" w:rsidRDefault="00E51139" w:rsidP="009F352E">
            <w:pPr>
              <w:pStyle w:val="CodeNotesExampleText"/>
              <w:widowControl w:val="0"/>
              <w:jc w:val="center"/>
              <w:outlineLvl w:val="0"/>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5941FF">
              <w:rPr>
                <w:rFonts w:cs="Arial"/>
                <w:b w:val="0"/>
                <w:color w:val="auto"/>
                <w:sz w:val="20"/>
                <w:szCs w:val="20"/>
              </w:rPr>
              <w:t>Total Commit</w:t>
            </w:r>
            <w:r w:rsidR="002A779E" w:rsidRPr="005941FF">
              <w:rPr>
                <w:rFonts w:cs="Arial"/>
                <w:b w:val="0"/>
                <w:color w:val="auto"/>
                <w:sz w:val="20"/>
                <w:szCs w:val="20"/>
              </w:rPr>
              <w:t>-</w:t>
            </w:r>
            <w:proofErr w:type="spellStart"/>
            <w:r w:rsidRPr="005941FF">
              <w:rPr>
                <w:rFonts w:cs="Arial"/>
                <w:b w:val="0"/>
                <w:color w:val="auto"/>
                <w:sz w:val="20"/>
                <w:szCs w:val="20"/>
              </w:rPr>
              <w:t>ments</w:t>
            </w:r>
            <w:proofErr w:type="spellEnd"/>
          </w:p>
        </w:tc>
        <w:tc>
          <w:tcPr>
            <w:cnfStyle w:val="000010000000" w:firstRow="0" w:lastRow="0" w:firstColumn="0" w:lastColumn="0" w:oddVBand="1" w:evenVBand="0" w:oddHBand="0" w:evenHBand="0" w:firstRowFirstColumn="0" w:firstRowLastColumn="0" w:lastRowFirstColumn="0" w:lastRowLastColumn="0"/>
            <w:tcW w:w="992" w:type="dxa"/>
          </w:tcPr>
          <w:p w:rsidR="00E51139" w:rsidRPr="005941FF" w:rsidRDefault="00E51139" w:rsidP="009D3244">
            <w:pPr>
              <w:pStyle w:val="CodeNotesExampleText"/>
              <w:widowControl w:val="0"/>
              <w:jc w:val="center"/>
              <w:outlineLvl w:val="0"/>
              <w:rPr>
                <w:rFonts w:cs="Arial"/>
                <w:b w:val="0"/>
                <w:color w:val="auto"/>
                <w:sz w:val="20"/>
                <w:szCs w:val="20"/>
              </w:rPr>
            </w:pPr>
            <w:r w:rsidRPr="005941FF">
              <w:rPr>
                <w:rFonts w:cs="Arial"/>
                <w:b w:val="0"/>
                <w:color w:val="auto"/>
                <w:sz w:val="20"/>
                <w:szCs w:val="20"/>
              </w:rPr>
              <w:t>201</w:t>
            </w:r>
            <w:r w:rsidR="00F0378E" w:rsidRPr="005941FF">
              <w:rPr>
                <w:rFonts w:cs="Arial"/>
                <w:b w:val="0"/>
                <w:color w:val="auto"/>
                <w:sz w:val="20"/>
                <w:szCs w:val="20"/>
              </w:rPr>
              <w:t>8</w:t>
            </w:r>
            <w:r w:rsidR="009E42F6" w:rsidRPr="005941FF">
              <w:rPr>
                <w:rFonts w:cs="Arial"/>
                <w:b w:val="0"/>
                <w:color w:val="auto"/>
                <w:sz w:val="20"/>
                <w:szCs w:val="20"/>
              </w:rPr>
              <w:t>/1</w:t>
            </w:r>
            <w:r w:rsidR="00F0378E" w:rsidRPr="005941FF">
              <w:rPr>
                <w:rFonts w:cs="Arial"/>
                <w:b w:val="0"/>
                <w:color w:val="auto"/>
                <w:sz w:val="20"/>
                <w:szCs w:val="20"/>
              </w:rPr>
              <w:t>9</w:t>
            </w:r>
          </w:p>
        </w:tc>
        <w:tc>
          <w:tcPr>
            <w:cnfStyle w:val="000100001000" w:firstRow="0" w:lastRow="0" w:firstColumn="0" w:lastColumn="1" w:oddVBand="0" w:evenVBand="0" w:oddHBand="0" w:evenHBand="0" w:firstRowFirstColumn="0" w:firstRowLastColumn="1" w:lastRowFirstColumn="0" w:lastRowLastColumn="0"/>
            <w:tcW w:w="992" w:type="dxa"/>
          </w:tcPr>
          <w:p w:rsidR="00E51139" w:rsidRPr="005941FF" w:rsidRDefault="005941FF" w:rsidP="009D3244">
            <w:pPr>
              <w:pStyle w:val="CodeNotesExampleText"/>
              <w:widowControl w:val="0"/>
              <w:jc w:val="center"/>
              <w:outlineLvl w:val="0"/>
              <w:rPr>
                <w:rFonts w:cs="Arial"/>
                <w:b w:val="0"/>
                <w:color w:val="auto"/>
                <w:sz w:val="20"/>
                <w:szCs w:val="20"/>
              </w:rPr>
            </w:pPr>
            <w:r w:rsidRPr="005941FF">
              <w:rPr>
                <w:rFonts w:cs="Arial"/>
                <w:b w:val="0"/>
                <w:color w:val="auto"/>
                <w:sz w:val="20"/>
                <w:szCs w:val="20"/>
              </w:rPr>
              <w:t>2019</w:t>
            </w:r>
            <w:r w:rsidR="009E42F6" w:rsidRPr="005941FF">
              <w:rPr>
                <w:rFonts w:cs="Arial"/>
                <w:b w:val="0"/>
                <w:color w:val="auto"/>
                <w:sz w:val="20"/>
                <w:szCs w:val="20"/>
              </w:rPr>
              <w:t>/</w:t>
            </w:r>
            <w:r w:rsidRPr="005941FF">
              <w:rPr>
                <w:rFonts w:cs="Arial"/>
                <w:b w:val="0"/>
                <w:color w:val="auto"/>
                <w:sz w:val="20"/>
                <w:szCs w:val="20"/>
              </w:rPr>
              <w:t>20</w:t>
            </w:r>
          </w:p>
        </w:tc>
      </w:tr>
      <w:tr w:rsidR="00E51139" w:rsidRPr="0005794A"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4BACC6" w:themeFill="accent5"/>
          </w:tcPr>
          <w:p w:rsidR="00E51139" w:rsidRPr="005941FF" w:rsidRDefault="00E51139" w:rsidP="00CE6D72">
            <w:pPr>
              <w:pStyle w:val="CodeNotesExampleText"/>
              <w:widowControl w:val="0"/>
              <w:outlineLvl w:val="0"/>
              <w:rPr>
                <w:rFonts w:cs="Arial"/>
                <w:color w:val="auto"/>
                <w:sz w:val="20"/>
                <w:szCs w:val="20"/>
                <w:u w:val="single"/>
              </w:rPr>
            </w:pPr>
          </w:p>
        </w:tc>
        <w:tc>
          <w:tcPr>
            <w:cnfStyle w:val="000010000000" w:firstRow="0" w:lastRow="0" w:firstColumn="0" w:lastColumn="0" w:oddVBand="1" w:evenVBand="0" w:oddHBand="0" w:evenHBand="0" w:firstRowFirstColumn="0" w:firstRowLastColumn="0" w:lastRowFirstColumn="0" w:lastRowLastColumn="0"/>
            <w:tcW w:w="4111" w:type="dxa"/>
            <w:shd w:val="clear" w:color="auto" w:fill="4BACC6" w:themeFill="accent5"/>
          </w:tcPr>
          <w:p w:rsidR="00E51139" w:rsidRPr="005941FF" w:rsidRDefault="00E51139" w:rsidP="00CE6D72">
            <w:pPr>
              <w:pStyle w:val="CodeNotesExampleText"/>
              <w:widowControl w:val="0"/>
              <w:outlineLvl w:val="0"/>
              <w:rPr>
                <w:rFonts w:cs="Arial"/>
                <w:color w:val="auto"/>
                <w:sz w:val="20"/>
                <w:szCs w:val="20"/>
              </w:rPr>
            </w:pPr>
          </w:p>
        </w:tc>
        <w:tc>
          <w:tcPr>
            <w:tcW w:w="1134" w:type="dxa"/>
            <w:shd w:val="clear" w:color="auto" w:fill="4BACC6" w:themeFill="accent5"/>
          </w:tcPr>
          <w:p w:rsidR="00E51139" w:rsidRPr="005941FF" w:rsidRDefault="00E51139" w:rsidP="00CE6D72">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5941FF">
              <w:rPr>
                <w:rFonts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E51139" w:rsidRPr="005941FF" w:rsidRDefault="00E51139" w:rsidP="00CE6D72">
            <w:pPr>
              <w:pStyle w:val="CodeNotesExampleText"/>
              <w:widowControl w:val="0"/>
              <w:jc w:val="center"/>
              <w:outlineLvl w:val="0"/>
              <w:rPr>
                <w:rFonts w:cs="Arial"/>
                <w:color w:val="auto"/>
                <w:sz w:val="20"/>
                <w:szCs w:val="20"/>
              </w:rPr>
            </w:pPr>
            <w:r w:rsidRPr="005941FF">
              <w:rPr>
                <w:rFonts w:cs="Arial"/>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992" w:type="dxa"/>
            <w:shd w:val="clear" w:color="auto" w:fill="4BACC6" w:themeFill="accent5"/>
          </w:tcPr>
          <w:p w:rsidR="00E51139" w:rsidRPr="005941FF" w:rsidRDefault="00E51139" w:rsidP="00CE6D72">
            <w:pPr>
              <w:pStyle w:val="CodeNotesExampleText"/>
              <w:widowControl w:val="0"/>
              <w:jc w:val="center"/>
              <w:outlineLvl w:val="0"/>
              <w:rPr>
                <w:rFonts w:cs="Arial"/>
                <w:b w:val="0"/>
                <w:color w:val="auto"/>
                <w:sz w:val="20"/>
                <w:szCs w:val="20"/>
              </w:rPr>
            </w:pPr>
            <w:r w:rsidRPr="005941FF">
              <w:rPr>
                <w:rFonts w:cs="Arial"/>
                <w:b w:val="0"/>
                <w:color w:val="auto"/>
                <w:sz w:val="20"/>
                <w:szCs w:val="20"/>
              </w:rPr>
              <w:t>£m</w:t>
            </w:r>
          </w:p>
        </w:tc>
      </w:tr>
      <w:tr w:rsidR="00A83F68" w:rsidRPr="0005794A" w:rsidTr="009D3244">
        <w:tc>
          <w:tcPr>
            <w:cnfStyle w:val="001000000000" w:firstRow="0" w:lastRow="0" w:firstColumn="1" w:lastColumn="0" w:oddVBand="0" w:evenVBand="0" w:oddHBand="0" w:evenHBand="0" w:firstRowFirstColumn="0" w:firstRowLastColumn="0" w:lastRowFirstColumn="0" w:lastRowLastColumn="0"/>
            <w:tcW w:w="2268" w:type="dxa"/>
          </w:tcPr>
          <w:p w:rsidR="00A83F68" w:rsidRPr="005941FF" w:rsidRDefault="00A83F68" w:rsidP="00CE6D72">
            <w:pPr>
              <w:pStyle w:val="CodeNotesExampleText"/>
              <w:widowControl w:val="0"/>
              <w:outlineLvl w:val="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A83F68" w:rsidRPr="005941FF" w:rsidRDefault="00E47359" w:rsidP="00E47359">
            <w:pPr>
              <w:pStyle w:val="CodeNotesExampleText"/>
              <w:widowControl w:val="0"/>
              <w:outlineLvl w:val="0"/>
              <w:rPr>
                <w:rFonts w:cs="Arial"/>
                <w:b/>
                <w:color w:val="auto"/>
                <w:sz w:val="20"/>
                <w:szCs w:val="20"/>
              </w:rPr>
            </w:pPr>
            <w:r w:rsidRPr="005941FF">
              <w:rPr>
                <w:rFonts w:cs="Arial"/>
                <w:b/>
                <w:color w:val="auto"/>
                <w:sz w:val="20"/>
                <w:szCs w:val="20"/>
              </w:rPr>
              <w:t>Expenditure on Council Assets:</w:t>
            </w:r>
          </w:p>
        </w:tc>
        <w:tc>
          <w:tcPr>
            <w:tcW w:w="1134" w:type="dxa"/>
            <w:vAlign w:val="center"/>
          </w:tcPr>
          <w:p w:rsidR="00A83F68" w:rsidRPr="005941FF" w:rsidRDefault="00A83F68" w:rsidP="00AE29C3">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83F68" w:rsidRPr="005941FF" w:rsidRDefault="00A83F68" w:rsidP="00AE29C3">
            <w:pPr>
              <w:pStyle w:val="CodeNotesExampleText"/>
              <w:widowControl w:val="0"/>
              <w:jc w:val="center"/>
              <w:outlineLvl w:val="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A83F68" w:rsidRPr="005941FF" w:rsidRDefault="00A83F68" w:rsidP="00AE29C3">
            <w:pPr>
              <w:pStyle w:val="CodeNotesExampleText"/>
              <w:widowControl w:val="0"/>
              <w:jc w:val="center"/>
              <w:outlineLvl w:val="0"/>
              <w:rPr>
                <w:rFonts w:cs="Arial"/>
                <w:color w:val="auto"/>
                <w:sz w:val="20"/>
                <w:szCs w:val="20"/>
              </w:rPr>
            </w:pPr>
          </w:p>
        </w:tc>
      </w:tr>
      <w:tr w:rsidR="00787D3B" w:rsidRPr="0005794A"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4BACC6" w:themeColor="accent5"/>
            </w:tcBorders>
          </w:tcPr>
          <w:p w:rsidR="00787D3B" w:rsidRPr="000764A5" w:rsidRDefault="00787D3B" w:rsidP="00CE6D72">
            <w:pPr>
              <w:pStyle w:val="CodeNotesExampleText"/>
              <w:widowControl w:val="0"/>
              <w:outlineLvl w:val="0"/>
              <w:rPr>
                <w:rFonts w:cs="Arial"/>
                <w:color w:val="auto"/>
                <w:sz w:val="20"/>
                <w:szCs w:val="20"/>
                <w:u w:val="single"/>
              </w:rPr>
            </w:pPr>
            <w:r w:rsidRPr="000764A5">
              <w:rPr>
                <w:rFonts w:cs="Arial"/>
                <w:color w:val="auto"/>
                <w:sz w:val="20"/>
                <w:szCs w:val="20"/>
                <w:u w:val="single"/>
              </w:rPr>
              <w:t>Education</w:t>
            </w:r>
          </w:p>
        </w:tc>
        <w:tc>
          <w:tcPr>
            <w:cnfStyle w:val="000010000000" w:firstRow="0" w:lastRow="0" w:firstColumn="0" w:lastColumn="0" w:oddVBand="1" w:evenVBand="0" w:oddHBand="0" w:evenHBand="0" w:firstRowFirstColumn="0" w:firstRowLastColumn="0" w:lastRowFirstColumn="0" w:lastRowLastColumn="0"/>
            <w:tcW w:w="4111" w:type="dxa"/>
          </w:tcPr>
          <w:p w:rsidR="00787D3B" w:rsidRPr="000764A5" w:rsidRDefault="00787D3B" w:rsidP="00C079BE">
            <w:pPr>
              <w:pStyle w:val="CodeNotesExampleText"/>
              <w:widowControl w:val="0"/>
              <w:outlineLvl w:val="0"/>
              <w:rPr>
                <w:rFonts w:cs="Arial"/>
                <w:b/>
                <w:bCs/>
                <w:color w:val="auto"/>
                <w:sz w:val="20"/>
                <w:szCs w:val="20"/>
              </w:rPr>
            </w:pPr>
          </w:p>
        </w:tc>
        <w:tc>
          <w:tcPr>
            <w:tcW w:w="1134" w:type="dxa"/>
            <w:vAlign w:val="center"/>
          </w:tcPr>
          <w:p w:rsidR="00787D3B" w:rsidRPr="005941FF" w:rsidRDefault="00787D3B" w:rsidP="00ED06F5">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5941FF" w:rsidRDefault="00787D3B" w:rsidP="00ED06F5">
            <w:pPr>
              <w:pStyle w:val="CodeNotesExampleText"/>
              <w:widowControl w:val="0"/>
              <w:jc w:val="center"/>
              <w:outlineLvl w:val="0"/>
              <w:rPr>
                <w:rFonts w:cs="Arial"/>
                <w:b/>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Pr="005941FF" w:rsidRDefault="00787D3B" w:rsidP="00AE29C3">
            <w:pPr>
              <w:pStyle w:val="CodeNotesExampleText"/>
              <w:widowControl w:val="0"/>
              <w:jc w:val="center"/>
              <w:outlineLvl w:val="0"/>
              <w:rPr>
                <w:rFonts w:cs="Arial"/>
                <w:b w:val="0"/>
                <w:color w:val="auto"/>
                <w:sz w:val="20"/>
                <w:szCs w:val="20"/>
              </w:rPr>
            </w:pPr>
          </w:p>
        </w:tc>
      </w:tr>
      <w:tr w:rsidR="00787D3B" w:rsidRPr="0005794A" w:rsidTr="009D3244">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4BACC6" w:themeColor="accent5"/>
            </w:tcBorders>
          </w:tcPr>
          <w:p w:rsidR="00787D3B" w:rsidRPr="000764A5" w:rsidRDefault="00787D3B" w:rsidP="003D3F58">
            <w:pPr>
              <w:pStyle w:val="CodeNotesExampleText"/>
              <w:widowControl w:val="0"/>
              <w:outlineLvl w:val="0"/>
              <w:rPr>
                <w:rFonts w:cs="Arial"/>
                <w:b w:val="0"/>
                <w:color w:val="auto"/>
                <w:sz w:val="20"/>
                <w:szCs w:val="20"/>
              </w:rPr>
            </w:pPr>
            <w:r w:rsidRPr="009B3396">
              <w:rPr>
                <w:rFonts w:cs="Arial"/>
                <w:b w:val="0"/>
                <w:color w:val="auto"/>
                <w:sz w:val="20"/>
                <w:szCs w:val="20"/>
              </w:rPr>
              <w:t>New P</w:t>
            </w:r>
            <w:r w:rsidR="003D3F58" w:rsidRPr="009B3396">
              <w:rPr>
                <w:rFonts w:cs="Arial"/>
                <w:b w:val="0"/>
                <w:color w:val="auto"/>
                <w:sz w:val="20"/>
                <w:szCs w:val="20"/>
              </w:rPr>
              <w:t>aignton</w:t>
            </w:r>
            <w:r w:rsidRPr="009B3396">
              <w:rPr>
                <w:rFonts w:cs="Arial"/>
                <w:b w:val="0"/>
                <w:color w:val="auto"/>
                <w:sz w:val="20"/>
                <w:szCs w:val="20"/>
              </w:rPr>
              <w:t xml:space="preserve"> Primary</w:t>
            </w:r>
            <w:r w:rsidRPr="000764A5">
              <w:rPr>
                <w:rFonts w:cs="Arial"/>
                <w:b w:val="0"/>
                <w:color w:val="auto"/>
                <w:sz w:val="20"/>
                <w:szCs w:val="20"/>
              </w:rPr>
              <w:t xml:space="preserve"> School</w:t>
            </w:r>
          </w:p>
        </w:tc>
        <w:tc>
          <w:tcPr>
            <w:cnfStyle w:val="000010000000" w:firstRow="0" w:lastRow="0" w:firstColumn="0" w:lastColumn="0" w:oddVBand="1" w:evenVBand="0" w:oddHBand="0" w:evenHBand="0" w:firstRowFirstColumn="0" w:firstRowLastColumn="0" w:lastRowFirstColumn="0" w:lastRowLastColumn="0"/>
            <w:tcW w:w="4111" w:type="dxa"/>
          </w:tcPr>
          <w:p w:rsidR="00787D3B" w:rsidRPr="000764A5" w:rsidRDefault="00787D3B" w:rsidP="00787D3B">
            <w:pPr>
              <w:pStyle w:val="CodeNotesExampleText"/>
              <w:widowControl w:val="0"/>
              <w:outlineLvl w:val="0"/>
              <w:rPr>
                <w:rFonts w:cs="Arial"/>
                <w:bCs/>
                <w:color w:val="auto"/>
                <w:sz w:val="20"/>
                <w:szCs w:val="20"/>
              </w:rPr>
            </w:pPr>
            <w:r w:rsidRPr="000764A5">
              <w:rPr>
                <w:rFonts w:cs="Arial"/>
                <w:bCs/>
                <w:color w:val="auto"/>
                <w:sz w:val="20"/>
                <w:szCs w:val="20"/>
              </w:rPr>
              <w:t>Contribution to site acquisition for  new Free School</w:t>
            </w:r>
          </w:p>
        </w:tc>
        <w:tc>
          <w:tcPr>
            <w:tcW w:w="1134" w:type="dxa"/>
            <w:vAlign w:val="center"/>
          </w:tcPr>
          <w:p w:rsidR="00787D3B" w:rsidRPr="005941FF" w:rsidRDefault="000764A5" w:rsidP="00ED06F5">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EE48B9" w:rsidRDefault="000764A5" w:rsidP="00ED06F5">
            <w:pPr>
              <w:pStyle w:val="CodeNotesExampleText"/>
              <w:widowControl w:val="0"/>
              <w:jc w:val="center"/>
              <w:outlineLvl w:val="0"/>
              <w:rPr>
                <w:rFonts w:cs="Arial"/>
                <w:color w:val="auto"/>
                <w:sz w:val="20"/>
                <w:szCs w:val="20"/>
              </w:rPr>
            </w:pPr>
            <w:r w:rsidRPr="00EE48B9">
              <w:rPr>
                <w:rFonts w:cs="Arial"/>
                <w:color w:val="auto"/>
                <w:sz w:val="20"/>
                <w:szCs w:val="20"/>
              </w:rPr>
              <w:t>0.6</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Pr="005941FF" w:rsidRDefault="00315264" w:rsidP="00AE29C3">
            <w:pPr>
              <w:pStyle w:val="CodeNotesExampleText"/>
              <w:widowControl w:val="0"/>
              <w:jc w:val="center"/>
              <w:outlineLvl w:val="0"/>
              <w:rPr>
                <w:rFonts w:cs="Arial"/>
                <w:b w:val="0"/>
                <w:color w:val="auto"/>
                <w:sz w:val="20"/>
                <w:szCs w:val="20"/>
              </w:rPr>
            </w:pPr>
            <w:r>
              <w:rPr>
                <w:rFonts w:cs="Arial"/>
                <w:b w:val="0"/>
                <w:color w:val="auto"/>
                <w:sz w:val="20"/>
                <w:szCs w:val="20"/>
              </w:rPr>
              <w:t>0</w:t>
            </w:r>
          </w:p>
        </w:tc>
      </w:tr>
      <w:tr w:rsidR="00787D3B" w:rsidRPr="0005794A"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4BACC6" w:themeColor="accent5"/>
            </w:tcBorders>
          </w:tcPr>
          <w:p w:rsidR="00787D3B" w:rsidRPr="000764A5" w:rsidRDefault="00787D3B" w:rsidP="00CE6D72">
            <w:pPr>
              <w:pStyle w:val="CodeNotesExampleText"/>
              <w:widowControl w:val="0"/>
              <w:outlineLvl w:val="0"/>
              <w:rPr>
                <w:rFonts w:cs="Arial"/>
                <w:b w:val="0"/>
                <w:color w:val="auto"/>
                <w:sz w:val="20"/>
                <w:szCs w:val="20"/>
              </w:rPr>
            </w:pPr>
            <w:r w:rsidRPr="000764A5">
              <w:rPr>
                <w:rFonts w:cs="Arial"/>
                <w:b w:val="0"/>
                <w:color w:val="auto"/>
                <w:sz w:val="20"/>
                <w:szCs w:val="20"/>
              </w:rPr>
              <w:t>Secondary School Places</w:t>
            </w:r>
          </w:p>
        </w:tc>
        <w:tc>
          <w:tcPr>
            <w:cnfStyle w:val="000010000000" w:firstRow="0" w:lastRow="0" w:firstColumn="0" w:lastColumn="0" w:oddVBand="1" w:evenVBand="0" w:oddHBand="0" w:evenHBand="0" w:firstRowFirstColumn="0" w:firstRowLastColumn="0" w:lastRowFirstColumn="0" w:lastRowLastColumn="0"/>
            <w:tcW w:w="4111" w:type="dxa"/>
          </w:tcPr>
          <w:p w:rsidR="00787D3B" w:rsidRPr="000764A5" w:rsidRDefault="00787D3B" w:rsidP="00C079BE">
            <w:pPr>
              <w:pStyle w:val="CodeNotesExampleText"/>
              <w:widowControl w:val="0"/>
              <w:outlineLvl w:val="0"/>
              <w:rPr>
                <w:rFonts w:cs="Arial"/>
                <w:bCs/>
                <w:color w:val="auto"/>
                <w:sz w:val="20"/>
                <w:szCs w:val="20"/>
              </w:rPr>
            </w:pPr>
            <w:r w:rsidRPr="000764A5">
              <w:rPr>
                <w:rFonts w:cs="Arial"/>
                <w:bCs/>
                <w:color w:val="auto"/>
                <w:sz w:val="20"/>
                <w:szCs w:val="20"/>
              </w:rPr>
              <w:t>Additional classrooms/teaching space for secondary school pupils</w:t>
            </w:r>
          </w:p>
        </w:tc>
        <w:tc>
          <w:tcPr>
            <w:tcW w:w="1134" w:type="dxa"/>
            <w:vAlign w:val="center"/>
          </w:tcPr>
          <w:p w:rsidR="00787D3B" w:rsidRPr="005941FF" w:rsidRDefault="000764A5" w:rsidP="00ED06F5">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1.1</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EE48B9" w:rsidRDefault="000764A5" w:rsidP="00ED06F5">
            <w:pPr>
              <w:pStyle w:val="CodeNotesExampleText"/>
              <w:widowControl w:val="0"/>
              <w:jc w:val="center"/>
              <w:outlineLvl w:val="0"/>
              <w:rPr>
                <w:rFonts w:cs="Arial"/>
                <w:color w:val="auto"/>
                <w:sz w:val="20"/>
                <w:szCs w:val="20"/>
              </w:rPr>
            </w:pPr>
            <w:r w:rsidRPr="00EE48B9">
              <w:rPr>
                <w:rFonts w:cs="Arial"/>
                <w:color w:val="auto"/>
                <w:sz w:val="20"/>
                <w:szCs w:val="20"/>
              </w:rPr>
              <w:t>1.1</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Pr="005941FF" w:rsidRDefault="00315264" w:rsidP="00AE29C3">
            <w:pPr>
              <w:pStyle w:val="CodeNotesExampleText"/>
              <w:widowControl w:val="0"/>
              <w:jc w:val="center"/>
              <w:outlineLvl w:val="0"/>
              <w:rPr>
                <w:rFonts w:cs="Arial"/>
                <w:b w:val="0"/>
                <w:color w:val="auto"/>
                <w:sz w:val="20"/>
                <w:szCs w:val="20"/>
              </w:rPr>
            </w:pPr>
            <w:r>
              <w:rPr>
                <w:rFonts w:cs="Arial"/>
                <w:b w:val="0"/>
                <w:color w:val="auto"/>
                <w:sz w:val="20"/>
                <w:szCs w:val="20"/>
              </w:rPr>
              <w:t>0</w:t>
            </w:r>
          </w:p>
        </w:tc>
      </w:tr>
      <w:tr w:rsidR="000764A5" w:rsidRPr="0005794A" w:rsidTr="009D3244">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4BACC6" w:themeColor="accent5"/>
            </w:tcBorders>
          </w:tcPr>
          <w:p w:rsidR="000764A5" w:rsidRPr="000764A5" w:rsidRDefault="000764A5" w:rsidP="00CE6D72">
            <w:pPr>
              <w:pStyle w:val="CodeNotesExampleText"/>
              <w:widowControl w:val="0"/>
              <w:outlineLvl w:val="0"/>
              <w:rPr>
                <w:rFonts w:cs="Arial"/>
                <w:color w:val="auto"/>
                <w:sz w:val="20"/>
                <w:szCs w:val="20"/>
                <w:u w:val="single"/>
              </w:rPr>
            </w:pPr>
          </w:p>
        </w:tc>
        <w:tc>
          <w:tcPr>
            <w:cnfStyle w:val="000010000000" w:firstRow="0" w:lastRow="0" w:firstColumn="0" w:lastColumn="0" w:oddVBand="1" w:evenVBand="0" w:oddHBand="0" w:evenHBand="0" w:firstRowFirstColumn="0" w:firstRowLastColumn="0" w:lastRowFirstColumn="0" w:lastRowLastColumn="0"/>
            <w:tcW w:w="4111" w:type="dxa"/>
          </w:tcPr>
          <w:p w:rsidR="000764A5" w:rsidRPr="000764A5" w:rsidRDefault="000764A5" w:rsidP="00C079BE">
            <w:pPr>
              <w:pStyle w:val="CodeNotesExampleText"/>
              <w:widowControl w:val="0"/>
              <w:outlineLvl w:val="0"/>
              <w:rPr>
                <w:rFonts w:cs="Arial"/>
                <w:b/>
                <w:bCs/>
                <w:color w:val="auto"/>
                <w:sz w:val="20"/>
                <w:szCs w:val="20"/>
              </w:rPr>
            </w:pPr>
          </w:p>
        </w:tc>
        <w:tc>
          <w:tcPr>
            <w:tcW w:w="1134" w:type="dxa"/>
            <w:vAlign w:val="center"/>
          </w:tcPr>
          <w:p w:rsidR="000764A5" w:rsidRPr="005941FF" w:rsidRDefault="000764A5" w:rsidP="00ED06F5">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0764A5" w:rsidRPr="00EE48B9" w:rsidRDefault="000764A5" w:rsidP="00ED06F5">
            <w:pPr>
              <w:pStyle w:val="CodeNotesExampleText"/>
              <w:widowControl w:val="0"/>
              <w:jc w:val="center"/>
              <w:outlineLvl w:val="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0764A5" w:rsidRPr="005941FF" w:rsidRDefault="000764A5" w:rsidP="00AE29C3">
            <w:pPr>
              <w:pStyle w:val="CodeNotesExampleText"/>
              <w:widowControl w:val="0"/>
              <w:jc w:val="center"/>
              <w:outlineLvl w:val="0"/>
              <w:rPr>
                <w:rFonts w:cs="Arial"/>
                <w:b w:val="0"/>
                <w:color w:val="auto"/>
                <w:sz w:val="20"/>
                <w:szCs w:val="20"/>
              </w:rPr>
            </w:pPr>
          </w:p>
        </w:tc>
      </w:tr>
      <w:tr w:rsidR="00ED06F5" w:rsidRPr="0005794A"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4BACC6" w:themeColor="accent5"/>
            </w:tcBorders>
          </w:tcPr>
          <w:p w:rsidR="00ED06F5" w:rsidRPr="000764A5" w:rsidRDefault="00ED06F5" w:rsidP="00CE6D72">
            <w:pPr>
              <w:pStyle w:val="CodeNotesExampleText"/>
              <w:widowControl w:val="0"/>
              <w:outlineLvl w:val="0"/>
              <w:rPr>
                <w:rFonts w:cs="Arial"/>
                <w:color w:val="auto"/>
                <w:sz w:val="20"/>
                <w:szCs w:val="20"/>
                <w:u w:val="single"/>
              </w:rPr>
            </w:pPr>
            <w:r w:rsidRPr="000764A5">
              <w:rPr>
                <w:rFonts w:cs="Arial"/>
                <w:color w:val="auto"/>
                <w:sz w:val="20"/>
                <w:szCs w:val="20"/>
                <w:u w:val="single"/>
              </w:rPr>
              <w:t>Transport</w:t>
            </w:r>
          </w:p>
        </w:tc>
        <w:tc>
          <w:tcPr>
            <w:cnfStyle w:val="000010000000" w:firstRow="0" w:lastRow="0" w:firstColumn="0" w:lastColumn="0" w:oddVBand="1" w:evenVBand="0" w:oddHBand="0" w:evenHBand="0" w:firstRowFirstColumn="0" w:firstRowLastColumn="0" w:lastRowFirstColumn="0" w:lastRowLastColumn="0"/>
            <w:tcW w:w="4111" w:type="dxa"/>
          </w:tcPr>
          <w:p w:rsidR="00ED06F5" w:rsidRPr="000764A5" w:rsidRDefault="00ED06F5" w:rsidP="00C079BE">
            <w:pPr>
              <w:pStyle w:val="CodeNotesExampleText"/>
              <w:widowControl w:val="0"/>
              <w:outlineLvl w:val="0"/>
              <w:rPr>
                <w:rFonts w:cs="Arial"/>
                <w:b/>
                <w:bCs/>
                <w:color w:val="auto"/>
                <w:sz w:val="20"/>
                <w:szCs w:val="20"/>
              </w:rPr>
            </w:pPr>
          </w:p>
        </w:tc>
        <w:tc>
          <w:tcPr>
            <w:tcW w:w="1134" w:type="dxa"/>
            <w:vAlign w:val="center"/>
          </w:tcPr>
          <w:p w:rsidR="00ED06F5" w:rsidRPr="005941FF" w:rsidRDefault="00ED06F5" w:rsidP="00ED06F5">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ED06F5" w:rsidRPr="00EE48B9" w:rsidRDefault="00ED06F5" w:rsidP="00ED06F5">
            <w:pPr>
              <w:pStyle w:val="CodeNotesExampleText"/>
              <w:widowControl w:val="0"/>
              <w:jc w:val="center"/>
              <w:outlineLvl w:val="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ED06F5" w:rsidRPr="005941FF" w:rsidRDefault="00ED06F5" w:rsidP="00AE29C3">
            <w:pPr>
              <w:pStyle w:val="CodeNotesExampleText"/>
              <w:widowControl w:val="0"/>
              <w:jc w:val="center"/>
              <w:outlineLvl w:val="0"/>
              <w:rPr>
                <w:rFonts w:cs="Arial"/>
                <w:b w:val="0"/>
                <w:color w:val="auto"/>
                <w:sz w:val="20"/>
                <w:szCs w:val="20"/>
              </w:rPr>
            </w:pPr>
          </w:p>
        </w:tc>
      </w:tr>
      <w:tr w:rsidR="00862BB0" w:rsidRPr="0005794A" w:rsidTr="009D3244">
        <w:tc>
          <w:tcPr>
            <w:cnfStyle w:val="001000000000" w:firstRow="0" w:lastRow="0" w:firstColumn="1" w:lastColumn="0" w:oddVBand="0" w:evenVBand="0" w:oddHBand="0" w:evenHBand="0" w:firstRowFirstColumn="0" w:firstRowLastColumn="0" w:lastRowFirstColumn="0" w:lastRowLastColumn="0"/>
            <w:tcW w:w="2268" w:type="dxa"/>
          </w:tcPr>
          <w:p w:rsidR="00862BB0" w:rsidRPr="000764A5" w:rsidRDefault="00862BB0" w:rsidP="002024B1">
            <w:pPr>
              <w:pStyle w:val="CodeNotesExampleText"/>
              <w:widowControl w:val="0"/>
              <w:outlineLvl w:val="0"/>
              <w:rPr>
                <w:rFonts w:cs="Arial"/>
                <w:b w:val="0"/>
                <w:color w:val="auto"/>
                <w:sz w:val="20"/>
                <w:szCs w:val="20"/>
              </w:rPr>
            </w:pPr>
            <w:r w:rsidRPr="000764A5">
              <w:rPr>
                <w:rFonts w:cs="Arial"/>
                <w:b w:val="0"/>
                <w:color w:val="auto"/>
                <w:sz w:val="20"/>
                <w:szCs w:val="20"/>
              </w:rPr>
              <w:t>Fleet Walk, Torquay</w:t>
            </w:r>
          </w:p>
        </w:tc>
        <w:tc>
          <w:tcPr>
            <w:cnfStyle w:val="000010000000" w:firstRow="0" w:lastRow="0" w:firstColumn="0" w:lastColumn="0" w:oddVBand="1" w:evenVBand="0" w:oddHBand="0" w:evenHBand="0" w:firstRowFirstColumn="0" w:firstRowLastColumn="0" w:lastRowFirstColumn="0" w:lastRowLastColumn="0"/>
            <w:tcW w:w="4111" w:type="dxa"/>
          </w:tcPr>
          <w:p w:rsidR="00862BB0" w:rsidRPr="000764A5" w:rsidRDefault="00862BB0" w:rsidP="00CE6D72">
            <w:pPr>
              <w:pStyle w:val="CodeNotesExampleText"/>
              <w:widowControl w:val="0"/>
              <w:outlineLvl w:val="0"/>
              <w:rPr>
                <w:rFonts w:cs="Arial"/>
                <w:color w:val="auto"/>
                <w:sz w:val="20"/>
                <w:szCs w:val="20"/>
              </w:rPr>
            </w:pPr>
            <w:r w:rsidRPr="000764A5">
              <w:rPr>
                <w:rFonts w:cs="Arial"/>
                <w:color w:val="auto"/>
                <w:sz w:val="20"/>
                <w:szCs w:val="20"/>
              </w:rPr>
              <w:t xml:space="preserve">Major reinstatement of </w:t>
            </w:r>
            <w:proofErr w:type="spellStart"/>
            <w:r w:rsidRPr="000764A5">
              <w:rPr>
                <w:rFonts w:cs="Arial"/>
                <w:color w:val="auto"/>
                <w:sz w:val="20"/>
                <w:szCs w:val="20"/>
              </w:rPr>
              <w:t>pedestrianisation</w:t>
            </w:r>
            <w:proofErr w:type="spellEnd"/>
            <w:r w:rsidRPr="000764A5">
              <w:rPr>
                <w:rFonts w:cs="Arial"/>
                <w:color w:val="auto"/>
                <w:sz w:val="20"/>
                <w:szCs w:val="20"/>
              </w:rPr>
              <w:t xml:space="preserve"> area with vehicular (bus) access.</w:t>
            </w:r>
          </w:p>
        </w:tc>
        <w:tc>
          <w:tcPr>
            <w:tcW w:w="1134" w:type="dxa"/>
            <w:vAlign w:val="center"/>
          </w:tcPr>
          <w:p w:rsidR="00862BB0" w:rsidRPr="005941FF" w:rsidRDefault="00862BB0" w:rsidP="009D3244">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0.6</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862BB0" w:rsidRPr="00EE48B9" w:rsidRDefault="00862BB0" w:rsidP="00F27E0D">
            <w:pPr>
              <w:pStyle w:val="CodeNotesExampleText"/>
              <w:widowControl w:val="0"/>
              <w:jc w:val="center"/>
              <w:outlineLvl w:val="0"/>
              <w:rPr>
                <w:rFonts w:cs="Arial"/>
                <w:color w:val="auto"/>
                <w:sz w:val="20"/>
                <w:szCs w:val="20"/>
              </w:rPr>
            </w:pPr>
            <w:r w:rsidRPr="00EE48B9">
              <w:rPr>
                <w:rFonts w:cs="Arial"/>
                <w:color w:val="auto"/>
                <w:sz w:val="20"/>
                <w:szCs w:val="20"/>
              </w:rPr>
              <w:t>0.6</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862BB0" w:rsidRPr="005941FF" w:rsidRDefault="00315264" w:rsidP="00AE29C3">
            <w:pPr>
              <w:pStyle w:val="CodeNotesExampleText"/>
              <w:widowControl w:val="0"/>
              <w:jc w:val="center"/>
              <w:outlineLvl w:val="0"/>
              <w:rPr>
                <w:rFonts w:cs="Arial"/>
                <w:b w:val="0"/>
                <w:color w:val="auto"/>
                <w:sz w:val="20"/>
                <w:szCs w:val="20"/>
              </w:rPr>
            </w:pPr>
            <w:r>
              <w:rPr>
                <w:rFonts w:cs="Arial"/>
                <w:b w:val="0"/>
                <w:color w:val="auto"/>
                <w:sz w:val="20"/>
                <w:szCs w:val="20"/>
              </w:rPr>
              <w:t>0</w:t>
            </w:r>
          </w:p>
        </w:tc>
      </w:tr>
      <w:tr w:rsidR="005941FF" w:rsidRPr="0005794A"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5941FF" w:rsidRPr="000764A5" w:rsidRDefault="005941FF" w:rsidP="002024B1">
            <w:pPr>
              <w:pStyle w:val="CodeNotesExampleText"/>
              <w:widowControl w:val="0"/>
              <w:outlineLvl w:val="0"/>
              <w:rPr>
                <w:rFonts w:cs="Arial"/>
                <w:b w:val="0"/>
                <w:color w:val="auto"/>
                <w:sz w:val="20"/>
                <w:szCs w:val="20"/>
              </w:rPr>
            </w:pPr>
            <w:r w:rsidRPr="000764A5">
              <w:rPr>
                <w:rFonts w:cs="Arial"/>
                <w:b w:val="0"/>
                <w:color w:val="auto"/>
                <w:sz w:val="20"/>
                <w:szCs w:val="20"/>
              </w:rPr>
              <w:t>South Devon Highway</w:t>
            </w:r>
          </w:p>
        </w:tc>
        <w:tc>
          <w:tcPr>
            <w:cnfStyle w:val="000010000000" w:firstRow="0" w:lastRow="0" w:firstColumn="0" w:lastColumn="0" w:oddVBand="1" w:evenVBand="0" w:oddHBand="0" w:evenHBand="0" w:firstRowFirstColumn="0" w:firstRowLastColumn="0" w:lastRowFirstColumn="0" w:lastRowLastColumn="0"/>
            <w:tcW w:w="4111" w:type="dxa"/>
          </w:tcPr>
          <w:p w:rsidR="005941FF" w:rsidRPr="000764A5" w:rsidRDefault="005941FF" w:rsidP="00CE6D72">
            <w:pPr>
              <w:pStyle w:val="CodeNotesExampleText"/>
              <w:widowControl w:val="0"/>
              <w:outlineLvl w:val="0"/>
              <w:rPr>
                <w:rFonts w:cs="Arial"/>
                <w:color w:val="auto"/>
                <w:sz w:val="20"/>
                <w:szCs w:val="20"/>
              </w:rPr>
            </w:pPr>
            <w:r w:rsidRPr="000764A5">
              <w:rPr>
                <w:rFonts w:cs="Arial"/>
                <w:color w:val="auto"/>
                <w:sz w:val="20"/>
                <w:szCs w:val="20"/>
              </w:rPr>
              <w:t>Major investment to provide new road to alleviate congestion and ease traffic flow to and from Torbay.</w:t>
            </w:r>
          </w:p>
        </w:tc>
        <w:tc>
          <w:tcPr>
            <w:tcW w:w="1134" w:type="dxa"/>
            <w:vAlign w:val="center"/>
          </w:tcPr>
          <w:p w:rsidR="005941FF" w:rsidRPr="005941FF" w:rsidRDefault="00862BB0" w:rsidP="009D3244">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2.5</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5941FF" w:rsidRPr="00EE48B9" w:rsidRDefault="00862BB0" w:rsidP="00F27E0D">
            <w:pPr>
              <w:pStyle w:val="CodeNotesExampleText"/>
              <w:widowControl w:val="0"/>
              <w:jc w:val="center"/>
              <w:outlineLvl w:val="0"/>
              <w:rPr>
                <w:rFonts w:cs="Arial"/>
                <w:color w:val="auto"/>
                <w:sz w:val="20"/>
                <w:szCs w:val="20"/>
              </w:rPr>
            </w:pPr>
            <w:r w:rsidRPr="00EE48B9">
              <w:rPr>
                <w:rFonts w:cs="Arial"/>
                <w:color w:val="auto"/>
                <w:sz w:val="20"/>
                <w:szCs w:val="20"/>
              </w:rPr>
              <w:t>1.5</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862BB0" w:rsidRPr="005941FF" w:rsidRDefault="00862BB0" w:rsidP="00862BB0">
            <w:pPr>
              <w:pStyle w:val="CodeNotesExampleText"/>
              <w:widowControl w:val="0"/>
              <w:jc w:val="center"/>
              <w:outlineLvl w:val="0"/>
              <w:rPr>
                <w:rFonts w:cs="Arial"/>
                <w:b w:val="0"/>
                <w:color w:val="auto"/>
                <w:sz w:val="20"/>
                <w:szCs w:val="20"/>
              </w:rPr>
            </w:pPr>
            <w:r>
              <w:rPr>
                <w:rFonts w:cs="Arial"/>
                <w:b w:val="0"/>
                <w:color w:val="auto"/>
                <w:sz w:val="20"/>
                <w:szCs w:val="20"/>
              </w:rPr>
              <w:t>1.0</w:t>
            </w:r>
          </w:p>
        </w:tc>
      </w:tr>
      <w:tr w:rsidR="005941FF" w:rsidRPr="0005794A" w:rsidTr="009D3244">
        <w:tc>
          <w:tcPr>
            <w:cnfStyle w:val="001000000000" w:firstRow="0" w:lastRow="0" w:firstColumn="1" w:lastColumn="0" w:oddVBand="0" w:evenVBand="0" w:oddHBand="0" w:evenHBand="0" w:firstRowFirstColumn="0" w:firstRowLastColumn="0" w:lastRowFirstColumn="0" w:lastRowLastColumn="0"/>
            <w:tcW w:w="2268" w:type="dxa"/>
          </w:tcPr>
          <w:p w:rsidR="005941FF" w:rsidRPr="000764A5" w:rsidRDefault="005941FF" w:rsidP="002024B1">
            <w:pPr>
              <w:pStyle w:val="CodeNotesExampleText"/>
              <w:widowControl w:val="0"/>
              <w:outlineLvl w:val="0"/>
              <w:rPr>
                <w:rFonts w:cs="Arial"/>
                <w:b w:val="0"/>
                <w:color w:val="auto"/>
                <w:sz w:val="20"/>
                <w:szCs w:val="20"/>
              </w:rPr>
            </w:pPr>
            <w:r w:rsidRPr="000764A5">
              <w:rPr>
                <w:rFonts w:cs="Arial"/>
                <w:b w:val="0"/>
                <w:color w:val="auto"/>
                <w:sz w:val="20"/>
                <w:szCs w:val="20"/>
              </w:rPr>
              <w:t>Western Corridor</w:t>
            </w:r>
          </w:p>
        </w:tc>
        <w:tc>
          <w:tcPr>
            <w:cnfStyle w:val="000010000000" w:firstRow="0" w:lastRow="0" w:firstColumn="0" w:lastColumn="0" w:oddVBand="1" w:evenVBand="0" w:oddHBand="0" w:evenHBand="0" w:firstRowFirstColumn="0" w:firstRowLastColumn="0" w:lastRowFirstColumn="0" w:lastRowLastColumn="0"/>
            <w:tcW w:w="4111" w:type="dxa"/>
          </w:tcPr>
          <w:p w:rsidR="005941FF" w:rsidRPr="000764A5" w:rsidRDefault="005941FF" w:rsidP="00CE6D72">
            <w:pPr>
              <w:pStyle w:val="CodeNotesExampleText"/>
              <w:widowControl w:val="0"/>
              <w:outlineLvl w:val="0"/>
              <w:rPr>
                <w:rFonts w:cs="Arial"/>
                <w:color w:val="auto"/>
                <w:sz w:val="20"/>
                <w:szCs w:val="20"/>
              </w:rPr>
            </w:pPr>
            <w:r w:rsidRPr="000764A5">
              <w:rPr>
                <w:rFonts w:cs="Arial"/>
                <w:color w:val="auto"/>
                <w:sz w:val="20"/>
                <w:szCs w:val="20"/>
              </w:rPr>
              <w:t>Road widening and improvement scheme</w:t>
            </w:r>
          </w:p>
        </w:tc>
        <w:tc>
          <w:tcPr>
            <w:tcW w:w="1134" w:type="dxa"/>
            <w:vAlign w:val="center"/>
          </w:tcPr>
          <w:p w:rsidR="005941FF" w:rsidRPr="005941FF" w:rsidRDefault="00862BB0" w:rsidP="009D3244">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2.9</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5941FF" w:rsidRPr="00EE48B9" w:rsidRDefault="00862BB0" w:rsidP="00F27E0D">
            <w:pPr>
              <w:pStyle w:val="CodeNotesExampleText"/>
              <w:widowControl w:val="0"/>
              <w:jc w:val="center"/>
              <w:outlineLvl w:val="0"/>
              <w:rPr>
                <w:rFonts w:cs="Arial"/>
                <w:color w:val="auto"/>
                <w:sz w:val="20"/>
                <w:szCs w:val="20"/>
              </w:rPr>
            </w:pPr>
            <w:r w:rsidRPr="00EE48B9">
              <w:rPr>
                <w:rFonts w:cs="Arial"/>
                <w:color w:val="auto"/>
                <w:sz w:val="20"/>
                <w:szCs w:val="20"/>
              </w:rPr>
              <w:t>2.9</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5941FF" w:rsidRPr="005941FF" w:rsidRDefault="00315264" w:rsidP="00AE29C3">
            <w:pPr>
              <w:pStyle w:val="CodeNotesExampleText"/>
              <w:widowControl w:val="0"/>
              <w:jc w:val="center"/>
              <w:outlineLvl w:val="0"/>
              <w:rPr>
                <w:rFonts w:cs="Arial"/>
                <w:b w:val="0"/>
                <w:color w:val="auto"/>
                <w:sz w:val="20"/>
                <w:szCs w:val="20"/>
              </w:rPr>
            </w:pPr>
            <w:r>
              <w:rPr>
                <w:rFonts w:cs="Arial"/>
                <w:b w:val="0"/>
                <w:color w:val="auto"/>
                <w:sz w:val="20"/>
                <w:szCs w:val="20"/>
              </w:rPr>
              <w:t>0</w:t>
            </w:r>
          </w:p>
        </w:tc>
      </w:tr>
      <w:tr w:rsidR="000764A5" w:rsidRPr="0005794A"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0764A5" w:rsidRPr="000764A5" w:rsidRDefault="000764A5" w:rsidP="002024B1">
            <w:pPr>
              <w:pStyle w:val="CodeNotesExampleText"/>
              <w:widowControl w:val="0"/>
              <w:outlineLvl w:val="0"/>
              <w:rPr>
                <w:rFonts w:cs="Arial"/>
                <w:color w:val="auto"/>
                <w:sz w:val="20"/>
                <w:szCs w:val="20"/>
                <w:u w:val="single"/>
              </w:rPr>
            </w:pPr>
          </w:p>
        </w:tc>
        <w:tc>
          <w:tcPr>
            <w:cnfStyle w:val="000010000000" w:firstRow="0" w:lastRow="0" w:firstColumn="0" w:lastColumn="0" w:oddVBand="1" w:evenVBand="0" w:oddHBand="0" w:evenHBand="0" w:firstRowFirstColumn="0" w:firstRowLastColumn="0" w:lastRowFirstColumn="0" w:lastRowLastColumn="0"/>
            <w:tcW w:w="4111" w:type="dxa"/>
          </w:tcPr>
          <w:p w:rsidR="000764A5" w:rsidRPr="000764A5" w:rsidRDefault="000764A5" w:rsidP="0024057C">
            <w:pPr>
              <w:pStyle w:val="CodeNotesExampleText"/>
              <w:widowControl w:val="0"/>
              <w:outlineLvl w:val="0"/>
              <w:rPr>
                <w:rFonts w:cs="Arial"/>
                <w:color w:val="auto"/>
                <w:sz w:val="20"/>
                <w:szCs w:val="20"/>
              </w:rPr>
            </w:pPr>
          </w:p>
        </w:tc>
        <w:tc>
          <w:tcPr>
            <w:tcW w:w="1134" w:type="dxa"/>
            <w:vAlign w:val="center"/>
          </w:tcPr>
          <w:p w:rsidR="000764A5" w:rsidRDefault="000764A5" w:rsidP="009D3244">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highlight w:val="yellow"/>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0764A5" w:rsidRPr="00EE48B9" w:rsidRDefault="000764A5" w:rsidP="00F27E0D">
            <w:pPr>
              <w:pStyle w:val="CodeNotesExampleText"/>
              <w:widowControl w:val="0"/>
              <w:jc w:val="center"/>
              <w:outlineLvl w:val="0"/>
              <w:rPr>
                <w:rFonts w:cs="Arial"/>
                <w:color w:val="auto"/>
                <w:sz w:val="20"/>
                <w:szCs w:val="20"/>
                <w:highlight w:val="yellow"/>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0764A5" w:rsidRDefault="000764A5" w:rsidP="00AE29C3">
            <w:pPr>
              <w:pStyle w:val="CodeNotesExampleText"/>
              <w:widowControl w:val="0"/>
              <w:jc w:val="center"/>
              <w:outlineLvl w:val="0"/>
              <w:rPr>
                <w:rFonts w:cs="Arial"/>
                <w:b w:val="0"/>
                <w:color w:val="auto"/>
                <w:sz w:val="20"/>
                <w:szCs w:val="20"/>
                <w:highlight w:val="yellow"/>
              </w:rPr>
            </w:pPr>
          </w:p>
        </w:tc>
      </w:tr>
      <w:tr w:rsidR="00787D3B" w:rsidRPr="0005794A" w:rsidTr="009D3244">
        <w:tc>
          <w:tcPr>
            <w:cnfStyle w:val="001000000000" w:firstRow="0" w:lastRow="0" w:firstColumn="1" w:lastColumn="0" w:oddVBand="0" w:evenVBand="0" w:oddHBand="0" w:evenHBand="0" w:firstRowFirstColumn="0" w:firstRowLastColumn="0" w:lastRowFirstColumn="0" w:lastRowLastColumn="0"/>
            <w:tcW w:w="2268" w:type="dxa"/>
          </w:tcPr>
          <w:p w:rsidR="00787D3B" w:rsidRPr="000764A5" w:rsidRDefault="00787D3B" w:rsidP="002024B1">
            <w:pPr>
              <w:pStyle w:val="CodeNotesExampleText"/>
              <w:widowControl w:val="0"/>
              <w:outlineLvl w:val="0"/>
              <w:rPr>
                <w:rFonts w:cs="Arial"/>
                <w:color w:val="auto"/>
                <w:sz w:val="20"/>
                <w:szCs w:val="20"/>
                <w:u w:val="single"/>
              </w:rPr>
            </w:pPr>
            <w:r w:rsidRPr="000764A5">
              <w:rPr>
                <w:rFonts w:cs="Arial"/>
                <w:color w:val="auto"/>
                <w:sz w:val="20"/>
                <w:szCs w:val="20"/>
                <w:u w:val="single"/>
              </w:rPr>
              <w:t>Regeneration</w:t>
            </w:r>
          </w:p>
        </w:tc>
        <w:tc>
          <w:tcPr>
            <w:cnfStyle w:val="000010000000" w:firstRow="0" w:lastRow="0" w:firstColumn="0" w:lastColumn="0" w:oddVBand="1" w:evenVBand="0" w:oddHBand="0" w:evenHBand="0" w:firstRowFirstColumn="0" w:firstRowLastColumn="0" w:lastRowFirstColumn="0" w:lastRowLastColumn="0"/>
            <w:tcW w:w="4111" w:type="dxa"/>
          </w:tcPr>
          <w:p w:rsidR="00787D3B" w:rsidRPr="000764A5" w:rsidRDefault="00787D3B" w:rsidP="0024057C">
            <w:pPr>
              <w:pStyle w:val="CodeNotesExampleText"/>
              <w:widowControl w:val="0"/>
              <w:outlineLvl w:val="0"/>
              <w:rPr>
                <w:rFonts w:cs="Arial"/>
                <w:color w:val="auto"/>
                <w:sz w:val="20"/>
                <w:szCs w:val="20"/>
              </w:rPr>
            </w:pPr>
          </w:p>
        </w:tc>
        <w:tc>
          <w:tcPr>
            <w:tcW w:w="1134" w:type="dxa"/>
            <w:vAlign w:val="center"/>
          </w:tcPr>
          <w:p w:rsidR="00787D3B" w:rsidRDefault="00787D3B" w:rsidP="009D3244">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highlight w:val="yellow"/>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EE48B9" w:rsidRDefault="00787D3B" w:rsidP="00F27E0D">
            <w:pPr>
              <w:pStyle w:val="CodeNotesExampleText"/>
              <w:widowControl w:val="0"/>
              <w:jc w:val="center"/>
              <w:outlineLvl w:val="0"/>
              <w:rPr>
                <w:rFonts w:cs="Arial"/>
                <w:color w:val="auto"/>
                <w:sz w:val="20"/>
                <w:szCs w:val="20"/>
                <w:highlight w:val="yellow"/>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Default="00787D3B" w:rsidP="00AE29C3">
            <w:pPr>
              <w:pStyle w:val="CodeNotesExampleText"/>
              <w:widowControl w:val="0"/>
              <w:jc w:val="center"/>
              <w:outlineLvl w:val="0"/>
              <w:rPr>
                <w:rFonts w:cs="Arial"/>
                <w:b w:val="0"/>
                <w:color w:val="auto"/>
                <w:sz w:val="20"/>
                <w:szCs w:val="20"/>
                <w:highlight w:val="yellow"/>
              </w:rPr>
            </w:pPr>
          </w:p>
        </w:tc>
      </w:tr>
      <w:tr w:rsidR="00787D3B" w:rsidRPr="0005794A"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87D3B" w:rsidRPr="000764A5" w:rsidRDefault="00787D3B" w:rsidP="002024B1">
            <w:pPr>
              <w:pStyle w:val="CodeNotesExampleText"/>
              <w:widowControl w:val="0"/>
              <w:outlineLvl w:val="0"/>
              <w:rPr>
                <w:rFonts w:cs="Arial"/>
                <w:b w:val="0"/>
                <w:color w:val="auto"/>
                <w:sz w:val="20"/>
                <w:szCs w:val="20"/>
              </w:rPr>
            </w:pPr>
            <w:r w:rsidRPr="000764A5">
              <w:rPr>
                <w:rFonts w:cs="Arial"/>
                <w:b w:val="0"/>
                <w:color w:val="auto"/>
                <w:sz w:val="20"/>
                <w:szCs w:val="20"/>
              </w:rPr>
              <w:t>Employment Site</w:t>
            </w:r>
          </w:p>
        </w:tc>
        <w:tc>
          <w:tcPr>
            <w:cnfStyle w:val="000010000000" w:firstRow="0" w:lastRow="0" w:firstColumn="0" w:lastColumn="0" w:oddVBand="1" w:evenVBand="0" w:oddHBand="0" w:evenHBand="0" w:firstRowFirstColumn="0" w:firstRowLastColumn="0" w:lastRowFirstColumn="0" w:lastRowLastColumn="0"/>
            <w:tcW w:w="4111" w:type="dxa"/>
          </w:tcPr>
          <w:p w:rsidR="00787D3B" w:rsidRPr="000764A5" w:rsidRDefault="00787D3B" w:rsidP="0024057C">
            <w:pPr>
              <w:pStyle w:val="CodeNotesExampleText"/>
              <w:widowControl w:val="0"/>
              <w:outlineLvl w:val="0"/>
              <w:rPr>
                <w:rFonts w:cs="Arial"/>
                <w:color w:val="auto"/>
                <w:sz w:val="20"/>
                <w:szCs w:val="20"/>
              </w:rPr>
            </w:pPr>
            <w:r w:rsidRPr="000764A5">
              <w:rPr>
                <w:rFonts w:cs="Arial"/>
                <w:color w:val="auto"/>
                <w:sz w:val="20"/>
                <w:szCs w:val="20"/>
              </w:rPr>
              <w:t>Development of business unit to relocate local company</w:t>
            </w:r>
          </w:p>
        </w:tc>
        <w:tc>
          <w:tcPr>
            <w:tcW w:w="1134" w:type="dxa"/>
            <w:vAlign w:val="center"/>
          </w:tcPr>
          <w:p w:rsidR="00787D3B" w:rsidRPr="000764A5" w:rsidRDefault="00787D3B" w:rsidP="009D3244">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0764A5">
              <w:rPr>
                <w:rFonts w:cs="Arial"/>
                <w:color w:val="auto"/>
                <w:sz w:val="20"/>
                <w:szCs w:val="20"/>
              </w:rPr>
              <w:t>2.1</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EE48B9" w:rsidRDefault="00787D3B" w:rsidP="00F27E0D">
            <w:pPr>
              <w:pStyle w:val="CodeNotesExampleText"/>
              <w:widowControl w:val="0"/>
              <w:jc w:val="center"/>
              <w:outlineLvl w:val="0"/>
              <w:rPr>
                <w:rFonts w:cs="Arial"/>
                <w:color w:val="auto"/>
                <w:sz w:val="20"/>
                <w:szCs w:val="20"/>
              </w:rPr>
            </w:pPr>
            <w:r w:rsidRPr="00EE48B9">
              <w:rPr>
                <w:rFonts w:cs="Arial"/>
                <w:color w:val="auto"/>
                <w:sz w:val="20"/>
                <w:szCs w:val="20"/>
              </w:rPr>
              <w:t>2.1</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Pr="000764A5" w:rsidRDefault="00315264" w:rsidP="00AE29C3">
            <w:pPr>
              <w:pStyle w:val="CodeNotesExampleText"/>
              <w:widowControl w:val="0"/>
              <w:jc w:val="center"/>
              <w:outlineLvl w:val="0"/>
              <w:rPr>
                <w:rFonts w:cs="Arial"/>
                <w:b w:val="0"/>
                <w:color w:val="auto"/>
                <w:sz w:val="20"/>
                <w:szCs w:val="20"/>
              </w:rPr>
            </w:pPr>
            <w:r>
              <w:rPr>
                <w:rFonts w:cs="Arial"/>
                <w:b w:val="0"/>
                <w:color w:val="auto"/>
                <w:sz w:val="20"/>
                <w:szCs w:val="20"/>
              </w:rPr>
              <w:t>0</w:t>
            </w:r>
          </w:p>
        </w:tc>
      </w:tr>
      <w:tr w:rsidR="00787D3B" w:rsidRPr="0005794A" w:rsidTr="009D3244">
        <w:tc>
          <w:tcPr>
            <w:cnfStyle w:val="001000000000" w:firstRow="0" w:lastRow="0" w:firstColumn="1" w:lastColumn="0" w:oddVBand="0" w:evenVBand="0" w:oddHBand="0" w:evenHBand="0" w:firstRowFirstColumn="0" w:firstRowLastColumn="0" w:lastRowFirstColumn="0" w:lastRowLastColumn="0"/>
            <w:tcW w:w="2268" w:type="dxa"/>
          </w:tcPr>
          <w:p w:rsidR="00787D3B" w:rsidRPr="000764A5" w:rsidRDefault="00787D3B" w:rsidP="002024B1">
            <w:pPr>
              <w:pStyle w:val="CodeNotesExampleText"/>
              <w:widowControl w:val="0"/>
              <w:outlineLvl w:val="0"/>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787D3B" w:rsidRPr="000764A5" w:rsidRDefault="00787D3B" w:rsidP="0024057C">
            <w:pPr>
              <w:pStyle w:val="CodeNotesExampleText"/>
              <w:widowControl w:val="0"/>
              <w:outlineLvl w:val="0"/>
              <w:rPr>
                <w:rFonts w:cs="Arial"/>
                <w:color w:val="auto"/>
                <w:sz w:val="20"/>
                <w:szCs w:val="20"/>
              </w:rPr>
            </w:pPr>
          </w:p>
        </w:tc>
        <w:tc>
          <w:tcPr>
            <w:tcW w:w="1134" w:type="dxa"/>
            <w:vAlign w:val="center"/>
          </w:tcPr>
          <w:p w:rsidR="00787D3B" w:rsidRPr="000764A5" w:rsidRDefault="00787D3B" w:rsidP="009D3244">
            <w:pPr>
              <w:pStyle w:val="CodeNotesExampleText"/>
              <w:widowControl w:val="0"/>
              <w:jc w:val="center"/>
              <w:outlineLvl w:val="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87D3B" w:rsidRPr="00EE48B9" w:rsidRDefault="00787D3B" w:rsidP="00F27E0D">
            <w:pPr>
              <w:pStyle w:val="CodeNotesExampleText"/>
              <w:widowControl w:val="0"/>
              <w:jc w:val="center"/>
              <w:outlineLvl w:val="0"/>
              <w:rPr>
                <w:rFonts w:cs="Arial"/>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787D3B" w:rsidRPr="000764A5" w:rsidRDefault="00787D3B" w:rsidP="00AE29C3">
            <w:pPr>
              <w:pStyle w:val="CodeNotesExampleText"/>
              <w:widowControl w:val="0"/>
              <w:jc w:val="center"/>
              <w:outlineLvl w:val="0"/>
              <w:rPr>
                <w:rFonts w:cs="Arial"/>
                <w:b w:val="0"/>
                <w:color w:val="auto"/>
                <w:sz w:val="20"/>
                <w:szCs w:val="20"/>
              </w:rPr>
            </w:pPr>
          </w:p>
        </w:tc>
      </w:tr>
      <w:tr w:rsidR="0024057C" w:rsidRPr="0005794A" w:rsidTr="009D3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24057C" w:rsidRPr="000764A5" w:rsidRDefault="0024057C" w:rsidP="002024B1">
            <w:pPr>
              <w:pStyle w:val="CodeNotesExampleText"/>
              <w:widowControl w:val="0"/>
              <w:outlineLvl w:val="0"/>
              <w:rPr>
                <w:rFonts w:cs="Arial"/>
                <w:color w:val="auto"/>
                <w:sz w:val="20"/>
                <w:szCs w:val="20"/>
                <w:u w:val="single"/>
              </w:rPr>
            </w:pPr>
            <w:r w:rsidRPr="000764A5">
              <w:rPr>
                <w:rFonts w:cs="Arial"/>
                <w:color w:val="auto"/>
                <w:sz w:val="20"/>
                <w:szCs w:val="20"/>
                <w:u w:val="single"/>
              </w:rPr>
              <w:t>Investment Properties</w:t>
            </w:r>
          </w:p>
        </w:tc>
        <w:tc>
          <w:tcPr>
            <w:cnfStyle w:val="000010000000" w:firstRow="0" w:lastRow="0" w:firstColumn="0" w:lastColumn="0" w:oddVBand="1" w:evenVBand="0" w:oddHBand="0" w:evenHBand="0" w:firstRowFirstColumn="0" w:firstRowLastColumn="0" w:lastRowFirstColumn="0" w:lastRowLastColumn="0"/>
            <w:tcW w:w="4111" w:type="dxa"/>
          </w:tcPr>
          <w:p w:rsidR="0024057C" w:rsidRPr="000764A5" w:rsidRDefault="0024057C" w:rsidP="0024057C">
            <w:pPr>
              <w:pStyle w:val="CodeNotesExampleText"/>
              <w:widowControl w:val="0"/>
              <w:outlineLvl w:val="0"/>
              <w:rPr>
                <w:rFonts w:cs="Arial"/>
                <w:color w:val="auto"/>
                <w:sz w:val="20"/>
                <w:szCs w:val="20"/>
              </w:rPr>
            </w:pPr>
            <w:r w:rsidRPr="000764A5">
              <w:rPr>
                <w:rFonts w:cs="Arial"/>
                <w:color w:val="auto"/>
                <w:sz w:val="20"/>
                <w:szCs w:val="20"/>
              </w:rPr>
              <w:t xml:space="preserve">Commitment to </w:t>
            </w:r>
            <w:proofErr w:type="spellStart"/>
            <w:r w:rsidRPr="000764A5">
              <w:rPr>
                <w:rFonts w:cs="Arial"/>
                <w:color w:val="auto"/>
                <w:sz w:val="20"/>
                <w:szCs w:val="20"/>
              </w:rPr>
              <w:t>puchase</w:t>
            </w:r>
            <w:proofErr w:type="spellEnd"/>
            <w:r w:rsidRPr="000764A5">
              <w:rPr>
                <w:rFonts w:cs="Arial"/>
                <w:color w:val="auto"/>
                <w:sz w:val="20"/>
                <w:szCs w:val="20"/>
              </w:rPr>
              <w:t xml:space="preserve"> properties in Gloucester and Chippenham</w:t>
            </w:r>
          </w:p>
        </w:tc>
        <w:tc>
          <w:tcPr>
            <w:tcW w:w="1134" w:type="dxa"/>
            <w:vAlign w:val="center"/>
          </w:tcPr>
          <w:p w:rsidR="0024057C" w:rsidRPr="000764A5" w:rsidRDefault="00862BB0" w:rsidP="009D3244">
            <w:pPr>
              <w:pStyle w:val="CodeNotesExampleText"/>
              <w:widowControl w:val="0"/>
              <w:jc w:val="center"/>
              <w:outlineLvl w:val="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0764A5">
              <w:rPr>
                <w:rFonts w:cs="Arial"/>
                <w:color w:val="auto"/>
                <w:sz w:val="20"/>
                <w:szCs w:val="20"/>
              </w:rPr>
              <w:t>17.5</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24057C" w:rsidRPr="00EE48B9" w:rsidRDefault="00862BB0" w:rsidP="00F27E0D">
            <w:pPr>
              <w:pStyle w:val="CodeNotesExampleText"/>
              <w:widowControl w:val="0"/>
              <w:jc w:val="center"/>
              <w:outlineLvl w:val="0"/>
              <w:rPr>
                <w:rFonts w:cs="Arial"/>
                <w:color w:val="auto"/>
                <w:sz w:val="20"/>
                <w:szCs w:val="20"/>
              </w:rPr>
            </w:pPr>
            <w:r w:rsidRPr="00EE48B9">
              <w:rPr>
                <w:rFonts w:cs="Arial"/>
                <w:color w:val="auto"/>
                <w:sz w:val="20"/>
                <w:szCs w:val="20"/>
              </w:rPr>
              <w:t>11.2</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24057C" w:rsidRPr="000764A5" w:rsidRDefault="00862BB0" w:rsidP="00AE29C3">
            <w:pPr>
              <w:pStyle w:val="CodeNotesExampleText"/>
              <w:widowControl w:val="0"/>
              <w:jc w:val="center"/>
              <w:outlineLvl w:val="0"/>
              <w:rPr>
                <w:rFonts w:cs="Arial"/>
                <w:b w:val="0"/>
                <w:color w:val="auto"/>
                <w:sz w:val="20"/>
                <w:szCs w:val="20"/>
              </w:rPr>
            </w:pPr>
            <w:r w:rsidRPr="000764A5">
              <w:rPr>
                <w:rFonts w:cs="Arial"/>
                <w:b w:val="0"/>
                <w:color w:val="auto"/>
                <w:sz w:val="20"/>
                <w:szCs w:val="20"/>
              </w:rPr>
              <w:t>6.3</w:t>
            </w:r>
          </w:p>
        </w:tc>
      </w:tr>
      <w:tr w:rsidR="005941FF" w:rsidRPr="0005794A" w:rsidTr="009D324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4BACC6" w:themeColor="accent5"/>
              <w:bottom w:val="single" w:sz="4" w:space="0" w:color="4BACC6" w:themeColor="accent5"/>
            </w:tcBorders>
          </w:tcPr>
          <w:p w:rsidR="005941FF" w:rsidRPr="005941FF" w:rsidRDefault="005941FF" w:rsidP="00CE6D72">
            <w:pPr>
              <w:pStyle w:val="CodeNotesExampleText"/>
              <w:widowControl w:val="0"/>
              <w:outlineLvl w:val="0"/>
              <w:rPr>
                <w:rFonts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111" w:type="dxa"/>
            <w:tcBorders>
              <w:top w:val="single" w:sz="4" w:space="0" w:color="4BACC6" w:themeColor="accent5"/>
              <w:bottom w:val="single" w:sz="4" w:space="0" w:color="4BACC6" w:themeColor="accent5"/>
            </w:tcBorders>
          </w:tcPr>
          <w:p w:rsidR="005941FF" w:rsidRPr="005941FF" w:rsidRDefault="005941FF" w:rsidP="00CE6D72">
            <w:pPr>
              <w:pStyle w:val="CodeNotesExampleText"/>
              <w:widowControl w:val="0"/>
              <w:outlineLvl w:val="0"/>
              <w:rPr>
                <w:rFonts w:cs="Arial"/>
                <w:color w:val="auto"/>
                <w:sz w:val="20"/>
                <w:szCs w:val="20"/>
              </w:rPr>
            </w:pPr>
            <w:r w:rsidRPr="005941FF">
              <w:rPr>
                <w:rFonts w:cs="Arial"/>
                <w:color w:val="auto"/>
                <w:sz w:val="20"/>
                <w:szCs w:val="20"/>
              </w:rPr>
              <w:t>Total Significant Commitments</w:t>
            </w:r>
          </w:p>
        </w:tc>
        <w:tc>
          <w:tcPr>
            <w:tcW w:w="1134" w:type="dxa"/>
            <w:tcBorders>
              <w:top w:val="single" w:sz="4" w:space="0" w:color="4BACC6" w:themeColor="accent5"/>
              <w:bottom w:val="single" w:sz="4" w:space="0" w:color="4BACC6" w:themeColor="accent5"/>
            </w:tcBorders>
            <w:vAlign w:val="center"/>
          </w:tcPr>
          <w:p w:rsidR="005941FF" w:rsidRPr="005941FF" w:rsidRDefault="000764A5" w:rsidP="00BA3B3D">
            <w:pPr>
              <w:pStyle w:val="CodeNotesExampleText"/>
              <w:widowControl w:val="0"/>
              <w:jc w:val="center"/>
              <w:outlineLvl w:val="0"/>
              <w:cnfStyle w:val="010000000000" w:firstRow="0" w:lastRow="1"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27.3</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4BACC6" w:themeColor="accent5"/>
              <w:bottom w:val="single" w:sz="4" w:space="0" w:color="4BACC6" w:themeColor="accent5"/>
            </w:tcBorders>
            <w:vAlign w:val="center"/>
          </w:tcPr>
          <w:p w:rsidR="005941FF" w:rsidRPr="005941FF" w:rsidRDefault="000764A5" w:rsidP="00F27E0D">
            <w:pPr>
              <w:pStyle w:val="CodeNotesExampleText"/>
              <w:widowControl w:val="0"/>
              <w:jc w:val="center"/>
              <w:outlineLvl w:val="0"/>
              <w:rPr>
                <w:rFonts w:cs="Arial"/>
                <w:color w:val="auto"/>
                <w:sz w:val="20"/>
                <w:szCs w:val="20"/>
              </w:rPr>
            </w:pPr>
            <w:r>
              <w:rPr>
                <w:rFonts w:cs="Arial"/>
                <w:color w:val="auto"/>
                <w:sz w:val="20"/>
                <w:szCs w:val="20"/>
              </w:rPr>
              <w:t>20.0</w:t>
            </w:r>
          </w:p>
        </w:tc>
        <w:tc>
          <w:tcPr>
            <w:cnfStyle w:val="000100000010" w:firstRow="0" w:lastRow="0" w:firstColumn="0" w:lastColumn="1" w:oddVBand="0" w:evenVBand="0" w:oddHBand="0" w:evenHBand="0" w:firstRowFirstColumn="0" w:firstRowLastColumn="0" w:lastRowFirstColumn="0" w:lastRowLastColumn="1"/>
            <w:tcW w:w="992" w:type="dxa"/>
            <w:tcBorders>
              <w:top w:val="single" w:sz="4" w:space="0" w:color="4BACC6" w:themeColor="accent5"/>
              <w:bottom w:val="single" w:sz="4" w:space="0" w:color="4BACC6" w:themeColor="accent5"/>
            </w:tcBorders>
            <w:vAlign w:val="center"/>
          </w:tcPr>
          <w:p w:rsidR="005941FF" w:rsidRPr="005941FF" w:rsidRDefault="000764A5" w:rsidP="00BA3B3D">
            <w:pPr>
              <w:pStyle w:val="CodeNotesExampleText"/>
              <w:widowControl w:val="0"/>
              <w:jc w:val="center"/>
              <w:outlineLvl w:val="0"/>
              <w:rPr>
                <w:rFonts w:cs="Arial"/>
                <w:color w:val="auto"/>
                <w:sz w:val="20"/>
                <w:szCs w:val="20"/>
              </w:rPr>
            </w:pPr>
            <w:r>
              <w:rPr>
                <w:rFonts w:cs="Arial"/>
                <w:color w:val="auto"/>
                <w:sz w:val="20"/>
                <w:szCs w:val="20"/>
              </w:rPr>
              <w:t>7.3</w:t>
            </w:r>
          </w:p>
        </w:tc>
      </w:tr>
    </w:tbl>
    <w:p w:rsidR="00E51139" w:rsidRPr="0005794A" w:rsidRDefault="00E51139" w:rsidP="003C5E34">
      <w:pPr>
        <w:pStyle w:val="CodeNotesExampleText"/>
        <w:widowControl w:val="0"/>
        <w:ind w:left="567"/>
        <w:outlineLvl w:val="0"/>
        <w:rPr>
          <w:rFonts w:cs="Arial"/>
          <w:color w:val="548DD4" w:themeColor="text2" w:themeTint="99"/>
          <w:sz w:val="20"/>
          <w:szCs w:val="20"/>
          <w:u w:val="single"/>
        </w:rPr>
      </w:pPr>
    </w:p>
    <w:p w:rsidR="00E51139" w:rsidRPr="005941FF" w:rsidRDefault="00E51139" w:rsidP="008D0906">
      <w:pPr>
        <w:pStyle w:val="CodeNotesExampleText"/>
        <w:widowControl w:val="0"/>
        <w:ind w:left="567"/>
        <w:outlineLvl w:val="0"/>
        <w:rPr>
          <w:rFonts w:cs="Arial"/>
          <w:b/>
          <w:color w:val="auto"/>
          <w:sz w:val="20"/>
          <w:szCs w:val="20"/>
        </w:rPr>
      </w:pPr>
      <w:r w:rsidRPr="005941FF">
        <w:rPr>
          <w:rFonts w:cs="Arial"/>
          <w:b/>
          <w:color w:val="auto"/>
          <w:sz w:val="20"/>
          <w:szCs w:val="20"/>
        </w:rPr>
        <w:t>Revaluations</w:t>
      </w:r>
    </w:p>
    <w:p w:rsidR="00E51139" w:rsidRPr="005941FF" w:rsidRDefault="00E51139" w:rsidP="002A779E">
      <w:pPr>
        <w:pStyle w:val="CodeNotesExampleText"/>
        <w:widowControl w:val="0"/>
        <w:ind w:left="567"/>
        <w:rPr>
          <w:rFonts w:cs="Arial"/>
          <w:color w:val="auto"/>
          <w:sz w:val="20"/>
          <w:szCs w:val="20"/>
        </w:rPr>
      </w:pPr>
    </w:p>
    <w:p w:rsidR="00E51139" w:rsidRPr="0005794A" w:rsidRDefault="00E51139" w:rsidP="002A779E">
      <w:pPr>
        <w:pStyle w:val="CodeNotesExampleText"/>
        <w:widowControl w:val="0"/>
        <w:ind w:left="567"/>
        <w:rPr>
          <w:rFonts w:cs="Arial"/>
          <w:color w:val="548DD4" w:themeColor="text2" w:themeTint="99"/>
          <w:sz w:val="20"/>
          <w:szCs w:val="20"/>
        </w:rPr>
      </w:pPr>
      <w:r w:rsidRPr="005941FF">
        <w:rPr>
          <w:rFonts w:cs="Arial"/>
          <w:color w:val="auto"/>
          <w:sz w:val="20"/>
          <w:szCs w:val="20"/>
        </w:rPr>
        <w:t xml:space="preserve">The Council’s assets are regularly revalued, (at least once during a five year period), by the Council’s appointed </w:t>
      </w:r>
      <w:r w:rsidR="001E16F0" w:rsidRPr="005941FF">
        <w:rPr>
          <w:rFonts w:cs="Arial"/>
          <w:color w:val="auto"/>
          <w:sz w:val="20"/>
          <w:szCs w:val="20"/>
        </w:rPr>
        <w:t xml:space="preserve">external </w:t>
      </w:r>
      <w:r w:rsidRPr="005941FF">
        <w:rPr>
          <w:rFonts w:cs="Arial"/>
          <w:color w:val="auto"/>
          <w:sz w:val="20"/>
          <w:szCs w:val="20"/>
        </w:rPr>
        <w:t xml:space="preserve">qualified </w:t>
      </w:r>
      <w:proofErr w:type="spellStart"/>
      <w:r w:rsidRPr="005941FF">
        <w:rPr>
          <w:rFonts w:cs="Arial"/>
          <w:color w:val="auto"/>
          <w:sz w:val="20"/>
          <w:szCs w:val="20"/>
        </w:rPr>
        <w:t>valuer</w:t>
      </w:r>
      <w:proofErr w:type="spellEnd"/>
      <w:r w:rsidRPr="005941FF">
        <w:rPr>
          <w:rFonts w:cs="Arial"/>
          <w:color w:val="auto"/>
          <w:sz w:val="20"/>
          <w:szCs w:val="20"/>
        </w:rPr>
        <w:t xml:space="preserve"> - see accounting policies. The effective date of revaluation is usually the 1</w:t>
      </w:r>
      <w:r w:rsidRPr="005941FF">
        <w:rPr>
          <w:rFonts w:cs="Arial"/>
          <w:color w:val="auto"/>
          <w:sz w:val="20"/>
          <w:szCs w:val="20"/>
          <w:vertAlign w:val="superscript"/>
        </w:rPr>
        <w:t>st</w:t>
      </w:r>
      <w:r w:rsidRPr="005941FF">
        <w:rPr>
          <w:rFonts w:cs="Arial"/>
          <w:color w:val="auto"/>
          <w:sz w:val="20"/>
          <w:szCs w:val="20"/>
        </w:rPr>
        <w:t xml:space="preserve"> April of the year o</w:t>
      </w:r>
      <w:r w:rsidR="006C39E7" w:rsidRPr="005941FF">
        <w:rPr>
          <w:rFonts w:cs="Arial"/>
          <w:color w:val="auto"/>
          <w:sz w:val="20"/>
          <w:szCs w:val="20"/>
        </w:rPr>
        <w:t>f</w:t>
      </w:r>
      <w:r w:rsidRPr="005941FF">
        <w:rPr>
          <w:rFonts w:cs="Arial"/>
          <w:color w:val="auto"/>
          <w:sz w:val="20"/>
          <w:szCs w:val="20"/>
        </w:rPr>
        <w:t xml:space="preserve"> the revaluation.</w:t>
      </w:r>
      <w:r w:rsidR="004A4764" w:rsidRPr="005941FF">
        <w:rPr>
          <w:rFonts w:cs="Arial"/>
          <w:color w:val="auto"/>
          <w:sz w:val="20"/>
          <w:szCs w:val="20"/>
        </w:rPr>
        <w:t xml:space="preserve"> The only class of asset that has significant revaluations is “Other Land and Buildings” which is valued at existing use</w:t>
      </w:r>
      <w:r w:rsidR="004A4764" w:rsidRPr="0005794A">
        <w:rPr>
          <w:rFonts w:cs="Arial"/>
          <w:color w:val="548DD4" w:themeColor="text2" w:themeTint="99"/>
          <w:sz w:val="20"/>
          <w:szCs w:val="20"/>
        </w:rPr>
        <w:t xml:space="preserve">.  </w:t>
      </w:r>
    </w:p>
    <w:p w:rsidR="00E51139" w:rsidRPr="0005794A" w:rsidRDefault="00E51139" w:rsidP="003C5E34">
      <w:pPr>
        <w:pStyle w:val="CodeNotesExampleText"/>
        <w:widowControl w:val="0"/>
        <w:ind w:left="567"/>
        <w:rPr>
          <w:rFonts w:cs="Arial"/>
          <w:color w:val="548DD4" w:themeColor="text2" w:themeTint="99"/>
          <w:sz w:val="20"/>
          <w:szCs w:val="20"/>
        </w:rPr>
      </w:pPr>
    </w:p>
    <w:p w:rsidR="00FC2AD4" w:rsidRPr="0005794A" w:rsidRDefault="00FC2AD4" w:rsidP="003C5E34">
      <w:pPr>
        <w:pStyle w:val="CodeNotesExampleText"/>
        <w:widowControl w:val="0"/>
        <w:ind w:left="567"/>
        <w:rPr>
          <w:rFonts w:cs="Arial"/>
          <w:color w:val="548DD4" w:themeColor="text2" w:themeTint="99"/>
          <w:sz w:val="20"/>
          <w:szCs w:val="20"/>
        </w:rPr>
      </w:pPr>
    </w:p>
    <w:tbl>
      <w:tblPr>
        <w:tblStyle w:val="ListTable3-Accent51"/>
        <w:tblpPr w:leftFromText="180" w:rightFromText="180" w:vertAnchor="text" w:horzAnchor="page" w:tblpX="2101" w:tblpY="-113"/>
        <w:tblW w:w="9039" w:type="dxa"/>
        <w:tblLayout w:type="fixed"/>
        <w:tblLook w:val="01E0" w:firstRow="1" w:lastRow="1" w:firstColumn="1" w:lastColumn="1" w:noHBand="0" w:noVBand="0"/>
      </w:tblPr>
      <w:tblGrid>
        <w:gridCol w:w="4928"/>
        <w:gridCol w:w="4111"/>
      </w:tblGrid>
      <w:tr w:rsidR="002A779E" w:rsidRPr="0005794A" w:rsidTr="006E0C5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4928" w:type="dxa"/>
          </w:tcPr>
          <w:p w:rsidR="002A779E" w:rsidRPr="005941FF" w:rsidRDefault="002A779E" w:rsidP="002A779E">
            <w:pPr>
              <w:pStyle w:val="CodeNotesExampleText"/>
              <w:widowControl w:val="0"/>
              <w:outlineLvl w:val="0"/>
              <w:rPr>
                <w:rFonts w:cs="Arial"/>
                <w:b w:val="0"/>
                <w:color w:val="auto"/>
                <w:sz w:val="20"/>
                <w:szCs w:val="20"/>
              </w:rPr>
            </w:pPr>
            <w:r w:rsidRPr="005941FF">
              <w:rPr>
                <w:rFonts w:cs="Arial"/>
                <w:b w:val="0"/>
                <w:color w:val="auto"/>
                <w:sz w:val="20"/>
                <w:szCs w:val="20"/>
              </w:rPr>
              <w:t>Valued at fair value as at</w:t>
            </w:r>
            <w:r w:rsidR="006E0C58" w:rsidRPr="005941FF">
              <w:rPr>
                <w:rFonts w:cs="Arial"/>
                <w:b w:val="0"/>
                <w:color w:val="auto"/>
                <w:sz w:val="20"/>
                <w:szCs w:val="20"/>
              </w:rPr>
              <w:t xml:space="preserve">       </w:t>
            </w:r>
          </w:p>
        </w:tc>
        <w:tc>
          <w:tcPr>
            <w:cnfStyle w:val="000100001000" w:firstRow="0" w:lastRow="0" w:firstColumn="0" w:lastColumn="1" w:oddVBand="0" w:evenVBand="0" w:oddHBand="0" w:evenHBand="0" w:firstRowFirstColumn="0" w:firstRowLastColumn="1" w:lastRowFirstColumn="0" w:lastRowLastColumn="0"/>
            <w:tcW w:w="4111" w:type="dxa"/>
          </w:tcPr>
          <w:p w:rsidR="002A779E" w:rsidRPr="005941FF" w:rsidRDefault="002A779E" w:rsidP="006E0C58">
            <w:pPr>
              <w:pStyle w:val="CodeNotesExampleText"/>
              <w:widowControl w:val="0"/>
              <w:jc w:val="center"/>
              <w:outlineLvl w:val="0"/>
              <w:rPr>
                <w:rFonts w:cs="Arial"/>
                <w:b w:val="0"/>
                <w:color w:val="auto"/>
                <w:sz w:val="20"/>
                <w:szCs w:val="20"/>
              </w:rPr>
            </w:pPr>
            <w:r w:rsidRPr="005941FF">
              <w:rPr>
                <w:rFonts w:cs="Arial"/>
                <w:b w:val="0"/>
                <w:bCs w:val="0"/>
                <w:color w:val="auto"/>
                <w:sz w:val="20"/>
                <w:szCs w:val="20"/>
              </w:rPr>
              <w:t>Other Land and Buildings</w:t>
            </w:r>
          </w:p>
        </w:tc>
      </w:tr>
      <w:tr w:rsidR="002A779E" w:rsidRPr="0005794A" w:rsidTr="006E0C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28" w:type="dxa"/>
            <w:shd w:val="clear" w:color="auto" w:fill="4BACC6" w:themeFill="accent5"/>
          </w:tcPr>
          <w:p w:rsidR="002A779E" w:rsidRPr="005941FF" w:rsidRDefault="002A779E" w:rsidP="002A779E">
            <w:pPr>
              <w:pStyle w:val="CodeNotesExampleText"/>
              <w:widowControl w:val="0"/>
              <w:outlineLvl w:val="0"/>
              <w:rPr>
                <w:rFonts w:cs="Arial"/>
                <w:color w:val="auto"/>
                <w:sz w:val="20"/>
                <w:szCs w:val="20"/>
                <w:u w:val="single"/>
              </w:rPr>
            </w:pPr>
          </w:p>
        </w:tc>
        <w:tc>
          <w:tcPr>
            <w:cnfStyle w:val="000100000000" w:firstRow="0" w:lastRow="0" w:firstColumn="0" w:lastColumn="1" w:oddVBand="0" w:evenVBand="0" w:oddHBand="0" w:evenHBand="0" w:firstRowFirstColumn="0" w:firstRowLastColumn="0" w:lastRowFirstColumn="0" w:lastRowLastColumn="0"/>
            <w:tcW w:w="4111" w:type="dxa"/>
            <w:shd w:val="clear" w:color="auto" w:fill="4BACC6" w:themeFill="accent5"/>
          </w:tcPr>
          <w:p w:rsidR="002A779E" w:rsidRPr="005941FF" w:rsidRDefault="002A779E" w:rsidP="00CC4FA9">
            <w:pPr>
              <w:pStyle w:val="CodeNotesExampleText"/>
              <w:widowControl w:val="0"/>
              <w:jc w:val="center"/>
              <w:outlineLvl w:val="0"/>
              <w:rPr>
                <w:rFonts w:cs="Arial"/>
                <w:color w:val="auto"/>
                <w:sz w:val="20"/>
                <w:szCs w:val="20"/>
              </w:rPr>
            </w:pPr>
            <w:r w:rsidRPr="005941FF">
              <w:rPr>
                <w:rFonts w:cs="Arial"/>
                <w:b w:val="0"/>
                <w:bCs w:val="0"/>
                <w:color w:val="auto"/>
                <w:sz w:val="20"/>
                <w:szCs w:val="20"/>
              </w:rPr>
              <w:t>£m</w:t>
            </w:r>
          </w:p>
        </w:tc>
      </w:tr>
      <w:tr w:rsidR="00692213" w:rsidRPr="0005794A" w:rsidTr="006E0C58">
        <w:trPr>
          <w:trHeight w:val="34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4BACC6" w:themeColor="accent5"/>
            </w:tcBorders>
          </w:tcPr>
          <w:p w:rsidR="00692213" w:rsidRPr="005941FF" w:rsidRDefault="00692213" w:rsidP="00875E2D">
            <w:pPr>
              <w:pStyle w:val="CodeNotesExampleText"/>
              <w:widowControl w:val="0"/>
              <w:outlineLvl w:val="0"/>
              <w:rPr>
                <w:rFonts w:cs="Arial"/>
                <w:b w:val="0"/>
                <w:color w:val="auto"/>
                <w:sz w:val="20"/>
                <w:szCs w:val="20"/>
              </w:rPr>
            </w:pPr>
            <w:r w:rsidRPr="005941FF">
              <w:rPr>
                <w:rFonts w:cs="Arial"/>
                <w:b w:val="0"/>
                <w:color w:val="auto"/>
                <w:sz w:val="20"/>
                <w:szCs w:val="20"/>
              </w:rPr>
              <w:t>31 March 201</w:t>
            </w:r>
            <w:r w:rsidR="005941FF" w:rsidRPr="005941FF">
              <w:rPr>
                <w:rFonts w:cs="Arial"/>
                <w:b w:val="0"/>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4111" w:type="dxa"/>
            <w:tcBorders>
              <w:left w:val="single" w:sz="4" w:space="0" w:color="4BACC6" w:themeColor="accent5"/>
            </w:tcBorders>
          </w:tcPr>
          <w:p w:rsidR="00692213" w:rsidRPr="005941FF" w:rsidRDefault="00AE6324" w:rsidP="00423875">
            <w:pPr>
              <w:pStyle w:val="CodeNotesExampleText"/>
              <w:widowControl w:val="0"/>
              <w:jc w:val="center"/>
              <w:outlineLvl w:val="0"/>
              <w:rPr>
                <w:rFonts w:cs="Arial"/>
                <w:b w:val="0"/>
                <w:color w:val="auto"/>
                <w:sz w:val="20"/>
                <w:szCs w:val="20"/>
              </w:rPr>
            </w:pPr>
            <w:r>
              <w:rPr>
                <w:rFonts w:cs="Arial"/>
                <w:b w:val="0"/>
                <w:color w:val="auto"/>
                <w:sz w:val="20"/>
                <w:szCs w:val="20"/>
              </w:rPr>
              <w:t>69.4</w:t>
            </w:r>
          </w:p>
        </w:tc>
      </w:tr>
      <w:tr w:rsidR="005941FF" w:rsidRPr="0005794A" w:rsidTr="006E0C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4BACC6" w:themeColor="accent5"/>
            </w:tcBorders>
          </w:tcPr>
          <w:p w:rsidR="005941FF" w:rsidRPr="005941FF" w:rsidRDefault="005941FF" w:rsidP="005941FF">
            <w:pPr>
              <w:pStyle w:val="CodeNotesExampleText"/>
              <w:widowControl w:val="0"/>
              <w:outlineLvl w:val="0"/>
              <w:rPr>
                <w:rFonts w:cs="Arial"/>
                <w:b w:val="0"/>
                <w:color w:val="auto"/>
                <w:sz w:val="20"/>
                <w:szCs w:val="20"/>
              </w:rPr>
            </w:pPr>
            <w:r w:rsidRPr="005941FF">
              <w:rPr>
                <w:rFonts w:cs="Arial"/>
                <w:b w:val="0"/>
                <w:color w:val="auto"/>
                <w:sz w:val="20"/>
                <w:szCs w:val="20"/>
              </w:rPr>
              <w:t>31 March 2017</w:t>
            </w:r>
          </w:p>
        </w:tc>
        <w:tc>
          <w:tcPr>
            <w:cnfStyle w:val="000100000000" w:firstRow="0" w:lastRow="0" w:firstColumn="0" w:lastColumn="1" w:oddVBand="0" w:evenVBand="0" w:oddHBand="0" w:evenHBand="0" w:firstRowFirstColumn="0" w:firstRowLastColumn="0" w:lastRowFirstColumn="0" w:lastRowLastColumn="0"/>
            <w:tcW w:w="4111" w:type="dxa"/>
            <w:tcBorders>
              <w:left w:val="single" w:sz="4" w:space="0" w:color="4BACC6" w:themeColor="accent5"/>
            </w:tcBorders>
          </w:tcPr>
          <w:p w:rsidR="005941FF" w:rsidRPr="005941FF" w:rsidRDefault="005941FF" w:rsidP="000764A5">
            <w:pPr>
              <w:pStyle w:val="CodeNotesExampleText"/>
              <w:widowControl w:val="0"/>
              <w:jc w:val="center"/>
              <w:outlineLvl w:val="0"/>
              <w:rPr>
                <w:rFonts w:cs="Arial"/>
                <w:b w:val="0"/>
                <w:color w:val="auto"/>
                <w:sz w:val="20"/>
                <w:szCs w:val="20"/>
              </w:rPr>
            </w:pPr>
            <w:r w:rsidRPr="005941FF">
              <w:rPr>
                <w:rFonts w:cs="Arial"/>
                <w:b w:val="0"/>
                <w:color w:val="auto"/>
                <w:sz w:val="20"/>
                <w:szCs w:val="20"/>
              </w:rPr>
              <w:t>22.</w:t>
            </w:r>
            <w:r w:rsidR="000764A5">
              <w:rPr>
                <w:rFonts w:cs="Arial"/>
                <w:b w:val="0"/>
                <w:color w:val="auto"/>
                <w:sz w:val="20"/>
                <w:szCs w:val="20"/>
              </w:rPr>
              <w:t>7</w:t>
            </w:r>
          </w:p>
        </w:tc>
      </w:tr>
      <w:tr w:rsidR="005941FF" w:rsidRPr="0005794A" w:rsidTr="006E0C58">
        <w:trPr>
          <w:trHeight w:val="34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4BACC6" w:themeColor="accent5"/>
            </w:tcBorders>
          </w:tcPr>
          <w:p w:rsidR="005941FF" w:rsidRPr="005941FF" w:rsidRDefault="005941FF" w:rsidP="005941FF">
            <w:pPr>
              <w:pStyle w:val="CodeNotesExampleText"/>
              <w:widowControl w:val="0"/>
              <w:outlineLvl w:val="0"/>
              <w:rPr>
                <w:rFonts w:cs="Arial"/>
                <w:b w:val="0"/>
                <w:color w:val="auto"/>
                <w:sz w:val="20"/>
                <w:szCs w:val="20"/>
              </w:rPr>
            </w:pPr>
            <w:r w:rsidRPr="005941FF">
              <w:rPr>
                <w:rFonts w:cs="Arial"/>
                <w:b w:val="0"/>
                <w:color w:val="auto"/>
                <w:sz w:val="20"/>
                <w:szCs w:val="20"/>
              </w:rPr>
              <w:t>31 March 2016</w:t>
            </w:r>
          </w:p>
        </w:tc>
        <w:tc>
          <w:tcPr>
            <w:cnfStyle w:val="000100000000" w:firstRow="0" w:lastRow="0" w:firstColumn="0" w:lastColumn="1" w:oddVBand="0" w:evenVBand="0" w:oddHBand="0" w:evenHBand="0" w:firstRowFirstColumn="0" w:firstRowLastColumn="0" w:lastRowFirstColumn="0" w:lastRowLastColumn="0"/>
            <w:tcW w:w="4111" w:type="dxa"/>
            <w:tcBorders>
              <w:left w:val="single" w:sz="4" w:space="0" w:color="4BACC6" w:themeColor="accent5"/>
            </w:tcBorders>
          </w:tcPr>
          <w:p w:rsidR="005941FF" w:rsidRPr="005941FF" w:rsidRDefault="000764A5" w:rsidP="005941FF">
            <w:pPr>
              <w:pStyle w:val="CodeNotesExampleText"/>
              <w:widowControl w:val="0"/>
              <w:jc w:val="center"/>
              <w:outlineLvl w:val="0"/>
              <w:rPr>
                <w:rFonts w:cs="Arial"/>
                <w:b w:val="0"/>
                <w:color w:val="auto"/>
                <w:sz w:val="20"/>
                <w:szCs w:val="20"/>
              </w:rPr>
            </w:pPr>
            <w:r>
              <w:rPr>
                <w:rFonts w:cs="Arial"/>
                <w:b w:val="0"/>
                <w:color w:val="auto"/>
                <w:sz w:val="20"/>
                <w:szCs w:val="20"/>
              </w:rPr>
              <w:t>25.9</w:t>
            </w:r>
          </w:p>
        </w:tc>
      </w:tr>
      <w:tr w:rsidR="005941FF" w:rsidRPr="0005794A" w:rsidTr="006E0C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4BACC6" w:themeColor="accent5"/>
            </w:tcBorders>
          </w:tcPr>
          <w:p w:rsidR="005941FF" w:rsidRPr="005941FF" w:rsidRDefault="005941FF" w:rsidP="005941FF">
            <w:pPr>
              <w:pStyle w:val="CodeNotesExampleText"/>
              <w:widowControl w:val="0"/>
              <w:outlineLvl w:val="0"/>
              <w:rPr>
                <w:rFonts w:cs="Arial"/>
                <w:b w:val="0"/>
                <w:color w:val="auto"/>
                <w:sz w:val="20"/>
                <w:szCs w:val="20"/>
                <w:u w:val="single"/>
              </w:rPr>
            </w:pPr>
            <w:r w:rsidRPr="005941FF">
              <w:rPr>
                <w:rFonts w:cs="Arial"/>
                <w:b w:val="0"/>
                <w:color w:val="auto"/>
                <w:sz w:val="20"/>
                <w:szCs w:val="20"/>
              </w:rPr>
              <w:t>31 March 2015</w:t>
            </w:r>
          </w:p>
        </w:tc>
        <w:tc>
          <w:tcPr>
            <w:cnfStyle w:val="000100000000" w:firstRow="0" w:lastRow="0" w:firstColumn="0" w:lastColumn="1" w:oddVBand="0" w:evenVBand="0" w:oddHBand="0" w:evenHBand="0" w:firstRowFirstColumn="0" w:firstRowLastColumn="0" w:lastRowFirstColumn="0" w:lastRowLastColumn="0"/>
            <w:tcW w:w="4111" w:type="dxa"/>
            <w:tcBorders>
              <w:left w:val="single" w:sz="4" w:space="0" w:color="4BACC6" w:themeColor="accent5"/>
            </w:tcBorders>
          </w:tcPr>
          <w:p w:rsidR="005941FF" w:rsidRPr="005941FF" w:rsidRDefault="00AE6324" w:rsidP="005941FF">
            <w:pPr>
              <w:pStyle w:val="CodeNotesExampleText"/>
              <w:widowControl w:val="0"/>
              <w:jc w:val="center"/>
              <w:outlineLvl w:val="0"/>
              <w:rPr>
                <w:rFonts w:cs="Arial"/>
                <w:b w:val="0"/>
                <w:color w:val="auto"/>
                <w:sz w:val="20"/>
                <w:szCs w:val="20"/>
              </w:rPr>
            </w:pPr>
            <w:r>
              <w:rPr>
                <w:rFonts w:cs="Arial"/>
                <w:b w:val="0"/>
                <w:color w:val="auto"/>
                <w:sz w:val="20"/>
                <w:szCs w:val="20"/>
              </w:rPr>
              <w:t>38</w:t>
            </w:r>
            <w:r w:rsidR="000764A5">
              <w:rPr>
                <w:rFonts w:cs="Arial"/>
                <w:b w:val="0"/>
                <w:color w:val="auto"/>
                <w:sz w:val="20"/>
                <w:szCs w:val="20"/>
              </w:rPr>
              <w:t>.3</w:t>
            </w:r>
          </w:p>
        </w:tc>
      </w:tr>
      <w:tr w:rsidR="005941FF" w:rsidRPr="0005794A" w:rsidTr="006E0C58">
        <w:trPr>
          <w:trHeight w:val="340"/>
        </w:trPr>
        <w:tc>
          <w:tcPr>
            <w:cnfStyle w:val="001000000000" w:firstRow="0" w:lastRow="0" w:firstColumn="1" w:lastColumn="0" w:oddVBand="0" w:evenVBand="0" w:oddHBand="0" w:evenHBand="0" w:firstRowFirstColumn="0" w:firstRowLastColumn="0" w:lastRowFirstColumn="0" w:lastRowLastColumn="0"/>
            <w:tcW w:w="4928" w:type="dxa"/>
            <w:tcBorders>
              <w:right w:val="single" w:sz="4" w:space="0" w:color="4BACC6" w:themeColor="accent5"/>
            </w:tcBorders>
          </w:tcPr>
          <w:p w:rsidR="005941FF" w:rsidRPr="005941FF" w:rsidRDefault="005941FF" w:rsidP="005941FF">
            <w:pPr>
              <w:pStyle w:val="CodeNotesExampleText"/>
              <w:widowControl w:val="0"/>
              <w:outlineLvl w:val="0"/>
              <w:rPr>
                <w:rFonts w:cs="Arial"/>
                <w:b w:val="0"/>
                <w:color w:val="auto"/>
                <w:sz w:val="20"/>
                <w:szCs w:val="20"/>
              </w:rPr>
            </w:pPr>
            <w:r w:rsidRPr="005941FF">
              <w:rPr>
                <w:rFonts w:cs="Arial"/>
                <w:b w:val="0"/>
                <w:color w:val="auto"/>
                <w:sz w:val="20"/>
                <w:szCs w:val="20"/>
              </w:rPr>
              <w:t>31 March 2014</w:t>
            </w:r>
          </w:p>
        </w:tc>
        <w:tc>
          <w:tcPr>
            <w:cnfStyle w:val="000100000000" w:firstRow="0" w:lastRow="0" w:firstColumn="0" w:lastColumn="1" w:oddVBand="0" w:evenVBand="0" w:oddHBand="0" w:evenHBand="0" w:firstRowFirstColumn="0" w:firstRowLastColumn="0" w:lastRowFirstColumn="0" w:lastRowLastColumn="0"/>
            <w:tcW w:w="4111" w:type="dxa"/>
            <w:tcBorders>
              <w:left w:val="single" w:sz="4" w:space="0" w:color="4BACC6" w:themeColor="accent5"/>
            </w:tcBorders>
          </w:tcPr>
          <w:p w:rsidR="005941FF" w:rsidRPr="005941FF" w:rsidRDefault="000764A5" w:rsidP="00AE6324">
            <w:pPr>
              <w:pStyle w:val="CodeNotesExampleText"/>
              <w:widowControl w:val="0"/>
              <w:jc w:val="center"/>
              <w:outlineLvl w:val="0"/>
              <w:rPr>
                <w:rFonts w:cs="Arial"/>
                <w:b w:val="0"/>
                <w:color w:val="auto"/>
                <w:sz w:val="20"/>
                <w:szCs w:val="20"/>
              </w:rPr>
            </w:pPr>
            <w:r>
              <w:rPr>
                <w:rFonts w:cs="Arial"/>
                <w:b w:val="0"/>
                <w:color w:val="auto"/>
                <w:sz w:val="20"/>
                <w:szCs w:val="20"/>
              </w:rPr>
              <w:t>37.</w:t>
            </w:r>
            <w:r w:rsidR="00AE6324">
              <w:rPr>
                <w:rFonts w:cs="Arial"/>
                <w:b w:val="0"/>
                <w:color w:val="auto"/>
                <w:sz w:val="20"/>
                <w:szCs w:val="20"/>
              </w:rPr>
              <w:t>6</w:t>
            </w:r>
          </w:p>
        </w:tc>
      </w:tr>
      <w:tr w:rsidR="005941FF" w:rsidRPr="0005794A" w:rsidTr="006E0C58">
        <w:trPr>
          <w:cnfStyle w:val="010000000000" w:firstRow="0" w:lastRow="1" w:firstColumn="0" w:lastColumn="0" w:oddVBand="0" w:evenVBand="0" w:oddHBand="0" w:evenHBand="0" w:firstRowFirstColumn="0" w:firstRowLastColumn="0" w:lastRowFirstColumn="0" w:lastRowLastColumn="0"/>
          <w:trHeight w:val="340"/>
        </w:trPr>
        <w:tc>
          <w:tcPr>
            <w:cnfStyle w:val="001000000001" w:firstRow="0" w:lastRow="0" w:firstColumn="1" w:lastColumn="0" w:oddVBand="0" w:evenVBand="0" w:oddHBand="0" w:evenHBand="0" w:firstRowFirstColumn="0" w:firstRowLastColumn="0" w:lastRowFirstColumn="1" w:lastRowLastColumn="0"/>
            <w:tcW w:w="4928" w:type="dxa"/>
            <w:tcBorders>
              <w:top w:val="single" w:sz="4" w:space="0" w:color="4BACC6" w:themeColor="accent5"/>
              <w:bottom w:val="single" w:sz="4" w:space="0" w:color="4BACC6" w:themeColor="accent5"/>
              <w:right w:val="single" w:sz="4" w:space="0" w:color="4BACC6" w:themeColor="accent5"/>
            </w:tcBorders>
          </w:tcPr>
          <w:p w:rsidR="005941FF" w:rsidRPr="005941FF" w:rsidRDefault="005941FF" w:rsidP="005941FF">
            <w:pPr>
              <w:pStyle w:val="CodeNotesExampleText"/>
              <w:widowControl w:val="0"/>
              <w:outlineLvl w:val="0"/>
              <w:rPr>
                <w:rFonts w:cs="Arial"/>
                <w:b w:val="0"/>
                <w:color w:val="auto"/>
                <w:sz w:val="20"/>
                <w:szCs w:val="20"/>
              </w:rPr>
            </w:pPr>
            <w:r w:rsidRPr="005941FF">
              <w:rPr>
                <w:rFonts w:cs="Arial"/>
                <w:b w:val="0"/>
                <w:color w:val="auto"/>
                <w:sz w:val="20"/>
                <w:szCs w:val="20"/>
              </w:rPr>
              <w:t>Total Cost or Valuation of Other Land &amp; Buildings</w:t>
            </w:r>
          </w:p>
        </w:tc>
        <w:tc>
          <w:tcPr>
            <w:cnfStyle w:val="000100000010" w:firstRow="0" w:lastRow="0" w:firstColumn="0" w:lastColumn="1" w:oddVBand="0" w:evenVBand="0" w:oddHBand="0" w:evenHBand="0" w:firstRowFirstColumn="0" w:firstRowLastColumn="0" w:lastRowFirstColumn="0" w:lastRowLastColumn="1"/>
            <w:tcW w:w="4111" w:type="dxa"/>
            <w:tcBorders>
              <w:top w:val="single" w:sz="4" w:space="0" w:color="4BACC6" w:themeColor="accent5"/>
              <w:left w:val="single" w:sz="4" w:space="0" w:color="4BACC6" w:themeColor="accent5"/>
              <w:bottom w:val="single" w:sz="4" w:space="0" w:color="4BACC6" w:themeColor="accent5"/>
            </w:tcBorders>
          </w:tcPr>
          <w:p w:rsidR="005941FF" w:rsidRPr="005941FF" w:rsidRDefault="00D87885" w:rsidP="005941FF">
            <w:pPr>
              <w:pStyle w:val="CodeNotesExampleText"/>
              <w:widowControl w:val="0"/>
              <w:jc w:val="center"/>
              <w:outlineLvl w:val="0"/>
              <w:rPr>
                <w:rFonts w:cs="Arial"/>
                <w:color w:val="auto"/>
                <w:sz w:val="20"/>
                <w:szCs w:val="20"/>
              </w:rPr>
            </w:pPr>
            <w:r>
              <w:rPr>
                <w:rFonts w:cs="Arial"/>
                <w:color w:val="auto"/>
                <w:sz w:val="20"/>
                <w:szCs w:val="20"/>
              </w:rPr>
              <w:t>193.9</w:t>
            </w:r>
          </w:p>
        </w:tc>
      </w:tr>
    </w:tbl>
    <w:p w:rsidR="00FC2AD4" w:rsidRPr="0005794A" w:rsidRDefault="00FC2AD4" w:rsidP="003C5E34">
      <w:pPr>
        <w:pStyle w:val="CodeNotesExampleText"/>
        <w:widowControl w:val="0"/>
        <w:ind w:left="567"/>
        <w:rPr>
          <w:rFonts w:cs="Arial"/>
          <w:color w:val="548DD4" w:themeColor="text2" w:themeTint="99"/>
          <w:sz w:val="20"/>
          <w:szCs w:val="20"/>
        </w:rPr>
      </w:pPr>
    </w:p>
    <w:p w:rsidR="00FC2AD4" w:rsidRPr="0005794A" w:rsidRDefault="00FC2AD4" w:rsidP="003C5E34">
      <w:pPr>
        <w:pStyle w:val="CodeNotesExampleText"/>
        <w:widowControl w:val="0"/>
        <w:ind w:left="567"/>
        <w:rPr>
          <w:rFonts w:cs="Arial"/>
          <w:color w:val="548DD4" w:themeColor="text2" w:themeTint="99"/>
          <w:sz w:val="20"/>
          <w:szCs w:val="20"/>
        </w:rPr>
      </w:pPr>
    </w:p>
    <w:p w:rsidR="00FC2AD4" w:rsidRPr="0005794A" w:rsidRDefault="00FC2AD4" w:rsidP="003C5E34">
      <w:pPr>
        <w:pStyle w:val="CodeNotesExampleText"/>
        <w:widowControl w:val="0"/>
        <w:ind w:left="567"/>
        <w:rPr>
          <w:rFonts w:cs="Arial"/>
          <w:color w:val="548DD4" w:themeColor="text2" w:themeTint="99"/>
          <w:sz w:val="20"/>
          <w:szCs w:val="20"/>
        </w:rPr>
      </w:pPr>
    </w:p>
    <w:p w:rsidR="00FC2AD4" w:rsidRPr="0005794A" w:rsidRDefault="00FC2AD4" w:rsidP="003C5E34">
      <w:pPr>
        <w:pStyle w:val="CodeNotesExampleText"/>
        <w:widowControl w:val="0"/>
        <w:ind w:left="567"/>
        <w:rPr>
          <w:rFonts w:cs="Arial"/>
          <w:color w:val="548DD4" w:themeColor="text2" w:themeTint="99"/>
          <w:sz w:val="20"/>
          <w:szCs w:val="20"/>
        </w:rPr>
      </w:pPr>
    </w:p>
    <w:p w:rsidR="00E51139" w:rsidRPr="00877864" w:rsidRDefault="00E51139" w:rsidP="002A6FA3">
      <w:pPr>
        <w:pStyle w:val="Subtitle"/>
        <w:ind w:left="567" w:hanging="567"/>
        <w:rPr>
          <w:b/>
          <w:color w:val="auto"/>
          <w:sz w:val="22"/>
          <w:szCs w:val="22"/>
        </w:rPr>
      </w:pPr>
      <w:r w:rsidRPr="00877864">
        <w:rPr>
          <w:b/>
          <w:color w:val="auto"/>
          <w:sz w:val="22"/>
          <w:szCs w:val="22"/>
        </w:rPr>
        <w:t>1</w:t>
      </w:r>
      <w:r w:rsidR="005F70BB" w:rsidRPr="00877864">
        <w:rPr>
          <w:b/>
          <w:color w:val="auto"/>
          <w:sz w:val="22"/>
          <w:szCs w:val="22"/>
        </w:rPr>
        <w:t>4</w:t>
      </w:r>
      <w:r w:rsidRPr="00877864">
        <w:rPr>
          <w:b/>
          <w:color w:val="auto"/>
          <w:sz w:val="22"/>
          <w:szCs w:val="22"/>
        </w:rPr>
        <w:t>.</w:t>
      </w:r>
      <w:r w:rsidRPr="00877864">
        <w:rPr>
          <w:b/>
          <w:color w:val="auto"/>
          <w:sz w:val="22"/>
          <w:szCs w:val="22"/>
        </w:rPr>
        <w:tab/>
        <w:t>Heritage Assets</w:t>
      </w:r>
    </w:p>
    <w:p w:rsidR="00E51139" w:rsidRPr="00877864" w:rsidRDefault="00E51139" w:rsidP="002A5EB8">
      <w:pPr>
        <w:autoSpaceDE w:val="0"/>
        <w:autoSpaceDN w:val="0"/>
        <w:adjustRightInd w:val="0"/>
        <w:spacing w:after="0" w:line="240" w:lineRule="auto"/>
        <w:ind w:left="567"/>
        <w:rPr>
          <w:rFonts w:eastAsia="Times New Roman" w:cs="Arial"/>
          <w:color w:val="auto"/>
          <w:sz w:val="20"/>
          <w:szCs w:val="20"/>
        </w:rPr>
      </w:pPr>
      <w:r w:rsidRPr="00877864">
        <w:rPr>
          <w:rFonts w:eastAsia="Times New Roman" w:cs="Arial"/>
          <w:color w:val="auto"/>
          <w:sz w:val="20"/>
          <w:szCs w:val="20"/>
        </w:rPr>
        <w:t xml:space="preserve">The value of the Council’s heritage assets are reported in the balance sheet at an insurance valuation. Where it is not practical to obtain an insurance valuation the asset is measured at historical cost (usually nil). Heritage Assets, by their nature have a long life, so have not been depreciated. </w:t>
      </w:r>
    </w:p>
    <w:p w:rsidR="00E51139" w:rsidRPr="00877864" w:rsidRDefault="00E51139" w:rsidP="003D08FD">
      <w:pPr>
        <w:pStyle w:val="ExampleSub"/>
        <w:keepNext w:val="0"/>
        <w:keepLines w:val="0"/>
        <w:outlineLvl w:val="0"/>
        <w:rPr>
          <w:rFonts w:ascii="Arial" w:hAnsi="Arial" w:cs="Arial"/>
          <w:b w:val="0"/>
          <w:bCs w:val="0"/>
          <w:color w:val="auto"/>
          <w:sz w:val="20"/>
          <w:szCs w:val="20"/>
          <w:lang w:eastAsia="en-US"/>
        </w:rPr>
      </w:pPr>
      <w:r w:rsidRPr="00877864">
        <w:rPr>
          <w:rFonts w:ascii="Arial" w:hAnsi="Arial" w:cs="Arial"/>
          <w:b w:val="0"/>
          <w:bCs w:val="0"/>
          <w:color w:val="auto"/>
          <w:sz w:val="20"/>
          <w:szCs w:val="20"/>
          <w:lang w:eastAsia="en-US"/>
        </w:rPr>
        <w:t xml:space="preserve">The insurance valuations for heritage assets classified as property are updated every year by an inflationary factor as recommended by the Council’s insurers, then revalued every 5 years as part of a rolling programme by an external </w:t>
      </w:r>
      <w:proofErr w:type="spellStart"/>
      <w:r w:rsidRPr="00877864">
        <w:rPr>
          <w:rFonts w:ascii="Arial" w:hAnsi="Arial" w:cs="Arial"/>
          <w:b w:val="0"/>
          <w:bCs w:val="0"/>
          <w:color w:val="auto"/>
          <w:sz w:val="20"/>
          <w:szCs w:val="20"/>
          <w:lang w:eastAsia="en-US"/>
        </w:rPr>
        <w:t>valuer</w:t>
      </w:r>
      <w:proofErr w:type="spellEnd"/>
      <w:r w:rsidRPr="00877864">
        <w:rPr>
          <w:rFonts w:ascii="Arial" w:hAnsi="Arial" w:cs="Arial"/>
          <w:b w:val="0"/>
          <w:bCs w:val="0"/>
          <w:color w:val="auto"/>
          <w:sz w:val="20"/>
          <w:szCs w:val="20"/>
          <w:lang w:eastAsia="en-US"/>
        </w:rPr>
        <w:t xml:space="preserve">.  The Fine Art Collection and Mayoral Regalia are revalued periodically by external </w:t>
      </w:r>
      <w:proofErr w:type="spellStart"/>
      <w:r w:rsidRPr="00877864">
        <w:rPr>
          <w:rFonts w:ascii="Arial" w:hAnsi="Arial" w:cs="Arial"/>
          <w:b w:val="0"/>
          <w:bCs w:val="0"/>
          <w:color w:val="auto"/>
          <w:sz w:val="20"/>
          <w:szCs w:val="20"/>
          <w:lang w:eastAsia="en-US"/>
        </w:rPr>
        <w:t>valuers</w:t>
      </w:r>
      <w:proofErr w:type="spellEnd"/>
      <w:r w:rsidRPr="00877864">
        <w:rPr>
          <w:rFonts w:ascii="Arial" w:hAnsi="Arial" w:cs="Arial"/>
          <w:b w:val="0"/>
          <w:bCs w:val="0"/>
          <w:color w:val="auto"/>
          <w:sz w:val="20"/>
          <w:szCs w:val="20"/>
          <w:lang w:eastAsia="en-US"/>
        </w:rPr>
        <w:t xml:space="preserve"> to ensure the adequacy of the valuation. The value of these assets </w:t>
      </w:r>
      <w:r w:rsidR="00C55555" w:rsidRPr="00877864">
        <w:rPr>
          <w:rFonts w:ascii="Arial" w:hAnsi="Arial" w:cs="Arial"/>
          <w:b w:val="0"/>
          <w:bCs w:val="0"/>
          <w:color w:val="auto"/>
          <w:sz w:val="20"/>
          <w:szCs w:val="20"/>
          <w:lang w:eastAsia="en-US"/>
        </w:rPr>
        <w:t>is</w:t>
      </w:r>
      <w:r w:rsidRPr="00877864">
        <w:rPr>
          <w:rFonts w:ascii="Arial" w:hAnsi="Arial" w:cs="Arial"/>
          <w:b w:val="0"/>
          <w:bCs w:val="0"/>
          <w:color w:val="auto"/>
          <w:sz w:val="20"/>
          <w:szCs w:val="20"/>
          <w:lang w:eastAsia="en-US"/>
        </w:rPr>
        <w:t xml:space="preserve"> held on the Council’s Asset Register.</w:t>
      </w:r>
    </w:p>
    <w:p w:rsidR="00E51139" w:rsidRPr="00877864" w:rsidRDefault="00E51139" w:rsidP="003D08FD">
      <w:pPr>
        <w:pStyle w:val="ExampleSub"/>
        <w:keepNext w:val="0"/>
        <w:keepLines w:val="0"/>
        <w:outlineLvl w:val="0"/>
        <w:rPr>
          <w:rFonts w:ascii="Arial" w:hAnsi="Arial" w:cs="Arial"/>
          <w:b w:val="0"/>
          <w:bCs w:val="0"/>
          <w:color w:val="auto"/>
          <w:sz w:val="20"/>
          <w:szCs w:val="20"/>
        </w:rPr>
      </w:pPr>
      <w:r w:rsidRPr="00877864">
        <w:rPr>
          <w:rFonts w:ascii="Arial" w:hAnsi="Arial" w:cs="Arial"/>
          <w:b w:val="0"/>
          <w:bCs w:val="0"/>
          <w:color w:val="auto"/>
          <w:sz w:val="20"/>
          <w:szCs w:val="20"/>
        </w:rPr>
        <w:t xml:space="preserve">The following table shows the reconciliation of the carrying value of Heritage Assets held by the Council. </w:t>
      </w:r>
    </w:p>
    <w:p w:rsidR="00E51139" w:rsidRPr="0005794A" w:rsidRDefault="00E51139" w:rsidP="00B63E46">
      <w:pPr>
        <w:pStyle w:val="ExampleSub"/>
        <w:keepNext w:val="0"/>
        <w:keepLines w:val="0"/>
        <w:ind w:left="0"/>
        <w:outlineLvl w:val="0"/>
        <w:rPr>
          <w:rFonts w:ascii="Arial" w:hAnsi="Arial" w:cs="Arial"/>
          <w:b w:val="0"/>
          <w:bCs w:val="0"/>
          <w:color w:val="548DD4" w:themeColor="text2" w:themeTint="99"/>
          <w:sz w:val="20"/>
          <w:szCs w:val="20"/>
        </w:rPr>
      </w:pPr>
    </w:p>
    <w:tbl>
      <w:tblPr>
        <w:tblStyle w:val="ListTable3-Accent51"/>
        <w:tblW w:w="8222" w:type="dxa"/>
        <w:tblInd w:w="675" w:type="dxa"/>
        <w:tblLayout w:type="fixed"/>
        <w:tblLook w:val="01E0" w:firstRow="1" w:lastRow="1" w:firstColumn="1" w:lastColumn="1" w:noHBand="0" w:noVBand="0"/>
      </w:tblPr>
      <w:tblGrid>
        <w:gridCol w:w="3969"/>
        <w:gridCol w:w="993"/>
        <w:gridCol w:w="992"/>
        <w:gridCol w:w="1134"/>
        <w:gridCol w:w="1134"/>
      </w:tblGrid>
      <w:tr w:rsidR="004076A0" w:rsidRPr="0005794A" w:rsidTr="004076A0">
        <w:trPr>
          <w:cnfStyle w:val="100000000000" w:firstRow="1" w:lastRow="0" w:firstColumn="0" w:lastColumn="0" w:oddVBand="0" w:evenVBand="0" w:oddHBand="0" w:evenHBand="0" w:firstRowFirstColumn="0" w:firstRowLastColumn="0" w:lastRowFirstColumn="0" w:lastRowLastColumn="0"/>
          <w:cantSplit/>
          <w:trHeight w:val="1728"/>
        </w:trPr>
        <w:tc>
          <w:tcPr>
            <w:cnfStyle w:val="001000000100" w:firstRow="0" w:lastRow="0" w:firstColumn="1" w:lastColumn="0" w:oddVBand="0" w:evenVBand="0" w:oddHBand="0" w:evenHBand="0" w:firstRowFirstColumn="1" w:firstRowLastColumn="0" w:lastRowFirstColumn="0" w:lastRowLastColumn="0"/>
            <w:tcW w:w="3969" w:type="dxa"/>
          </w:tcPr>
          <w:p w:rsidR="004076A0" w:rsidRPr="00F27E0D" w:rsidRDefault="004076A0" w:rsidP="00CE6D72">
            <w:pPr>
              <w:pStyle w:val="ExampleSub"/>
              <w:keepNext w:val="0"/>
              <w:keepLines w:val="0"/>
              <w:ind w:left="0"/>
              <w:outlineLvl w:val="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extDirection w:val="btLr"/>
          </w:tcPr>
          <w:p w:rsidR="004076A0" w:rsidRPr="00F27E0D" w:rsidRDefault="004076A0" w:rsidP="002D4A0F">
            <w:pPr>
              <w:pStyle w:val="ExampleSub"/>
              <w:keepNext w:val="0"/>
              <w:keepLines w:val="0"/>
              <w:ind w:left="113" w:right="113"/>
              <w:outlineLvl w:val="0"/>
              <w:rPr>
                <w:rFonts w:ascii="Arial" w:hAnsi="Arial" w:cs="Arial"/>
                <w:color w:val="auto"/>
                <w:sz w:val="20"/>
                <w:szCs w:val="20"/>
              </w:rPr>
            </w:pPr>
            <w:r w:rsidRPr="00F27E0D">
              <w:rPr>
                <w:rFonts w:ascii="Arial" w:hAnsi="Arial" w:cs="Arial"/>
                <w:color w:val="auto"/>
                <w:sz w:val="20"/>
                <w:szCs w:val="20"/>
              </w:rPr>
              <w:t>Fine Art Collection</w:t>
            </w:r>
          </w:p>
        </w:tc>
        <w:tc>
          <w:tcPr>
            <w:tcW w:w="992" w:type="dxa"/>
            <w:textDirection w:val="btLr"/>
          </w:tcPr>
          <w:p w:rsidR="004076A0" w:rsidRPr="00F27E0D" w:rsidRDefault="004076A0" w:rsidP="002D4A0F">
            <w:pPr>
              <w:pStyle w:val="ExampleSub"/>
              <w:keepNext w:val="0"/>
              <w:keepLines w:val="0"/>
              <w:ind w:left="113" w:right="113"/>
              <w:outlineLvl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27E0D">
              <w:rPr>
                <w:rFonts w:ascii="Arial" w:hAnsi="Arial" w:cs="Arial"/>
                <w:color w:val="auto"/>
                <w:sz w:val="20"/>
                <w:szCs w:val="20"/>
              </w:rPr>
              <w:t>Mayoral  Regalia</w:t>
            </w:r>
          </w:p>
        </w:tc>
        <w:tc>
          <w:tcPr>
            <w:cnfStyle w:val="000010000000" w:firstRow="0" w:lastRow="0" w:firstColumn="0" w:lastColumn="0" w:oddVBand="1" w:evenVBand="0" w:oddHBand="0" w:evenHBand="0" w:firstRowFirstColumn="0" w:firstRowLastColumn="0" w:lastRowFirstColumn="0" w:lastRowLastColumn="0"/>
            <w:tcW w:w="1134" w:type="dxa"/>
            <w:textDirection w:val="btLr"/>
          </w:tcPr>
          <w:p w:rsidR="004076A0" w:rsidRPr="00F27E0D" w:rsidRDefault="004076A0" w:rsidP="002D4A0F">
            <w:pPr>
              <w:pStyle w:val="ExampleSub"/>
              <w:keepNext w:val="0"/>
              <w:keepLines w:val="0"/>
              <w:ind w:left="113" w:right="113"/>
              <w:outlineLvl w:val="0"/>
              <w:rPr>
                <w:rFonts w:ascii="Arial" w:hAnsi="Arial" w:cs="Arial"/>
                <w:color w:val="auto"/>
                <w:sz w:val="20"/>
                <w:szCs w:val="20"/>
              </w:rPr>
            </w:pPr>
            <w:r w:rsidRPr="00F27E0D">
              <w:rPr>
                <w:rFonts w:ascii="Arial" w:hAnsi="Arial" w:cs="Arial"/>
                <w:color w:val="auto"/>
                <w:sz w:val="20"/>
                <w:szCs w:val="20"/>
              </w:rPr>
              <w:t>Heritage Property</w:t>
            </w:r>
          </w:p>
        </w:tc>
        <w:tc>
          <w:tcPr>
            <w:cnfStyle w:val="000100001000" w:firstRow="0" w:lastRow="0" w:firstColumn="0" w:lastColumn="1" w:oddVBand="0" w:evenVBand="0" w:oddHBand="0" w:evenHBand="0" w:firstRowFirstColumn="0" w:firstRowLastColumn="1" w:lastRowFirstColumn="0" w:lastRowLastColumn="0"/>
            <w:tcW w:w="1134" w:type="dxa"/>
            <w:tcBorders>
              <w:top w:val="single" w:sz="4" w:space="0" w:color="4BACC6" w:themeColor="accent5"/>
              <w:left w:val="single" w:sz="4" w:space="0" w:color="4BACC6" w:themeColor="accent5"/>
            </w:tcBorders>
            <w:textDirection w:val="btLr"/>
          </w:tcPr>
          <w:p w:rsidR="004076A0" w:rsidRPr="00F27E0D" w:rsidRDefault="004076A0" w:rsidP="002D4A0F">
            <w:pPr>
              <w:pStyle w:val="ExampleSub"/>
              <w:keepNext w:val="0"/>
              <w:keepLines w:val="0"/>
              <w:ind w:left="113" w:right="113"/>
              <w:outlineLvl w:val="0"/>
              <w:rPr>
                <w:rFonts w:ascii="Arial" w:hAnsi="Arial" w:cs="Arial"/>
                <w:color w:val="auto"/>
                <w:sz w:val="20"/>
                <w:szCs w:val="20"/>
              </w:rPr>
            </w:pPr>
            <w:r w:rsidRPr="00F27E0D">
              <w:rPr>
                <w:rFonts w:ascii="Arial" w:hAnsi="Arial" w:cs="Arial"/>
                <w:color w:val="auto"/>
                <w:sz w:val="20"/>
                <w:szCs w:val="20"/>
              </w:rPr>
              <w:t>Total Assets</w:t>
            </w:r>
          </w:p>
        </w:tc>
      </w:tr>
      <w:tr w:rsidR="004076A0" w:rsidRPr="0005794A" w:rsidTr="0040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4076A0" w:rsidRPr="00F27E0D" w:rsidRDefault="004076A0" w:rsidP="00CE6D72">
            <w:pPr>
              <w:pStyle w:val="ExampleSub"/>
              <w:keepNext w:val="0"/>
              <w:keepLines w:val="0"/>
              <w:ind w:left="0"/>
              <w:outlineLvl w:val="0"/>
              <w:rPr>
                <w:rFonts w:ascii="Arial" w:hAnsi="Arial" w:cs="Arial"/>
                <w:color w:val="auto"/>
                <w:sz w:val="20"/>
                <w:szCs w:val="20"/>
              </w:rPr>
            </w:pPr>
            <w:r w:rsidRPr="00F27E0D">
              <w:rPr>
                <w:rFonts w:ascii="Arial" w:hAnsi="Arial" w:cs="Arial"/>
                <w:color w:val="auto"/>
                <w:sz w:val="20"/>
                <w:szCs w:val="20"/>
              </w:rPr>
              <w:t>Valuation</w:t>
            </w:r>
          </w:p>
        </w:tc>
        <w:tc>
          <w:tcPr>
            <w:cnfStyle w:val="000010000000" w:firstRow="0" w:lastRow="0" w:firstColumn="0" w:lastColumn="0" w:oddVBand="1" w:evenVBand="0" w:oddHBand="0" w:evenHBand="0" w:firstRowFirstColumn="0" w:firstRowLastColumn="0" w:lastRowFirstColumn="0" w:lastRowLastColumn="0"/>
            <w:tcW w:w="993" w:type="dxa"/>
          </w:tcPr>
          <w:p w:rsidR="004076A0" w:rsidRPr="00F27E0D" w:rsidRDefault="004076A0" w:rsidP="00CE6D72">
            <w:pPr>
              <w:pStyle w:val="ExampleSub"/>
              <w:keepNext w:val="0"/>
              <w:keepLines w:val="0"/>
              <w:ind w:left="0"/>
              <w:jc w:val="center"/>
              <w:outlineLvl w:val="0"/>
              <w:rPr>
                <w:rFonts w:ascii="Arial" w:hAnsi="Arial" w:cs="Arial"/>
                <w:b w:val="0"/>
                <w:bCs w:val="0"/>
                <w:color w:val="auto"/>
                <w:sz w:val="20"/>
                <w:szCs w:val="20"/>
              </w:rPr>
            </w:pPr>
            <w:r w:rsidRPr="00F27E0D">
              <w:rPr>
                <w:rFonts w:ascii="Arial" w:hAnsi="Arial" w:cs="Arial"/>
                <w:b w:val="0"/>
                <w:color w:val="auto"/>
                <w:sz w:val="20"/>
                <w:szCs w:val="20"/>
              </w:rPr>
              <w:t>£m</w:t>
            </w:r>
          </w:p>
        </w:tc>
        <w:tc>
          <w:tcPr>
            <w:tcW w:w="992" w:type="dxa"/>
          </w:tcPr>
          <w:p w:rsidR="004076A0" w:rsidRPr="00F27E0D" w:rsidRDefault="004076A0" w:rsidP="00CE6D72">
            <w:pPr>
              <w:pStyle w:val="ExampleSub"/>
              <w:keepNext w:val="0"/>
              <w:keepLines w:val="0"/>
              <w:ind w:left="0"/>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F27E0D">
              <w:rPr>
                <w:rFonts w:ascii="Arial" w:hAnsi="Arial" w:cs="Arial"/>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1134" w:type="dxa"/>
          </w:tcPr>
          <w:p w:rsidR="004076A0" w:rsidRPr="00F27E0D" w:rsidRDefault="004076A0" w:rsidP="00CE6D72">
            <w:pPr>
              <w:pStyle w:val="ExampleSub"/>
              <w:keepNext w:val="0"/>
              <w:keepLines w:val="0"/>
              <w:ind w:left="0"/>
              <w:jc w:val="center"/>
              <w:outlineLvl w:val="0"/>
              <w:rPr>
                <w:rFonts w:ascii="Arial" w:hAnsi="Arial" w:cs="Arial"/>
                <w:b w:val="0"/>
                <w:bCs w:val="0"/>
                <w:color w:val="auto"/>
                <w:sz w:val="20"/>
                <w:szCs w:val="20"/>
              </w:rPr>
            </w:pPr>
            <w:r w:rsidRPr="00F27E0D">
              <w:rPr>
                <w:rFonts w:ascii="Arial" w:hAnsi="Arial" w:cs="Arial"/>
                <w:b w:val="0"/>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4076A0" w:rsidRPr="00F27E0D" w:rsidRDefault="004076A0" w:rsidP="00CE6D72">
            <w:pPr>
              <w:pStyle w:val="ExampleSub"/>
              <w:keepNext w:val="0"/>
              <w:keepLines w:val="0"/>
              <w:ind w:left="0"/>
              <w:jc w:val="center"/>
              <w:outlineLvl w:val="0"/>
              <w:rPr>
                <w:rFonts w:ascii="Arial" w:hAnsi="Arial" w:cs="Arial"/>
                <w:color w:val="auto"/>
                <w:sz w:val="20"/>
                <w:szCs w:val="20"/>
              </w:rPr>
            </w:pPr>
            <w:r w:rsidRPr="00F27E0D">
              <w:rPr>
                <w:rFonts w:ascii="Arial" w:hAnsi="Arial" w:cs="Arial"/>
                <w:color w:val="auto"/>
                <w:sz w:val="20"/>
                <w:szCs w:val="20"/>
              </w:rPr>
              <w:t>£m</w:t>
            </w:r>
          </w:p>
        </w:tc>
      </w:tr>
      <w:tr w:rsidR="00F27E0D" w:rsidRPr="0005794A" w:rsidTr="004076A0">
        <w:tc>
          <w:tcPr>
            <w:cnfStyle w:val="001000000000" w:firstRow="0" w:lastRow="0" w:firstColumn="1" w:lastColumn="0" w:oddVBand="0" w:evenVBand="0" w:oddHBand="0" w:evenHBand="0" w:firstRowFirstColumn="0" w:firstRowLastColumn="0" w:lastRowFirstColumn="0" w:lastRowLastColumn="0"/>
            <w:tcW w:w="3969" w:type="dxa"/>
          </w:tcPr>
          <w:p w:rsidR="00F27E0D" w:rsidRPr="00F27E0D" w:rsidRDefault="00F27E0D" w:rsidP="004F0545">
            <w:pPr>
              <w:pStyle w:val="ExampleSub"/>
              <w:keepNext w:val="0"/>
              <w:keepLines w:val="0"/>
              <w:ind w:left="0"/>
              <w:outlineLvl w:val="0"/>
              <w:rPr>
                <w:rFonts w:ascii="Arial" w:hAnsi="Arial" w:cs="Arial"/>
                <w:color w:val="auto"/>
                <w:sz w:val="20"/>
                <w:szCs w:val="20"/>
              </w:rPr>
            </w:pPr>
            <w:r w:rsidRPr="00F27E0D">
              <w:rPr>
                <w:rFonts w:ascii="Arial" w:hAnsi="Arial" w:cs="Arial"/>
                <w:color w:val="auto"/>
                <w:sz w:val="20"/>
                <w:szCs w:val="20"/>
              </w:rPr>
              <w:t>31</w:t>
            </w:r>
            <w:r w:rsidRPr="00F27E0D">
              <w:rPr>
                <w:rFonts w:ascii="Arial" w:hAnsi="Arial" w:cs="Arial"/>
                <w:color w:val="auto"/>
                <w:sz w:val="20"/>
                <w:szCs w:val="20"/>
                <w:vertAlign w:val="superscript"/>
              </w:rPr>
              <w:t>st</w:t>
            </w:r>
            <w:r w:rsidRPr="00F27E0D">
              <w:rPr>
                <w:rFonts w:ascii="Arial" w:hAnsi="Arial" w:cs="Arial"/>
                <w:color w:val="auto"/>
                <w:sz w:val="20"/>
                <w:szCs w:val="20"/>
              </w:rPr>
              <w:t xml:space="preserve"> March 2016</w:t>
            </w:r>
          </w:p>
        </w:tc>
        <w:tc>
          <w:tcPr>
            <w:cnfStyle w:val="000010000000" w:firstRow="0" w:lastRow="0" w:firstColumn="0" w:lastColumn="0" w:oddVBand="1" w:evenVBand="0" w:oddHBand="0" w:evenHBand="0" w:firstRowFirstColumn="0" w:firstRowLastColumn="0" w:lastRowFirstColumn="0" w:lastRowLastColumn="0"/>
            <w:tcW w:w="993" w:type="dxa"/>
          </w:tcPr>
          <w:p w:rsidR="00F27E0D" w:rsidRPr="0077119C" w:rsidRDefault="00F27E0D" w:rsidP="00F27E0D">
            <w:pPr>
              <w:pStyle w:val="ExampleSub"/>
              <w:keepNext w:val="0"/>
              <w:keepLines w:val="0"/>
              <w:ind w:left="0"/>
              <w:jc w:val="center"/>
              <w:outlineLvl w:val="0"/>
              <w:rPr>
                <w:rFonts w:ascii="Arial" w:hAnsi="Arial" w:cs="Arial"/>
                <w:b w:val="0"/>
                <w:color w:val="auto"/>
                <w:sz w:val="20"/>
                <w:szCs w:val="20"/>
              </w:rPr>
            </w:pPr>
            <w:r w:rsidRPr="0077119C">
              <w:rPr>
                <w:rFonts w:ascii="Arial" w:hAnsi="Arial" w:cs="Arial"/>
                <w:b w:val="0"/>
                <w:color w:val="auto"/>
                <w:sz w:val="20"/>
                <w:szCs w:val="20"/>
              </w:rPr>
              <w:t>5.8</w:t>
            </w:r>
          </w:p>
        </w:tc>
        <w:tc>
          <w:tcPr>
            <w:tcW w:w="992" w:type="dxa"/>
          </w:tcPr>
          <w:p w:rsidR="00F27E0D" w:rsidRPr="0077119C" w:rsidRDefault="00F27E0D" w:rsidP="00F27E0D">
            <w:pPr>
              <w:pStyle w:val="ExampleSub"/>
              <w:keepNext w:val="0"/>
              <w:keepLines w:val="0"/>
              <w:ind w:left="0"/>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77119C">
              <w:rPr>
                <w:rFonts w:ascii="Arial" w:hAnsi="Arial" w:cs="Arial"/>
                <w:b w:val="0"/>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1134" w:type="dxa"/>
          </w:tcPr>
          <w:p w:rsidR="00F27E0D" w:rsidRPr="0077119C" w:rsidRDefault="00F27E0D" w:rsidP="00F27E0D">
            <w:pPr>
              <w:pStyle w:val="ExampleSub"/>
              <w:keepNext w:val="0"/>
              <w:keepLines w:val="0"/>
              <w:ind w:left="0"/>
              <w:jc w:val="center"/>
              <w:outlineLvl w:val="0"/>
              <w:rPr>
                <w:rFonts w:ascii="Arial" w:hAnsi="Arial" w:cs="Arial"/>
                <w:b w:val="0"/>
                <w:color w:val="auto"/>
                <w:sz w:val="20"/>
                <w:szCs w:val="20"/>
              </w:rPr>
            </w:pPr>
            <w:r w:rsidRPr="0077119C">
              <w:rPr>
                <w:rFonts w:ascii="Arial" w:hAnsi="Arial" w:cs="Arial"/>
                <w:b w:val="0"/>
                <w:color w:val="auto"/>
                <w:sz w:val="20"/>
                <w:szCs w:val="20"/>
              </w:rPr>
              <w:t>22.4</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F27E0D" w:rsidRPr="0077119C" w:rsidRDefault="00F27E0D" w:rsidP="00F27E0D">
            <w:pPr>
              <w:pStyle w:val="ExampleSub"/>
              <w:keepNext w:val="0"/>
              <w:keepLines w:val="0"/>
              <w:ind w:left="0"/>
              <w:jc w:val="center"/>
              <w:outlineLvl w:val="0"/>
              <w:rPr>
                <w:rFonts w:ascii="Arial" w:hAnsi="Arial" w:cs="Arial"/>
                <w:color w:val="auto"/>
                <w:sz w:val="20"/>
                <w:szCs w:val="20"/>
              </w:rPr>
            </w:pPr>
            <w:r w:rsidRPr="0077119C">
              <w:rPr>
                <w:rFonts w:ascii="Arial" w:hAnsi="Arial" w:cs="Arial"/>
                <w:color w:val="auto"/>
                <w:sz w:val="20"/>
                <w:szCs w:val="20"/>
              </w:rPr>
              <w:t>28.4</w:t>
            </w:r>
          </w:p>
        </w:tc>
      </w:tr>
      <w:tr w:rsidR="00F27E0D" w:rsidRPr="0005794A" w:rsidTr="0040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F27E0D" w:rsidRPr="00F27E0D" w:rsidRDefault="00F27E0D" w:rsidP="004F0545">
            <w:pPr>
              <w:pStyle w:val="ExampleSub"/>
              <w:keepNext w:val="0"/>
              <w:keepLines w:val="0"/>
              <w:ind w:left="0"/>
              <w:outlineLvl w:val="0"/>
              <w:rPr>
                <w:rFonts w:ascii="Arial" w:hAnsi="Arial" w:cs="Arial"/>
                <w:color w:val="auto"/>
                <w:sz w:val="20"/>
                <w:szCs w:val="20"/>
              </w:rPr>
            </w:pPr>
            <w:r w:rsidRPr="00F27E0D">
              <w:rPr>
                <w:rFonts w:ascii="Arial" w:hAnsi="Arial" w:cs="Arial"/>
                <w:color w:val="auto"/>
                <w:sz w:val="20"/>
                <w:szCs w:val="20"/>
              </w:rPr>
              <w:t>Additions</w:t>
            </w:r>
          </w:p>
        </w:tc>
        <w:tc>
          <w:tcPr>
            <w:cnfStyle w:val="000010000000" w:firstRow="0" w:lastRow="0" w:firstColumn="0" w:lastColumn="0" w:oddVBand="1" w:evenVBand="0" w:oddHBand="0" w:evenHBand="0" w:firstRowFirstColumn="0" w:firstRowLastColumn="0" w:lastRowFirstColumn="0" w:lastRowLastColumn="0"/>
            <w:tcW w:w="993" w:type="dxa"/>
          </w:tcPr>
          <w:p w:rsidR="00F27E0D" w:rsidRPr="00F27E0D" w:rsidRDefault="00F27E0D" w:rsidP="00F27E0D">
            <w:pPr>
              <w:pStyle w:val="ExampleSub"/>
              <w:keepNext w:val="0"/>
              <w:keepLines w:val="0"/>
              <w:ind w:left="0"/>
              <w:jc w:val="center"/>
              <w:outlineLvl w:val="0"/>
              <w:rPr>
                <w:rFonts w:ascii="Arial" w:hAnsi="Arial" w:cs="Arial"/>
                <w:b w:val="0"/>
                <w:bCs w:val="0"/>
                <w:color w:val="auto"/>
                <w:sz w:val="20"/>
                <w:szCs w:val="20"/>
              </w:rPr>
            </w:pPr>
            <w:r w:rsidRPr="00F27E0D">
              <w:rPr>
                <w:rFonts w:ascii="Arial" w:hAnsi="Arial" w:cs="Arial"/>
                <w:b w:val="0"/>
                <w:bCs w:val="0"/>
                <w:color w:val="auto"/>
                <w:sz w:val="20"/>
                <w:szCs w:val="20"/>
              </w:rPr>
              <w:t>0</w:t>
            </w:r>
          </w:p>
        </w:tc>
        <w:tc>
          <w:tcPr>
            <w:tcW w:w="992" w:type="dxa"/>
          </w:tcPr>
          <w:p w:rsidR="00F27E0D" w:rsidRPr="00F27E0D" w:rsidRDefault="00F27E0D" w:rsidP="00F27E0D">
            <w:pPr>
              <w:pStyle w:val="ExampleSub"/>
              <w:keepNext w:val="0"/>
              <w:keepLines w:val="0"/>
              <w:ind w:left="0"/>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F27E0D">
              <w:rPr>
                <w:rFonts w:ascii="Arial" w:hAnsi="Arial" w:cs="Arial"/>
                <w:b w:val="0"/>
                <w:bCs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F27E0D" w:rsidRPr="00F27E0D" w:rsidRDefault="00F27E0D" w:rsidP="00F27E0D">
            <w:pPr>
              <w:pStyle w:val="ExampleSub"/>
              <w:keepNext w:val="0"/>
              <w:keepLines w:val="0"/>
              <w:ind w:left="0"/>
              <w:jc w:val="center"/>
              <w:outlineLvl w:val="0"/>
              <w:rPr>
                <w:rFonts w:ascii="Arial" w:hAnsi="Arial" w:cs="Arial"/>
                <w:b w:val="0"/>
                <w:bCs w:val="0"/>
                <w:color w:val="auto"/>
                <w:sz w:val="20"/>
                <w:szCs w:val="20"/>
              </w:rPr>
            </w:pPr>
            <w:r w:rsidRPr="00F27E0D">
              <w:rPr>
                <w:rFonts w:ascii="Arial" w:hAnsi="Arial" w:cs="Arial"/>
                <w:b w:val="0"/>
                <w:bCs w:val="0"/>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F27E0D" w:rsidRPr="00F27E0D" w:rsidRDefault="00F27E0D" w:rsidP="00F27E0D">
            <w:pPr>
              <w:pStyle w:val="ExampleSub"/>
              <w:keepNext w:val="0"/>
              <w:keepLines w:val="0"/>
              <w:ind w:left="0"/>
              <w:jc w:val="center"/>
              <w:outlineLvl w:val="0"/>
              <w:rPr>
                <w:rFonts w:ascii="Arial" w:hAnsi="Arial" w:cs="Arial"/>
                <w:color w:val="auto"/>
                <w:sz w:val="20"/>
                <w:szCs w:val="20"/>
              </w:rPr>
            </w:pPr>
            <w:r w:rsidRPr="00F27E0D">
              <w:rPr>
                <w:rFonts w:ascii="Arial" w:hAnsi="Arial" w:cs="Arial"/>
                <w:color w:val="auto"/>
                <w:sz w:val="20"/>
                <w:szCs w:val="20"/>
              </w:rPr>
              <w:t>0</w:t>
            </w:r>
          </w:p>
        </w:tc>
      </w:tr>
      <w:tr w:rsidR="00F27E0D" w:rsidRPr="0005794A" w:rsidTr="004076A0">
        <w:tc>
          <w:tcPr>
            <w:cnfStyle w:val="001000000000" w:firstRow="0" w:lastRow="0" w:firstColumn="1" w:lastColumn="0" w:oddVBand="0" w:evenVBand="0" w:oddHBand="0" w:evenHBand="0" w:firstRowFirstColumn="0" w:firstRowLastColumn="0" w:lastRowFirstColumn="0" w:lastRowLastColumn="0"/>
            <w:tcW w:w="3969" w:type="dxa"/>
          </w:tcPr>
          <w:p w:rsidR="00F27E0D" w:rsidRPr="00F27E0D" w:rsidRDefault="00F27E0D" w:rsidP="004F0545">
            <w:pPr>
              <w:pStyle w:val="ExampleSub"/>
              <w:keepNext w:val="0"/>
              <w:keepLines w:val="0"/>
              <w:ind w:left="0"/>
              <w:outlineLvl w:val="0"/>
              <w:rPr>
                <w:rFonts w:ascii="Arial" w:hAnsi="Arial" w:cs="Arial"/>
                <w:color w:val="auto"/>
                <w:sz w:val="20"/>
                <w:szCs w:val="20"/>
              </w:rPr>
            </w:pPr>
            <w:r w:rsidRPr="00F27E0D">
              <w:rPr>
                <w:rFonts w:ascii="Arial" w:hAnsi="Arial" w:cs="Arial"/>
                <w:color w:val="auto"/>
                <w:sz w:val="20"/>
                <w:szCs w:val="20"/>
              </w:rPr>
              <w:t>Revaluation increases/(decreases) recognised in the Revaluation Reserve</w:t>
            </w:r>
          </w:p>
        </w:tc>
        <w:tc>
          <w:tcPr>
            <w:cnfStyle w:val="000010000000" w:firstRow="0" w:lastRow="0" w:firstColumn="0" w:lastColumn="0" w:oddVBand="1" w:evenVBand="0" w:oddHBand="0" w:evenHBand="0" w:firstRowFirstColumn="0" w:firstRowLastColumn="0" w:lastRowFirstColumn="0" w:lastRowLastColumn="0"/>
            <w:tcW w:w="993" w:type="dxa"/>
          </w:tcPr>
          <w:p w:rsidR="00F27E0D" w:rsidRPr="00F27E0D" w:rsidRDefault="00F27E0D" w:rsidP="00F27E0D">
            <w:pPr>
              <w:pStyle w:val="ExampleSub"/>
              <w:keepNext w:val="0"/>
              <w:keepLines w:val="0"/>
              <w:ind w:left="0"/>
              <w:jc w:val="center"/>
              <w:outlineLvl w:val="0"/>
              <w:rPr>
                <w:rFonts w:ascii="Arial" w:hAnsi="Arial" w:cs="Arial"/>
                <w:b w:val="0"/>
                <w:bCs w:val="0"/>
                <w:color w:val="auto"/>
                <w:sz w:val="20"/>
                <w:szCs w:val="20"/>
              </w:rPr>
            </w:pPr>
            <w:r w:rsidRPr="00F27E0D">
              <w:rPr>
                <w:rFonts w:ascii="Arial" w:hAnsi="Arial" w:cs="Arial"/>
                <w:b w:val="0"/>
                <w:bCs w:val="0"/>
                <w:color w:val="auto"/>
                <w:sz w:val="20"/>
                <w:szCs w:val="20"/>
              </w:rPr>
              <w:t>2.1</w:t>
            </w:r>
          </w:p>
        </w:tc>
        <w:tc>
          <w:tcPr>
            <w:tcW w:w="992" w:type="dxa"/>
          </w:tcPr>
          <w:p w:rsidR="00F27E0D" w:rsidRPr="00F27E0D" w:rsidRDefault="00F27E0D" w:rsidP="00F27E0D">
            <w:pPr>
              <w:pStyle w:val="ExampleSub"/>
              <w:keepNext w:val="0"/>
              <w:keepLines w:val="0"/>
              <w:ind w:left="0"/>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F27E0D">
              <w:rPr>
                <w:rFonts w:ascii="Arial" w:hAnsi="Arial" w:cs="Arial"/>
                <w:b w:val="0"/>
                <w:bCs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F27E0D" w:rsidRPr="00F27E0D" w:rsidRDefault="00F27E0D" w:rsidP="00F27E0D">
            <w:pPr>
              <w:pStyle w:val="ExampleSub"/>
              <w:keepNext w:val="0"/>
              <w:keepLines w:val="0"/>
              <w:ind w:left="0"/>
              <w:jc w:val="center"/>
              <w:outlineLvl w:val="0"/>
              <w:rPr>
                <w:rFonts w:ascii="Arial" w:hAnsi="Arial" w:cs="Arial"/>
                <w:b w:val="0"/>
                <w:bCs w:val="0"/>
                <w:color w:val="auto"/>
                <w:sz w:val="20"/>
                <w:szCs w:val="20"/>
              </w:rPr>
            </w:pPr>
            <w:r w:rsidRPr="00F27E0D">
              <w:rPr>
                <w:rFonts w:ascii="Arial" w:hAnsi="Arial" w:cs="Arial"/>
                <w:b w:val="0"/>
                <w:bCs w:val="0"/>
                <w:color w:val="auto"/>
                <w:sz w:val="20"/>
                <w:szCs w:val="20"/>
              </w:rPr>
              <w:t>0.1</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F27E0D" w:rsidRPr="00F27E0D" w:rsidRDefault="00F27E0D" w:rsidP="00F27E0D">
            <w:pPr>
              <w:pStyle w:val="ExampleSub"/>
              <w:keepNext w:val="0"/>
              <w:keepLines w:val="0"/>
              <w:ind w:left="0"/>
              <w:jc w:val="center"/>
              <w:outlineLvl w:val="0"/>
              <w:rPr>
                <w:rFonts w:ascii="Arial" w:hAnsi="Arial" w:cs="Arial"/>
                <w:color w:val="auto"/>
                <w:sz w:val="20"/>
                <w:szCs w:val="20"/>
              </w:rPr>
            </w:pPr>
            <w:r w:rsidRPr="00F27E0D">
              <w:rPr>
                <w:rFonts w:ascii="Arial" w:hAnsi="Arial" w:cs="Arial"/>
                <w:color w:val="auto"/>
                <w:sz w:val="20"/>
                <w:szCs w:val="20"/>
              </w:rPr>
              <w:t>2.2</w:t>
            </w:r>
          </w:p>
        </w:tc>
      </w:tr>
      <w:tr w:rsidR="00F27E0D" w:rsidRPr="0005794A" w:rsidTr="0040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F27E0D" w:rsidRPr="00F27E0D" w:rsidRDefault="00F27E0D" w:rsidP="004F0545">
            <w:pPr>
              <w:pStyle w:val="ExampleSub"/>
              <w:keepNext w:val="0"/>
              <w:keepLines w:val="0"/>
              <w:ind w:left="0"/>
              <w:outlineLvl w:val="0"/>
              <w:rPr>
                <w:rFonts w:cs="Arial"/>
                <w:color w:val="auto"/>
              </w:rPr>
            </w:pPr>
            <w:r w:rsidRPr="00F27E0D">
              <w:rPr>
                <w:rFonts w:ascii="Arial" w:hAnsi="Arial" w:cs="Arial"/>
                <w:color w:val="auto"/>
                <w:sz w:val="20"/>
                <w:szCs w:val="20"/>
              </w:rPr>
              <w:t>31st March 2017</w:t>
            </w:r>
          </w:p>
        </w:tc>
        <w:tc>
          <w:tcPr>
            <w:cnfStyle w:val="000010000000" w:firstRow="0" w:lastRow="0" w:firstColumn="0" w:lastColumn="0" w:oddVBand="1" w:evenVBand="0" w:oddHBand="0" w:evenHBand="0" w:firstRowFirstColumn="0" w:firstRowLastColumn="0" w:lastRowFirstColumn="0" w:lastRowLastColumn="0"/>
            <w:tcW w:w="993" w:type="dxa"/>
          </w:tcPr>
          <w:p w:rsidR="00F27E0D" w:rsidRPr="00F27E0D" w:rsidRDefault="00F27E0D" w:rsidP="00F27E0D">
            <w:pPr>
              <w:pStyle w:val="ExampleSub"/>
              <w:keepNext w:val="0"/>
              <w:keepLines w:val="0"/>
              <w:ind w:left="0"/>
              <w:jc w:val="center"/>
              <w:outlineLvl w:val="0"/>
              <w:rPr>
                <w:rFonts w:ascii="Arial" w:hAnsi="Arial" w:cs="Arial"/>
                <w:color w:val="auto"/>
                <w:sz w:val="20"/>
                <w:szCs w:val="20"/>
              </w:rPr>
            </w:pPr>
            <w:r w:rsidRPr="00F27E0D">
              <w:rPr>
                <w:rFonts w:ascii="Arial" w:hAnsi="Arial" w:cs="Arial"/>
                <w:color w:val="auto"/>
                <w:sz w:val="20"/>
                <w:szCs w:val="20"/>
              </w:rPr>
              <w:t>7.9</w:t>
            </w:r>
          </w:p>
        </w:tc>
        <w:tc>
          <w:tcPr>
            <w:tcW w:w="992" w:type="dxa"/>
          </w:tcPr>
          <w:p w:rsidR="00F27E0D" w:rsidRPr="00F27E0D" w:rsidRDefault="00F27E0D" w:rsidP="00F27E0D">
            <w:pPr>
              <w:pStyle w:val="ExampleSub"/>
              <w:keepNext w:val="0"/>
              <w:keepLines w:val="0"/>
              <w:ind w:left="0"/>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27E0D">
              <w:rPr>
                <w:rFonts w:ascii="Arial" w:hAnsi="Arial" w:cs="Arial"/>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1134" w:type="dxa"/>
          </w:tcPr>
          <w:p w:rsidR="00F27E0D" w:rsidRPr="00F27E0D" w:rsidRDefault="00F27E0D" w:rsidP="00F27E0D">
            <w:pPr>
              <w:pStyle w:val="ExampleSub"/>
              <w:keepNext w:val="0"/>
              <w:keepLines w:val="0"/>
              <w:ind w:left="0"/>
              <w:jc w:val="center"/>
              <w:outlineLvl w:val="0"/>
              <w:rPr>
                <w:rFonts w:ascii="Arial" w:hAnsi="Arial" w:cs="Arial"/>
                <w:color w:val="auto"/>
                <w:sz w:val="20"/>
                <w:szCs w:val="20"/>
              </w:rPr>
            </w:pPr>
            <w:r w:rsidRPr="00F27E0D">
              <w:rPr>
                <w:rFonts w:ascii="Arial" w:hAnsi="Arial" w:cs="Arial"/>
                <w:color w:val="auto"/>
                <w:sz w:val="20"/>
                <w:szCs w:val="20"/>
              </w:rPr>
              <w:t>22.5</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F27E0D" w:rsidRPr="0077119C" w:rsidRDefault="00F27E0D" w:rsidP="00F27E0D">
            <w:pPr>
              <w:pStyle w:val="ExampleSub"/>
              <w:keepNext w:val="0"/>
              <w:keepLines w:val="0"/>
              <w:ind w:left="0"/>
              <w:jc w:val="center"/>
              <w:outlineLvl w:val="0"/>
              <w:rPr>
                <w:rFonts w:ascii="Arial" w:hAnsi="Arial" w:cs="Arial"/>
                <w:b/>
                <w:color w:val="auto"/>
                <w:sz w:val="20"/>
                <w:szCs w:val="20"/>
              </w:rPr>
            </w:pPr>
            <w:r w:rsidRPr="0077119C">
              <w:rPr>
                <w:rFonts w:ascii="Arial" w:hAnsi="Arial" w:cs="Arial"/>
                <w:b/>
                <w:color w:val="auto"/>
                <w:sz w:val="20"/>
                <w:szCs w:val="20"/>
              </w:rPr>
              <w:t>30.6</w:t>
            </w:r>
          </w:p>
        </w:tc>
      </w:tr>
      <w:tr w:rsidR="002B0FFB" w:rsidRPr="0005794A" w:rsidTr="004076A0">
        <w:tc>
          <w:tcPr>
            <w:cnfStyle w:val="001000000000" w:firstRow="0" w:lastRow="0" w:firstColumn="1" w:lastColumn="0" w:oddVBand="0" w:evenVBand="0" w:oddHBand="0" w:evenHBand="0" w:firstRowFirstColumn="0" w:firstRowLastColumn="0" w:lastRowFirstColumn="0" w:lastRowLastColumn="0"/>
            <w:tcW w:w="3969" w:type="dxa"/>
          </w:tcPr>
          <w:p w:rsidR="002B0FFB" w:rsidRPr="00F27E0D" w:rsidRDefault="002B0FFB" w:rsidP="00CE6D72">
            <w:pPr>
              <w:pStyle w:val="ExampleSub"/>
              <w:keepNext w:val="0"/>
              <w:keepLines w:val="0"/>
              <w:ind w:left="0"/>
              <w:outlineLvl w:val="0"/>
              <w:rPr>
                <w:rFonts w:ascii="Arial" w:hAnsi="Arial" w:cs="Arial"/>
                <w:color w:val="auto"/>
                <w:sz w:val="20"/>
                <w:szCs w:val="20"/>
              </w:rPr>
            </w:pPr>
            <w:r w:rsidRPr="00F27E0D">
              <w:rPr>
                <w:rFonts w:ascii="Arial" w:hAnsi="Arial" w:cs="Arial"/>
                <w:color w:val="auto"/>
                <w:sz w:val="20"/>
                <w:szCs w:val="20"/>
              </w:rPr>
              <w:t>Additions</w:t>
            </w:r>
          </w:p>
        </w:tc>
        <w:tc>
          <w:tcPr>
            <w:cnfStyle w:val="000010000000" w:firstRow="0" w:lastRow="0" w:firstColumn="0" w:lastColumn="0" w:oddVBand="1" w:evenVBand="0" w:oddHBand="0" w:evenHBand="0" w:firstRowFirstColumn="0" w:firstRowLastColumn="0" w:lastRowFirstColumn="0" w:lastRowLastColumn="0"/>
            <w:tcW w:w="993" w:type="dxa"/>
          </w:tcPr>
          <w:p w:rsidR="002B0FFB" w:rsidRPr="00F27E0D" w:rsidRDefault="0077119C" w:rsidP="00CE6D72">
            <w:pPr>
              <w:pStyle w:val="ExampleSub"/>
              <w:keepNext w:val="0"/>
              <w:keepLines w:val="0"/>
              <w:ind w:left="0"/>
              <w:jc w:val="center"/>
              <w:outlineLvl w:val="0"/>
              <w:rPr>
                <w:rFonts w:ascii="Arial" w:hAnsi="Arial" w:cs="Arial"/>
                <w:b w:val="0"/>
                <w:bCs w:val="0"/>
                <w:color w:val="auto"/>
                <w:sz w:val="20"/>
                <w:szCs w:val="20"/>
              </w:rPr>
            </w:pPr>
            <w:r>
              <w:rPr>
                <w:rFonts w:ascii="Arial" w:hAnsi="Arial" w:cs="Arial"/>
                <w:b w:val="0"/>
                <w:bCs w:val="0"/>
                <w:color w:val="auto"/>
                <w:sz w:val="20"/>
                <w:szCs w:val="20"/>
              </w:rPr>
              <w:t>0</w:t>
            </w:r>
          </w:p>
        </w:tc>
        <w:tc>
          <w:tcPr>
            <w:tcW w:w="992" w:type="dxa"/>
          </w:tcPr>
          <w:p w:rsidR="002B0FFB" w:rsidRPr="00F27E0D" w:rsidRDefault="0077119C" w:rsidP="00CE6D72">
            <w:pPr>
              <w:pStyle w:val="ExampleSub"/>
              <w:keepNext w:val="0"/>
              <w:keepLines w:val="0"/>
              <w:ind w:left="0"/>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2B0FFB" w:rsidRPr="00F27E0D" w:rsidRDefault="0077119C" w:rsidP="00760C70">
            <w:pPr>
              <w:pStyle w:val="ExampleSub"/>
              <w:keepNext w:val="0"/>
              <w:keepLines w:val="0"/>
              <w:ind w:left="0"/>
              <w:jc w:val="center"/>
              <w:outlineLvl w:val="0"/>
              <w:rPr>
                <w:rFonts w:ascii="Arial" w:hAnsi="Arial" w:cs="Arial"/>
                <w:b w:val="0"/>
                <w:bCs w:val="0"/>
                <w:color w:val="auto"/>
                <w:sz w:val="20"/>
                <w:szCs w:val="20"/>
              </w:rPr>
            </w:pPr>
            <w:r>
              <w:rPr>
                <w:rFonts w:ascii="Arial" w:hAnsi="Arial" w:cs="Arial"/>
                <w:b w:val="0"/>
                <w:bCs w:val="0"/>
                <w:color w:val="auto"/>
                <w:sz w:val="20"/>
                <w:szCs w:val="20"/>
              </w:rPr>
              <w:t>0.1</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2B0FFB" w:rsidRPr="00F27E0D" w:rsidRDefault="0077119C" w:rsidP="00760C70">
            <w:pPr>
              <w:pStyle w:val="ExampleSub"/>
              <w:keepNext w:val="0"/>
              <w:keepLines w:val="0"/>
              <w:ind w:left="0"/>
              <w:jc w:val="center"/>
              <w:outlineLvl w:val="0"/>
              <w:rPr>
                <w:rFonts w:ascii="Arial" w:hAnsi="Arial" w:cs="Arial"/>
                <w:color w:val="auto"/>
                <w:sz w:val="20"/>
                <w:szCs w:val="20"/>
              </w:rPr>
            </w:pPr>
            <w:r>
              <w:rPr>
                <w:rFonts w:ascii="Arial" w:hAnsi="Arial" w:cs="Arial"/>
                <w:color w:val="auto"/>
                <w:sz w:val="20"/>
                <w:szCs w:val="20"/>
              </w:rPr>
              <w:t>0.1</w:t>
            </w:r>
          </w:p>
        </w:tc>
      </w:tr>
      <w:tr w:rsidR="002B0FFB" w:rsidRPr="0005794A" w:rsidTr="0040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2B0FFB" w:rsidRPr="00F27E0D" w:rsidRDefault="002B0FFB" w:rsidP="00861115">
            <w:pPr>
              <w:pStyle w:val="ExampleSub"/>
              <w:keepNext w:val="0"/>
              <w:keepLines w:val="0"/>
              <w:ind w:left="0"/>
              <w:outlineLvl w:val="0"/>
              <w:rPr>
                <w:rFonts w:ascii="Arial" w:hAnsi="Arial" w:cs="Arial"/>
                <w:color w:val="auto"/>
                <w:sz w:val="20"/>
                <w:szCs w:val="20"/>
              </w:rPr>
            </w:pPr>
            <w:r w:rsidRPr="00F27E0D">
              <w:rPr>
                <w:rFonts w:ascii="Arial" w:hAnsi="Arial" w:cs="Arial"/>
                <w:color w:val="auto"/>
                <w:sz w:val="20"/>
                <w:szCs w:val="20"/>
              </w:rPr>
              <w:t>Revaluation increases/(decreases) recognised in the Revaluation Reserve</w:t>
            </w:r>
          </w:p>
        </w:tc>
        <w:tc>
          <w:tcPr>
            <w:cnfStyle w:val="000010000000" w:firstRow="0" w:lastRow="0" w:firstColumn="0" w:lastColumn="0" w:oddVBand="1" w:evenVBand="0" w:oddHBand="0" w:evenHBand="0" w:firstRowFirstColumn="0" w:firstRowLastColumn="0" w:lastRowFirstColumn="0" w:lastRowLastColumn="0"/>
            <w:tcW w:w="993" w:type="dxa"/>
          </w:tcPr>
          <w:p w:rsidR="002B0FFB" w:rsidRPr="00F27E0D" w:rsidRDefault="0077119C" w:rsidP="00CE6D72">
            <w:pPr>
              <w:pStyle w:val="ExampleSub"/>
              <w:keepNext w:val="0"/>
              <w:keepLines w:val="0"/>
              <w:ind w:left="0"/>
              <w:jc w:val="center"/>
              <w:outlineLvl w:val="0"/>
              <w:rPr>
                <w:rFonts w:ascii="Arial" w:hAnsi="Arial" w:cs="Arial"/>
                <w:b w:val="0"/>
                <w:bCs w:val="0"/>
                <w:color w:val="auto"/>
                <w:sz w:val="20"/>
                <w:szCs w:val="20"/>
              </w:rPr>
            </w:pPr>
            <w:r>
              <w:rPr>
                <w:rFonts w:ascii="Arial" w:hAnsi="Arial" w:cs="Arial"/>
                <w:b w:val="0"/>
                <w:bCs w:val="0"/>
                <w:color w:val="auto"/>
                <w:sz w:val="20"/>
                <w:szCs w:val="20"/>
              </w:rPr>
              <w:t>0.2</w:t>
            </w:r>
          </w:p>
        </w:tc>
        <w:tc>
          <w:tcPr>
            <w:tcW w:w="992" w:type="dxa"/>
          </w:tcPr>
          <w:p w:rsidR="002B0FFB" w:rsidRPr="00F27E0D" w:rsidRDefault="0077119C" w:rsidP="00CE6D72">
            <w:pPr>
              <w:pStyle w:val="ExampleSub"/>
              <w:keepNext w:val="0"/>
              <w:keepLines w:val="0"/>
              <w:ind w:left="0"/>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Pr>
                <w:rFonts w:ascii="Arial" w:hAnsi="Arial" w:cs="Arial"/>
                <w:b w:val="0"/>
                <w:bCs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2B0FFB" w:rsidRPr="00F27E0D" w:rsidRDefault="0077119C" w:rsidP="00F05ECF">
            <w:pPr>
              <w:pStyle w:val="ExampleSub"/>
              <w:keepNext w:val="0"/>
              <w:keepLines w:val="0"/>
              <w:ind w:left="0"/>
              <w:jc w:val="center"/>
              <w:outlineLvl w:val="0"/>
              <w:rPr>
                <w:rFonts w:ascii="Arial" w:hAnsi="Arial" w:cs="Arial"/>
                <w:b w:val="0"/>
                <w:bCs w:val="0"/>
                <w:color w:val="auto"/>
                <w:sz w:val="20"/>
                <w:szCs w:val="20"/>
              </w:rPr>
            </w:pPr>
            <w:r>
              <w:rPr>
                <w:rFonts w:ascii="Arial" w:hAnsi="Arial" w:cs="Arial"/>
                <w:b w:val="0"/>
                <w:bCs w:val="0"/>
                <w:color w:val="auto"/>
                <w:sz w:val="20"/>
                <w:szCs w:val="20"/>
              </w:rPr>
              <w:t>1.4</w:t>
            </w:r>
          </w:p>
        </w:tc>
        <w:tc>
          <w:tcPr>
            <w:cnfStyle w:val="000100000000" w:firstRow="0" w:lastRow="0" w:firstColumn="0" w:lastColumn="1" w:oddVBand="0" w:evenVBand="0" w:oddHBand="0" w:evenHBand="0" w:firstRowFirstColumn="0" w:firstRowLastColumn="0" w:lastRowFirstColumn="0" w:lastRowLastColumn="0"/>
            <w:tcW w:w="1134" w:type="dxa"/>
            <w:tcBorders>
              <w:left w:val="single" w:sz="4" w:space="0" w:color="4BACC6" w:themeColor="accent5"/>
            </w:tcBorders>
          </w:tcPr>
          <w:p w:rsidR="002B0FFB" w:rsidRPr="00F27E0D" w:rsidRDefault="0077119C" w:rsidP="00760C70">
            <w:pPr>
              <w:pStyle w:val="ExampleSub"/>
              <w:keepNext w:val="0"/>
              <w:keepLines w:val="0"/>
              <w:ind w:left="0"/>
              <w:jc w:val="center"/>
              <w:outlineLvl w:val="0"/>
              <w:rPr>
                <w:rFonts w:ascii="Arial" w:hAnsi="Arial" w:cs="Arial"/>
                <w:color w:val="auto"/>
                <w:sz w:val="20"/>
                <w:szCs w:val="20"/>
              </w:rPr>
            </w:pPr>
            <w:r>
              <w:rPr>
                <w:rFonts w:ascii="Arial" w:hAnsi="Arial" w:cs="Arial"/>
                <w:color w:val="auto"/>
                <w:sz w:val="20"/>
                <w:szCs w:val="20"/>
              </w:rPr>
              <w:t>1.6</w:t>
            </w:r>
          </w:p>
        </w:tc>
      </w:tr>
      <w:tr w:rsidR="002B0FFB" w:rsidRPr="0005794A" w:rsidTr="004076A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969" w:type="dxa"/>
            <w:tcBorders>
              <w:top w:val="single" w:sz="4" w:space="0" w:color="4BACC6" w:themeColor="accent5"/>
              <w:bottom w:val="single" w:sz="4" w:space="0" w:color="4BACC6" w:themeColor="accent5"/>
            </w:tcBorders>
          </w:tcPr>
          <w:p w:rsidR="002B0FFB" w:rsidRPr="00F27E0D" w:rsidRDefault="002B0FFB" w:rsidP="00692213">
            <w:pPr>
              <w:pStyle w:val="ExampleSub"/>
              <w:keepNext w:val="0"/>
              <w:keepLines w:val="0"/>
              <w:ind w:left="0"/>
              <w:outlineLvl w:val="0"/>
              <w:rPr>
                <w:rFonts w:cs="Arial"/>
                <w:color w:val="auto"/>
              </w:rPr>
            </w:pPr>
            <w:r w:rsidRPr="00F27E0D">
              <w:rPr>
                <w:rFonts w:ascii="Arial" w:hAnsi="Arial" w:cs="Arial"/>
                <w:color w:val="auto"/>
                <w:sz w:val="20"/>
                <w:szCs w:val="20"/>
              </w:rPr>
              <w:t>31st March 201</w:t>
            </w:r>
            <w:r w:rsidR="00F27E0D" w:rsidRPr="00F27E0D">
              <w:rPr>
                <w:rFonts w:ascii="Arial" w:hAnsi="Arial" w:cs="Arial"/>
                <w:color w:val="auto"/>
                <w:sz w:val="20"/>
                <w:szCs w:val="20"/>
              </w:rPr>
              <w:t>8</w:t>
            </w:r>
          </w:p>
        </w:tc>
        <w:tc>
          <w:tcPr>
            <w:cnfStyle w:val="000010000000" w:firstRow="0" w:lastRow="0" w:firstColumn="0" w:lastColumn="0" w:oddVBand="1" w:evenVBand="0" w:oddHBand="0" w:evenHBand="0" w:firstRowFirstColumn="0" w:firstRowLastColumn="0" w:lastRowFirstColumn="0" w:lastRowLastColumn="0"/>
            <w:tcW w:w="993" w:type="dxa"/>
            <w:tcBorders>
              <w:top w:val="single" w:sz="4" w:space="0" w:color="4BACC6" w:themeColor="accent5"/>
              <w:bottom w:val="single" w:sz="4" w:space="0" w:color="4BACC6" w:themeColor="accent5"/>
            </w:tcBorders>
          </w:tcPr>
          <w:p w:rsidR="002B0FFB" w:rsidRPr="0077119C" w:rsidRDefault="004B6A16" w:rsidP="004B6A16">
            <w:pPr>
              <w:pStyle w:val="ExampleSub"/>
              <w:keepNext w:val="0"/>
              <w:keepLines w:val="0"/>
              <w:ind w:left="0"/>
              <w:jc w:val="center"/>
              <w:outlineLvl w:val="0"/>
              <w:rPr>
                <w:rFonts w:ascii="Arial" w:hAnsi="Arial" w:cs="Arial"/>
                <w:b/>
                <w:color w:val="auto"/>
                <w:sz w:val="20"/>
                <w:szCs w:val="20"/>
              </w:rPr>
            </w:pPr>
            <w:r>
              <w:rPr>
                <w:rFonts w:ascii="Arial" w:hAnsi="Arial" w:cs="Arial"/>
                <w:b/>
                <w:color w:val="auto"/>
                <w:sz w:val="20"/>
                <w:szCs w:val="20"/>
              </w:rPr>
              <w:t>8.1</w:t>
            </w:r>
          </w:p>
        </w:tc>
        <w:tc>
          <w:tcPr>
            <w:tcW w:w="992" w:type="dxa"/>
            <w:tcBorders>
              <w:top w:val="single" w:sz="4" w:space="0" w:color="4BACC6" w:themeColor="accent5"/>
              <w:bottom w:val="single" w:sz="4" w:space="0" w:color="4BACC6" w:themeColor="accent5"/>
            </w:tcBorders>
          </w:tcPr>
          <w:p w:rsidR="002B0FFB" w:rsidRPr="0077119C" w:rsidRDefault="0077119C" w:rsidP="00CE6D72">
            <w:pPr>
              <w:pStyle w:val="ExampleSub"/>
              <w:keepNext w:val="0"/>
              <w:keepLines w:val="0"/>
              <w:ind w:left="0"/>
              <w:jc w:val="center"/>
              <w:outlineLvl w:val="0"/>
              <w:cnfStyle w:val="010000000000" w:firstRow="0" w:lastRow="1" w:firstColumn="0" w:lastColumn="0" w:oddVBand="0" w:evenVBand="0" w:oddHBand="0" w:evenHBand="0" w:firstRowFirstColumn="0" w:firstRowLastColumn="0" w:lastRowFirstColumn="0" w:lastRowLastColumn="0"/>
              <w:rPr>
                <w:rFonts w:ascii="Arial" w:hAnsi="Arial" w:cs="Arial"/>
                <w:b/>
                <w:color w:val="auto"/>
                <w:sz w:val="20"/>
                <w:szCs w:val="20"/>
              </w:rPr>
            </w:pPr>
            <w:r w:rsidRPr="0077119C">
              <w:rPr>
                <w:rFonts w:ascii="Arial" w:hAnsi="Arial" w:cs="Arial"/>
                <w:b/>
                <w:color w:val="auto"/>
                <w:sz w:val="20"/>
                <w:szCs w:val="20"/>
              </w:rPr>
              <w:t>0</w:t>
            </w:r>
            <w:r w:rsidR="004B6A16">
              <w:rPr>
                <w:rFonts w:ascii="Arial" w:hAnsi="Arial" w:cs="Arial"/>
                <w:b/>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4BACC6" w:themeColor="accent5"/>
              <w:bottom w:val="single" w:sz="4" w:space="0" w:color="4BACC6" w:themeColor="accent5"/>
            </w:tcBorders>
          </w:tcPr>
          <w:p w:rsidR="002B0FFB" w:rsidRPr="0077119C" w:rsidRDefault="004B6A16" w:rsidP="004B6A16">
            <w:pPr>
              <w:pStyle w:val="ExampleSub"/>
              <w:keepNext w:val="0"/>
              <w:keepLines w:val="0"/>
              <w:ind w:left="0"/>
              <w:jc w:val="center"/>
              <w:outlineLvl w:val="0"/>
              <w:rPr>
                <w:rFonts w:ascii="Arial" w:hAnsi="Arial" w:cs="Arial"/>
                <w:b/>
                <w:color w:val="auto"/>
                <w:sz w:val="20"/>
                <w:szCs w:val="20"/>
              </w:rPr>
            </w:pPr>
            <w:r>
              <w:rPr>
                <w:rFonts w:ascii="Arial" w:hAnsi="Arial" w:cs="Arial"/>
                <w:b/>
                <w:color w:val="auto"/>
                <w:sz w:val="20"/>
                <w:szCs w:val="20"/>
              </w:rPr>
              <w:t>24.0</w:t>
            </w:r>
          </w:p>
        </w:tc>
        <w:tc>
          <w:tcPr>
            <w:cnfStyle w:val="000100000010" w:firstRow="0" w:lastRow="0" w:firstColumn="0" w:lastColumn="1" w:oddVBand="0" w:evenVBand="0" w:oddHBand="0" w:evenHBand="0" w:firstRowFirstColumn="0" w:firstRowLastColumn="0" w:lastRowFirstColumn="0" w:lastRowLastColumn="1"/>
            <w:tcW w:w="1134" w:type="dxa"/>
            <w:tcBorders>
              <w:top w:val="single" w:sz="4" w:space="0" w:color="4BACC6" w:themeColor="accent5"/>
              <w:left w:val="single" w:sz="4" w:space="0" w:color="4BACC6" w:themeColor="accent5"/>
              <w:bottom w:val="single" w:sz="4" w:space="0" w:color="4BACC6" w:themeColor="accent5"/>
            </w:tcBorders>
          </w:tcPr>
          <w:p w:rsidR="002B0FFB" w:rsidRPr="0077119C" w:rsidRDefault="0077119C" w:rsidP="00443096">
            <w:pPr>
              <w:pStyle w:val="ExampleSub"/>
              <w:keepNext w:val="0"/>
              <w:keepLines w:val="0"/>
              <w:ind w:left="0"/>
              <w:jc w:val="center"/>
              <w:outlineLvl w:val="0"/>
              <w:rPr>
                <w:rFonts w:ascii="Arial" w:hAnsi="Arial" w:cs="Arial"/>
                <w:b/>
                <w:color w:val="auto"/>
                <w:sz w:val="20"/>
                <w:szCs w:val="20"/>
              </w:rPr>
            </w:pPr>
            <w:r w:rsidRPr="0077119C">
              <w:rPr>
                <w:rFonts w:ascii="Arial" w:hAnsi="Arial" w:cs="Arial"/>
                <w:b/>
                <w:color w:val="auto"/>
                <w:sz w:val="20"/>
                <w:szCs w:val="20"/>
              </w:rPr>
              <w:t>32.3</w:t>
            </w:r>
          </w:p>
        </w:tc>
      </w:tr>
    </w:tbl>
    <w:p w:rsidR="0077119C" w:rsidRDefault="0077119C" w:rsidP="003D08FD">
      <w:pPr>
        <w:pStyle w:val="ExampleSub"/>
        <w:keepNext w:val="0"/>
        <w:keepLines w:val="0"/>
        <w:ind w:left="0" w:firstLine="720"/>
        <w:outlineLvl w:val="0"/>
        <w:rPr>
          <w:rFonts w:ascii="Arial" w:hAnsi="Arial" w:cs="Arial"/>
          <w:b w:val="0"/>
          <w:bCs w:val="0"/>
          <w:color w:val="548DD4" w:themeColor="text2" w:themeTint="99"/>
          <w:sz w:val="20"/>
          <w:szCs w:val="20"/>
          <w:u w:val="single"/>
        </w:rPr>
      </w:pPr>
    </w:p>
    <w:p w:rsidR="00E51139" w:rsidRPr="008420D9" w:rsidRDefault="00E51139" w:rsidP="003D08FD">
      <w:pPr>
        <w:pStyle w:val="ExampleSub"/>
        <w:keepNext w:val="0"/>
        <w:keepLines w:val="0"/>
        <w:ind w:left="0" w:firstLine="720"/>
        <w:outlineLvl w:val="0"/>
        <w:rPr>
          <w:rFonts w:ascii="Arial" w:hAnsi="Arial" w:cs="Arial"/>
          <w:b w:val="0"/>
          <w:bCs w:val="0"/>
          <w:color w:val="auto"/>
          <w:sz w:val="20"/>
          <w:szCs w:val="20"/>
          <w:u w:val="single"/>
        </w:rPr>
      </w:pPr>
      <w:r w:rsidRPr="008420D9">
        <w:rPr>
          <w:rFonts w:ascii="Arial" w:hAnsi="Arial" w:cs="Arial"/>
          <w:b w:val="0"/>
          <w:bCs w:val="0"/>
          <w:color w:val="auto"/>
          <w:sz w:val="20"/>
          <w:szCs w:val="20"/>
          <w:u w:val="single"/>
        </w:rPr>
        <w:t>Fine Arts Collection</w:t>
      </w:r>
    </w:p>
    <w:p w:rsidR="00E51139" w:rsidRPr="008420D9" w:rsidRDefault="00751F18" w:rsidP="003D08FD">
      <w:pPr>
        <w:pStyle w:val="ExampleSub"/>
        <w:keepNext w:val="0"/>
        <w:keepLines w:val="0"/>
        <w:ind w:left="720"/>
        <w:outlineLvl w:val="0"/>
        <w:rPr>
          <w:rFonts w:ascii="Arial" w:hAnsi="Arial" w:cs="Arial"/>
          <w:b w:val="0"/>
          <w:bCs w:val="0"/>
          <w:color w:val="auto"/>
          <w:sz w:val="20"/>
          <w:szCs w:val="20"/>
        </w:rPr>
      </w:pPr>
      <w:r w:rsidRPr="008420D9">
        <w:rPr>
          <w:rFonts w:ascii="Arial" w:hAnsi="Arial" w:cs="Arial"/>
          <w:b w:val="0"/>
          <w:bCs w:val="0"/>
          <w:color w:val="auto"/>
          <w:sz w:val="20"/>
          <w:szCs w:val="20"/>
        </w:rPr>
        <w:t>I</w:t>
      </w:r>
      <w:r w:rsidR="00E51139" w:rsidRPr="008420D9">
        <w:rPr>
          <w:rFonts w:ascii="Arial" w:hAnsi="Arial" w:cs="Arial"/>
          <w:b w:val="0"/>
          <w:bCs w:val="0"/>
          <w:color w:val="auto"/>
          <w:sz w:val="20"/>
          <w:szCs w:val="20"/>
        </w:rPr>
        <w:t>ncludes exhibits held at Torre Abbey</w:t>
      </w:r>
      <w:r w:rsidR="00A7697E" w:rsidRPr="008420D9">
        <w:rPr>
          <w:rFonts w:ascii="Arial" w:hAnsi="Arial" w:cs="Arial"/>
          <w:b w:val="0"/>
          <w:bCs w:val="0"/>
          <w:color w:val="auto"/>
          <w:sz w:val="20"/>
          <w:szCs w:val="20"/>
        </w:rPr>
        <w:t>.</w:t>
      </w:r>
      <w:r w:rsidR="00E51139" w:rsidRPr="008420D9">
        <w:rPr>
          <w:rFonts w:ascii="Arial" w:hAnsi="Arial" w:cs="Arial"/>
          <w:b w:val="0"/>
          <w:bCs w:val="0"/>
          <w:color w:val="auto"/>
          <w:sz w:val="20"/>
          <w:szCs w:val="20"/>
        </w:rPr>
        <w:t xml:space="preserve"> The valuation was undertaken by external </w:t>
      </w:r>
      <w:proofErr w:type="spellStart"/>
      <w:r w:rsidR="00E51139" w:rsidRPr="008420D9">
        <w:rPr>
          <w:rFonts w:ascii="Arial" w:hAnsi="Arial" w:cs="Arial"/>
          <w:b w:val="0"/>
          <w:bCs w:val="0"/>
          <w:color w:val="auto"/>
          <w:sz w:val="20"/>
          <w:szCs w:val="20"/>
        </w:rPr>
        <w:t>valuers</w:t>
      </w:r>
      <w:proofErr w:type="spellEnd"/>
      <w:r w:rsidR="00E51139" w:rsidRPr="008420D9">
        <w:rPr>
          <w:rFonts w:ascii="Arial" w:hAnsi="Arial" w:cs="Arial"/>
          <w:b w:val="0"/>
          <w:bCs w:val="0"/>
          <w:color w:val="auto"/>
          <w:sz w:val="20"/>
          <w:szCs w:val="20"/>
        </w:rPr>
        <w:t xml:space="preserve">, </w:t>
      </w:r>
      <w:proofErr w:type="spellStart"/>
      <w:r w:rsidR="00E51139" w:rsidRPr="008420D9">
        <w:rPr>
          <w:rFonts w:ascii="Arial" w:hAnsi="Arial" w:cs="Arial"/>
          <w:b w:val="0"/>
          <w:bCs w:val="0"/>
          <w:color w:val="auto"/>
          <w:sz w:val="20"/>
          <w:szCs w:val="20"/>
        </w:rPr>
        <w:t>Bearnes</w:t>
      </w:r>
      <w:proofErr w:type="spellEnd"/>
      <w:r w:rsidR="00E51139" w:rsidRPr="008420D9">
        <w:rPr>
          <w:rFonts w:ascii="Arial" w:hAnsi="Arial" w:cs="Arial"/>
          <w:b w:val="0"/>
          <w:bCs w:val="0"/>
          <w:color w:val="auto"/>
          <w:sz w:val="20"/>
          <w:szCs w:val="20"/>
        </w:rPr>
        <w:t>, in 2010</w:t>
      </w:r>
      <w:r w:rsidR="003E4475" w:rsidRPr="008420D9">
        <w:rPr>
          <w:rFonts w:ascii="Arial" w:hAnsi="Arial" w:cs="Arial"/>
          <w:b w:val="0"/>
          <w:bCs w:val="0"/>
          <w:color w:val="auto"/>
          <w:sz w:val="20"/>
          <w:szCs w:val="20"/>
        </w:rPr>
        <w:t xml:space="preserve"> but the exhibits held at Torre Abbey were valued by </w:t>
      </w:r>
      <w:proofErr w:type="spellStart"/>
      <w:r w:rsidR="003E4475" w:rsidRPr="008420D9">
        <w:rPr>
          <w:rFonts w:ascii="Arial" w:hAnsi="Arial" w:cs="Arial"/>
          <w:b w:val="0"/>
          <w:bCs w:val="0"/>
          <w:color w:val="auto"/>
          <w:sz w:val="20"/>
          <w:szCs w:val="20"/>
        </w:rPr>
        <w:t>Bearnes</w:t>
      </w:r>
      <w:proofErr w:type="spellEnd"/>
      <w:r w:rsidR="003E4475" w:rsidRPr="008420D9">
        <w:rPr>
          <w:rFonts w:ascii="Arial" w:hAnsi="Arial" w:cs="Arial"/>
          <w:b w:val="0"/>
          <w:bCs w:val="0"/>
          <w:color w:val="auto"/>
          <w:sz w:val="20"/>
          <w:szCs w:val="20"/>
        </w:rPr>
        <w:t xml:space="preserve"> in </w:t>
      </w:r>
      <w:r w:rsidR="00CA7693" w:rsidRPr="008420D9">
        <w:rPr>
          <w:rFonts w:ascii="Arial" w:hAnsi="Arial" w:cs="Arial"/>
          <w:b w:val="0"/>
          <w:bCs w:val="0"/>
          <w:color w:val="auto"/>
          <w:sz w:val="20"/>
          <w:szCs w:val="20"/>
        </w:rPr>
        <w:t xml:space="preserve">2016. </w:t>
      </w:r>
      <w:r w:rsidR="00E51139" w:rsidRPr="008420D9">
        <w:rPr>
          <w:rFonts w:ascii="Arial" w:hAnsi="Arial" w:cs="Arial"/>
          <w:b w:val="0"/>
          <w:bCs w:val="0"/>
          <w:color w:val="auto"/>
          <w:sz w:val="20"/>
          <w:szCs w:val="20"/>
        </w:rPr>
        <w:t>The collection includes William Holman Hunt’s “The Children’s Holiday”. There are a large number of exhibits at Torre Abbey that are not included in the valuation due to their low item value. Further details of the exhibits included in this collection</w:t>
      </w:r>
      <w:r w:rsidR="003910CE" w:rsidRPr="008420D9">
        <w:rPr>
          <w:rFonts w:ascii="Arial" w:hAnsi="Arial" w:cs="Arial"/>
          <w:b w:val="0"/>
          <w:bCs w:val="0"/>
          <w:color w:val="auto"/>
          <w:sz w:val="20"/>
          <w:szCs w:val="20"/>
        </w:rPr>
        <w:t xml:space="preserve"> and visiting information</w:t>
      </w:r>
      <w:r w:rsidR="00E51139" w:rsidRPr="008420D9">
        <w:rPr>
          <w:rFonts w:ascii="Arial" w:hAnsi="Arial" w:cs="Arial"/>
          <w:b w:val="0"/>
          <w:bCs w:val="0"/>
          <w:color w:val="auto"/>
          <w:sz w:val="20"/>
          <w:szCs w:val="20"/>
        </w:rPr>
        <w:t xml:space="preserve"> are available on the council’s website</w:t>
      </w:r>
      <w:r w:rsidR="008258CC">
        <w:rPr>
          <w:rFonts w:ascii="Arial" w:hAnsi="Arial" w:cs="Arial"/>
          <w:b w:val="0"/>
          <w:bCs w:val="0"/>
          <w:color w:val="auto"/>
          <w:sz w:val="20"/>
          <w:szCs w:val="20"/>
        </w:rPr>
        <w:t>.</w:t>
      </w:r>
    </w:p>
    <w:p w:rsidR="00063B04" w:rsidRPr="008420D9" w:rsidRDefault="00E51139" w:rsidP="003D08FD">
      <w:pPr>
        <w:pStyle w:val="ExampleSub"/>
        <w:keepNext w:val="0"/>
        <w:keepLines w:val="0"/>
        <w:ind w:left="720"/>
        <w:outlineLvl w:val="0"/>
        <w:rPr>
          <w:rFonts w:ascii="Arial" w:hAnsi="Arial" w:cs="Arial"/>
          <w:b w:val="0"/>
          <w:bCs w:val="0"/>
          <w:color w:val="auto"/>
          <w:sz w:val="20"/>
          <w:szCs w:val="20"/>
        </w:rPr>
      </w:pPr>
      <w:r w:rsidRPr="008420D9">
        <w:rPr>
          <w:rFonts w:ascii="Arial" w:hAnsi="Arial" w:cs="Arial"/>
          <w:b w:val="0"/>
          <w:bCs w:val="0"/>
          <w:color w:val="auto"/>
          <w:sz w:val="20"/>
          <w:szCs w:val="20"/>
        </w:rPr>
        <w:lastRenderedPageBreak/>
        <w:t xml:space="preserve">The Council is in the </w:t>
      </w:r>
      <w:r w:rsidR="008258CC">
        <w:rPr>
          <w:rFonts w:ascii="Arial" w:hAnsi="Arial" w:cs="Arial"/>
          <w:b w:val="0"/>
          <w:bCs w:val="0"/>
          <w:color w:val="auto"/>
          <w:sz w:val="20"/>
          <w:szCs w:val="20"/>
        </w:rPr>
        <w:t xml:space="preserve">ongoing </w:t>
      </w:r>
      <w:r w:rsidRPr="008420D9">
        <w:rPr>
          <w:rFonts w:ascii="Arial" w:hAnsi="Arial" w:cs="Arial"/>
          <w:b w:val="0"/>
          <w:bCs w:val="0"/>
          <w:color w:val="auto"/>
          <w:sz w:val="20"/>
          <w:szCs w:val="20"/>
        </w:rPr>
        <w:t xml:space="preserve">process of transferring the information it holds on the Torre Abbey exhibits to a new museum database.  </w:t>
      </w:r>
    </w:p>
    <w:p w:rsidR="00E51139" w:rsidRPr="008420D9" w:rsidRDefault="00E51139" w:rsidP="008D0906">
      <w:pPr>
        <w:pStyle w:val="ExampleSub"/>
        <w:keepNext w:val="0"/>
        <w:keepLines w:val="0"/>
        <w:ind w:left="0" w:firstLine="720"/>
        <w:outlineLvl w:val="0"/>
        <w:rPr>
          <w:rFonts w:ascii="Arial" w:hAnsi="Arial" w:cs="Arial"/>
          <w:b w:val="0"/>
          <w:bCs w:val="0"/>
          <w:color w:val="auto"/>
          <w:sz w:val="20"/>
          <w:szCs w:val="20"/>
          <w:u w:val="single"/>
        </w:rPr>
      </w:pPr>
      <w:r w:rsidRPr="008420D9">
        <w:rPr>
          <w:rFonts w:ascii="Arial" w:hAnsi="Arial" w:cs="Arial"/>
          <w:b w:val="0"/>
          <w:bCs w:val="0"/>
          <w:color w:val="auto"/>
          <w:sz w:val="20"/>
          <w:szCs w:val="20"/>
          <w:u w:val="single"/>
        </w:rPr>
        <w:t>Mayoral Regalia</w:t>
      </w:r>
    </w:p>
    <w:p w:rsidR="00E51139" w:rsidRPr="008420D9" w:rsidRDefault="00E51139" w:rsidP="003D08FD">
      <w:pPr>
        <w:pStyle w:val="ExampleSub"/>
        <w:keepNext w:val="0"/>
        <w:keepLines w:val="0"/>
        <w:ind w:left="720"/>
        <w:outlineLvl w:val="0"/>
        <w:rPr>
          <w:rFonts w:ascii="Arial" w:hAnsi="Arial" w:cs="Arial"/>
          <w:b w:val="0"/>
          <w:bCs w:val="0"/>
          <w:color w:val="auto"/>
          <w:sz w:val="20"/>
          <w:szCs w:val="20"/>
        </w:rPr>
      </w:pPr>
      <w:r w:rsidRPr="008420D9">
        <w:rPr>
          <w:rFonts w:ascii="Arial" w:hAnsi="Arial" w:cs="Arial"/>
          <w:b w:val="0"/>
          <w:bCs w:val="0"/>
          <w:color w:val="auto"/>
          <w:sz w:val="20"/>
          <w:szCs w:val="20"/>
        </w:rPr>
        <w:t xml:space="preserve">Included in this collection are Chains of Office, Badges, Maces and other silver items. The collection was last valued by external </w:t>
      </w:r>
      <w:proofErr w:type="spellStart"/>
      <w:r w:rsidRPr="008420D9">
        <w:rPr>
          <w:rFonts w:ascii="Arial" w:hAnsi="Arial" w:cs="Arial"/>
          <w:b w:val="0"/>
          <w:bCs w:val="0"/>
          <w:color w:val="auto"/>
          <w:sz w:val="20"/>
          <w:szCs w:val="20"/>
        </w:rPr>
        <w:t>valuers</w:t>
      </w:r>
      <w:proofErr w:type="spellEnd"/>
      <w:r w:rsidRPr="008420D9">
        <w:rPr>
          <w:rFonts w:ascii="Arial" w:hAnsi="Arial" w:cs="Arial"/>
          <w:b w:val="0"/>
          <w:bCs w:val="0"/>
          <w:color w:val="auto"/>
          <w:sz w:val="20"/>
          <w:szCs w:val="20"/>
        </w:rPr>
        <w:t xml:space="preserve">, </w:t>
      </w:r>
      <w:proofErr w:type="spellStart"/>
      <w:r w:rsidRPr="008420D9">
        <w:rPr>
          <w:rFonts w:ascii="Arial" w:hAnsi="Arial" w:cs="Arial"/>
          <w:b w:val="0"/>
          <w:bCs w:val="0"/>
          <w:color w:val="auto"/>
          <w:sz w:val="20"/>
          <w:szCs w:val="20"/>
        </w:rPr>
        <w:t>Fattorini</w:t>
      </w:r>
      <w:proofErr w:type="spellEnd"/>
      <w:r w:rsidRPr="008420D9">
        <w:rPr>
          <w:rFonts w:ascii="Arial" w:hAnsi="Arial" w:cs="Arial"/>
          <w:b w:val="0"/>
          <w:bCs w:val="0"/>
          <w:color w:val="auto"/>
          <w:sz w:val="20"/>
          <w:szCs w:val="20"/>
        </w:rPr>
        <w:t>, in 2005. Some items were revalued in 2010 and a general uplift to values was applied in 2011.</w:t>
      </w:r>
    </w:p>
    <w:p w:rsidR="00E51139" w:rsidRPr="008420D9" w:rsidRDefault="00E51139" w:rsidP="008D0906">
      <w:pPr>
        <w:pStyle w:val="ExampleSub"/>
        <w:keepNext w:val="0"/>
        <w:keepLines w:val="0"/>
        <w:ind w:left="0" w:firstLine="720"/>
        <w:outlineLvl w:val="0"/>
        <w:rPr>
          <w:rFonts w:ascii="Arial" w:hAnsi="Arial" w:cs="Arial"/>
          <w:b w:val="0"/>
          <w:bCs w:val="0"/>
          <w:color w:val="auto"/>
          <w:sz w:val="20"/>
          <w:szCs w:val="20"/>
          <w:u w:val="single"/>
        </w:rPr>
      </w:pPr>
      <w:r w:rsidRPr="008420D9">
        <w:rPr>
          <w:rFonts w:ascii="Arial" w:hAnsi="Arial" w:cs="Arial"/>
          <w:b w:val="0"/>
          <w:bCs w:val="0"/>
          <w:color w:val="auto"/>
          <w:sz w:val="20"/>
          <w:szCs w:val="20"/>
          <w:u w:val="single"/>
        </w:rPr>
        <w:t>Heritage Property</w:t>
      </w:r>
    </w:p>
    <w:p w:rsidR="00446433" w:rsidRPr="008420D9" w:rsidRDefault="00E51139" w:rsidP="00446433">
      <w:pPr>
        <w:pStyle w:val="ExampleSub"/>
        <w:keepNext w:val="0"/>
        <w:keepLines w:val="0"/>
        <w:ind w:left="720"/>
        <w:outlineLvl w:val="0"/>
        <w:rPr>
          <w:rFonts w:ascii="Arial" w:hAnsi="Arial" w:cs="Arial"/>
          <w:b w:val="0"/>
          <w:bCs w:val="0"/>
          <w:color w:val="auto"/>
          <w:sz w:val="20"/>
          <w:szCs w:val="20"/>
        </w:rPr>
      </w:pPr>
      <w:r w:rsidRPr="008420D9">
        <w:rPr>
          <w:rFonts w:ascii="Arial" w:hAnsi="Arial" w:cs="Arial"/>
          <w:b w:val="0"/>
          <w:bCs w:val="0"/>
          <w:color w:val="auto"/>
          <w:sz w:val="20"/>
          <w:szCs w:val="20"/>
        </w:rPr>
        <w:t>Most of these assets are not insured so are held at historic cost, for example the D Day Embarkation Ramps.  Of the property assets with an insurance valuation, Torre Abbey is the most significant being valued at £</w:t>
      </w:r>
      <w:r w:rsidR="00063B04" w:rsidRPr="008420D9">
        <w:rPr>
          <w:rFonts w:ascii="Arial" w:hAnsi="Arial" w:cs="Arial"/>
          <w:b w:val="0"/>
          <w:bCs w:val="0"/>
          <w:color w:val="auto"/>
          <w:sz w:val="20"/>
          <w:szCs w:val="20"/>
        </w:rPr>
        <w:t>1</w:t>
      </w:r>
      <w:r w:rsidR="008420D9" w:rsidRPr="008420D9">
        <w:rPr>
          <w:rFonts w:ascii="Arial" w:hAnsi="Arial" w:cs="Arial"/>
          <w:b w:val="0"/>
          <w:bCs w:val="0"/>
          <w:color w:val="auto"/>
          <w:sz w:val="20"/>
          <w:szCs w:val="20"/>
        </w:rPr>
        <w:t>9.6</w:t>
      </w:r>
      <w:r w:rsidRPr="008420D9">
        <w:rPr>
          <w:rFonts w:ascii="Arial" w:hAnsi="Arial" w:cs="Arial"/>
          <w:b w:val="0"/>
          <w:bCs w:val="0"/>
          <w:color w:val="auto"/>
          <w:sz w:val="20"/>
          <w:szCs w:val="20"/>
        </w:rPr>
        <w:t xml:space="preserve">m. The Council also has properties that although culturally and historically important, are being used for operational purposes. As this purpose is more relevant to users of the financial statements these assets have been classified under the heading ‘Property, Plant and Equipment’ on the balance sheet. For example these assets include Torquay Town Hall and Electric House which are used as office accommodation. </w:t>
      </w:r>
      <w:r w:rsidRPr="008420D9">
        <w:rPr>
          <w:rFonts w:ascii="Arial" w:hAnsi="Arial" w:cs="Arial"/>
          <w:b w:val="0"/>
          <w:color w:val="auto"/>
          <w:sz w:val="20"/>
          <w:szCs w:val="20"/>
        </w:rPr>
        <w:t xml:space="preserve">The Council uses an external RICS qualified </w:t>
      </w:r>
      <w:proofErr w:type="spellStart"/>
      <w:r w:rsidRPr="008420D9">
        <w:rPr>
          <w:rFonts w:ascii="Arial" w:hAnsi="Arial" w:cs="Arial"/>
          <w:b w:val="0"/>
          <w:color w:val="auto"/>
          <w:sz w:val="20"/>
          <w:szCs w:val="20"/>
        </w:rPr>
        <w:t>valuer</w:t>
      </w:r>
      <w:proofErr w:type="spellEnd"/>
      <w:r w:rsidRPr="008420D9">
        <w:rPr>
          <w:rFonts w:ascii="Arial" w:hAnsi="Arial" w:cs="Arial"/>
          <w:b w:val="0"/>
          <w:color w:val="auto"/>
          <w:sz w:val="20"/>
          <w:szCs w:val="20"/>
        </w:rPr>
        <w:t xml:space="preserve"> to provide property reinstatement valuations for insurance </w:t>
      </w:r>
      <w:r w:rsidRPr="008420D9">
        <w:rPr>
          <w:rFonts w:ascii="Arial" w:hAnsi="Arial" w:cs="Arial"/>
          <w:b w:val="0"/>
          <w:bCs w:val="0"/>
          <w:color w:val="auto"/>
          <w:sz w:val="20"/>
          <w:szCs w:val="20"/>
        </w:rPr>
        <w:t>purposes</w:t>
      </w:r>
      <w:r w:rsidR="00483A47" w:rsidRPr="008420D9">
        <w:rPr>
          <w:rFonts w:ascii="Arial" w:hAnsi="Arial" w:cs="Arial"/>
          <w:b w:val="0"/>
          <w:bCs w:val="0"/>
          <w:color w:val="auto"/>
          <w:sz w:val="20"/>
          <w:szCs w:val="20"/>
        </w:rPr>
        <w:t xml:space="preserve">. </w:t>
      </w:r>
    </w:p>
    <w:p w:rsidR="007749FE" w:rsidRPr="0005794A" w:rsidRDefault="007749FE" w:rsidP="00446433">
      <w:pPr>
        <w:pStyle w:val="ExampleSub"/>
        <w:keepNext w:val="0"/>
        <w:keepLines w:val="0"/>
        <w:ind w:left="720"/>
        <w:outlineLvl w:val="0"/>
        <w:rPr>
          <w:rFonts w:ascii="Arial" w:hAnsi="Arial" w:cs="Arial"/>
          <w:b w:val="0"/>
          <w:bCs w:val="0"/>
          <w:color w:val="548DD4" w:themeColor="text2" w:themeTint="99"/>
          <w:sz w:val="20"/>
          <w:szCs w:val="20"/>
        </w:rPr>
      </w:pPr>
    </w:p>
    <w:p w:rsidR="007749FE" w:rsidRPr="00053E4C" w:rsidRDefault="007749FE" w:rsidP="007749FE">
      <w:pPr>
        <w:pStyle w:val="Subtitle"/>
        <w:ind w:left="567" w:hanging="567"/>
        <w:rPr>
          <w:b/>
          <w:color w:val="auto"/>
          <w:sz w:val="22"/>
          <w:szCs w:val="22"/>
        </w:rPr>
      </w:pPr>
      <w:r w:rsidRPr="00053E4C">
        <w:rPr>
          <w:b/>
          <w:color w:val="auto"/>
          <w:sz w:val="22"/>
          <w:szCs w:val="22"/>
        </w:rPr>
        <w:t>1</w:t>
      </w:r>
      <w:r w:rsidR="005F70BB" w:rsidRPr="00053E4C">
        <w:rPr>
          <w:b/>
          <w:color w:val="auto"/>
          <w:sz w:val="22"/>
          <w:szCs w:val="22"/>
        </w:rPr>
        <w:t>5</w:t>
      </w:r>
      <w:r w:rsidRPr="00053E4C">
        <w:rPr>
          <w:b/>
          <w:color w:val="auto"/>
          <w:sz w:val="22"/>
          <w:szCs w:val="22"/>
        </w:rPr>
        <w:t>.</w:t>
      </w:r>
      <w:r w:rsidRPr="00053E4C">
        <w:rPr>
          <w:b/>
          <w:color w:val="auto"/>
          <w:sz w:val="22"/>
          <w:szCs w:val="22"/>
        </w:rPr>
        <w:tab/>
        <w:t>Investment Properties</w:t>
      </w:r>
    </w:p>
    <w:p w:rsidR="007749FE" w:rsidRPr="00053E4C" w:rsidRDefault="007749FE" w:rsidP="00446433">
      <w:pPr>
        <w:pStyle w:val="ExampleSub"/>
        <w:keepNext w:val="0"/>
        <w:keepLines w:val="0"/>
        <w:ind w:left="720"/>
        <w:outlineLvl w:val="0"/>
        <w:rPr>
          <w:rFonts w:ascii="Arial" w:hAnsi="Arial" w:cs="Arial"/>
          <w:b w:val="0"/>
          <w:bCs w:val="0"/>
          <w:color w:val="auto"/>
          <w:sz w:val="20"/>
          <w:szCs w:val="20"/>
        </w:rPr>
      </w:pPr>
      <w:r w:rsidRPr="00053E4C">
        <w:rPr>
          <w:rFonts w:ascii="Arial" w:hAnsi="Arial" w:cs="Arial"/>
          <w:b w:val="0"/>
          <w:bCs w:val="0"/>
          <w:color w:val="auto"/>
          <w:sz w:val="20"/>
          <w:szCs w:val="20"/>
        </w:rPr>
        <w:t>Properties that are held by the Council primarily for investment returns and capital appreciation.</w:t>
      </w:r>
      <w:r w:rsidR="004F47E2" w:rsidRPr="00053E4C">
        <w:rPr>
          <w:rFonts w:ascii="Arial" w:hAnsi="Arial" w:cs="Arial"/>
          <w:b w:val="0"/>
          <w:bCs w:val="0"/>
          <w:color w:val="auto"/>
          <w:sz w:val="20"/>
          <w:szCs w:val="20"/>
        </w:rPr>
        <w:t xml:space="preserve"> </w:t>
      </w:r>
      <w:r w:rsidR="004A79DC" w:rsidRPr="00053E4C">
        <w:rPr>
          <w:rFonts w:ascii="Arial" w:hAnsi="Arial" w:cs="Arial"/>
          <w:b w:val="0"/>
          <w:bCs w:val="0"/>
          <w:color w:val="auto"/>
          <w:sz w:val="20"/>
          <w:szCs w:val="20"/>
        </w:rPr>
        <w:t xml:space="preserve"> Income relating to these properties in 201</w:t>
      </w:r>
      <w:r w:rsidR="00053E4C" w:rsidRPr="00053E4C">
        <w:rPr>
          <w:rFonts w:ascii="Arial" w:hAnsi="Arial" w:cs="Arial"/>
          <w:b w:val="0"/>
          <w:bCs w:val="0"/>
          <w:color w:val="auto"/>
          <w:sz w:val="20"/>
          <w:szCs w:val="20"/>
        </w:rPr>
        <w:t>7</w:t>
      </w:r>
      <w:r w:rsidR="005F70BB" w:rsidRPr="00053E4C">
        <w:rPr>
          <w:rFonts w:ascii="Arial" w:hAnsi="Arial" w:cs="Arial"/>
          <w:b w:val="0"/>
          <w:bCs w:val="0"/>
          <w:color w:val="auto"/>
          <w:sz w:val="20"/>
          <w:szCs w:val="20"/>
        </w:rPr>
        <w:t>/</w:t>
      </w:r>
      <w:r w:rsidR="004A79DC" w:rsidRPr="00053E4C">
        <w:rPr>
          <w:rFonts w:ascii="Arial" w:hAnsi="Arial" w:cs="Arial"/>
          <w:b w:val="0"/>
          <w:bCs w:val="0"/>
          <w:color w:val="auto"/>
          <w:sz w:val="20"/>
          <w:szCs w:val="20"/>
        </w:rPr>
        <w:t>1</w:t>
      </w:r>
      <w:r w:rsidR="00053E4C" w:rsidRPr="00053E4C">
        <w:rPr>
          <w:rFonts w:ascii="Arial" w:hAnsi="Arial" w:cs="Arial"/>
          <w:b w:val="0"/>
          <w:bCs w:val="0"/>
          <w:color w:val="auto"/>
          <w:sz w:val="20"/>
          <w:szCs w:val="20"/>
        </w:rPr>
        <w:t>8</w:t>
      </w:r>
      <w:r w:rsidR="004A79DC" w:rsidRPr="00053E4C">
        <w:rPr>
          <w:rFonts w:ascii="Arial" w:hAnsi="Arial" w:cs="Arial"/>
          <w:b w:val="0"/>
          <w:bCs w:val="0"/>
          <w:color w:val="auto"/>
          <w:sz w:val="20"/>
          <w:szCs w:val="20"/>
        </w:rPr>
        <w:t xml:space="preserve"> was £</w:t>
      </w:r>
      <w:r w:rsidR="00053E4C" w:rsidRPr="00053E4C">
        <w:rPr>
          <w:rFonts w:ascii="Arial" w:hAnsi="Arial" w:cs="Arial"/>
          <w:b w:val="0"/>
          <w:bCs w:val="0"/>
          <w:color w:val="auto"/>
          <w:sz w:val="20"/>
          <w:szCs w:val="20"/>
        </w:rPr>
        <w:t>4.9</w:t>
      </w:r>
      <w:r w:rsidR="004A79DC" w:rsidRPr="00053E4C">
        <w:rPr>
          <w:rFonts w:ascii="Arial" w:hAnsi="Arial" w:cs="Arial"/>
          <w:b w:val="0"/>
          <w:bCs w:val="0"/>
          <w:color w:val="auto"/>
          <w:sz w:val="20"/>
          <w:szCs w:val="20"/>
        </w:rPr>
        <w:t>m with operating costs of £0.</w:t>
      </w:r>
      <w:r w:rsidR="00053E4C" w:rsidRPr="00053E4C">
        <w:rPr>
          <w:rFonts w:ascii="Arial" w:hAnsi="Arial" w:cs="Arial"/>
          <w:b w:val="0"/>
          <w:bCs w:val="0"/>
          <w:color w:val="auto"/>
          <w:sz w:val="20"/>
          <w:szCs w:val="20"/>
        </w:rPr>
        <w:t>3</w:t>
      </w:r>
      <w:r w:rsidR="004A79DC" w:rsidRPr="00053E4C">
        <w:rPr>
          <w:rFonts w:ascii="Arial" w:hAnsi="Arial" w:cs="Arial"/>
          <w:b w:val="0"/>
          <w:bCs w:val="0"/>
          <w:color w:val="auto"/>
          <w:sz w:val="20"/>
          <w:szCs w:val="20"/>
        </w:rPr>
        <w:t>m</w:t>
      </w:r>
      <w:r w:rsidR="00EE6EEB" w:rsidRPr="00053E4C">
        <w:rPr>
          <w:rFonts w:ascii="Arial" w:hAnsi="Arial" w:cs="Arial"/>
          <w:b w:val="0"/>
          <w:bCs w:val="0"/>
          <w:color w:val="auto"/>
          <w:sz w:val="20"/>
          <w:szCs w:val="20"/>
        </w:rPr>
        <w:t>.</w:t>
      </w:r>
      <w:r w:rsidR="00053E4C" w:rsidRPr="00053E4C">
        <w:rPr>
          <w:rFonts w:ascii="Arial" w:hAnsi="Arial" w:cs="Arial"/>
          <w:b w:val="0"/>
          <w:bCs w:val="0"/>
          <w:color w:val="auto"/>
          <w:sz w:val="20"/>
          <w:szCs w:val="20"/>
        </w:rPr>
        <w:t xml:space="preserve"> </w:t>
      </w:r>
      <w:r w:rsidR="004A79DC" w:rsidRPr="00053E4C">
        <w:rPr>
          <w:rFonts w:ascii="Arial" w:hAnsi="Arial" w:cs="Arial"/>
          <w:b w:val="0"/>
          <w:bCs w:val="0"/>
          <w:color w:val="auto"/>
          <w:sz w:val="20"/>
          <w:szCs w:val="20"/>
        </w:rPr>
        <w:t xml:space="preserve"> </w:t>
      </w:r>
    </w:p>
    <w:p w:rsidR="007749FE" w:rsidRPr="0005794A" w:rsidRDefault="007749FE" w:rsidP="00446433">
      <w:pPr>
        <w:pStyle w:val="ExampleSub"/>
        <w:keepNext w:val="0"/>
        <w:keepLines w:val="0"/>
        <w:ind w:left="720"/>
        <w:outlineLvl w:val="0"/>
        <w:rPr>
          <w:rFonts w:cs="Arial"/>
          <w:color w:val="548DD4" w:themeColor="text2" w:themeTint="99"/>
          <w:sz w:val="20"/>
          <w:szCs w:val="20"/>
        </w:rPr>
      </w:pPr>
    </w:p>
    <w:tbl>
      <w:tblPr>
        <w:tblStyle w:val="ListTable3-Accent51"/>
        <w:tblW w:w="8821" w:type="dxa"/>
        <w:tblInd w:w="643" w:type="dxa"/>
        <w:tblLook w:val="01E0" w:firstRow="1" w:lastRow="1" w:firstColumn="1" w:lastColumn="1" w:noHBand="0" w:noVBand="0"/>
      </w:tblPr>
      <w:tblGrid>
        <w:gridCol w:w="2017"/>
        <w:gridCol w:w="4536"/>
        <w:gridCol w:w="2268"/>
      </w:tblGrid>
      <w:tr w:rsidR="007749FE" w:rsidRPr="0005794A" w:rsidTr="009577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7" w:type="dxa"/>
          </w:tcPr>
          <w:p w:rsidR="007749FE" w:rsidRPr="00F27E0D" w:rsidRDefault="007749FE" w:rsidP="008C0031">
            <w:pPr>
              <w:pStyle w:val="BodyTextIndent"/>
              <w:tabs>
                <w:tab w:val="left" w:pos="709"/>
              </w:tabs>
              <w:ind w:left="0"/>
              <w:jc w:val="center"/>
              <w:rPr>
                <w:color w:val="auto"/>
                <w:sz w:val="20"/>
                <w:szCs w:val="20"/>
              </w:rPr>
            </w:pPr>
            <w:r w:rsidRPr="00F27E0D">
              <w:rPr>
                <w:b w:val="0"/>
                <w:color w:val="auto"/>
                <w:sz w:val="20"/>
                <w:szCs w:val="20"/>
              </w:rPr>
              <w:t>31</w:t>
            </w:r>
            <w:r w:rsidRPr="00F27E0D">
              <w:rPr>
                <w:b w:val="0"/>
                <w:color w:val="auto"/>
                <w:sz w:val="20"/>
                <w:szCs w:val="20"/>
                <w:vertAlign w:val="superscript"/>
              </w:rPr>
              <w:t>st</w:t>
            </w:r>
            <w:r w:rsidRPr="00F27E0D">
              <w:rPr>
                <w:b w:val="0"/>
                <w:color w:val="auto"/>
                <w:sz w:val="20"/>
                <w:szCs w:val="20"/>
              </w:rPr>
              <w:t xml:space="preserve"> March 201</w:t>
            </w:r>
            <w:r w:rsidR="00F27E0D" w:rsidRPr="00F27E0D">
              <w:rPr>
                <w:b w:val="0"/>
                <w:color w:val="auto"/>
                <w:sz w:val="20"/>
                <w:szCs w:val="20"/>
              </w:rPr>
              <w:t>7</w:t>
            </w:r>
          </w:p>
        </w:tc>
        <w:tc>
          <w:tcPr>
            <w:cnfStyle w:val="000010000000" w:firstRow="0" w:lastRow="0" w:firstColumn="0" w:lastColumn="0" w:oddVBand="1" w:evenVBand="0" w:oddHBand="0" w:evenHBand="0" w:firstRowFirstColumn="0" w:firstRowLastColumn="0" w:lastRowFirstColumn="0" w:lastRowLastColumn="0"/>
            <w:tcW w:w="4536" w:type="dxa"/>
          </w:tcPr>
          <w:p w:rsidR="007749FE" w:rsidRPr="00F27E0D" w:rsidRDefault="007749FE" w:rsidP="00957739">
            <w:pPr>
              <w:pStyle w:val="BodyTextIndent"/>
              <w:tabs>
                <w:tab w:val="left" w:pos="709"/>
              </w:tabs>
              <w:ind w:left="0"/>
              <w:rPr>
                <w:color w:val="auto"/>
                <w:sz w:val="20"/>
                <w:szCs w:val="20"/>
              </w:rPr>
            </w:pPr>
          </w:p>
        </w:tc>
        <w:tc>
          <w:tcPr>
            <w:cnfStyle w:val="000100001000" w:firstRow="0" w:lastRow="0" w:firstColumn="0" w:lastColumn="1" w:oddVBand="0" w:evenVBand="0" w:oddHBand="0" w:evenHBand="0" w:firstRowFirstColumn="0" w:firstRowLastColumn="1" w:lastRowFirstColumn="0" w:lastRowLastColumn="0"/>
            <w:tcW w:w="2268" w:type="dxa"/>
          </w:tcPr>
          <w:p w:rsidR="007749FE" w:rsidRPr="00F27E0D" w:rsidRDefault="007749FE" w:rsidP="00957739">
            <w:pPr>
              <w:pStyle w:val="BodyTextIndent"/>
              <w:tabs>
                <w:tab w:val="left" w:pos="709"/>
              </w:tabs>
              <w:ind w:left="0"/>
              <w:jc w:val="center"/>
              <w:rPr>
                <w:color w:val="auto"/>
                <w:sz w:val="20"/>
                <w:szCs w:val="20"/>
              </w:rPr>
            </w:pPr>
            <w:r w:rsidRPr="00F27E0D">
              <w:rPr>
                <w:color w:val="auto"/>
                <w:sz w:val="20"/>
                <w:szCs w:val="20"/>
              </w:rPr>
              <w:t>31</w:t>
            </w:r>
            <w:r w:rsidRPr="00F27E0D">
              <w:rPr>
                <w:color w:val="auto"/>
                <w:sz w:val="20"/>
                <w:szCs w:val="20"/>
                <w:vertAlign w:val="superscript"/>
              </w:rPr>
              <w:t>st</w:t>
            </w:r>
            <w:r w:rsidRPr="00F27E0D">
              <w:rPr>
                <w:color w:val="auto"/>
                <w:sz w:val="20"/>
                <w:szCs w:val="20"/>
              </w:rPr>
              <w:t xml:space="preserve"> March 201</w:t>
            </w:r>
            <w:r w:rsidR="00F27E0D" w:rsidRPr="00F27E0D">
              <w:rPr>
                <w:color w:val="auto"/>
                <w:sz w:val="20"/>
                <w:szCs w:val="20"/>
              </w:rPr>
              <w:t>8</w:t>
            </w:r>
          </w:p>
        </w:tc>
      </w:tr>
      <w:tr w:rsidR="007749FE" w:rsidRPr="0005794A" w:rsidTr="0095773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017" w:type="dxa"/>
            <w:shd w:val="clear" w:color="auto" w:fill="4BACC6" w:themeFill="accent5"/>
          </w:tcPr>
          <w:p w:rsidR="007749FE" w:rsidRPr="00F27E0D" w:rsidRDefault="007749FE" w:rsidP="00957739">
            <w:pPr>
              <w:pStyle w:val="BodyTextIndent"/>
              <w:tabs>
                <w:tab w:val="left" w:pos="709"/>
              </w:tabs>
              <w:ind w:left="0"/>
              <w:jc w:val="center"/>
              <w:rPr>
                <w:b w:val="0"/>
                <w:color w:val="auto"/>
                <w:sz w:val="20"/>
                <w:szCs w:val="20"/>
              </w:rPr>
            </w:pPr>
            <w:r w:rsidRPr="00F27E0D">
              <w:rPr>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536" w:type="dxa"/>
            <w:shd w:val="clear" w:color="auto" w:fill="4BACC6" w:themeFill="accent5"/>
          </w:tcPr>
          <w:p w:rsidR="007749FE" w:rsidRPr="00F27E0D" w:rsidRDefault="007749FE" w:rsidP="00957739">
            <w:pPr>
              <w:pStyle w:val="BodyTextIndent"/>
              <w:tabs>
                <w:tab w:val="left" w:pos="709"/>
              </w:tabs>
              <w:ind w:left="0"/>
              <w:rPr>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2268" w:type="dxa"/>
            <w:shd w:val="clear" w:color="auto" w:fill="4BACC6" w:themeFill="accent5"/>
          </w:tcPr>
          <w:p w:rsidR="007749FE" w:rsidRPr="00F27E0D" w:rsidRDefault="007749FE" w:rsidP="00957739">
            <w:pPr>
              <w:pStyle w:val="BodyTextIndent"/>
              <w:tabs>
                <w:tab w:val="left" w:pos="709"/>
              </w:tabs>
              <w:ind w:left="0"/>
              <w:jc w:val="center"/>
              <w:rPr>
                <w:color w:val="auto"/>
                <w:sz w:val="20"/>
                <w:szCs w:val="20"/>
              </w:rPr>
            </w:pPr>
            <w:r w:rsidRPr="00F27E0D">
              <w:rPr>
                <w:color w:val="auto"/>
                <w:sz w:val="20"/>
                <w:szCs w:val="20"/>
              </w:rPr>
              <w:t>£m</w:t>
            </w:r>
          </w:p>
        </w:tc>
      </w:tr>
      <w:tr w:rsidR="00F27E0D" w:rsidRPr="0005794A" w:rsidTr="00957739">
        <w:tc>
          <w:tcPr>
            <w:cnfStyle w:val="001000000000" w:firstRow="0" w:lastRow="0" w:firstColumn="1" w:lastColumn="0" w:oddVBand="0" w:evenVBand="0" w:oddHBand="0" w:evenHBand="0" w:firstRowFirstColumn="0" w:firstRowLastColumn="0" w:lastRowFirstColumn="0" w:lastRowLastColumn="0"/>
            <w:tcW w:w="2017" w:type="dxa"/>
            <w:vAlign w:val="center"/>
          </w:tcPr>
          <w:p w:rsidR="00F27E0D" w:rsidRPr="00053E4C" w:rsidRDefault="00F27E0D" w:rsidP="00F27E0D">
            <w:pPr>
              <w:pStyle w:val="BodyTextIndent"/>
              <w:tabs>
                <w:tab w:val="left" w:pos="709"/>
              </w:tabs>
              <w:ind w:left="0"/>
              <w:jc w:val="center"/>
              <w:rPr>
                <w:b w:val="0"/>
                <w:color w:val="auto"/>
                <w:sz w:val="20"/>
                <w:szCs w:val="20"/>
              </w:rPr>
            </w:pPr>
            <w:r w:rsidRPr="00053E4C">
              <w:rPr>
                <w:b w:val="0"/>
                <w:color w:val="auto"/>
                <w:sz w:val="20"/>
                <w:szCs w:val="20"/>
              </w:rPr>
              <w:t>4.4</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F27E0D" w:rsidRPr="00F27E0D" w:rsidRDefault="00F27E0D" w:rsidP="00957739">
            <w:pPr>
              <w:pStyle w:val="BodyTextIndent"/>
              <w:tabs>
                <w:tab w:val="left" w:pos="709"/>
              </w:tabs>
              <w:ind w:left="0"/>
              <w:rPr>
                <w:color w:val="auto"/>
                <w:sz w:val="20"/>
                <w:szCs w:val="20"/>
              </w:rPr>
            </w:pPr>
            <w:r w:rsidRPr="00F27E0D">
              <w:rPr>
                <w:color w:val="auto"/>
                <w:sz w:val="20"/>
                <w:szCs w:val="20"/>
              </w:rPr>
              <w:t>Opening Balance</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F27E0D" w:rsidRPr="00F27E0D" w:rsidRDefault="00EE6EEB" w:rsidP="00957739">
            <w:pPr>
              <w:pStyle w:val="BodyTextIndent"/>
              <w:tabs>
                <w:tab w:val="left" w:pos="709"/>
              </w:tabs>
              <w:ind w:left="0"/>
              <w:jc w:val="center"/>
              <w:rPr>
                <w:color w:val="auto"/>
                <w:sz w:val="20"/>
                <w:szCs w:val="20"/>
              </w:rPr>
            </w:pPr>
            <w:r>
              <w:rPr>
                <w:color w:val="auto"/>
                <w:sz w:val="20"/>
                <w:szCs w:val="20"/>
              </w:rPr>
              <w:t>25.0</w:t>
            </w:r>
          </w:p>
        </w:tc>
      </w:tr>
      <w:tr w:rsidR="00F27E0D" w:rsidRPr="0005794A" w:rsidTr="00957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vAlign w:val="center"/>
          </w:tcPr>
          <w:p w:rsidR="00F27E0D" w:rsidRPr="00053E4C" w:rsidRDefault="00F27E0D" w:rsidP="00F27E0D">
            <w:pPr>
              <w:pStyle w:val="BodyTextIndent"/>
              <w:tabs>
                <w:tab w:val="left" w:pos="709"/>
              </w:tabs>
              <w:ind w:left="0"/>
              <w:jc w:val="center"/>
              <w:rPr>
                <w:b w:val="0"/>
                <w:color w:val="auto"/>
                <w:sz w:val="20"/>
                <w:szCs w:val="20"/>
              </w:rPr>
            </w:pPr>
            <w:r w:rsidRPr="00053E4C">
              <w:rPr>
                <w:b w:val="0"/>
                <w:color w:val="auto"/>
                <w:sz w:val="20"/>
                <w:szCs w:val="20"/>
              </w:rPr>
              <w:t>21.1</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F27E0D" w:rsidRPr="00F27E0D" w:rsidRDefault="00F27E0D" w:rsidP="00957739">
            <w:pPr>
              <w:pStyle w:val="BodyTextIndent"/>
              <w:tabs>
                <w:tab w:val="left" w:pos="709"/>
              </w:tabs>
              <w:ind w:left="0"/>
              <w:rPr>
                <w:color w:val="auto"/>
                <w:sz w:val="20"/>
                <w:szCs w:val="20"/>
              </w:rPr>
            </w:pPr>
            <w:r w:rsidRPr="00F27E0D">
              <w:rPr>
                <w:color w:val="auto"/>
                <w:sz w:val="20"/>
                <w:szCs w:val="20"/>
              </w:rPr>
              <w:t>Purchases in year</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F27E0D" w:rsidRPr="00F27E0D" w:rsidRDefault="00053E4C" w:rsidP="00957739">
            <w:pPr>
              <w:pStyle w:val="BodyTextIndent"/>
              <w:tabs>
                <w:tab w:val="left" w:pos="709"/>
              </w:tabs>
              <w:ind w:left="0"/>
              <w:jc w:val="center"/>
              <w:rPr>
                <w:color w:val="auto"/>
                <w:sz w:val="20"/>
                <w:szCs w:val="20"/>
              </w:rPr>
            </w:pPr>
            <w:r>
              <w:rPr>
                <w:color w:val="auto"/>
                <w:sz w:val="20"/>
                <w:szCs w:val="20"/>
              </w:rPr>
              <w:t>96.4</w:t>
            </w:r>
          </w:p>
        </w:tc>
      </w:tr>
      <w:tr w:rsidR="00F27E0D" w:rsidRPr="0005794A" w:rsidTr="004B38B0">
        <w:tc>
          <w:tcPr>
            <w:cnfStyle w:val="001000000000" w:firstRow="0" w:lastRow="0" w:firstColumn="1" w:lastColumn="0" w:oddVBand="0" w:evenVBand="0" w:oddHBand="0" w:evenHBand="0" w:firstRowFirstColumn="0" w:firstRowLastColumn="0" w:lastRowFirstColumn="0" w:lastRowLastColumn="0"/>
            <w:tcW w:w="2017" w:type="dxa"/>
            <w:vAlign w:val="center"/>
          </w:tcPr>
          <w:p w:rsidR="00F27E0D" w:rsidRPr="00053E4C" w:rsidRDefault="00F27E0D" w:rsidP="00F27E0D">
            <w:pPr>
              <w:pStyle w:val="BodyTextIndent"/>
              <w:tabs>
                <w:tab w:val="left" w:pos="709"/>
              </w:tabs>
              <w:ind w:left="0"/>
              <w:jc w:val="center"/>
              <w:rPr>
                <w:b w:val="0"/>
                <w:color w:val="auto"/>
                <w:sz w:val="20"/>
                <w:szCs w:val="20"/>
              </w:rPr>
            </w:pPr>
            <w:r w:rsidRPr="00053E4C">
              <w:rPr>
                <w:b w:val="0"/>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F27E0D" w:rsidRPr="00F27E0D" w:rsidRDefault="00F27E0D" w:rsidP="00957739">
            <w:pPr>
              <w:pStyle w:val="BodyTextIndent"/>
              <w:tabs>
                <w:tab w:val="left" w:pos="709"/>
              </w:tabs>
              <w:ind w:left="0"/>
              <w:rPr>
                <w:color w:val="auto"/>
                <w:sz w:val="20"/>
                <w:szCs w:val="20"/>
              </w:rPr>
            </w:pPr>
            <w:r w:rsidRPr="00F27E0D">
              <w:rPr>
                <w:color w:val="auto"/>
                <w:sz w:val="20"/>
                <w:szCs w:val="20"/>
              </w:rPr>
              <w:t>Movements in value in year</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rsidR="00F27E0D" w:rsidRPr="004B38B0" w:rsidRDefault="004B38B0" w:rsidP="004F47E2">
            <w:pPr>
              <w:pStyle w:val="BodyTextIndent"/>
              <w:tabs>
                <w:tab w:val="left" w:pos="709"/>
              </w:tabs>
              <w:ind w:left="0"/>
              <w:jc w:val="center"/>
              <w:rPr>
                <w:color w:val="auto"/>
                <w:sz w:val="20"/>
                <w:szCs w:val="20"/>
              </w:rPr>
            </w:pPr>
            <w:r w:rsidRPr="004B38B0">
              <w:rPr>
                <w:color w:val="auto"/>
                <w:sz w:val="20"/>
                <w:szCs w:val="20"/>
              </w:rPr>
              <w:t>(6.0)</w:t>
            </w:r>
          </w:p>
        </w:tc>
      </w:tr>
      <w:tr w:rsidR="00F27E0D" w:rsidRPr="0005794A" w:rsidTr="004B38B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017" w:type="dxa"/>
            <w:tcBorders>
              <w:top w:val="single" w:sz="4" w:space="0" w:color="4BACC6" w:themeColor="accent5"/>
              <w:bottom w:val="single" w:sz="4" w:space="0" w:color="4BACC6" w:themeColor="accent5"/>
            </w:tcBorders>
            <w:vAlign w:val="center"/>
          </w:tcPr>
          <w:p w:rsidR="00F27E0D" w:rsidRPr="00053E4C" w:rsidRDefault="00F27E0D" w:rsidP="00F27E0D">
            <w:pPr>
              <w:pStyle w:val="BodyTextIndent"/>
              <w:tabs>
                <w:tab w:val="left" w:pos="709"/>
              </w:tabs>
              <w:ind w:left="0"/>
              <w:jc w:val="center"/>
              <w:rPr>
                <w:b w:val="0"/>
                <w:color w:val="auto"/>
                <w:sz w:val="20"/>
                <w:szCs w:val="20"/>
              </w:rPr>
            </w:pPr>
            <w:r w:rsidRPr="00053E4C">
              <w:rPr>
                <w:b w:val="0"/>
                <w:color w:val="auto"/>
                <w:sz w:val="20"/>
                <w:szCs w:val="20"/>
              </w:rPr>
              <w:t>25.0</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4BACC6" w:themeColor="accent5"/>
              <w:bottom w:val="single" w:sz="4" w:space="0" w:color="4BACC6" w:themeColor="accent5"/>
            </w:tcBorders>
            <w:vAlign w:val="center"/>
          </w:tcPr>
          <w:p w:rsidR="00F27E0D" w:rsidRPr="00F27E0D" w:rsidRDefault="00F27E0D" w:rsidP="00957739">
            <w:pPr>
              <w:pStyle w:val="BodyTextIndent"/>
              <w:tabs>
                <w:tab w:val="left" w:pos="709"/>
              </w:tabs>
              <w:ind w:left="0"/>
              <w:rPr>
                <w:color w:val="auto"/>
                <w:sz w:val="20"/>
                <w:szCs w:val="20"/>
              </w:rPr>
            </w:pPr>
            <w:r w:rsidRPr="00F27E0D">
              <w:rPr>
                <w:color w:val="auto"/>
                <w:sz w:val="20"/>
                <w:szCs w:val="20"/>
              </w:rPr>
              <w:t>Total</w:t>
            </w:r>
          </w:p>
        </w:tc>
        <w:tc>
          <w:tcPr>
            <w:cnfStyle w:val="000100000010" w:firstRow="0" w:lastRow="0" w:firstColumn="0" w:lastColumn="1" w:oddVBand="0" w:evenVBand="0" w:oddHBand="0" w:evenHBand="0" w:firstRowFirstColumn="0" w:firstRowLastColumn="0" w:lastRowFirstColumn="0" w:lastRowLastColumn="1"/>
            <w:tcW w:w="2268" w:type="dxa"/>
            <w:tcBorders>
              <w:top w:val="single" w:sz="4" w:space="0" w:color="4BACC6" w:themeColor="accent5"/>
              <w:bottom w:val="single" w:sz="4" w:space="0" w:color="4BACC6" w:themeColor="accent5"/>
            </w:tcBorders>
            <w:shd w:val="clear" w:color="auto" w:fill="auto"/>
            <w:vAlign w:val="center"/>
          </w:tcPr>
          <w:p w:rsidR="00F27E0D" w:rsidRPr="004B38B0" w:rsidRDefault="004B38B0" w:rsidP="004F47E2">
            <w:pPr>
              <w:pStyle w:val="BodyTextIndent"/>
              <w:tabs>
                <w:tab w:val="left" w:pos="709"/>
              </w:tabs>
              <w:ind w:left="0"/>
              <w:jc w:val="center"/>
              <w:rPr>
                <w:color w:val="auto"/>
                <w:sz w:val="20"/>
                <w:szCs w:val="20"/>
              </w:rPr>
            </w:pPr>
            <w:r w:rsidRPr="004B38B0">
              <w:rPr>
                <w:color w:val="auto"/>
                <w:sz w:val="20"/>
                <w:szCs w:val="20"/>
              </w:rPr>
              <w:t>115.4</w:t>
            </w:r>
          </w:p>
        </w:tc>
      </w:tr>
    </w:tbl>
    <w:p w:rsidR="008C0031" w:rsidRPr="0005794A" w:rsidRDefault="008C0031" w:rsidP="00875E2D">
      <w:pPr>
        <w:pStyle w:val="Subtitle"/>
        <w:ind w:left="567" w:hanging="567"/>
        <w:rPr>
          <w:b/>
          <w:color w:val="548DD4" w:themeColor="text2" w:themeTint="99"/>
          <w:sz w:val="22"/>
          <w:szCs w:val="22"/>
        </w:rPr>
      </w:pPr>
    </w:p>
    <w:p w:rsidR="00262F42" w:rsidRDefault="00262F42" w:rsidP="00875E2D">
      <w:pPr>
        <w:pStyle w:val="Subtitle"/>
        <w:ind w:left="567" w:hanging="567"/>
        <w:rPr>
          <w:b/>
          <w:color w:val="auto"/>
          <w:sz w:val="22"/>
          <w:szCs w:val="22"/>
        </w:rPr>
      </w:pPr>
    </w:p>
    <w:p w:rsidR="00262F42" w:rsidRDefault="00262F42" w:rsidP="00875E2D">
      <w:pPr>
        <w:pStyle w:val="Subtitle"/>
        <w:ind w:left="567" w:hanging="567"/>
        <w:rPr>
          <w:b/>
          <w:color w:val="auto"/>
          <w:sz w:val="22"/>
          <w:szCs w:val="22"/>
        </w:rPr>
      </w:pPr>
    </w:p>
    <w:p w:rsidR="00262F42" w:rsidRDefault="00262F42" w:rsidP="00875E2D">
      <w:pPr>
        <w:pStyle w:val="Subtitle"/>
        <w:ind w:left="567" w:hanging="567"/>
        <w:rPr>
          <w:b/>
          <w:color w:val="auto"/>
          <w:sz w:val="22"/>
          <w:szCs w:val="22"/>
        </w:rPr>
      </w:pPr>
    </w:p>
    <w:p w:rsidR="00262F42" w:rsidRDefault="00262F42" w:rsidP="00875E2D">
      <w:pPr>
        <w:pStyle w:val="Subtitle"/>
        <w:ind w:left="567" w:hanging="567"/>
        <w:rPr>
          <w:b/>
          <w:color w:val="auto"/>
          <w:sz w:val="22"/>
          <w:szCs w:val="22"/>
        </w:rPr>
      </w:pPr>
    </w:p>
    <w:p w:rsidR="00262F42" w:rsidRDefault="00262F42" w:rsidP="00875E2D">
      <w:pPr>
        <w:pStyle w:val="Subtitle"/>
        <w:ind w:left="567" w:hanging="567"/>
        <w:rPr>
          <w:b/>
          <w:color w:val="auto"/>
          <w:sz w:val="22"/>
          <w:szCs w:val="22"/>
        </w:rPr>
      </w:pPr>
    </w:p>
    <w:p w:rsidR="00262F42" w:rsidRDefault="00262F42" w:rsidP="00875E2D">
      <w:pPr>
        <w:pStyle w:val="Subtitle"/>
        <w:ind w:left="567" w:hanging="567"/>
        <w:rPr>
          <w:b/>
          <w:color w:val="auto"/>
          <w:sz w:val="22"/>
          <w:szCs w:val="22"/>
        </w:rPr>
      </w:pPr>
    </w:p>
    <w:p w:rsidR="00E51139" w:rsidRPr="00B87EC8" w:rsidRDefault="00E51139" w:rsidP="00875E2D">
      <w:pPr>
        <w:pStyle w:val="Subtitle"/>
        <w:ind w:left="567" w:hanging="567"/>
        <w:rPr>
          <w:b/>
          <w:color w:val="auto"/>
          <w:sz w:val="22"/>
          <w:szCs w:val="22"/>
        </w:rPr>
      </w:pPr>
      <w:r w:rsidRPr="00B87EC8">
        <w:rPr>
          <w:b/>
          <w:color w:val="auto"/>
          <w:sz w:val="22"/>
          <w:szCs w:val="22"/>
        </w:rPr>
        <w:lastRenderedPageBreak/>
        <w:t>1</w:t>
      </w:r>
      <w:r w:rsidR="005F70BB" w:rsidRPr="00B87EC8">
        <w:rPr>
          <w:b/>
          <w:color w:val="auto"/>
          <w:sz w:val="22"/>
          <w:szCs w:val="22"/>
        </w:rPr>
        <w:t>6</w:t>
      </w:r>
      <w:r w:rsidRPr="00B87EC8">
        <w:rPr>
          <w:b/>
          <w:color w:val="auto"/>
          <w:sz w:val="22"/>
          <w:szCs w:val="22"/>
        </w:rPr>
        <w:t>.</w:t>
      </w:r>
      <w:r w:rsidRPr="00B87EC8">
        <w:rPr>
          <w:b/>
          <w:color w:val="auto"/>
          <w:sz w:val="22"/>
          <w:szCs w:val="22"/>
        </w:rPr>
        <w:tab/>
        <w:t>Financial Instruments</w:t>
      </w:r>
      <w:r w:rsidR="00E709DF" w:rsidRPr="00B87EC8">
        <w:rPr>
          <w:b/>
          <w:color w:val="auto"/>
          <w:sz w:val="22"/>
          <w:szCs w:val="22"/>
        </w:rPr>
        <w:t xml:space="preserve"> </w:t>
      </w:r>
    </w:p>
    <w:p w:rsidR="00E51139" w:rsidRPr="00B87EC8" w:rsidRDefault="00E51139" w:rsidP="003C5E34">
      <w:pPr>
        <w:pStyle w:val="CodeNotesExampleText"/>
        <w:widowControl w:val="0"/>
        <w:ind w:left="567"/>
        <w:rPr>
          <w:rFonts w:cs="Arial"/>
          <w:color w:val="auto"/>
          <w:sz w:val="20"/>
          <w:szCs w:val="20"/>
        </w:rPr>
      </w:pPr>
      <w:r w:rsidRPr="00B87EC8">
        <w:rPr>
          <w:rFonts w:cs="Arial"/>
          <w:color w:val="auto"/>
          <w:sz w:val="20"/>
          <w:szCs w:val="20"/>
        </w:rPr>
        <w:t>The following categories of financial instrument are carried in the Balance Sheet:</w:t>
      </w:r>
    </w:p>
    <w:p w:rsidR="00443096" w:rsidRPr="0005794A" w:rsidRDefault="00443096" w:rsidP="003C5E34">
      <w:pPr>
        <w:pStyle w:val="CodeNotesExampleText"/>
        <w:widowControl w:val="0"/>
        <w:ind w:left="567"/>
        <w:rPr>
          <w:rFonts w:cs="Arial"/>
          <w:color w:val="548DD4" w:themeColor="text2" w:themeTint="99"/>
          <w:sz w:val="20"/>
          <w:szCs w:val="20"/>
        </w:rPr>
      </w:pPr>
    </w:p>
    <w:tbl>
      <w:tblPr>
        <w:tblStyle w:val="ListTable3-Accent51"/>
        <w:tblW w:w="8930" w:type="dxa"/>
        <w:tblInd w:w="534" w:type="dxa"/>
        <w:tblLayout w:type="fixed"/>
        <w:tblLook w:val="0000" w:firstRow="0" w:lastRow="0" w:firstColumn="0" w:lastColumn="0" w:noHBand="0" w:noVBand="0"/>
      </w:tblPr>
      <w:tblGrid>
        <w:gridCol w:w="992"/>
        <w:gridCol w:w="992"/>
        <w:gridCol w:w="4961"/>
        <w:gridCol w:w="993"/>
        <w:gridCol w:w="992"/>
      </w:tblGrid>
      <w:tr w:rsidR="00F2207D" w:rsidRPr="0005794A" w:rsidTr="00586ABF">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1984" w:type="dxa"/>
            <w:gridSpan w:val="2"/>
            <w:shd w:val="clear" w:color="auto" w:fill="4BACC6" w:themeFill="accent5"/>
          </w:tcPr>
          <w:p w:rsidR="00F2207D" w:rsidRPr="00A8408D" w:rsidRDefault="00E76401" w:rsidP="00CB7D7E">
            <w:pPr>
              <w:pStyle w:val="TableRightBold"/>
              <w:spacing w:line="240" w:lineRule="auto"/>
              <w:jc w:val="center"/>
              <w:rPr>
                <w:rFonts w:ascii="Arial" w:hAnsi="Arial" w:cs="Arial"/>
                <w:color w:val="auto"/>
                <w:sz w:val="18"/>
                <w:szCs w:val="18"/>
              </w:rPr>
            </w:pPr>
            <w:r w:rsidRPr="00A8408D">
              <w:rPr>
                <w:rStyle w:val="Bold"/>
                <w:rFonts w:ascii="Arial" w:hAnsi="Arial" w:cs="Arial"/>
                <w:bCs w:val="0"/>
                <w:color w:val="auto"/>
                <w:sz w:val="18"/>
                <w:szCs w:val="18"/>
              </w:rPr>
              <w:t>31</w:t>
            </w:r>
            <w:r w:rsidRPr="00A8408D">
              <w:rPr>
                <w:rStyle w:val="Bold"/>
                <w:rFonts w:ascii="Arial" w:hAnsi="Arial" w:cs="Arial"/>
                <w:bCs w:val="0"/>
                <w:color w:val="auto"/>
                <w:sz w:val="18"/>
                <w:szCs w:val="18"/>
                <w:vertAlign w:val="superscript"/>
              </w:rPr>
              <w:t>st</w:t>
            </w:r>
            <w:r w:rsidRPr="00A8408D">
              <w:rPr>
                <w:rStyle w:val="Bold"/>
                <w:rFonts w:ascii="Arial" w:hAnsi="Arial" w:cs="Arial"/>
                <w:bCs w:val="0"/>
                <w:color w:val="auto"/>
                <w:sz w:val="18"/>
                <w:szCs w:val="18"/>
              </w:rPr>
              <w:t xml:space="preserve"> </w:t>
            </w:r>
            <w:r w:rsidR="00F2207D" w:rsidRPr="00A8408D">
              <w:rPr>
                <w:rStyle w:val="Bold"/>
                <w:rFonts w:ascii="Arial" w:hAnsi="Arial" w:cs="Arial"/>
                <w:bCs w:val="0"/>
                <w:color w:val="auto"/>
                <w:sz w:val="18"/>
                <w:szCs w:val="18"/>
              </w:rPr>
              <w:t xml:space="preserve"> March 201</w:t>
            </w:r>
            <w:r w:rsidR="00A8408D" w:rsidRPr="00A8408D">
              <w:rPr>
                <w:rStyle w:val="Bold"/>
                <w:rFonts w:ascii="Arial" w:hAnsi="Arial" w:cs="Arial"/>
                <w:bCs w:val="0"/>
                <w:color w:val="auto"/>
                <w:sz w:val="18"/>
                <w:szCs w:val="18"/>
              </w:rPr>
              <w:t>7</w:t>
            </w:r>
          </w:p>
        </w:tc>
        <w:tc>
          <w:tcPr>
            <w:tcW w:w="4961" w:type="dxa"/>
            <w:shd w:val="clear" w:color="auto" w:fill="4BACC6" w:themeFill="accent5"/>
          </w:tcPr>
          <w:p w:rsidR="00F2207D" w:rsidRPr="00A8408D" w:rsidRDefault="00F2207D" w:rsidP="00326781">
            <w:pPr>
              <w:pStyle w:val="NoParagraphStyle"/>
              <w:spacing w:line="240" w:lineRule="auto"/>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1985" w:type="dxa"/>
            <w:gridSpan w:val="2"/>
            <w:shd w:val="clear" w:color="auto" w:fill="4BACC6" w:themeFill="accent5"/>
          </w:tcPr>
          <w:p w:rsidR="00F2207D" w:rsidRPr="00A8408D" w:rsidRDefault="00E76401" w:rsidP="00692213">
            <w:pPr>
              <w:pStyle w:val="TableRightBold"/>
              <w:spacing w:line="240" w:lineRule="auto"/>
              <w:jc w:val="center"/>
              <w:rPr>
                <w:rFonts w:ascii="Arial" w:hAnsi="Arial" w:cs="Arial"/>
                <w:color w:val="auto"/>
                <w:sz w:val="18"/>
                <w:szCs w:val="18"/>
              </w:rPr>
            </w:pPr>
            <w:r w:rsidRPr="00A8408D">
              <w:rPr>
                <w:rFonts w:ascii="Arial" w:hAnsi="Arial" w:cs="Arial"/>
                <w:color w:val="auto"/>
                <w:sz w:val="18"/>
                <w:szCs w:val="18"/>
              </w:rPr>
              <w:t>31</w:t>
            </w:r>
            <w:r w:rsidRPr="00A8408D">
              <w:rPr>
                <w:rFonts w:ascii="Arial" w:hAnsi="Arial" w:cs="Arial"/>
                <w:color w:val="auto"/>
                <w:sz w:val="18"/>
                <w:szCs w:val="18"/>
                <w:vertAlign w:val="superscript"/>
              </w:rPr>
              <w:t>st</w:t>
            </w:r>
            <w:r w:rsidRPr="00A8408D">
              <w:rPr>
                <w:rFonts w:ascii="Arial" w:hAnsi="Arial" w:cs="Arial"/>
                <w:color w:val="auto"/>
                <w:sz w:val="18"/>
                <w:szCs w:val="18"/>
              </w:rPr>
              <w:t xml:space="preserve"> </w:t>
            </w:r>
            <w:r w:rsidR="00E84520" w:rsidRPr="00A8408D">
              <w:rPr>
                <w:rFonts w:ascii="Arial" w:hAnsi="Arial" w:cs="Arial"/>
                <w:color w:val="auto"/>
                <w:sz w:val="18"/>
                <w:szCs w:val="18"/>
              </w:rPr>
              <w:t>March 201</w:t>
            </w:r>
            <w:r w:rsidR="00A8408D" w:rsidRPr="00A8408D">
              <w:rPr>
                <w:rFonts w:ascii="Arial" w:hAnsi="Arial" w:cs="Arial"/>
                <w:color w:val="auto"/>
                <w:sz w:val="18"/>
                <w:szCs w:val="18"/>
              </w:rPr>
              <w:t>8</w:t>
            </w:r>
          </w:p>
        </w:tc>
      </w:tr>
      <w:tr w:rsidR="00AF26EB" w:rsidRPr="0005794A" w:rsidTr="00586ABF">
        <w:trPr>
          <w:trHeight w:val="20"/>
        </w:trPr>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C7632F" w:rsidRPr="00A8408D" w:rsidRDefault="00C7632F" w:rsidP="001874CC">
            <w:pPr>
              <w:pStyle w:val="TableHeadBold"/>
              <w:jc w:val="center"/>
              <w:rPr>
                <w:rFonts w:ascii="Arial" w:hAnsi="Arial" w:cs="Arial"/>
                <w:b w:val="0"/>
                <w:color w:val="auto"/>
                <w:sz w:val="20"/>
                <w:szCs w:val="20"/>
              </w:rPr>
            </w:pPr>
            <w:r w:rsidRPr="00A8408D">
              <w:rPr>
                <w:rFonts w:ascii="Arial" w:hAnsi="Arial" w:cs="Arial"/>
                <w:b w:val="0"/>
                <w:color w:val="auto"/>
                <w:sz w:val="20"/>
                <w:szCs w:val="20"/>
              </w:rPr>
              <w:t>Long Term</w:t>
            </w:r>
          </w:p>
        </w:tc>
        <w:tc>
          <w:tcPr>
            <w:tcW w:w="992" w:type="dxa"/>
            <w:shd w:val="clear" w:color="auto" w:fill="4BACC6" w:themeFill="accent5"/>
          </w:tcPr>
          <w:p w:rsidR="00C7632F" w:rsidRPr="00A8408D" w:rsidRDefault="00C7632F" w:rsidP="001874CC">
            <w:pPr>
              <w:pStyle w:val="TableHeadBold"/>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0"/>
                <w:szCs w:val="20"/>
              </w:rPr>
            </w:pPr>
            <w:r w:rsidRPr="00A8408D">
              <w:rPr>
                <w:rFonts w:ascii="Arial" w:hAnsi="Arial" w:cs="Arial"/>
                <w:b w:val="0"/>
                <w:color w:val="auto"/>
                <w:sz w:val="20"/>
                <w:szCs w:val="20"/>
              </w:rPr>
              <w:t>Short Term</w:t>
            </w:r>
          </w:p>
        </w:tc>
        <w:tc>
          <w:tcPr>
            <w:cnfStyle w:val="000010000000" w:firstRow="0" w:lastRow="0" w:firstColumn="0" w:lastColumn="0" w:oddVBand="1" w:evenVBand="0" w:oddHBand="0" w:evenHBand="0" w:firstRowFirstColumn="0" w:firstRowLastColumn="0" w:lastRowFirstColumn="0" w:lastRowLastColumn="0"/>
            <w:tcW w:w="4961" w:type="dxa"/>
            <w:shd w:val="clear" w:color="auto" w:fill="4BACC6" w:themeFill="accent5"/>
          </w:tcPr>
          <w:p w:rsidR="00C7632F" w:rsidRPr="00A8408D" w:rsidRDefault="00C7632F" w:rsidP="001874CC">
            <w:pPr>
              <w:pStyle w:val="NoParagraphStyle"/>
              <w:spacing w:line="240" w:lineRule="auto"/>
              <w:textAlignment w:val="auto"/>
              <w:rPr>
                <w:rFonts w:ascii="Arial" w:hAnsi="Arial" w:cs="Arial"/>
                <w:color w:val="auto"/>
                <w:sz w:val="20"/>
                <w:szCs w:val="20"/>
              </w:rPr>
            </w:pPr>
          </w:p>
        </w:tc>
        <w:tc>
          <w:tcPr>
            <w:tcW w:w="993" w:type="dxa"/>
            <w:shd w:val="clear" w:color="auto" w:fill="4BACC6" w:themeFill="accent5"/>
          </w:tcPr>
          <w:p w:rsidR="00C7632F" w:rsidRPr="00A8408D" w:rsidRDefault="00C7632F" w:rsidP="001874CC">
            <w:pPr>
              <w:pStyle w:val="TableHeadBold"/>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A8408D">
              <w:rPr>
                <w:rFonts w:ascii="Arial" w:hAnsi="Arial" w:cs="Arial"/>
                <w:color w:val="auto"/>
                <w:sz w:val="20"/>
                <w:szCs w:val="20"/>
              </w:rPr>
              <w:t>Long Term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C7632F" w:rsidRPr="00A8408D" w:rsidRDefault="00C7632F" w:rsidP="001874CC">
            <w:pPr>
              <w:pStyle w:val="TableHeadBold"/>
              <w:jc w:val="center"/>
              <w:rPr>
                <w:rFonts w:ascii="Arial" w:hAnsi="Arial" w:cs="Arial"/>
                <w:color w:val="auto"/>
                <w:sz w:val="20"/>
                <w:szCs w:val="20"/>
              </w:rPr>
            </w:pPr>
            <w:r w:rsidRPr="00A8408D">
              <w:rPr>
                <w:rFonts w:ascii="Arial" w:hAnsi="Arial" w:cs="Arial"/>
                <w:color w:val="auto"/>
                <w:sz w:val="20"/>
                <w:szCs w:val="20"/>
              </w:rPr>
              <w:t>Short Term</w:t>
            </w:r>
          </w:p>
        </w:tc>
      </w:tr>
      <w:tr w:rsidR="00C7632F" w:rsidRPr="0005794A" w:rsidTr="00586ABF">
        <w:trPr>
          <w:cnfStyle w:val="000000100000" w:firstRow="0" w:lastRow="0" w:firstColumn="0" w:lastColumn="0" w:oddVBand="0" w:evenVBand="0" w:oddHBand="1"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C7632F" w:rsidRPr="00A8408D" w:rsidRDefault="00AF26EB" w:rsidP="00AF26EB">
            <w:pPr>
              <w:pStyle w:val="TableRight"/>
              <w:spacing w:line="276" w:lineRule="auto"/>
              <w:jc w:val="center"/>
              <w:rPr>
                <w:rFonts w:ascii="Arial" w:hAnsi="Arial" w:cs="Arial"/>
                <w:color w:val="auto"/>
              </w:rPr>
            </w:pPr>
            <w:r w:rsidRPr="00A8408D">
              <w:rPr>
                <w:rFonts w:ascii="Arial" w:hAnsi="Arial" w:cs="Arial"/>
                <w:color w:val="auto"/>
              </w:rPr>
              <w:t>£m</w:t>
            </w:r>
          </w:p>
        </w:tc>
        <w:tc>
          <w:tcPr>
            <w:tcW w:w="992" w:type="dxa"/>
            <w:shd w:val="clear" w:color="auto" w:fill="4BACC6" w:themeFill="accent5"/>
          </w:tcPr>
          <w:p w:rsidR="00C7632F" w:rsidRPr="00A8408D" w:rsidRDefault="00AF26EB" w:rsidP="00AF26EB">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8408D">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4961" w:type="dxa"/>
            <w:shd w:val="clear" w:color="auto" w:fill="4BACC6" w:themeFill="accent5"/>
          </w:tcPr>
          <w:p w:rsidR="00C7632F" w:rsidRPr="00A8408D" w:rsidRDefault="00C7632F" w:rsidP="00AF26EB">
            <w:pPr>
              <w:pStyle w:val="TableText"/>
              <w:spacing w:line="276" w:lineRule="auto"/>
              <w:jc w:val="center"/>
              <w:rPr>
                <w:rFonts w:ascii="Arial" w:hAnsi="Arial" w:cs="Arial"/>
                <w:color w:val="auto"/>
              </w:rPr>
            </w:pPr>
          </w:p>
        </w:tc>
        <w:tc>
          <w:tcPr>
            <w:tcW w:w="993" w:type="dxa"/>
            <w:shd w:val="clear" w:color="auto" w:fill="4BACC6" w:themeFill="accent5"/>
          </w:tcPr>
          <w:p w:rsidR="00C7632F" w:rsidRPr="00A8408D" w:rsidRDefault="00AF26EB" w:rsidP="00AF26EB">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8408D">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C7632F" w:rsidRPr="00A8408D" w:rsidRDefault="00AF26EB" w:rsidP="00AF26EB">
            <w:pPr>
              <w:pStyle w:val="TableRight"/>
              <w:spacing w:line="276" w:lineRule="auto"/>
              <w:jc w:val="center"/>
              <w:rPr>
                <w:rFonts w:ascii="Arial" w:hAnsi="Arial" w:cs="Arial"/>
                <w:color w:val="auto"/>
              </w:rPr>
            </w:pPr>
            <w:r w:rsidRPr="00A8408D">
              <w:rPr>
                <w:rFonts w:ascii="Arial" w:hAnsi="Arial" w:cs="Arial"/>
                <w:color w:val="auto"/>
              </w:rPr>
              <w:t>£m</w:t>
            </w:r>
          </w:p>
        </w:tc>
      </w:tr>
      <w:tr w:rsidR="00F2207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F2207D" w:rsidRPr="00A8408D" w:rsidRDefault="00F2207D" w:rsidP="00326781">
            <w:pPr>
              <w:pStyle w:val="TableRight"/>
              <w:spacing w:line="276" w:lineRule="auto"/>
              <w:rPr>
                <w:rFonts w:ascii="Arial" w:hAnsi="Arial" w:cs="Arial"/>
                <w:color w:val="auto"/>
                <w:sz w:val="16"/>
                <w:szCs w:val="16"/>
              </w:rPr>
            </w:pPr>
          </w:p>
        </w:tc>
        <w:tc>
          <w:tcPr>
            <w:tcW w:w="992" w:type="dxa"/>
          </w:tcPr>
          <w:p w:rsidR="00F2207D" w:rsidRPr="00A8408D" w:rsidRDefault="00F2207D" w:rsidP="00326781">
            <w:pPr>
              <w:pStyle w:val="TableRigh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p>
        </w:tc>
        <w:tc>
          <w:tcPr>
            <w:cnfStyle w:val="000010000000" w:firstRow="0" w:lastRow="0" w:firstColumn="0" w:lastColumn="0" w:oddVBand="1" w:evenVBand="0" w:oddHBand="0" w:evenHBand="0" w:firstRowFirstColumn="0" w:firstRowLastColumn="0" w:lastRowFirstColumn="0" w:lastRowLastColumn="0"/>
            <w:tcW w:w="4961" w:type="dxa"/>
          </w:tcPr>
          <w:p w:rsidR="00F2207D" w:rsidRPr="00A8408D" w:rsidRDefault="00F2207D" w:rsidP="00326781">
            <w:pPr>
              <w:pStyle w:val="TableText"/>
              <w:spacing w:line="276" w:lineRule="auto"/>
              <w:rPr>
                <w:rFonts w:ascii="Arial" w:hAnsi="Arial" w:cs="Arial"/>
                <w:b/>
                <w:color w:val="auto"/>
              </w:rPr>
            </w:pPr>
            <w:r w:rsidRPr="00A8408D">
              <w:rPr>
                <w:rFonts w:ascii="Arial" w:hAnsi="Arial" w:cs="Arial"/>
                <w:b/>
                <w:color w:val="auto"/>
              </w:rPr>
              <w:t>Investments</w:t>
            </w:r>
          </w:p>
        </w:tc>
        <w:tc>
          <w:tcPr>
            <w:tcW w:w="993" w:type="dxa"/>
          </w:tcPr>
          <w:p w:rsidR="00F2207D" w:rsidRPr="00A8408D" w:rsidRDefault="00F2207D" w:rsidP="00326781">
            <w:pPr>
              <w:pStyle w:val="TableRigh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992" w:type="dxa"/>
          </w:tcPr>
          <w:p w:rsidR="00F2207D" w:rsidRPr="00A8408D" w:rsidRDefault="00F2207D" w:rsidP="00326781">
            <w:pPr>
              <w:pStyle w:val="TableRight"/>
              <w:spacing w:line="276" w:lineRule="auto"/>
              <w:rPr>
                <w:rFonts w:ascii="Arial" w:hAnsi="Arial" w:cs="Arial"/>
                <w:b/>
                <w:color w:val="auto"/>
              </w:rPr>
            </w:pP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12.2</w:t>
            </w:r>
          </w:p>
        </w:tc>
        <w:tc>
          <w:tcPr>
            <w:tcW w:w="992" w:type="dxa"/>
          </w:tcPr>
          <w:p w:rsidR="00A8408D" w:rsidRPr="006F5D3D" w:rsidRDefault="00A8408D" w:rsidP="00A8408D">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F5D3D">
              <w:rPr>
                <w:rFonts w:ascii="Arial" w:hAnsi="Arial" w:cs="Arial"/>
                <w:color w:val="auto"/>
              </w:rPr>
              <w:t>12.8</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color w:val="auto"/>
              </w:rPr>
            </w:pPr>
            <w:r w:rsidRPr="00A8408D">
              <w:rPr>
                <w:rFonts w:ascii="Arial" w:hAnsi="Arial" w:cs="Arial"/>
                <w:color w:val="auto"/>
              </w:rPr>
              <w:t>Loans and receivables</w:t>
            </w:r>
          </w:p>
        </w:tc>
        <w:tc>
          <w:tcPr>
            <w:tcW w:w="993" w:type="dxa"/>
          </w:tcPr>
          <w:p w:rsidR="00A8408D" w:rsidRPr="00A8408D" w:rsidRDefault="006F5D3D" w:rsidP="0032678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0.1</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6F5D3D" w:rsidP="006F5D3D">
            <w:pPr>
              <w:pStyle w:val="TableRight"/>
              <w:spacing w:line="276" w:lineRule="auto"/>
              <w:jc w:val="center"/>
              <w:rPr>
                <w:rFonts w:ascii="Arial" w:hAnsi="Arial" w:cs="Arial"/>
                <w:b/>
                <w:color w:val="auto"/>
              </w:rPr>
            </w:pPr>
            <w:r>
              <w:rPr>
                <w:rFonts w:ascii="Arial" w:hAnsi="Arial" w:cs="Arial"/>
                <w:b/>
                <w:color w:val="auto"/>
              </w:rPr>
              <w:t>42.5</w:t>
            </w:r>
          </w:p>
        </w:tc>
      </w:tr>
      <w:tr w:rsidR="00A8408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2.8</w:t>
            </w:r>
          </w:p>
        </w:tc>
        <w:tc>
          <w:tcPr>
            <w:tcW w:w="992" w:type="dxa"/>
          </w:tcPr>
          <w:p w:rsidR="00A8408D" w:rsidRPr="006F5D3D" w:rsidRDefault="00A8408D" w:rsidP="00A8408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D3D">
              <w:rPr>
                <w:rFonts w:ascii="Arial" w:hAnsi="Arial" w:cs="Arial"/>
                <w:color w:val="auto"/>
              </w:rPr>
              <w:t>2.5</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color w:val="auto"/>
              </w:rPr>
            </w:pPr>
            <w:r w:rsidRPr="00A8408D">
              <w:rPr>
                <w:rFonts w:ascii="Arial" w:hAnsi="Arial" w:cs="Arial"/>
                <w:color w:val="auto"/>
              </w:rPr>
              <w:t>Available-for-sale financial assets</w:t>
            </w:r>
          </w:p>
        </w:tc>
        <w:tc>
          <w:tcPr>
            <w:tcW w:w="993" w:type="dxa"/>
          </w:tcPr>
          <w:p w:rsidR="00A8408D" w:rsidRPr="00A8408D" w:rsidRDefault="006F5D3D" w:rsidP="006F5D3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4.9</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6F5D3D" w:rsidP="00385472">
            <w:pPr>
              <w:pStyle w:val="TableRight"/>
              <w:spacing w:line="276" w:lineRule="auto"/>
              <w:jc w:val="center"/>
              <w:rPr>
                <w:rFonts w:ascii="Arial" w:hAnsi="Arial" w:cs="Arial"/>
                <w:b/>
                <w:color w:val="auto"/>
              </w:rPr>
            </w:pPr>
            <w:r>
              <w:rPr>
                <w:rFonts w:ascii="Arial" w:hAnsi="Arial" w:cs="Arial"/>
                <w:b/>
                <w:color w:val="auto"/>
              </w:rPr>
              <w:t>0</w:t>
            </w: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436"/>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ind w:left="0"/>
              <w:jc w:val="center"/>
              <w:rPr>
                <w:rFonts w:ascii="Arial" w:hAnsi="Arial" w:cs="Arial"/>
                <w:color w:val="auto"/>
              </w:rPr>
            </w:pPr>
            <w:r w:rsidRPr="006F5D3D">
              <w:rPr>
                <w:rFonts w:ascii="Arial" w:hAnsi="Arial" w:cs="Arial"/>
                <w:color w:val="auto"/>
              </w:rPr>
              <w:t>0</w:t>
            </w:r>
          </w:p>
        </w:tc>
        <w:tc>
          <w:tcPr>
            <w:tcW w:w="992" w:type="dxa"/>
          </w:tcPr>
          <w:p w:rsidR="00A8408D" w:rsidRPr="006F5D3D" w:rsidRDefault="00A8408D" w:rsidP="00A8408D">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F5D3D">
              <w:rPr>
                <w:rFonts w:ascii="Arial" w:hAnsi="Arial" w:cs="Arial"/>
                <w:color w:val="auto"/>
              </w:rPr>
              <w:t>11.3</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color w:val="auto"/>
              </w:rPr>
            </w:pPr>
            <w:r w:rsidRPr="00A8408D">
              <w:rPr>
                <w:rFonts w:ascii="Arial" w:hAnsi="Arial" w:cs="Arial"/>
                <w:color w:val="auto"/>
              </w:rPr>
              <w:t>Financial assets at fair value through profit and loss</w:t>
            </w:r>
          </w:p>
        </w:tc>
        <w:tc>
          <w:tcPr>
            <w:tcW w:w="993" w:type="dxa"/>
          </w:tcPr>
          <w:p w:rsidR="00A8408D" w:rsidRPr="00A8408D" w:rsidRDefault="006F5D3D" w:rsidP="00326781">
            <w:pPr>
              <w:pStyle w:val="TableRight"/>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6F5D3D" w:rsidP="006F5D3D">
            <w:pPr>
              <w:pStyle w:val="TableRight"/>
              <w:spacing w:line="276" w:lineRule="auto"/>
              <w:jc w:val="center"/>
              <w:rPr>
                <w:rFonts w:ascii="Arial" w:hAnsi="Arial" w:cs="Arial"/>
                <w:b/>
                <w:color w:val="auto"/>
              </w:rPr>
            </w:pPr>
            <w:r>
              <w:rPr>
                <w:rFonts w:ascii="Arial" w:hAnsi="Arial" w:cs="Arial"/>
                <w:b/>
                <w:color w:val="auto"/>
              </w:rPr>
              <w:t>11.3</w:t>
            </w:r>
          </w:p>
        </w:tc>
      </w:tr>
      <w:tr w:rsidR="00A8408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15.0</w:t>
            </w:r>
          </w:p>
        </w:tc>
        <w:tc>
          <w:tcPr>
            <w:tcW w:w="992" w:type="dxa"/>
          </w:tcPr>
          <w:p w:rsidR="00A8408D" w:rsidRPr="006F5D3D" w:rsidRDefault="00A8408D" w:rsidP="00A8408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D3D">
              <w:rPr>
                <w:rFonts w:ascii="Arial" w:hAnsi="Arial" w:cs="Arial"/>
                <w:color w:val="auto"/>
              </w:rPr>
              <w:t>26.6</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b/>
                <w:color w:val="auto"/>
              </w:rPr>
            </w:pPr>
            <w:r w:rsidRPr="00A8408D">
              <w:rPr>
                <w:rFonts w:ascii="Arial" w:hAnsi="Arial" w:cs="Arial"/>
                <w:b/>
                <w:color w:val="auto"/>
              </w:rPr>
              <w:t>Total investments</w:t>
            </w:r>
          </w:p>
        </w:tc>
        <w:tc>
          <w:tcPr>
            <w:tcW w:w="993" w:type="dxa"/>
          </w:tcPr>
          <w:p w:rsidR="00A8408D" w:rsidRPr="00A8408D" w:rsidRDefault="006F5D3D" w:rsidP="006F5D3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5.0</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6F5D3D" w:rsidP="006F5D3D">
            <w:pPr>
              <w:pStyle w:val="TableRight"/>
              <w:spacing w:line="276" w:lineRule="auto"/>
              <w:jc w:val="center"/>
              <w:rPr>
                <w:rFonts w:ascii="Arial" w:hAnsi="Arial" w:cs="Arial"/>
                <w:b/>
                <w:color w:val="auto"/>
              </w:rPr>
            </w:pPr>
            <w:r>
              <w:rPr>
                <w:rFonts w:ascii="Arial" w:hAnsi="Arial" w:cs="Arial"/>
                <w:b/>
                <w:color w:val="auto"/>
              </w:rPr>
              <w:t>53.8</w:t>
            </w: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p>
        </w:tc>
        <w:tc>
          <w:tcPr>
            <w:tcW w:w="992" w:type="dxa"/>
          </w:tcPr>
          <w:p w:rsidR="00A8408D" w:rsidRPr="006F5D3D" w:rsidRDefault="00A8408D" w:rsidP="00A8408D">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b/>
                <w:color w:val="auto"/>
              </w:rPr>
            </w:pPr>
            <w:r w:rsidRPr="00A8408D">
              <w:rPr>
                <w:rFonts w:ascii="Arial" w:hAnsi="Arial" w:cs="Arial"/>
                <w:b/>
                <w:color w:val="auto"/>
              </w:rPr>
              <w:t>Cash &amp; Cash Equivalents</w:t>
            </w:r>
          </w:p>
        </w:tc>
        <w:tc>
          <w:tcPr>
            <w:tcW w:w="993" w:type="dxa"/>
          </w:tcPr>
          <w:p w:rsidR="00A8408D" w:rsidRPr="00A8408D" w:rsidRDefault="00A8408D" w:rsidP="0032678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A8408D" w:rsidP="00326781">
            <w:pPr>
              <w:pStyle w:val="TableRight"/>
              <w:spacing w:line="276" w:lineRule="auto"/>
              <w:jc w:val="center"/>
              <w:rPr>
                <w:rFonts w:ascii="Arial" w:hAnsi="Arial" w:cs="Arial"/>
                <w:b/>
                <w:color w:val="auto"/>
              </w:rPr>
            </w:pPr>
          </w:p>
        </w:tc>
      </w:tr>
      <w:tr w:rsidR="00A8408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0</w:t>
            </w:r>
          </w:p>
        </w:tc>
        <w:tc>
          <w:tcPr>
            <w:tcW w:w="992" w:type="dxa"/>
          </w:tcPr>
          <w:p w:rsidR="00A8408D" w:rsidRPr="006F5D3D" w:rsidRDefault="00A8408D" w:rsidP="00A8408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D3D">
              <w:rPr>
                <w:rFonts w:ascii="Arial" w:hAnsi="Arial" w:cs="Arial"/>
                <w:color w:val="auto"/>
              </w:rPr>
              <w:t>0.2</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color w:val="auto"/>
              </w:rPr>
            </w:pPr>
            <w:r w:rsidRPr="00A8408D">
              <w:rPr>
                <w:rFonts w:ascii="Arial" w:hAnsi="Arial" w:cs="Arial"/>
                <w:color w:val="auto"/>
              </w:rPr>
              <w:t>Cash in hand and Bank (net)</w:t>
            </w:r>
          </w:p>
        </w:tc>
        <w:tc>
          <w:tcPr>
            <w:tcW w:w="993" w:type="dxa"/>
          </w:tcPr>
          <w:p w:rsidR="00A8408D" w:rsidRPr="00A8408D" w:rsidRDefault="006F5D3D" w:rsidP="0032678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6F5D3D" w:rsidP="00DC084A">
            <w:pPr>
              <w:pStyle w:val="TableRight"/>
              <w:spacing w:line="276" w:lineRule="auto"/>
              <w:jc w:val="center"/>
              <w:rPr>
                <w:rFonts w:ascii="Arial" w:hAnsi="Arial" w:cs="Arial"/>
                <w:b/>
                <w:color w:val="auto"/>
              </w:rPr>
            </w:pPr>
            <w:r>
              <w:rPr>
                <w:rFonts w:ascii="Arial" w:hAnsi="Arial" w:cs="Arial"/>
                <w:b/>
                <w:color w:val="auto"/>
              </w:rPr>
              <w:t>0.1</w:t>
            </w: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0</w:t>
            </w:r>
          </w:p>
        </w:tc>
        <w:tc>
          <w:tcPr>
            <w:tcW w:w="992" w:type="dxa"/>
          </w:tcPr>
          <w:p w:rsidR="00A8408D" w:rsidRPr="006F5D3D" w:rsidRDefault="00A8408D" w:rsidP="00A8408D">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F5D3D">
              <w:rPr>
                <w:rFonts w:ascii="Arial" w:hAnsi="Arial" w:cs="Arial"/>
                <w:color w:val="auto"/>
              </w:rPr>
              <w:t>0.3</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color w:val="auto"/>
              </w:rPr>
            </w:pPr>
            <w:r w:rsidRPr="00A8408D">
              <w:rPr>
                <w:rFonts w:ascii="Arial" w:hAnsi="Arial" w:cs="Arial"/>
                <w:color w:val="auto"/>
              </w:rPr>
              <w:t>Loans and receivables</w:t>
            </w:r>
          </w:p>
        </w:tc>
        <w:tc>
          <w:tcPr>
            <w:tcW w:w="993" w:type="dxa"/>
          </w:tcPr>
          <w:p w:rsidR="00A8408D" w:rsidRPr="00A8408D" w:rsidRDefault="006F5D3D" w:rsidP="0032678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937EF0" w:rsidP="00326781">
            <w:pPr>
              <w:pStyle w:val="TableRight"/>
              <w:spacing w:line="276" w:lineRule="auto"/>
              <w:jc w:val="center"/>
              <w:rPr>
                <w:rFonts w:ascii="Arial" w:hAnsi="Arial" w:cs="Arial"/>
                <w:b/>
                <w:color w:val="auto"/>
              </w:rPr>
            </w:pPr>
            <w:r>
              <w:rPr>
                <w:rFonts w:ascii="Arial" w:hAnsi="Arial" w:cs="Arial"/>
                <w:b/>
                <w:color w:val="auto"/>
              </w:rPr>
              <w:t>6.3</w:t>
            </w:r>
          </w:p>
        </w:tc>
      </w:tr>
      <w:tr w:rsidR="00A8408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0</w:t>
            </w:r>
          </w:p>
        </w:tc>
        <w:tc>
          <w:tcPr>
            <w:tcW w:w="992" w:type="dxa"/>
          </w:tcPr>
          <w:p w:rsidR="00A8408D" w:rsidRPr="006F5D3D" w:rsidRDefault="00A8408D" w:rsidP="00A8408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D3D">
              <w:rPr>
                <w:rFonts w:ascii="Arial" w:hAnsi="Arial" w:cs="Arial"/>
                <w:color w:val="auto"/>
              </w:rPr>
              <w:t>0.5</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b/>
                <w:color w:val="auto"/>
              </w:rPr>
            </w:pPr>
            <w:r w:rsidRPr="00A8408D">
              <w:rPr>
                <w:rFonts w:ascii="Arial" w:hAnsi="Arial" w:cs="Arial"/>
                <w:b/>
                <w:color w:val="auto"/>
              </w:rPr>
              <w:t>Total Cash &amp; Cash Equivalents</w:t>
            </w:r>
          </w:p>
        </w:tc>
        <w:tc>
          <w:tcPr>
            <w:tcW w:w="993" w:type="dxa"/>
          </w:tcPr>
          <w:p w:rsidR="00A8408D" w:rsidRPr="00A8408D" w:rsidRDefault="006F5D3D" w:rsidP="0032678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937EF0" w:rsidP="007D0A1F">
            <w:pPr>
              <w:pStyle w:val="TableRight"/>
              <w:spacing w:line="276" w:lineRule="auto"/>
              <w:jc w:val="center"/>
              <w:rPr>
                <w:rFonts w:ascii="Arial" w:hAnsi="Arial" w:cs="Arial"/>
                <w:b/>
                <w:color w:val="auto"/>
              </w:rPr>
            </w:pPr>
            <w:r>
              <w:rPr>
                <w:rFonts w:ascii="Arial" w:hAnsi="Arial" w:cs="Arial"/>
                <w:b/>
                <w:color w:val="auto"/>
              </w:rPr>
              <w:t>6.4</w:t>
            </w: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A8408D" w:rsidP="00A8408D">
            <w:pPr>
              <w:pStyle w:val="TableRight"/>
              <w:spacing w:line="276" w:lineRule="auto"/>
              <w:jc w:val="center"/>
              <w:rPr>
                <w:rFonts w:ascii="Arial" w:hAnsi="Arial" w:cs="Arial"/>
                <w:b/>
                <w:color w:val="auto"/>
              </w:rPr>
            </w:pPr>
          </w:p>
        </w:tc>
        <w:tc>
          <w:tcPr>
            <w:tcW w:w="992" w:type="dxa"/>
          </w:tcPr>
          <w:p w:rsidR="00A8408D" w:rsidRPr="00A8408D" w:rsidRDefault="00A8408D" w:rsidP="00A8408D">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b/>
                <w:color w:val="auto"/>
              </w:rPr>
            </w:pPr>
            <w:r w:rsidRPr="00A8408D">
              <w:rPr>
                <w:rFonts w:ascii="Arial" w:hAnsi="Arial" w:cs="Arial"/>
                <w:b/>
                <w:color w:val="auto"/>
              </w:rPr>
              <w:t xml:space="preserve">Debtors </w:t>
            </w:r>
          </w:p>
        </w:tc>
        <w:tc>
          <w:tcPr>
            <w:tcW w:w="993" w:type="dxa"/>
          </w:tcPr>
          <w:p w:rsidR="00A8408D" w:rsidRPr="00A8408D" w:rsidRDefault="00A8408D" w:rsidP="00326781">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A8408D" w:rsidP="00326781">
            <w:pPr>
              <w:pStyle w:val="TableRight"/>
              <w:spacing w:line="276" w:lineRule="auto"/>
              <w:jc w:val="center"/>
              <w:rPr>
                <w:rFonts w:ascii="Arial" w:hAnsi="Arial" w:cs="Arial"/>
                <w:b/>
                <w:color w:val="auto"/>
              </w:rPr>
            </w:pPr>
          </w:p>
        </w:tc>
      </w:tr>
      <w:tr w:rsidR="00A8408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6.5</w:t>
            </w:r>
          </w:p>
        </w:tc>
        <w:tc>
          <w:tcPr>
            <w:tcW w:w="992" w:type="dxa"/>
          </w:tcPr>
          <w:p w:rsidR="00A8408D" w:rsidRPr="006F5D3D" w:rsidRDefault="00A8408D" w:rsidP="00A8408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D3D">
              <w:rPr>
                <w:rFonts w:ascii="Arial" w:hAnsi="Arial" w:cs="Arial"/>
                <w:color w:val="auto"/>
              </w:rPr>
              <w:t>21.2</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color w:val="auto"/>
              </w:rPr>
            </w:pPr>
            <w:r w:rsidRPr="00A8408D">
              <w:rPr>
                <w:rFonts w:ascii="Arial" w:hAnsi="Arial" w:cs="Arial"/>
                <w:color w:val="auto"/>
              </w:rPr>
              <w:t>Financial assets carried at contract amounts</w:t>
            </w:r>
          </w:p>
        </w:tc>
        <w:tc>
          <w:tcPr>
            <w:tcW w:w="993" w:type="dxa"/>
          </w:tcPr>
          <w:p w:rsidR="00A8408D" w:rsidRPr="00A8408D" w:rsidRDefault="006F5D3D" w:rsidP="00937EF0">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12.</w:t>
            </w:r>
            <w:r w:rsidR="00937EF0">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6F5D3D" w:rsidP="006F5D3D">
            <w:pPr>
              <w:pStyle w:val="TableRight"/>
              <w:spacing w:line="276" w:lineRule="auto"/>
              <w:jc w:val="center"/>
              <w:rPr>
                <w:rFonts w:ascii="Arial" w:hAnsi="Arial" w:cs="Arial"/>
                <w:b/>
                <w:color w:val="auto"/>
              </w:rPr>
            </w:pPr>
            <w:r>
              <w:rPr>
                <w:rFonts w:ascii="Arial" w:hAnsi="Arial" w:cs="Arial"/>
                <w:b/>
                <w:color w:val="auto"/>
              </w:rPr>
              <w:t>22.3</w:t>
            </w: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6.5</w:t>
            </w:r>
          </w:p>
        </w:tc>
        <w:tc>
          <w:tcPr>
            <w:tcW w:w="992" w:type="dxa"/>
          </w:tcPr>
          <w:p w:rsidR="00A8408D" w:rsidRPr="006F5D3D" w:rsidRDefault="00A8408D" w:rsidP="00A8408D">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F5D3D">
              <w:rPr>
                <w:rFonts w:ascii="Arial" w:hAnsi="Arial" w:cs="Arial"/>
                <w:color w:val="auto"/>
              </w:rPr>
              <w:t>21.2</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b/>
                <w:color w:val="auto"/>
              </w:rPr>
            </w:pPr>
            <w:r w:rsidRPr="00A8408D">
              <w:rPr>
                <w:rFonts w:ascii="Arial" w:hAnsi="Arial" w:cs="Arial"/>
                <w:b/>
                <w:color w:val="auto"/>
              </w:rPr>
              <w:t>Total Debtors</w:t>
            </w:r>
          </w:p>
        </w:tc>
        <w:tc>
          <w:tcPr>
            <w:tcW w:w="993" w:type="dxa"/>
          </w:tcPr>
          <w:p w:rsidR="00A8408D" w:rsidRPr="00A8408D" w:rsidRDefault="006F5D3D" w:rsidP="00937EF0">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12.</w:t>
            </w:r>
            <w:r w:rsidR="00937EF0">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6F5D3D" w:rsidP="006F5D3D">
            <w:pPr>
              <w:pStyle w:val="TableRight"/>
              <w:spacing w:line="276" w:lineRule="auto"/>
              <w:jc w:val="center"/>
              <w:rPr>
                <w:rFonts w:ascii="Arial" w:hAnsi="Arial" w:cs="Arial"/>
                <w:b/>
                <w:color w:val="auto"/>
              </w:rPr>
            </w:pPr>
            <w:r>
              <w:rPr>
                <w:rFonts w:ascii="Arial" w:hAnsi="Arial" w:cs="Arial"/>
                <w:b/>
                <w:color w:val="auto"/>
              </w:rPr>
              <w:t>22.3</w:t>
            </w:r>
          </w:p>
        </w:tc>
      </w:tr>
      <w:tr w:rsidR="00A8408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p>
        </w:tc>
        <w:tc>
          <w:tcPr>
            <w:tcW w:w="992" w:type="dxa"/>
          </w:tcPr>
          <w:p w:rsidR="00A8408D" w:rsidRPr="006F5D3D" w:rsidRDefault="00A8408D" w:rsidP="00A8408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b/>
                <w:color w:val="auto"/>
              </w:rPr>
            </w:pPr>
            <w:r w:rsidRPr="00A8408D">
              <w:rPr>
                <w:rFonts w:ascii="Arial" w:hAnsi="Arial" w:cs="Arial"/>
                <w:b/>
                <w:color w:val="auto"/>
              </w:rPr>
              <w:t>Borrowings/Liabilities</w:t>
            </w:r>
          </w:p>
        </w:tc>
        <w:tc>
          <w:tcPr>
            <w:tcW w:w="993" w:type="dxa"/>
          </w:tcPr>
          <w:p w:rsidR="00A8408D" w:rsidRPr="00A8408D" w:rsidRDefault="00A8408D" w:rsidP="0032678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A8408D" w:rsidP="00326781">
            <w:pPr>
              <w:pStyle w:val="TableRight"/>
              <w:spacing w:line="276" w:lineRule="auto"/>
              <w:jc w:val="center"/>
              <w:rPr>
                <w:rFonts w:ascii="Arial" w:hAnsi="Arial" w:cs="Arial"/>
                <w:b/>
                <w:color w:val="auto"/>
              </w:rPr>
            </w:pP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tabs>
                <w:tab w:val="center" w:pos="317"/>
              </w:tabs>
              <w:spacing w:line="276" w:lineRule="auto"/>
              <w:jc w:val="center"/>
              <w:rPr>
                <w:rFonts w:ascii="Arial" w:hAnsi="Arial" w:cs="Arial"/>
                <w:color w:val="auto"/>
              </w:rPr>
            </w:pPr>
            <w:r w:rsidRPr="006F5D3D">
              <w:rPr>
                <w:rFonts w:ascii="Arial" w:hAnsi="Arial" w:cs="Arial"/>
                <w:color w:val="auto"/>
              </w:rPr>
              <w:t>(148.6)</w:t>
            </w:r>
          </w:p>
        </w:tc>
        <w:tc>
          <w:tcPr>
            <w:tcW w:w="992" w:type="dxa"/>
          </w:tcPr>
          <w:p w:rsidR="00A8408D" w:rsidRPr="006F5D3D" w:rsidRDefault="00A8408D" w:rsidP="00A8408D">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F5D3D">
              <w:rPr>
                <w:rFonts w:ascii="Arial" w:hAnsi="Arial" w:cs="Arial"/>
                <w:color w:val="auto"/>
              </w:rPr>
              <w:t>(5.8)</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color w:val="auto"/>
              </w:rPr>
            </w:pPr>
            <w:r w:rsidRPr="00A8408D">
              <w:rPr>
                <w:rFonts w:ascii="Arial" w:hAnsi="Arial" w:cs="Arial"/>
                <w:color w:val="auto"/>
              </w:rPr>
              <w:t>Financial liabilities at amortised cost</w:t>
            </w:r>
          </w:p>
        </w:tc>
        <w:tc>
          <w:tcPr>
            <w:tcW w:w="993" w:type="dxa"/>
          </w:tcPr>
          <w:p w:rsidR="00A8408D" w:rsidRPr="00A8408D" w:rsidRDefault="006F5D3D" w:rsidP="009C5D6A">
            <w:pPr>
              <w:pStyle w:val="TableRight"/>
              <w:tabs>
                <w:tab w:val="center" w:pos="317"/>
              </w:tabs>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(269.8)</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A8408D" w:rsidRDefault="006F5D3D" w:rsidP="009C5D6A">
            <w:pPr>
              <w:pStyle w:val="TableRight"/>
              <w:spacing w:line="276" w:lineRule="auto"/>
              <w:jc w:val="center"/>
              <w:rPr>
                <w:rFonts w:ascii="Arial" w:hAnsi="Arial" w:cs="Arial"/>
                <w:b/>
                <w:color w:val="auto"/>
              </w:rPr>
            </w:pPr>
            <w:r>
              <w:rPr>
                <w:rFonts w:ascii="Arial" w:hAnsi="Arial" w:cs="Arial"/>
                <w:b/>
                <w:color w:val="auto"/>
              </w:rPr>
              <w:t>(5.6)</w:t>
            </w:r>
          </w:p>
        </w:tc>
      </w:tr>
      <w:tr w:rsidR="00A8408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(148.6)</w:t>
            </w:r>
          </w:p>
        </w:tc>
        <w:tc>
          <w:tcPr>
            <w:tcW w:w="992" w:type="dxa"/>
          </w:tcPr>
          <w:p w:rsidR="00A8408D" w:rsidRPr="006F5D3D" w:rsidRDefault="00A8408D" w:rsidP="00A8408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D3D">
              <w:rPr>
                <w:rFonts w:ascii="Arial" w:hAnsi="Arial" w:cs="Arial"/>
                <w:color w:val="auto"/>
              </w:rPr>
              <w:t>(5.8)</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b/>
                <w:color w:val="auto"/>
              </w:rPr>
            </w:pPr>
            <w:r w:rsidRPr="00A8408D">
              <w:rPr>
                <w:rFonts w:ascii="Arial" w:hAnsi="Arial" w:cs="Arial"/>
                <w:b/>
                <w:color w:val="auto"/>
              </w:rPr>
              <w:t>Total borrowings</w:t>
            </w:r>
          </w:p>
        </w:tc>
        <w:tc>
          <w:tcPr>
            <w:tcW w:w="993" w:type="dxa"/>
          </w:tcPr>
          <w:p w:rsidR="00A8408D" w:rsidRPr="006F5D3D" w:rsidRDefault="006F5D3D" w:rsidP="009C5D6A">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F5D3D">
              <w:rPr>
                <w:rFonts w:ascii="Arial" w:hAnsi="Arial" w:cs="Arial"/>
                <w:b/>
                <w:color w:val="auto"/>
              </w:rPr>
              <w:t>(269.8)</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6F5D3D" w:rsidP="009C5D6A">
            <w:pPr>
              <w:pStyle w:val="TableRight"/>
              <w:spacing w:line="276" w:lineRule="auto"/>
              <w:jc w:val="center"/>
              <w:rPr>
                <w:rFonts w:ascii="Arial" w:hAnsi="Arial" w:cs="Arial"/>
                <w:b/>
                <w:color w:val="auto"/>
              </w:rPr>
            </w:pPr>
            <w:r w:rsidRPr="006F5D3D">
              <w:rPr>
                <w:rFonts w:ascii="Arial" w:hAnsi="Arial" w:cs="Arial"/>
                <w:b/>
                <w:color w:val="auto"/>
              </w:rPr>
              <w:t>(5.6)</w:t>
            </w: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Text"/>
              <w:spacing w:line="276" w:lineRule="auto"/>
              <w:jc w:val="center"/>
              <w:rPr>
                <w:rFonts w:ascii="Arial" w:hAnsi="Arial" w:cs="Arial"/>
                <w:color w:val="auto"/>
              </w:rPr>
            </w:pPr>
          </w:p>
        </w:tc>
        <w:tc>
          <w:tcPr>
            <w:tcW w:w="992" w:type="dxa"/>
          </w:tcPr>
          <w:p w:rsidR="00A8408D" w:rsidRPr="006F5D3D" w:rsidRDefault="00A8408D" w:rsidP="00A8408D">
            <w:pPr>
              <w:pStyle w:val="TableTex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b/>
                <w:color w:val="auto"/>
              </w:rPr>
            </w:pPr>
            <w:r w:rsidRPr="00A8408D">
              <w:rPr>
                <w:rFonts w:ascii="Arial" w:hAnsi="Arial" w:cs="Arial"/>
                <w:b/>
                <w:color w:val="auto"/>
              </w:rPr>
              <w:t>Other Long Term Liabilities</w:t>
            </w:r>
          </w:p>
        </w:tc>
        <w:tc>
          <w:tcPr>
            <w:tcW w:w="993" w:type="dxa"/>
          </w:tcPr>
          <w:p w:rsidR="00A8408D" w:rsidRPr="006F5D3D" w:rsidRDefault="00A8408D" w:rsidP="00326781">
            <w:pPr>
              <w:pStyle w:val="TableTex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326781">
            <w:pPr>
              <w:pStyle w:val="TableText"/>
              <w:spacing w:line="276" w:lineRule="auto"/>
              <w:jc w:val="center"/>
              <w:rPr>
                <w:rFonts w:ascii="Arial" w:hAnsi="Arial" w:cs="Arial"/>
                <w:b/>
                <w:color w:val="auto"/>
              </w:rPr>
            </w:pPr>
          </w:p>
        </w:tc>
      </w:tr>
      <w:tr w:rsidR="00A8408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Text"/>
              <w:spacing w:line="276" w:lineRule="auto"/>
              <w:jc w:val="center"/>
              <w:rPr>
                <w:rFonts w:ascii="Arial" w:hAnsi="Arial" w:cs="Arial"/>
                <w:color w:val="auto"/>
              </w:rPr>
            </w:pPr>
            <w:r w:rsidRPr="006F5D3D">
              <w:rPr>
                <w:rFonts w:ascii="Arial" w:hAnsi="Arial" w:cs="Arial"/>
                <w:color w:val="auto"/>
              </w:rPr>
              <w:t>(18.8)</w:t>
            </w:r>
          </w:p>
        </w:tc>
        <w:tc>
          <w:tcPr>
            <w:tcW w:w="992" w:type="dxa"/>
          </w:tcPr>
          <w:p w:rsidR="00A8408D" w:rsidRPr="006F5D3D" w:rsidRDefault="00A8408D" w:rsidP="00A8408D">
            <w:pPr>
              <w:pStyle w:val="TableT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D3D">
              <w:rPr>
                <w:rFonts w:ascii="Arial" w:hAnsi="Arial" w:cs="Arial"/>
                <w:color w:val="auto"/>
              </w:rPr>
              <w:t>(0.8)</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color w:val="auto"/>
              </w:rPr>
            </w:pPr>
            <w:r w:rsidRPr="00A8408D">
              <w:rPr>
                <w:rFonts w:ascii="Arial" w:hAnsi="Arial" w:cs="Arial"/>
                <w:color w:val="auto"/>
              </w:rPr>
              <w:t>PFI liability</w:t>
            </w:r>
          </w:p>
        </w:tc>
        <w:tc>
          <w:tcPr>
            <w:tcW w:w="993" w:type="dxa"/>
          </w:tcPr>
          <w:p w:rsidR="00A8408D" w:rsidRPr="006F5D3D" w:rsidRDefault="006F5D3D" w:rsidP="00326781">
            <w:pPr>
              <w:pStyle w:val="TableT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F5D3D">
              <w:rPr>
                <w:rFonts w:ascii="Arial" w:hAnsi="Arial" w:cs="Arial"/>
                <w:b/>
                <w:color w:val="auto"/>
              </w:rPr>
              <w:t>(18.2)</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6F5D3D" w:rsidP="00326781">
            <w:pPr>
              <w:pStyle w:val="TableText"/>
              <w:spacing w:line="276" w:lineRule="auto"/>
              <w:jc w:val="center"/>
              <w:rPr>
                <w:rFonts w:ascii="Arial" w:hAnsi="Arial" w:cs="Arial"/>
                <w:b/>
                <w:color w:val="auto"/>
              </w:rPr>
            </w:pPr>
            <w:r w:rsidRPr="006F5D3D">
              <w:rPr>
                <w:rFonts w:ascii="Arial" w:hAnsi="Arial" w:cs="Arial"/>
                <w:b/>
                <w:color w:val="auto"/>
              </w:rPr>
              <w:t>(0.7)</w:t>
            </w: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Text"/>
              <w:spacing w:line="276" w:lineRule="auto"/>
              <w:jc w:val="center"/>
              <w:rPr>
                <w:rFonts w:ascii="Arial" w:hAnsi="Arial" w:cs="Arial"/>
                <w:color w:val="auto"/>
              </w:rPr>
            </w:pPr>
            <w:r w:rsidRPr="006F5D3D">
              <w:rPr>
                <w:rFonts w:ascii="Arial" w:hAnsi="Arial" w:cs="Arial"/>
                <w:color w:val="auto"/>
              </w:rPr>
              <w:t>(18.8)</w:t>
            </w:r>
          </w:p>
        </w:tc>
        <w:tc>
          <w:tcPr>
            <w:tcW w:w="992" w:type="dxa"/>
          </w:tcPr>
          <w:p w:rsidR="00A8408D" w:rsidRPr="006F5D3D" w:rsidRDefault="00A8408D" w:rsidP="00A8408D">
            <w:pPr>
              <w:pStyle w:val="TableTex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F5D3D">
              <w:rPr>
                <w:rFonts w:ascii="Arial" w:hAnsi="Arial" w:cs="Arial"/>
                <w:color w:val="auto"/>
              </w:rPr>
              <w:t>(0.8)</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b/>
                <w:color w:val="auto"/>
              </w:rPr>
            </w:pPr>
            <w:r w:rsidRPr="00A8408D">
              <w:rPr>
                <w:rFonts w:ascii="Arial" w:hAnsi="Arial" w:cs="Arial"/>
                <w:b/>
                <w:color w:val="auto"/>
              </w:rPr>
              <w:t>Total other long term liabilities</w:t>
            </w:r>
          </w:p>
        </w:tc>
        <w:tc>
          <w:tcPr>
            <w:tcW w:w="993" w:type="dxa"/>
          </w:tcPr>
          <w:p w:rsidR="00A8408D" w:rsidRPr="006F5D3D" w:rsidRDefault="006F5D3D" w:rsidP="00326781">
            <w:pPr>
              <w:pStyle w:val="TableTex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6F5D3D">
              <w:rPr>
                <w:rFonts w:ascii="Arial" w:hAnsi="Arial" w:cs="Arial"/>
                <w:b/>
                <w:color w:val="auto"/>
              </w:rPr>
              <w:t>(18.2)</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6F5D3D" w:rsidP="00326781">
            <w:pPr>
              <w:pStyle w:val="TableText"/>
              <w:spacing w:line="276" w:lineRule="auto"/>
              <w:jc w:val="center"/>
              <w:rPr>
                <w:rFonts w:ascii="Arial" w:hAnsi="Arial" w:cs="Arial"/>
                <w:b/>
                <w:color w:val="auto"/>
              </w:rPr>
            </w:pPr>
            <w:r w:rsidRPr="006F5D3D">
              <w:rPr>
                <w:rFonts w:ascii="Arial" w:hAnsi="Arial" w:cs="Arial"/>
                <w:b/>
                <w:color w:val="auto"/>
              </w:rPr>
              <w:t>(0.7)</w:t>
            </w:r>
          </w:p>
        </w:tc>
      </w:tr>
      <w:tr w:rsidR="00A8408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p>
        </w:tc>
        <w:tc>
          <w:tcPr>
            <w:tcW w:w="992" w:type="dxa"/>
          </w:tcPr>
          <w:p w:rsidR="00A8408D" w:rsidRPr="006F5D3D" w:rsidRDefault="00A8408D" w:rsidP="00A8408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A62EF3">
            <w:pPr>
              <w:pStyle w:val="TableText"/>
              <w:spacing w:line="276" w:lineRule="auto"/>
              <w:rPr>
                <w:rFonts w:ascii="Arial" w:hAnsi="Arial" w:cs="Arial"/>
                <w:b/>
                <w:color w:val="auto"/>
              </w:rPr>
            </w:pPr>
            <w:r w:rsidRPr="00A8408D">
              <w:rPr>
                <w:rFonts w:ascii="Arial" w:hAnsi="Arial" w:cs="Arial"/>
                <w:b/>
                <w:color w:val="auto"/>
              </w:rPr>
              <w:t xml:space="preserve">Creditors </w:t>
            </w:r>
          </w:p>
        </w:tc>
        <w:tc>
          <w:tcPr>
            <w:tcW w:w="993" w:type="dxa"/>
          </w:tcPr>
          <w:p w:rsidR="00A8408D" w:rsidRPr="009A3EF1" w:rsidRDefault="00A8408D" w:rsidP="00326781">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48DD4" w:themeColor="text2" w:themeTint="99"/>
                <w:highlight w:val="yellow"/>
              </w:rPr>
            </w:pPr>
          </w:p>
        </w:tc>
        <w:tc>
          <w:tcPr>
            <w:cnfStyle w:val="000010000000" w:firstRow="0" w:lastRow="0" w:firstColumn="0" w:lastColumn="0" w:oddVBand="1" w:evenVBand="0" w:oddHBand="0" w:evenHBand="0" w:firstRowFirstColumn="0" w:firstRowLastColumn="0" w:lastRowFirstColumn="0" w:lastRowLastColumn="0"/>
            <w:tcW w:w="992" w:type="dxa"/>
          </w:tcPr>
          <w:p w:rsidR="00A8408D" w:rsidRPr="009A3EF1" w:rsidRDefault="00A8408D" w:rsidP="00326781">
            <w:pPr>
              <w:pStyle w:val="TableRight"/>
              <w:spacing w:line="276" w:lineRule="auto"/>
              <w:jc w:val="center"/>
              <w:rPr>
                <w:rFonts w:ascii="Arial" w:hAnsi="Arial" w:cs="Arial"/>
                <w:b/>
                <w:color w:val="548DD4" w:themeColor="text2" w:themeTint="99"/>
                <w:highlight w:val="yellow"/>
              </w:rPr>
            </w:pP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(2.6)</w:t>
            </w:r>
          </w:p>
        </w:tc>
        <w:tc>
          <w:tcPr>
            <w:tcW w:w="992" w:type="dxa"/>
          </w:tcPr>
          <w:p w:rsidR="00A8408D" w:rsidRPr="006F5D3D" w:rsidRDefault="00A8408D" w:rsidP="00A8408D">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highlight w:val="yellow"/>
              </w:rPr>
            </w:pPr>
            <w:r w:rsidRPr="006F5D3D">
              <w:rPr>
                <w:rFonts w:ascii="Arial" w:hAnsi="Arial" w:cs="Arial"/>
                <w:color w:val="auto"/>
              </w:rPr>
              <w:t>(18.0)</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6F5D3D" w:rsidRDefault="00A8408D" w:rsidP="00326781">
            <w:pPr>
              <w:pStyle w:val="TableText"/>
              <w:spacing w:line="276" w:lineRule="auto"/>
              <w:rPr>
                <w:rFonts w:ascii="Arial" w:hAnsi="Arial" w:cs="Arial"/>
                <w:color w:val="auto"/>
              </w:rPr>
            </w:pPr>
            <w:r w:rsidRPr="00A8408D">
              <w:rPr>
                <w:rFonts w:ascii="Arial" w:hAnsi="Arial" w:cs="Arial"/>
                <w:color w:val="auto"/>
              </w:rPr>
              <w:t>Financial liabilities carried at contract amount</w:t>
            </w:r>
          </w:p>
        </w:tc>
        <w:tc>
          <w:tcPr>
            <w:tcW w:w="993" w:type="dxa"/>
          </w:tcPr>
          <w:p w:rsidR="00A8408D" w:rsidRPr="006F5D3D" w:rsidRDefault="006F5D3D" w:rsidP="0035657C">
            <w:pPr>
              <w:pStyle w:val="TableRight"/>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6F5D3D">
              <w:rPr>
                <w:rFonts w:ascii="Arial" w:hAnsi="Arial" w:cs="Arial"/>
                <w:b/>
                <w:color w:val="auto"/>
              </w:rPr>
              <w:t>(</w:t>
            </w:r>
            <w:r w:rsidR="0035657C">
              <w:rPr>
                <w:rFonts w:ascii="Arial" w:hAnsi="Arial" w:cs="Arial"/>
                <w:b/>
                <w:color w:val="auto"/>
              </w:rPr>
              <w:t>2.2</w:t>
            </w:r>
            <w:r w:rsidRPr="006F5D3D">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6F5D3D" w:rsidP="0035657C">
            <w:pPr>
              <w:pStyle w:val="TableRight"/>
              <w:spacing w:line="276" w:lineRule="auto"/>
              <w:jc w:val="center"/>
              <w:rPr>
                <w:rFonts w:ascii="Arial" w:hAnsi="Arial" w:cs="Arial"/>
                <w:b/>
                <w:color w:val="auto"/>
              </w:rPr>
            </w:pPr>
            <w:r w:rsidRPr="006F5D3D">
              <w:rPr>
                <w:rFonts w:ascii="Arial" w:hAnsi="Arial" w:cs="Arial"/>
                <w:b/>
                <w:color w:val="auto"/>
              </w:rPr>
              <w:t>(2</w:t>
            </w:r>
            <w:r w:rsidR="0035657C">
              <w:rPr>
                <w:rFonts w:ascii="Arial" w:hAnsi="Arial" w:cs="Arial"/>
                <w:b/>
                <w:color w:val="auto"/>
              </w:rPr>
              <w:t>0.4</w:t>
            </w:r>
            <w:r w:rsidRPr="006F5D3D">
              <w:rPr>
                <w:rFonts w:ascii="Arial" w:hAnsi="Arial" w:cs="Arial"/>
                <w:b/>
                <w:color w:val="auto"/>
              </w:rPr>
              <w:t>)</w:t>
            </w:r>
          </w:p>
        </w:tc>
      </w:tr>
      <w:tr w:rsidR="00A8408D" w:rsidRPr="0005794A" w:rsidTr="00586ABF">
        <w:trPr>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jc w:val="center"/>
              <w:rPr>
                <w:rFonts w:ascii="Arial" w:hAnsi="Arial" w:cs="Arial"/>
                <w:color w:val="auto"/>
              </w:rPr>
            </w:pPr>
            <w:r w:rsidRPr="006F5D3D">
              <w:rPr>
                <w:rFonts w:ascii="Arial" w:hAnsi="Arial" w:cs="Arial"/>
                <w:color w:val="auto"/>
              </w:rPr>
              <w:t>(2.6)</w:t>
            </w:r>
          </w:p>
        </w:tc>
        <w:tc>
          <w:tcPr>
            <w:tcW w:w="992" w:type="dxa"/>
          </w:tcPr>
          <w:p w:rsidR="00A8408D" w:rsidRPr="006F5D3D" w:rsidRDefault="00A8408D" w:rsidP="00A8408D">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D3D">
              <w:rPr>
                <w:rFonts w:ascii="Arial" w:hAnsi="Arial" w:cs="Arial"/>
                <w:color w:val="auto"/>
              </w:rPr>
              <w:t>(18.0)</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6F5D3D" w:rsidRDefault="00A8408D" w:rsidP="00326781">
            <w:pPr>
              <w:pStyle w:val="TableText"/>
              <w:spacing w:line="276" w:lineRule="auto"/>
              <w:rPr>
                <w:rFonts w:ascii="Arial" w:hAnsi="Arial" w:cs="Arial"/>
                <w:b/>
                <w:color w:val="auto"/>
              </w:rPr>
            </w:pPr>
            <w:r w:rsidRPr="00A8408D">
              <w:rPr>
                <w:rFonts w:ascii="Arial" w:hAnsi="Arial" w:cs="Arial"/>
                <w:b/>
                <w:color w:val="auto"/>
              </w:rPr>
              <w:t>Total Creditors</w:t>
            </w:r>
          </w:p>
        </w:tc>
        <w:tc>
          <w:tcPr>
            <w:tcW w:w="993" w:type="dxa"/>
          </w:tcPr>
          <w:p w:rsidR="00A8408D" w:rsidRPr="006F5D3D" w:rsidRDefault="006F5D3D" w:rsidP="0035657C">
            <w:pPr>
              <w:pStyle w:val="TableRigh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F5D3D">
              <w:rPr>
                <w:rFonts w:ascii="Arial" w:hAnsi="Arial" w:cs="Arial"/>
                <w:b/>
                <w:color w:val="auto"/>
              </w:rPr>
              <w:t>(</w:t>
            </w:r>
            <w:r w:rsidR="0035657C">
              <w:rPr>
                <w:rFonts w:ascii="Arial" w:hAnsi="Arial" w:cs="Arial"/>
                <w:b/>
                <w:color w:val="auto"/>
              </w:rPr>
              <w:t>2.2</w:t>
            </w:r>
            <w:r w:rsidRPr="006F5D3D">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6F5D3D" w:rsidP="0035657C">
            <w:pPr>
              <w:pStyle w:val="TableRight"/>
              <w:spacing w:line="276" w:lineRule="auto"/>
              <w:jc w:val="center"/>
              <w:rPr>
                <w:rFonts w:ascii="Arial" w:hAnsi="Arial" w:cs="Arial"/>
                <w:b/>
                <w:color w:val="auto"/>
              </w:rPr>
            </w:pPr>
            <w:r w:rsidRPr="006F5D3D">
              <w:rPr>
                <w:rFonts w:ascii="Arial" w:hAnsi="Arial" w:cs="Arial"/>
                <w:b/>
                <w:color w:val="auto"/>
              </w:rPr>
              <w:t>(2</w:t>
            </w:r>
            <w:r w:rsidR="0035657C">
              <w:rPr>
                <w:rFonts w:ascii="Arial" w:hAnsi="Arial" w:cs="Arial"/>
                <w:b/>
                <w:color w:val="auto"/>
              </w:rPr>
              <w:t>0.4</w:t>
            </w:r>
            <w:r w:rsidRPr="006F5D3D">
              <w:rPr>
                <w:rFonts w:ascii="Arial" w:hAnsi="Arial" w:cs="Arial"/>
                <w:b/>
                <w:color w:val="auto"/>
              </w:rPr>
              <w:t>)</w:t>
            </w:r>
          </w:p>
        </w:tc>
      </w:tr>
      <w:tr w:rsidR="00A8408D" w:rsidRPr="0005794A" w:rsidTr="00586ABF">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992" w:type="dxa"/>
          </w:tcPr>
          <w:p w:rsidR="00A8408D" w:rsidRPr="006F5D3D" w:rsidRDefault="00A8408D" w:rsidP="00A8408D">
            <w:pPr>
              <w:pStyle w:val="TableRight"/>
              <w:spacing w:line="276" w:lineRule="auto"/>
              <w:ind w:left="0"/>
              <w:jc w:val="center"/>
              <w:rPr>
                <w:rFonts w:ascii="Arial" w:hAnsi="Arial" w:cs="Arial"/>
                <w:color w:val="auto"/>
              </w:rPr>
            </w:pPr>
            <w:r w:rsidRPr="006F5D3D">
              <w:rPr>
                <w:rFonts w:ascii="Arial" w:hAnsi="Arial" w:cs="Arial"/>
                <w:color w:val="auto"/>
              </w:rPr>
              <w:t>(148.5)</w:t>
            </w:r>
          </w:p>
        </w:tc>
        <w:tc>
          <w:tcPr>
            <w:tcW w:w="992" w:type="dxa"/>
          </w:tcPr>
          <w:p w:rsidR="00A8408D" w:rsidRPr="006F5D3D" w:rsidRDefault="00A8408D" w:rsidP="00A8408D">
            <w:pPr>
              <w:pStyle w:val="TableRight"/>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F5D3D">
              <w:rPr>
                <w:rFonts w:ascii="Arial" w:hAnsi="Arial" w:cs="Arial"/>
                <w:color w:val="auto"/>
              </w:rPr>
              <w:t>23.7</w:t>
            </w:r>
          </w:p>
        </w:tc>
        <w:tc>
          <w:tcPr>
            <w:cnfStyle w:val="000010000000" w:firstRow="0" w:lastRow="0" w:firstColumn="0" w:lastColumn="0" w:oddVBand="1" w:evenVBand="0" w:oddHBand="0" w:evenHBand="0" w:firstRowFirstColumn="0" w:firstRowLastColumn="0" w:lastRowFirstColumn="0" w:lastRowLastColumn="0"/>
            <w:tcW w:w="4961" w:type="dxa"/>
          </w:tcPr>
          <w:p w:rsidR="00A8408D" w:rsidRPr="00A8408D" w:rsidRDefault="00A8408D" w:rsidP="00326781">
            <w:pPr>
              <w:pStyle w:val="TableText"/>
              <w:spacing w:line="276" w:lineRule="auto"/>
              <w:rPr>
                <w:rFonts w:ascii="Arial" w:hAnsi="Arial" w:cs="Arial"/>
                <w:b/>
                <w:color w:val="auto"/>
              </w:rPr>
            </w:pPr>
            <w:r w:rsidRPr="00A8408D">
              <w:rPr>
                <w:rFonts w:ascii="Arial" w:hAnsi="Arial" w:cs="Arial"/>
                <w:b/>
                <w:color w:val="auto"/>
              </w:rPr>
              <w:t>Total All Financial Instruments</w:t>
            </w:r>
          </w:p>
        </w:tc>
        <w:tc>
          <w:tcPr>
            <w:tcW w:w="993" w:type="dxa"/>
          </w:tcPr>
          <w:p w:rsidR="00A8408D" w:rsidRPr="009A3EF1" w:rsidRDefault="006F5D3D" w:rsidP="0035657C">
            <w:pPr>
              <w:pStyle w:val="TableRight"/>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548DD4" w:themeColor="text2" w:themeTint="99"/>
                <w:highlight w:val="yellow"/>
              </w:rPr>
            </w:pPr>
            <w:r w:rsidRPr="006516CB">
              <w:rPr>
                <w:rFonts w:ascii="Arial" w:hAnsi="Arial" w:cs="Arial"/>
                <w:b/>
                <w:color w:val="auto"/>
              </w:rPr>
              <w:t>(27</w:t>
            </w:r>
            <w:r w:rsidR="0035657C">
              <w:rPr>
                <w:rFonts w:ascii="Arial" w:hAnsi="Arial" w:cs="Arial"/>
                <w:b/>
                <w:color w:val="auto"/>
              </w:rPr>
              <w:t>3.2</w:t>
            </w:r>
            <w:r w:rsidRPr="006516CB">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992" w:type="dxa"/>
          </w:tcPr>
          <w:p w:rsidR="00A8408D" w:rsidRPr="009A3EF1" w:rsidRDefault="0035657C" w:rsidP="0035657C">
            <w:pPr>
              <w:pStyle w:val="TableRight"/>
              <w:spacing w:line="276" w:lineRule="auto"/>
              <w:ind w:left="0"/>
              <w:jc w:val="center"/>
              <w:rPr>
                <w:rFonts w:ascii="Arial" w:hAnsi="Arial" w:cs="Arial"/>
                <w:b/>
                <w:color w:val="548DD4" w:themeColor="text2" w:themeTint="99"/>
                <w:highlight w:val="yellow"/>
              </w:rPr>
            </w:pPr>
            <w:r>
              <w:rPr>
                <w:rFonts w:ascii="Arial" w:hAnsi="Arial" w:cs="Arial"/>
                <w:b/>
                <w:color w:val="auto"/>
              </w:rPr>
              <w:t>55.8</w:t>
            </w:r>
          </w:p>
        </w:tc>
      </w:tr>
    </w:tbl>
    <w:p w:rsidR="00AE19E1" w:rsidRPr="0005794A" w:rsidRDefault="00E51139" w:rsidP="001874CC">
      <w:pPr>
        <w:pStyle w:val="BodyTextIndent"/>
        <w:tabs>
          <w:tab w:val="left" w:pos="525"/>
        </w:tabs>
        <w:ind w:left="525" w:hanging="525"/>
        <w:rPr>
          <w:color w:val="548DD4" w:themeColor="text2" w:themeTint="99"/>
          <w:sz w:val="20"/>
          <w:szCs w:val="20"/>
        </w:rPr>
      </w:pPr>
      <w:r w:rsidRPr="0005794A">
        <w:rPr>
          <w:color w:val="548DD4" w:themeColor="text2" w:themeTint="99"/>
          <w:sz w:val="20"/>
          <w:szCs w:val="20"/>
        </w:rPr>
        <w:tab/>
      </w:r>
    </w:p>
    <w:p w:rsidR="00D25D2C" w:rsidRPr="009A3EF1" w:rsidRDefault="00AE19E1" w:rsidP="001874CC">
      <w:pPr>
        <w:pStyle w:val="BodyTextIndent"/>
        <w:tabs>
          <w:tab w:val="left" w:pos="525"/>
        </w:tabs>
        <w:ind w:left="525" w:hanging="525"/>
        <w:rPr>
          <w:color w:val="auto"/>
          <w:sz w:val="20"/>
          <w:szCs w:val="20"/>
        </w:rPr>
      </w:pPr>
      <w:r w:rsidRPr="0005794A">
        <w:rPr>
          <w:color w:val="548DD4" w:themeColor="text2" w:themeTint="99"/>
          <w:sz w:val="20"/>
          <w:szCs w:val="20"/>
        </w:rPr>
        <w:tab/>
      </w:r>
      <w:r w:rsidR="00E51139" w:rsidRPr="009A3EF1">
        <w:rPr>
          <w:color w:val="auto"/>
          <w:sz w:val="20"/>
          <w:szCs w:val="20"/>
        </w:rPr>
        <w:t>During the year the Council has not reclassified any financial instruments or pledged any financial assets as collateral for liabilities or contingent liabilities or has any loans payable including interest due in default. The main measurement bases used by the Council in preparing the treatment of Financial Instruments within its financial statement are as follows:</w:t>
      </w:r>
    </w:p>
    <w:p w:rsidR="00BD5FB3" w:rsidRPr="0005794A" w:rsidRDefault="00BD5FB3" w:rsidP="001874CC">
      <w:pPr>
        <w:pStyle w:val="BodyTextIndent"/>
        <w:tabs>
          <w:tab w:val="left" w:pos="525"/>
        </w:tabs>
        <w:ind w:left="525" w:hanging="525"/>
        <w:rPr>
          <w:color w:val="548DD4" w:themeColor="text2" w:themeTint="99"/>
          <w:sz w:val="20"/>
          <w:szCs w:val="20"/>
        </w:rPr>
      </w:pPr>
    </w:p>
    <w:tbl>
      <w:tblPr>
        <w:tblStyle w:val="ListTable3-Accent51"/>
        <w:tblW w:w="8647" w:type="dxa"/>
        <w:tblInd w:w="675" w:type="dxa"/>
        <w:tblLook w:val="01E0" w:firstRow="1" w:lastRow="1" w:firstColumn="1" w:lastColumn="1" w:noHBand="0" w:noVBand="0"/>
      </w:tblPr>
      <w:tblGrid>
        <w:gridCol w:w="2694"/>
        <w:gridCol w:w="3118"/>
        <w:gridCol w:w="2835"/>
      </w:tblGrid>
      <w:tr w:rsidR="00E51139" w:rsidRPr="0005794A" w:rsidTr="001874C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94" w:type="dxa"/>
          </w:tcPr>
          <w:p w:rsidR="00E51139" w:rsidRPr="009A3EF1" w:rsidRDefault="00E51139" w:rsidP="00CE6D72">
            <w:pPr>
              <w:pStyle w:val="BodyTextIndent"/>
              <w:tabs>
                <w:tab w:val="left" w:pos="709"/>
              </w:tabs>
              <w:ind w:left="0"/>
              <w:jc w:val="center"/>
              <w:rPr>
                <w:b w:val="0"/>
                <w:color w:val="auto"/>
                <w:sz w:val="20"/>
                <w:szCs w:val="20"/>
              </w:rPr>
            </w:pPr>
            <w:r w:rsidRPr="009A3EF1">
              <w:rPr>
                <w:b w:val="0"/>
                <w:color w:val="auto"/>
                <w:sz w:val="20"/>
                <w:szCs w:val="20"/>
              </w:rPr>
              <w:t>Financial Instrument</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9A3EF1" w:rsidRDefault="00E51139" w:rsidP="00CE6D72">
            <w:pPr>
              <w:pStyle w:val="BodyTextIndent"/>
              <w:tabs>
                <w:tab w:val="left" w:pos="709"/>
              </w:tabs>
              <w:ind w:left="0"/>
              <w:jc w:val="center"/>
              <w:rPr>
                <w:b w:val="0"/>
                <w:color w:val="auto"/>
                <w:sz w:val="20"/>
                <w:szCs w:val="20"/>
              </w:rPr>
            </w:pPr>
            <w:r w:rsidRPr="009A3EF1">
              <w:rPr>
                <w:b w:val="0"/>
                <w:color w:val="auto"/>
                <w:sz w:val="20"/>
                <w:szCs w:val="20"/>
              </w:rPr>
              <w:t>Basis of measurement</w:t>
            </w:r>
          </w:p>
        </w:tc>
        <w:tc>
          <w:tcPr>
            <w:cnfStyle w:val="000100001000" w:firstRow="0" w:lastRow="0" w:firstColumn="0" w:lastColumn="1" w:oddVBand="0" w:evenVBand="0" w:oddHBand="0" w:evenHBand="0" w:firstRowFirstColumn="0" w:firstRowLastColumn="1" w:lastRowFirstColumn="0" w:lastRowLastColumn="0"/>
            <w:tcW w:w="2835" w:type="dxa"/>
          </w:tcPr>
          <w:p w:rsidR="00E51139" w:rsidRPr="009A3EF1" w:rsidRDefault="00E51139" w:rsidP="00CE6D72">
            <w:pPr>
              <w:pStyle w:val="BodyTextIndent"/>
              <w:tabs>
                <w:tab w:val="left" w:pos="709"/>
              </w:tabs>
              <w:ind w:left="0"/>
              <w:jc w:val="center"/>
              <w:rPr>
                <w:b w:val="0"/>
                <w:color w:val="auto"/>
                <w:sz w:val="20"/>
                <w:szCs w:val="20"/>
              </w:rPr>
            </w:pPr>
            <w:r w:rsidRPr="009A3EF1">
              <w:rPr>
                <w:b w:val="0"/>
                <w:color w:val="auto"/>
                <w:sz w:val="20"/>
                <w:szCs w:val="20"/>
              </w:rPr>
              <w:t>Note</w:t>
            </w:r>
          </w:p>
        </w:tc>
      </w:tr>
      <w:tr w:rsidR="00E51139" w:rsidRPr="0005794A" w:rsidTr="00187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Investments – fixed rate</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9A3EF1" w:rsidRDefault="00E51139" w:rsidP="00CE6D72">
            <w:pPr>
              <w:pStyle w:val="BodyTextIndent"/>
              <w:tabs>
                <w:tab w:val="left" w:pos="709"/>
              </w:tabs>
              <w:ind w:left="0"/>
              <w:rPr>
                <w:color w:val="auto"/>
                <w:sz w:val="20"/>
                <w:szCs w:val="20"/>
              </w:rPr>
            </w:pPr>
            <w:r w:rsidRPr="009A3EF1">
              <w:rPr>
                <w:color w:val="auto"/>
                <w:sz w:val="20"/>
                <w:szCs w:val="20"/>
              </w:rPr>
              <w:t>Carrying value adjusted for interest owed at year end</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Investment</w:t>
            </w:r>
            <w:r w:rsidR="00544848" w:rsidRPr="009A3EF1">
              <w:rPr>
                <w:b w:val="0"/>
                <w:color w:val="auto"/>
                <w:sz w:val="20"/>
                <w:szCs w:val="20"/>
              </w:rPr>
              <w:t>s</w:t>
            </w:r>
            <w:r w:rsidRPr="009A3EF1">
              <w:rPr>
                <w:b w:val="0"/>
                <w:color w:val="auto"/>
                <w:sz w:val="20"/>
                <w:szCs w:val="20"/>
              </w:rPr>
              <w:t xml:space="preserve"> have both fixed term and fixed interest rates</w:t>
            </w:r>
          </w:p>
        </w:tc>
      </w:tr>
      <w:tr w:rsidR="00E51139" w:rsidRPr="0005794A" w:rsidTr="001874CC">
        <w:tc>
          <w:tcPr>
            <w:cnfStyle w:val="001000000000" w:firstRow="0" w:lastRow="0" w:firstColumn="1" w:lastColumn="0" w:oddVBand="0" w:evenVBand="0" w:oddHBand="0" w:evenHBand="0" w:firstRowFirstColumn="0" w:firstRowLastColumn="0" w:lastRowFirstColumn="0" w:lastRowLastColumn="0"/>
            <w:tcW w:w="2694"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Investments – Money Market Funds</w:t>
            </w:r>
          </w:p>
          <w:p w:rsidR="00E51139" w:rsidRPr="009A3EF1" w:rsidRDefault="00E51139" w:rsidP="00CE6D72">
            <w:pPr>
              <w:pStyle w:val="BodyTextIndent"/>
              <w:tabs>
                <w:tab w:val="left" w:pos="709"/>
              </w:tabs>
              <w:ind w:left="0"/>
              <w:rPr>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118" w:type="dxa"/>
          </w:tcPr>
          <w:p w:rsidR="00E51139" w:rsidRPr="009A3EF1" w:rsidRDefault="00E51139" w:rsidP="000A05CC">
            <w:pPr>
              <w:pStyle w:val="BodyTextIndent"/>
              <w:tabs>
                <w:tab w:val="left" w:pos="709"/>
              </w:tabs>
              <w:ind w:left="0"/>
              <w:rPr>
                <w:color w:val="auto"/>
                <w:sz w:val="20"/>
                <w:szCs w:val="20"/>
              </w:rPr>
            </w:pPr>
            <w:r w:rsidRPr="009A3EF1">
              <w:rPr>
                <w:color w:val="auto"/>
                <w:sz w:val="20"/>
                <w:szCs w:val="20"/>
              </w:rPr>
              <w:t xml:space="preserve">Increase in carrying value recognised in Income &amp; Expenditure Account </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Interest rate determinable on 1</w:t>
            </w:r>
            <w:r w:rsidRPr="009A3EF1">
              <w:rPr>
                <w:b w:val="0"/>
                <w:color w:val="auto"/>
                <w:sz w:val="20"/>
                <w:szCs w:val="20"/>
                <w:vertAlign w:val="superscript"/>
              </w:rPr>
              <w:t>st</w:t>
            </w:r>
            <w:r w:rsidRPr="009A3EF1">
              <w:rPr>
                <w:b w:val="0"/>
                <w:color w:val="auto"/>
                <w:sz w:val="20"/>
                <w:szCs w:val="20"/>
              </w:rPr>
              <w:t xml:space="preserve"> April.</w:t>
            </w:r>
          </w:p>
        </w:tc>
      </w:tr>
      <w:tr w:rsidR="00E51139" w:rsidRPr="0005794A" w:rsidTr="00187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1139" w:rsidRPr="009A3EF1" w:rsidRDefault="00E51139" w:rsidP="00242F73">
            <w:pPr>
              <w:pStyle w:val="BodyTextIndent"/>
              <w:tabs>
                <w:tab w:val="left" w:pos="709"/>
              </w:tabs>
              <w:ind w:left="0"/>
              <w:rPr>
                <w:b w:val="0"/>
                <w:color w:val="auto"/>
                <w:sz w:val="20"/>
                <w:szCs w:val="20"/>
              </w:rPr>
            </w:pPr>
            <w:r w:rsidRPr="009A3EF1">
              <w:rPr>
                <w:b w:val="0"/>
                <w:color w:val="auto"/>
                <w:sz w:val="20"/>
                <w:szCs w:val="20"/>
              </w:rPr>
              <w:lastRenderedPageBreak/>
              <w:t xml:space="preserve">Investments – </w:t>
            </w:r>
            <w:r w:rsidR="00242F73" w:rsidRPr="009A3EF1">
              <w:rPr>
                <w:b w:val="0"/>
                <w:color w:val="auto"/>
                <w:sz w:val="20"/>
                <w:szCs w:val="20"/>
              </w:rPr>
              <w:t>Enhanced Money Market Fund</w:t>
            </w:r>
            <w:r w:rsidRPr="009A3EF1">
              <w:rPr>
                <w:b w:val="0"/>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9A3EF1" w:rsidRDefault="00E51139" w:rsidP="00CE6D72">
            <w:pPr>
              <w:pStyle w:val="BodyTextIndent"/>
              <w:tabs>
                <w:tab w:val="left" w:pos="709"/>
              </w:tabs>
              <w:ind w:left="0"/>
              <w:rPr>
                <w:color w:val="auto"/>
                <w:sz w:val="20"/>
                <w:szCs w:val="20"/>
              </w:rPr>
            </w:pPr>
            <w:r w:rsidRPr="009A3EF1">
              <w:rPr>
                <w:color w:val="auto"/>
                <w:sz w:val="20"/>
                <w:szCs w:val="20"/>
              </w:rPr>
              <w:t>Treated as a Financial Instrument at Fair Value through Profit and Loss as the fund is part of a portfolio of identified financial instruments that are managed together and for which there is evidence of a recent actual pattern of short-term profit taking.</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9A3EF1" w:rsidRDefault="00242F73" w:rsidP="00242F73">
            <w:pPr>
              <w:pStyle w:val="BodyTextIndent"/>
              <w:tabs>
                <w:tab w:val="left" w:pos="709"/>
              </w:tabs>
              <w:ind w:left="0"/>
              <w:rPr>
                <w:b w:val="0"/>
                <w:color w:val="auto"/>
                <w:sz w:val="20"/>
                <w:szCs w:val="20"/>
              </w:rPr>
            </w:pPr>
            <w:r w:rsidRPr="009A3EF1">
              <w:rPr>
                <w:b w:val="0"/>
                <w:color w:val="auto"/>
                <w:sz w:val="20"/>
                <w:szCs w:val="20"/>
              </w:rPr>
              <w:t>C</w:t>
            </w:r>
            <w:r w:rsidR="00E51139" w:rsidRPr="009A3EF1">
              <w:rPr>
                <w:b w:val="0"/>
                <w:color w:val="auto"/>
                <w:sz w:val="20"/>
                <w:szCs w:val="20"/>
              </w:rPr>
              <w:t>arrying value of the fund at 31</w:t>
            </w:r>
            <w:r w:rsidR="00E51139" w:rsidRPr="009A3EF1">
              <w:rPr>
                <w:b w:val="0"/>
                <w:color w:val="auto"/>
                <w:sz w:val="20"/>
                <w:szCs w:val="20"/>
                <w:vertAlign w:val="superscript"/>
              </w:rPr>
              <w:t>st</w:t>
            </w:r>
            <w:r w:rsidR="00E51139" w:rsidRPr="009A3EF1">
              <w:rPr>
                <w:b w:val="0"/>
                <w:color w:val="auto"/>
                <w:sz w:val="20"/>
                <w:szCs w:val="20"/>
              </w:rPr>
              <w:t xml:space="preserve"> March is the fair value of the Fund.</w:t>
            </w:r>
          </w:p>
        </w:tc>
      </w:tr>
      <w:tr w:rsidR="00C72521" w:rsidRPr="0005794A" w:rsidTr="001874CC">
        <w:tc>
          <w:tcPr>
            <w:cnfStyle w:val="001000000000" w:firstRow="0" w:lastRow="0" w:firstColumn="1" w:lastColumn="0" w:oddVBand="0" w:evenVBand="0" w:oddHBand="0" w:evenHBand="0" w:firstRowFirstColumn="0" w:firstRowLastColumn="0" w:lastRowFirstColumn="0" w:lastRowLastColumn="0"/>
            <w:tcW w:w="2694" w:type="dxa"/>
          </w:tcPr>
          <w:p w:rsidR="00C72521" w:rsidRPr="009A3EF1" w:rsidRDefault="00C72521" w:rsidP="00242F73">
            <w:pPr>
              <w:pStyle w:val="BodyTextIndent"/>
              <w:tabs>
                <w:tab w:val="left" w:pos="709"/>
              </w:tabs>
              <w:ind w:left="0"/>
              <w:rPr>
                <w:b w:val="0"/>
                <w:color w:val="auto"/>
                <w:sz w:val="20"/>
                <w:szCs w:val="20"/>
              </w:rPr>
            </w:pPr>
            <w:r w:rsidRPr="009A3EF1">
              <w:rPr>
                <w:b w:val="0"/>
                <w:color w:val="auto"/>
                <w:sz w:val="20"/>
                <w:szCs w:val="20"/>
              </w:rPr>
              <w:t xml:space="preserve">Investments – CCLA </w:t>
            </w:r>
            <w:proofErr w:type="spellStart"/>
            <w:r w:rsidRPr="009A3EF1">
              <w:rPr>
                <w:b w:val="0"/>
                <w:color w:val="auto"/>
                <w:sz w:val="20"/>
                <w:szCs w:val="20"/>
              </w:rPr>
              <w:t>Propertry</w:t>
            </w:r>
            <w:proofErr w:type="spellEnd"/>
            <w:r w:rsidRPr="009A3EF1">
              <w:rPr>
                <w:b w:val="0"/>
                <w:color w:val="auto"/>
                <w:sz w:val="20"/>
                <w:szCs w:val="20"/>
              </w:rPr>
              <w:t xml:space="preserve"> Fund</w:t>
            </w:r>
          </w:p>
        </w:tc>
        <w:tc>
          <w:tcPr>
            <w:cnfStyle w:val="000010000000" w:firstRow="0" w:lastRow="0" w:firstColumn="0" w:lastColumn="0" w:oddVBand="1" w:evenVBand="0" w:oddHBand="0" w:evenHBand="0" w:firstRowFirstColumn="0" w:firstRowLastColumn="0" w:lastRowFirstColumn="0" w:lastRowLastColumn="0"/>
            <w:tcW w:w="3118" w:type="dxa"/>
          </w:tcPr>
          <w:p w:rsidR="00C72521" w:rsidRPr="009A3EF1" w:rsidRDefault="00D335A2" w:rsidP="005F70BB">
            <w:pPr>
              <w:pStyle w:val="BodyTextIndent"/>
              <w:tabs>
                <w:tab w:val="left" w:pos="709"/>
              </w:tabs>
              <w:ind w:left="0"/>
              <w:rPr>
                <w:color w:val="auto"/>
                <w:sz w:val="20"/>
                <w:szCs w:val="20"/>
              </w:rPr>
            </w:pPr>
            <w:r w:rsidRPr="009A3EF1">
              <w:rPr>
                <w:color w:val="auto"/>
                <w:sz w:val="20"/>
                <w:szCs w:val="20"/>
              </w:rPr>
              <w:t>T</w:t>
            </w:r>
            <w:r w:rsidR="008501A2" w:rsidRPr="009A3EF1">
              <w:rPr>
                <w:color w:val="auto"/>
                <w:sz w:val="20"/>
                <w:szCs w:val="20"/>
              </w:rPr>
              <w:t>r</w:t>
            </w:r>
            <w:r w:rsidRPr="009A3EF1">
              <w:rPr>
                <w:color w:val="auto"/>
                <w:sz w:val="20"/>
                <w:szCs w:val="20"/>
              </w:rPr>
              <w:t>eated as an Available for Sale asset and cha</w:t>
            </w:r>
            <w:r w:rsidR="00C72521" w:rsidRPr="009A3EF1">
              <w:rPr>
                <w:color w:val="auto"/>
                <w:sz w:val="20"/>
                <w:szCs w:val="20"/>
              </w:rPr>
              <w:t>nges in carrying value reflected in Balance Sheet and not recognised in Income &amp; Expenditure Account until realised</w:t>
            </w:r>
          </w:p>
        </w:tc>
        <w:tc>
          <w:tcPr>
            <w:cnfStyle w:val="000100000000" w:firstRow="0" w:lastRow="0" w:firstColumn="0" w:lastColumn="1" w:oddVBand="0" w:evenVBand="0" w:oddHBand="0" w:evenHBand="0" w:firstRowFirstColumn="0" w:firstRowLastColumn="0" w:lastRowFirstColumn="0" w:lastRowLastColumn="0"/>
            <w:tcW w:w="2835" w:type="dxa"/>
          </w:tcPr>
          <w:p w:rsidR="00C72521" w:rsidRPr="009A3EF1" w:rsidRDefault="008501A2" w:rsidP="00242F73">
            <w:pPr>
              <w:pStyle w:val="BodyTextIndent"/>
              <w:tabs>
                <w:tab w:val="left" w:pos="709"/>
              </w:tabs>
              <w:ind w:left="0"/>
              <w:rPr>
                <w:b w:val="0"/>
                <w:color w:val="auto"/>
                <w:sz w:val="20"/>
                <w:szCs w:val="20"/>
              </w:rPr>
            </w:pPr>
            <w:r w:rsidRPr="009A3EF1">
              <w:rPr>
                <w:b w:val="0"/>
                <w:color w:val="auto"/>
                <w:sz w:val="20"/>
                <w:szCs w:val="20"/>
              </w:rPr>
              <w:t>Carrying value of the fund at 31</w:t>
            </w:r>
            <w:r w:rsidRPr="009A3EF1">
              <w:rPr>
                <w:b w:val="0"/>
                <w:color w:val="auto"/>
                <w:sz w:val="20"/>
                <w:szCs w:val="20"/>
                <w:vertAlign w:val="superscript"/>
              </w:rPr>
              <w:t>st</w:t>
            </w:r>
            <w:r w:rsidRPr="009A3EF1">
              <w:rPr>
                <w:b w:val="0"/>
                <w:color w:val="auto"/>
                <w:sz w:val="20"/>
                <w:szCs w:val="20"/>
              </w:rPr>
              <w:t xml:space="preserve"> March is the fair value of the Fund. </w:t>
            </w:r>
            <w:r w:rsidR="00C72521" w:rsidRPr="009A3EF1">
              <w:rPr>
                <w:b w:val="0"/>
                <w:color w:val="auto"/>
                <w:sz w:val="20"/>
                <w:szCs w:val="20"/>
              </w:rPr>
              <w:t>Dividends due in year are recognised in CIES.</w:t>
            </w:r>
          </w:p>
        </w:tc>
      </w:tr>
      <w:tr w:rsidR="00E51139" w:rsidRPr="0005794A" w:rsidTr="00187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Investments – Other</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9A3EF1" w:rsidRDefault="00E51139" w:rsidP="00CE6D72">
            <w:pPr>
              <w:pStyle w:val="BodyTextIndent"/>
              <w:tabs>
                <w:tab w:val="left" w:pos="709"/>
              </w:tabs>
              <w:ind w:left="0"/>
              <w:rPr>
                <w:color w:val="auto"/>
                <w:sz w:val="20"/>
                <w:szCs w:val="20"/>
              </w:rPr>
            </w:pPr>
            <w:r w:rsidRPr="009A3EF1">
              <w:rPr>
                <w:color w:val="auto"/>
                <w:sz w:val="20"/>
                <w:szCs w:val="20"/>
              </w:rPr>
              <w:t>Held at carrying value on basis of materiality</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9A3EF1" w:rsidRDefault="00E51139" w:rsidP="00CE6D72">
            <w:pPr>
              <w:pStyle w:val="BodyTextIndent"/>
              <w:tabs>
                <w:tab w:val="left" w:pos="709"/>
              </w:tabs>
              <w:ind w:left="0"/>
              <w:rPr>
                <w:b w:val="0"/>
                <w:color w:val="auto"/>
                <w:sz w:val="20"/>
                <w:szCs w:val="20"/>
              </w:rPr>
            </w:pPr>
          </w:p>
        </w:tc>
      </w:tr>
      <w:tr w:rsidR="00E51139" w:rsidRPr="0005794A" w:rsidTr="001874CC">
        <w:tc>
          <w:tcPr>
            <w:cnfStyle w:val="001000000000" w:firstRow="0" w:lastRow="0" w:firstColumn="1" w:lastColumn="0" w:oddVBand="0" w:evenVBand="0" w:oddHBand="0" w:evenHBand="0" w:firstRowFirstColumn="0" w:firstRowLastColumn="0" w:lastRowFirstColumn="0" w:lastRowLastColumn="0"/>
            <w:tcW w:w="2694"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Contractual Debt/payables</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9A3EF1" w:rsidRDefault="00E51139" w:rsidP="00883E6E">
            <w:pPr>
              <w:pStyle w:val="BodyTextIndent"/>
              <w:tabs>
                <w:tab w:val="left" w:pos="709"/>
              </w:tabs>
              <w:ind w:left="0"/>
              <w:rPr>
                <w:color w:val="auto"/>
                <w:sz w:val="20"/>
                <w:szCs w:val="20"/>
              </w:rPr>
            </w:pPr>
            <w:r w:rsidRPr="009A3EF1">
              <w:rPr>
                <w:color w:val="auto"/>
                <w:sz w:val="20"/>
                <w:szCs w:val="20"/>
              </w:rPr>
              <w:t xml:space="preserve">Held at invoiced or billed amount less an estimate of impairment for the </w:t>
            </w:r>
            <w:proofErr w:type="spellStart"/>
            <w:r w:rsidRPr="009A3EF1">
              <w:rPr>
                <w:color w:val="auto"/>
                <w:sz w:val="20"/>
                <w:szCs w:val="20"/>
              </w:rPr>
              <w:t>uncollectability</w:t>
            </w:r>
            <w:proofErr w:type="spellEnd"/>
            <w:r w:rsidRPr="009A3EF1">
              <w:rPr>
                <w:color w:val="auto"/>
                <w:sz w:val="20"/>
                <w:szCs w:val="20"/>
              </w:rPr>
              <w:t xml:space="preserve"> of that debt.</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Excludes non contractual debt such as Council tax and NNDR</w:t>
            </w:r>
          </w:p>
        </w:tc>
      </w:tr>
      <w:tr w:rsidR="00E51139" w:rsidRPr="0005794A" w:rsidTr="00187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 xml:space="preserve">PWLB </w:t>
            </w:r>
            <w:r w:rsidR="001A6EC9" w:rsidRPr="009A3EF1">
              <w:rPr>
                <w:b w:val="0"/>
                <w:color w:val="auto"/>
                <w:sz w:val="20"/>
                <w:szCs w:val="20"/>
              </w:rPr>
              <w:t xml:space="preserve">and </w:t>
            </w:r>
            <w:r w:rsidR="0029729D" w:rsidRPr="009A3EF1">
              <w:rPr>
                <w:b w:val="0"/>
                <w:color w:val="auto"/>
                <w:sz w:val="20"/>
                <w:szCs w:val="20"/>
              </w:rPr>
              <w:t xml:space="preserve">fixed rate </w:t>
            </w:r>
            <w:r w:rsidR="001A6EC9" w:rsidRPr="009A3EF1">
              <w:rPr>
                <w:b w:val="0"/>
                <w:color w:val="auto"/>
                <w:sz w:val="20"/>
                <w:szCs w:val="20"/>
              </w:rPr>
              <w:t xml:space="preserve">Market </w:t>
            </w:r>
            <w:r w:rsidRPr="009A3EF1">
              <w:rPr>
                <w:b w:val="0"/>
                <w:color w:val="auto"/>
                <w:sz w:val="20"/>
                <w:szCs w:val="20"/>
              </w:rPr>
              <w:t>Debt</w:t>
            </w:r>
          </w:p>
        </w:tc>
        <w:tc>
          <w:tcPr>
            <w:cnfStyle w:val="000010000000" w:firstRow="0" w:lastRow="0" w:firstColumn="0" w:lastColumn="0" w:oddVBand="1" w:evenVBand="0" w:oddHBand="0" w:evenHBand="0" w:firstRowFirstColumn="0" w:firstRowLastColumn="0" w:lastRowFirstColumn="0" w:lastRowLastColumn="0"/>
            <w:tcW w:w="3118" w:type="dxa"/>
          </w:tcPr>
          <w:p w:rsidR="00E51139" w:rsidRPr="009A3EF1" w:rsidRDefault="00E51139" w:rsidP="00CE6D72">
            <w:pPr>
              <w:pStyle w:val="BodyTextIndent"/>
              <w:tabs>
                <w:tab w:val="left" w:pos="709"/>
              </w:tabs>
              <w:ind w:left="0"/>
              <w:rPr>
                <w:color w:val="auto"/>
                <w:sz w:val="20"/>
                <w:szCs w:val="20"/>
              </w:rPr>
            </w:pPr>
            <w:r w:rsidRPr="009A3EF1">
              <w:rPr>
                <w:color w:val="auto"/>
                <w:sz w:val="20"/>
                <w:szCs w:val="20"/>
              </w:rPr>
              <w:t>Carrying value adjusted for interest due at year end</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Borrowing is both fixed term and fixed interest rates</w:t>
            </w:r>
          </w:p>
        </w:tc>
      </w:tr>
      <w:tr w:rsidR="00E51139" w:rsidRPr="0005794A" w:rsidTr="001874CC">
        <w:tc>
          <w:tcPr>
            <w:cnfStyle w:val="001000000000" w:firstRow="0" w:lastRow="0" w:firstColumn="1" w:lastColumn="0" w:oddVBand="0" w:evenVBand="0" w:oddHBand="0" w:evenHBand="0" w:firstRowFirstColumn="0" w:firstRowLastColumn="0" w:lastRowFirstColumn="0" w:lastRowLastColumn="0"/>
            <w:tcW w:w="2694"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LOBO Debt</w:t>
            </w:r>
          </w:p>
          <w:p w:rsidR="00E51139" w:rsidRPr="009A3EF1" w:rsidRDefault="00E51139" w:rsidP="00CE6D72">
            <w:pPr>
              <w:pStyle w:val="BodyTextIndent"/>
              <w:tabs>
                <w:tab w:val="left" w:pos="709"/>
              </w:tabs>
              <w:ind w:left="0"/>
              <w:rPr>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118" w:type="dxa"/>
          </w:tcPr>
          <w:p w:rsidR="00E51139" w:rsidRPr="009A3EF1" w:rsidRDefault="00E51139" w:rsidP="00E81584">
            <w:pPr>
              <w:pStyle w:val="BodyTextIndent"/>
              <w:tabs>
                <w:tab w:val="left" w:pos="709"/>
              </w:tabs>
              <w:ind w:left="0"/>
              <w:rPr>
                <w:color w:val="auto"/>
                <w:sz w:val="20"/>
                <w:szCs w:val="20"/>
              </w:rPr>
            </w:pPr>
            <w:r w:rsidRPr="009A3EF1">
              <w:rPr>
                <w:color w:val="auto"/>
                <w:sz w:val="20"/>
                <w:szCs w:val="20"/>
              </w:rPr>
              <w:t>Balance measured using the effective interest rate within the contract for the maximum life of the deal</w:t>
            </w:r>
          </w:p>
        </w:tc>
        <w:tc>
          <w:tcPr>
            <w:cnfStyle w:val="000100000000" w:firstRow="0" w:lastRow="0" w:firstColumn="0" w:lastColumn="1" w:oddVBand="0" w:evenVBand="0" w:oddHBand="0" w:evenHBand="0" w:firstRowFirstColumn="0" w:firstRowLastColumn="0" w:lastRowFirstColumn="0" w:lastRowLastColumn="0"/>
            <w:tcW w:w="2835" w:type="dxa"/>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Rate calculated over full term assuming the options within the contract are not exercised.</w:t>
            </w:r>
          </w:p>
        </w:tc>
      </w:tr>
      <w:tr w:rsidR="00E51139" w:rsidRPr="0005794A" w:rsidTr="001874C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694" w:type="dxa"/>
            <w:tcBorders>
              <w:top w:val="single" w:sz="4" w:space="0" w:color="4BACC6" w:themeColor="accent5"/>
              <w:bottom w:val="single" w:sz="4" w:space="0" w:color="4BACC6" w:themeColor="accent5"/>
            </w:tcBorders>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Financial Instruments under adverse economic conditions</w:t>
            </w:r>
          </w:p>
          <w:p w:rsidR="00E51139" w:rsidRPr="009A3EF1" w:rsidRDefault="00E51139" w:rsidP="00CE6D72">
            <w:pPr>
              <w:pStyle w:val="BodyTextIndent"/>
              <w:tabs>
                <w:tab w:val="left" w:pos="709"/>
              </w:tabs>
              <w:ind w:left="0"/>
              <w:rPr>
                <w:b w:val="0"/>
                <w:color w:val="auto"/>
                <w:sz w:val="20"/>
                <w:szCs w:val="20"/>
              </w:rPr>
            </w:pPr>
          </w:p>
          <w:p w:rsidR="00E51139" w:rsidRPr="009A3EF1" w:rsidRDefault="00E51139" w:rsidP="00CE6D72">
            <w:pPr>
              <w:pStyle w:val="BodyTextIndent"/>
              <w:tabs>
                <w:tab w:val="left" w:pos="709"/>
              </w:tabs>
              <w:ind w:left="0"/>
              <w:rPr>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118" w:type="dxa"/>
            <w:tcBorders>
              <w:top w:val="single" w:sz="4" w:space="0" w:color="4BACC6" w:themeColor="accent5"/>
              <w:bottom w:val="single" w:sz="4" w:space="0" w:color="4BACC6" w:themeColor="accent5"/>
            </w:tcBorders>
          </w:tcPr>
          <w:p w:rsidR="00E51139" w:rsidRPr="009A3EF1" w:rsidRDefault="00E51139" w:rsidP="00883E6E">
            <w:pPr>
              <w:pStyle w:val="BodyTextIndent"/>
              <w:tabs>
                <w:tab w:val="left" w:pos="709"/>
              </w:tabs>
              <w:ind w:left="0"/>
              <w:rPr>
                <w:b w:val="0"/>
                <w:color w:val="auto"/>
                <w:sz w:val="20"/>
                <w:szCs w:val="20"/>
              </w:rPr>
            </w:pPr>
            <w:r w:rsidRPr="009A3EF1">
              <w:rPr>
                <w:b w:val="0"/>
                <w:color w:val="auto"/>
                <w:sz w:val="20"/>
                <w:szCs w:val="20"/>
              </w:rPr>
              <w:t>All financial instruments assessed for impairment from  economic conditions</w:t>
            </w:r>
          </w:p>
        </w:tc>
        <w:tc>
          <w:tcPr>
            <w:cnfStyle w:val="000100000010" w:firstRow="0" w:lastRow="0" w:firstColumn="0" w:lastColumn="1" w:oddVBand="0" w:evenVBand="0" w:oddHBand="0" w:evenHBand="0" w:firstRowFirstColumn="0" w:firstRowLastColumn="0" w:lastRowFirstColumn="0" w:lastRowLastColumn="1"/>
            <w:tcW w:w="2835" w:type="dxa"/>
            <w:tcBorders>
              <w:top w:val="single" w:sz="4" w:space="0" w:color="4BACC6" w:themeColor="accent5"/>
              <w:bottom w:val="single" w:sz="4" w:space="0" w:color="4BACC6" w:themeColor="accent5"/>
            </w:tcBorders>
          </w:tcPr>
          <w:p w:rsidR="00E51139" w:rsidRPr="009A3EF1" w:rsidRDefault="00E51139" w:rsidP="00CE6D72">
            <w:pPr>
              <w:pStyle w:val="BodyTextIndent"/>
              <w:tabs>
                <w:tab w:val="left" w:pos="709"/>
              </w:tabs>
              <w:ind w:left="0"/>
              <w:rPr>
                <w:b w:val="0"/>
                <w:color w:val="auto"/>
                <w:sz w:val="20"/>
                <w:szCs w:val="20"/>
              </w:rPr>
            </w:pPr>
            <w:r w:rsidRPr="009A3EF1">
              <w:rPr>
                <w:b w:val="0"/>
                <w:color w:val="auto"/>
                <w:sz w:val="20"/>
                <w:szCs w:val="20"/>
              </w:rPr>
              <w:t>As appropriate the impairment for contractual debt will be reviewed. The Council does not hold any investments which it has assessed to be subject to any impairment.</w:t>
            </w:r>
          </w:p>
        </w:tc>
      </w:tr>
    </w:tbl>
    <w:p w:rsidR="00BD5FB3" w:rsidRPr="0005794A" w:rsidRDefault="00BD5FB3" w:rsidP="00BE1822">
      <w:pPr>
        <w:pStyle w:val="BodyTextIndent"/>
        <w:ind w:left="567"/>
        <w:rPr>
          <w:color w:val="548DD4" w:themeColor="text2" w:themeTint="99"/>
          <w:sz w:val="20"/>
          <w:szCs w:val="20"/>
        </w:rPr>
      </w:pPr>
    </w:p>
    <w:p w:rsidR="00E51139" w:rsidRPr="009A3EF1" w:rsidRDefault="00E51139" w:rsidP="00BE1822">
      <w:pPr>
        <w:pStyle w:val="BodyTextIndent"/>
        <w:ind w:left="567"/>
        <w:rPr>
          <w:color w:val="auto"/>
          <w:sz w:val="20"/>
          <w:szCs w:val="20"/>
        </w:rPr>
      </w:pPr>
      <w:r w:rsidRPr="009A3EF1">
        <w:rPr>
          <w:color w:val="auto"/>
          <w:sz w:val="20"/>
          <w:szCs w:val="20"/>
        </w:rPr>
        <w:t xml:space="preserve">The Council in compiling its accounts assessed all its financial instruments and there were a number that were not considered material to make adjustment to the carrying value of the asset or liability. </w:t>
      </w:r>
    </w:p>
    <w:p w:rsidR="001874CC" w:rsidRPr="0005794A" w:rsidRDefault="001874CC" w:rsidP="0000282A">
      <w:pPr>
        <w:pStyle w:val="CodeNotesExampleText"/>
        <w:widowControl w:val="0"/>
        <w:rPr>
          <w:rFonts w:cs="Arial"/>
          <w:color w:val="548DD4" w:themeColor="text2" w:themeTint="99"/>
          <w:sz w:val="20"/>
          <w:szCs w:val="20"/>
          <w:u w:val="single"/>
        </w:rPr>
        <w:sectPr w:rsidR="001874CC" w:rsidRPr="0005794A" w:rsidSect="005253A3">
          <w:pgSz w:w="11906" w:h="16838" w:code="9"/>
          <w:pgMar w:top="1440" w:right="1440" w:bottom="1440" w:left="1440" w:header="544" w:footer="544" w:gutter="0"/>
          <w:cols w:space="708"/>
          <w:titlePg/>
          <w:docGrid w:linePitch="360"/>
        </w:sectPr>
      </w:pPr>
    </w:p>
    <w:p w:rsidR="00E51139" w:rsidRPr="00750ED3" w:rsidRDefault="00E51139" w:rsidP="008D0906">
      <w:pPr>
        <w:pStyle w:val="CodeNotesExampleText"/>
        <w:widowControl w:val="0"/>
        <w:outlineLvl w:val="0"/>
        <w:rPr>
          <w:rFonts w:cs="Arial"/>
          <w:b/>
          <w:color w:val="auto"/>
          <w:sz w:val="22"/>
          <w:szCs w:val="22"/>
        </w:rPr>
      </w:pPr>
      <w:r w:rsidRPr="00750ED3">
        <w:rPr>
          <w:rFonts w:cs="Arial"/>
          <w:b/>
          <w:color w:val="auto"/>
          <w:sz w:val="22"/>
          <w:szCs w:val="22"/>
        </w:rPr>
        <w:lastRenderedPageBreak/>
        <w:t>Income, Expense, Gains and Losses</w:t>
      </w:r>
    </w:p>
    <w:p w:rsidR="00E51139" w:rsidRPr="0005794A" w:rsidRDefault="00E51139" w:rsidP="003C5E34">
      <w:pPr>
        <w:pStyle w:val="CodeNotesExampleText"/>
        <w:widowControl w:val="0"/>
        <w:ind w:left="567"/>
        <w:rPr>
          <w:rFonts w:cs="Arial"/>
          <w:i/>
          <w:color w:val="548DD4" w:themeColor="text2" w:themeTint="99"/>
          <w:sz w:val="20"/>
          <w:szCs w:val="20"/>
        </w:rPr>
      </w:pPr>
    </w:p>
    <w:tbl>
      <w:tblPr>
        <w:tblStyle w:val="ListTable3-Accent51"/>
        <w:tblW w:w="14567" w:type="dxa"/>
        <w:jc w:val="center"/>
        <w:tblLayout w:type="fixed"/>
        <w:tblLook w:val="0000" w:firstRow="0" w:lastRow="0" w:firstColumn="0" w:lastColumn="0" w:noHBand="0" w:noVBand="0"/>
      </w:tblPr>
      <w:tblGrid>
        <w:gridCol w:w="2003"/>
        <w:gridCol w:w="1155"/>
        <w:gridCol w:w="645"/>
        <w:gridCol w:w="510"/>
        <w:gridCol w:w="1155"/>
        <w:gridCol w:w="1161"/>
        <w:gridCol w:w="1701"/>
        <w:gridCol w:w="1276"/>
        <w:gridCol w:w="1275"/>
        <w:gridCol w:w="1418"/>
        <w:gridCol w:w="1134"/>
        <w:gridCol w:w="1134"/>
      </w:tblGrid>
      <w:tr w:rsidR="004A1210" w:rsidRPr="0005794A" w:rsidTr="00C77DEF">
        <w:trPr>
          <w:cnfStyle w:val="000000100000" w:firstRow="0" w:lastRow="0" w:firstColumn="0" w:lastColumn="0" w:oddVBand="0" w:evenVBand="0" w:oddHBand="1" w:evenHBand="0" w:firstRowFirstColumn="0" w:firstRowLastColumn="0" w:lastRowFirstColumn="0" w:lastRowLastColumn="0"/>
          <w:trHeight w:val="28"/>
          <w:jc w:val="center"/>
        </w:trPr>
        <w:tc>
          <w:tcPr>
            <w:cnfStyle w:val="000010000000" w:firstRow="0" w:lastRow="0" w:firstColumn="0" w:lastColumn="0" w:oddVBand="1" w:evenVBand="0" w:oddHBand="0" w:evenHBand="0" w:firstRowFirstColumn="0" w:firstRowLastColumn="0" w:lastRowFirstColumn="0" w:lastRowLastColumn="0"/>
            <w:tcW w:w="2003" w:type="dxa"/>
            <w:shd w:val="clear" w:color="auto" w:fill="4BACC6" w:themeFill="accent5"/>
          </w:tcPr>
          <w:p w:rsidR="004A1210" w:rsidRPr="0005794A" w:rsidRDefault="004A1210" w:rsidP="003C5E34">
            <w:pPr>
              <w:pStyle w:val="NoParagraphStyle"/>
              <w:spacing w:line="240" w:lineRule="auto"/>
              <w:jc w:val="center"/>
              <w:textAlignment w:val="auto"/>
              <w:rPr>
                <w:rFonts w:ascii="Arial" w:hAnsi="Arial" w:cs="Arial"/>
                <w:color w:val="548DD4" w:themeColor="text2" w:themeTint="99"/>
                <w:sz w:val="20"/>
                <w:szCs w:val="20"/>
              </w:rPr>
            </w:pPr>
          </w:p>
        </w:tc>
        <w:tc>
          <w:tcPr>
            <w:tcW w:w="1800" w:type="dxa"/>
            <w:gridSpan w:val="2"/>
            <w:shd w:val="clear" w:color="auto" w:fill="4BACC6" w:themeFill="accent5"/>
          </w:tcPr>
          <w:p w:rsidR="004A1210" w:rsidRPr="00A8408D" w:rsidRDefault="004A1210" w:rsidP="00F61BAC">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p>
        </w:tc>
        <w:tc>
          <w:tcPr>
            <w:cnfStyle w:val="000010000000" w:firstRow="0" w:lastRow="0" w:firstColumn="0" w:lastColumn="0" w:oddVBand="1" w:evenVBand="0" w:oddHBand="0" w:evenHBand="0" w:firstRowFirstColumn="0" w:firstRowLastColumn="0" w:lastRowFirstColumn="0" w:lastRowLastColumn="0"/>
            <w:tcW w:w="4527" w:type="dxa"/>
            <w:gridSpan w:val="4"/>
            <w:shd w:val="clear" w:color="auto" w:fill="4BACC6" w:themeFill="accent5"/>
          </w:tcPr>
          <w:p w:rsidR="004A1210" w:rsidRPr="00A8408D" w:rsidRDefault="004A1210" w:rsidP="00F61BAC">
            <w:pPr>
              <w:pStyle w:val="TableRightBold"/>
              <w:jc w:val="center"/>
              <w:rPr>
                <w:rStyle w:val="Bold"/>
                <w:rFonts w:ascii="Arial" w:hAnsi="Arial" w:cs="Arial"/>
                <w:bCs w:val="0"/>
                <w:color w:val="auto"/>
              </w:rPr>
            </w:pPr>
            <w:r w:rsidRPr="00A8408D">
              <w:rPr>
                <w:rStyle w:val="Bold"/>
                <w:rFonts w:ascii="Arial" w:hAnsi="Arial" w:cs="Arial"/>
                <w:bCs w:val="0"/>
                <w:color w:val="auto"/>
              </w:rPr>
              <w:t>2016/17</w:t>
            </w:r>
          </w:p>
        </w:tc>
        <w:tc>
          <w:tcPr>
            <w:tcW w:w="1276" w:type="dxa"/>
            <w:shd w:val="clear" w:color="auto" w:fill="4BACC6" w:themeFill="accent5"/>
          </w:tcPr>
          <w:p w:rsidR="004A1210" w:rsidRPr="00A8408D" w:rsidRDefault="004A1210" w:rsidP="00F61BAC">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
                <w:bCs w:val="0"/>
                <w:color w:val="auto"/>
              </w:rPr>
            </w:pPr>
          </w:p>
        </w:tc>
        <w:tc>
          <w:tcPr>
            <w:cnfStyle w:val="000010000000" w:firstRow="0" w:lastRow="0" w:firstColumn="0" w:lastColumn="0" w:oddVBand="1" w:evenVBand="0" w:oddHBand="0" w:evenHBand="0" w:firstRowFirstColumn="0" w:firstRowLastColumn="0" w:lastRowFirstColumn="0" w:lastRowLastColumn="0"/>
            <w:tcW w:w="4961" w:type="dxa"/>
            <w:gridSpan w:val="4"/>
            <w:shd w:val="clear" w:color="auto" w:fill="4BACC6" w:themeFill="accent5"/>
          </w:tcPr>
          <w:p w:rsidR="004A1210" w:rsidRPr="00A8408D" w:rsidRDefault="004A1210" w:rsidP="00F61BAC">
            <w:pPr>
              <w:pStyle w:val="TableRightBold"/>
              <w:jc w:val="center"/>
              <w:rPr>
                <w:rStyle w:val="Bold"/>
                <w:rFonts w:ascii="Arial" w:hAnsi="Arial" w:cs="Arial"/>
                <w:b/>
                <w:bCs w:val="0"/>
                <w:color w:val="auto"/>
              </w:rPr>
            </w:pPr>
            <w:r w:rsidRPr="00A8408D">
              <w:rPr>
                <w:rStyle w:val="Bold"/>
                <w:rFonts w:ascii="Arial" w:hAnsi="Arial" w:cs="Arial"/>
                <w:b/>
                <w:bCs w:val="0"/>
                <w:color w:val="auto"/>
              </w:rPr>
              <w:t>2017/18</w:t>
            </w:r>
          </w:p>
        </w:tc>
      </w:tr>
      <w:tr w:rsidR="004A1210" w:rsidRPr="0005794A" w:rsidTr="00C77DEF">
        <w:trPr>
          <w:trHeight w:val="60"/>
          <w:jc w:val="center"/>
        </w:trPr>
        <w:tc>
          <w:tcPr>
            <w:cnfStyle w:val="000010000000" w:firstRow="0" w:lastRow="0" w:firstColumn="0" w:lastColumn="0" w:oddVBand="1" w:evenVBand="0" w:oddHBand="0" w:evenHBand="0" w:firstRowFirstColumn="0" w:firstRowLastColumn="0" w:lastRowFirstColumn="0" w:lastRowLastColumn="0"/>
            <w:tcW w:w="2003" w:type="dxa"/>
            <w:shd w:val="clear" w:color="auto" w:fill="4BACC6" w:themeFill="accent5"/>
          </w:tcPr>
          <w:p w:rsidR="004A1210" w:rsidRPr="00A8408D" w:rsidRDefault="004A1210" w:rsidP="003C5E34">
            <w:pPr>
              <w:pStyle w:val="NoParagraphStyle"/>
              <w:spacing w:line="240" w:lineRule="auto"/>
              <w:jc w:val="center"/>
              <w:textAlignment w:val="auto"/>
              <w:rPr>
                <w:rFonts w:ascii="Arial" w:hAnsi="Arial" w:cs="Arial"/>
                <w:color w:val="auto"/>
                <w:sz w:val="18"/>
                <w:szCs w:val="18"/>
              </w:rPr>
            </w:pPr>
          </w:p>
        </w:tc>
        <w:tc>
          <w:tcPr>
            <w:tcW w:w="1155" w:type="dxa"/>
            <w:shd w:val="clear" w:color="auto" w:fill="4BACC6" w:themeFill="accent5"/>
          </w:tcPr>
          <w:p w:rsidR="004A1210" w:rsidRPr="00A8408D" w:rsidRDefault="004A1210" w:rsidP="003C5E34">
            <w:pPr>
              <w:pStyle w:val="TableRightBold"/>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Cs w:val="0"/>
                <w:color w:val="auto"/>
                <w:sz w:val="18"/>
                <w:szCs w:val="18"/>
              </w:rPr>
            </w:pPr>
            <w:r w:rsidRPr="00A8408D">
              <w:rPr>
                <w:rStyle w:val="Bold"/>
                <w:rFonts w:ascii="Arial" w:hAnsi="Arial" w:cs="Arial"/>
                <w:bCs w:val="0"/>
                <w:color w:val="auto"/>
                <w:sz w:val="18"/>
                <w:szCs w:val="18"/>
              </w:rPr>
              <w:t>Financial Liabilities</w:t>
            </w:r>
          </w:p>
        </w:tc>
        <w:tc>
          <w:tcPr>
            <w:cnfStyle w:val="000010000000" w:firstRow="0" w:lastRow="0" w:firstColumn="0" w:lastColumn="0" w:oddVBand="1" w:evenVBand="0" w:oddHBand="0" w:evenHBand="0" w:firstRowFirstColumn="0" w:firstRowLastColumn="0" w:lastRowFirstColumn="0" w:lastRowLastColumn="0"/>
            <w:tcW w:w="2310" w:type="dxa"/>
            <w:gridSpan w:val="3"/>
            <w:shd w:val="clear" w:color="auto" w:fill="4BACC6" w:themeFill="accent5"/>
          </w:tcPr>
          <w:p w:rsidR="004A1210" w:rsidRPr="00A8408D" w:rsidRDefault="004A1210" w:rsidP="003C5E34">
            <w:pPr>
              <w:pStyle w:val="TableRightBold"/>
              <w:jc w:val="center"/>
              <w:rPr>
                <w:rStyle w:val="Bold"/>
                <w:rFonts w:ascii="Arial" w:hAnsi="Arial" w:cs="Arial"/>
                <w:bCs w:val="0"/>
                <w:color w:val="auto"/>
                <w:sz w:val="18"/>
                <w:szCs w:val="18"/>
              </w:rPr>
            </w:pPr>
            <w:r w:rsidRPr="00A8408D">
              <w:rPr>
                <w:rStyle w:val="Bold"/>
                <w:rFonts w:ascii="Arial" w:hAnsi="Arial" w:cs="Arial"/>
                <w:bCs w:val="0"/>
                <w:color w:val="auto"/>
                <w:sz w:val="18"/>
                <w:szCs w:val="18"/>
              </w:rPr>
              <w:t>Financial Assets</w:t>
            </w:r>
          </w:p>
        </w:tc>
        <w:tc>
          <w:tcPr>
            <w:tcW w:w="1161" w:type="dxa"/>
            <w:shd w:val="clear" w:color="auto" w:fill="4BACC6" w:themeFill="accent5"/>
          </w:tcPr>
          <w:p w:rsidR="004A1210" w:rsidRPr="00A8408D" w:rsidRDefault="004A1210" w:rsidP="003C5E34">
            <w:pPr>
              <w:pStyle w:val="TableRightBold"/>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
                <w:bCs w:val="0"/>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4BACC6" w:themeFill="accent5"/>
          </w:tcPr>
          <w:p w:rsidR="004A1210" w:rsidRPr="00A8408D" w:rsidRDefault="004A1210" w:rsidP="003C5E34">
            <w:pPr>
              <w:pStyle w:val="TableRightBold"/>
              <w:jc w:val="center"/>
              <w:rPr>
                <w:rStyle w:val="Bold"/>
                <w:rFonts w:ascii="Arial" w:hAnsi="Arial" w:cs="Arial"/>
                <w:b/>
                <w:bCs w:val="0"/>
                <w:color w:val="auto"/>
                <w:sz w:val="18"/>
                <w:szCs w:val="18"/>
              </w:rPr>
            </w:pPr>
          </w:p>
        </w:tc>
        <w:tc>
          <w:tcPr>
            <w:tcW w:w="1276" w:type="dxa"/>
            <w:shd w:val="clear" w:color="auto" w:fill="4BACC6" w:themeFill="accent5"/>
          </w:tcPr>
          <w:p w:rsidR="004A1210" w:rsidRPr="00A8408D" w:rsidRDefault="004A1210" w:rsidP="003C5E34">
            <w:pPr>
              <w:pStyle w:val="TableRightBold"/>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
                <w:bCs w:val="0"/>
                <w:color w:val="auto"/>
                <w:sz w:val="18"/>
                <w:szCs w:val="18"/>
              </w:rPr>
            </w:pPr>
            <w:r w:rsidRPr="00A8408D">
              <w:rPr>
                <w:rStyle w:val="Bold"/>
                <w:rFonts w:ascii="Arial" w:hAnsi="Arial" w:cs="Arial"/>
                <w:b/>
                <w:bCs w:val="0"/>
                <w:color w:val="auto"/>
                <w:sz w:val="18"/>
                <w:szCs w:val="18"/>
              </w:rPr>
              <w:t>Financial Liabilities</w:t>
            </w:r>
          </w:p>
        </w:tc>
        <w:tc>
          <w:tcPr>
            <w:cnfStyle w:val="000010000000" w:firstRow="0" w:lastRow="0" w:firstColumn="0" w:lastColumn="0" w:oddVBand="1" w:evenVBand="0" w:oddHBand="0" w:evenHBand="0" w:firstRowFirstColumn="0" w:firstRowLastColumn="0" w:lastRowFirstColumn="0" w:lastRowLastColumn="0"/>
            <w:tcW w:w="3827" w:type="dxa"/>
            <w:gridSpan w:val="3"/>
            <w:shd w:val="clear" w:color="auto" w:fill="4BACC6" w:themeFill="accent5"/>
          </w:tcPr>
          <w:p w:rsidR="004A1210" w:rsidRPr="00A8408D" w:rsidRDefault="004A1210" w:rsidP="003C5E34">
            <w:pPr>
              <w:pStyle w:val="TableRightBold"/>
              <w:jc w:val="center"/>
              <w:rPr>
                <w:rStyle w:val="Bold"/>
                <w:rFonts w:ascii="Arial" w:hAnsi="Arial" w:cs="Arial"/>
                <w:b/>
                <w:bCs w:val="0"/>
                <w:color w:val="auto"/>
                <w:sz w:val="18"/>
                <w:szCs w:val="18"/>
              </w:rPr>
            </w:pPr>
            <w:r w:rsidRPr="00A8408D">
              <w:rPr>
                <w:rStyle w:val="Bold"/>
                <w:rFonts w:ascii="Arial" w:hAnsi="Arial" w:cs="Arial"/>
                <w:b/>
                <w:bCs w:val="0"/>
                <w:color w:val="auto"/>
                <w:sz w:val="18"/>
                <w:szCs w:val="18"/>
              </w:rPr>
              <w:t>Financial Assets</w:t>
            </w:r>
          </w:p>
        </w:tc>
        <w:tc>
          <w:tcPr>
            <w:tcW w:w="1134" w:type="dxa"/>
            <w:shd w:val="clear" w:color="auto" w:fill="4BACC6" w:themeFill="accent5"/>
          </w:tcPr>
          <w:p w:rsidR="004A1210" w:rsidRPr="00A8408D" w:rsidRDefault="004A1210" w:rsidP="003C5E34">
            <w:pPr>
              <w:pStyle w:val="TableRightBold"/>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
                <w:bCs w:val="0"/>
                <w:color w:val="auto"/>
                <w:sz w:val="18"/>
                <w:szCs w:val="18"/>
              </w:rPr>
            </w:pPr>
          </w:p>
        </w:tc>
      </w:tr>
      <w:tr w:rsidR="004A1210" w:rsidRPr="0005794A" w:rsidTr="00C77DEF">
        <w:trPr>
          <w:cnfStyle w:val="000000100000" w:firstRow="0" w:lastRow="0" w:firstColumn="0" w:lastColumn="0" w:oddVBand="0" w:evenVBand="0" w:oddHBand="1" w:evenHBand="0" w:firstRowFirstColumn="0" w:firstRowLastColumn="0" w:lastRowFirstColumn="0" w:lastRowLastColumn="0"/>
          <w:trHeight w:val="60"/>
          <w:jc w:val="center"/>
        </w:trPr>
        <w:tc>
          <w:tcPr>
            <w:cnfStyle w:val="000010000000" w:firstRow="0" w:lastRow="0" w:firstColumn="0" w:lastColumn="0" w:oddVBand="1" w:evenVBand="0" w:oddHBand="0" w:evenHBand="0" w:firstRowFirstColumn="0" w:firstRowLastColumn="0" w:lastRowFirstColumn="0" w:lastRowLastColumn="0"/>
            <w:tcW w:w="2003" w:type="dxa"/>
            <w:shd w:val="clear" w:color="auto" w:fill="4BACC6" w:themeFill="accent5"/>
          </w:tcPr>
          <w:p w:rsidR="004A1210" w:rsidRPr="00A8408D" w:rsidRDefault="004A1210" w:rsidP="003C5E34">
            <w:pPr>
              <w:pStyle w:val="NoParagraphStyle"/>
              <w:spacing w:line="240" w:lineRule="auto"/>
              <w:jc w:val="center"/>
              <w:textAlignment w:val="auto"/>
              <w:rPr>
                <w:rFonts w:ascii="Arial" w:hAnsi="Arial" w:cs="Arial"/>
                <w:color w:val="auto"/>
                <w:sz w:val="18"/>
                <w:szCs w:val="18"/>
              </w:rPr>
            </w:pPr>
          </w:p>
        </w:tc>
        <w:tc>
          <w:tcPr>
            <w:tcW w:w="1155" w:type="dxa"/>
            <w:shd w:val="clear" w:color="auto" w:fill="4BACC6" w:themeFill="accent5"/>
          </w:tcPr>
          <w:p w:rsidR="004A1210" w:rsidRPr="00A8408D" w:rsidRDefault="004A1210" w:rsidP="00F60EB5">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A8408D">
              <w:rPr>
                <w:rStyle w:val="Bold"/>
                <w:rFonts w:ascii="Arial" w:hAnsi="Arial" w:cs="Arial"/>
                <w:bCs w:val="0"/>
                <w:color w:val="auto"/>
                <w:sz w:val="16"/>
                <w:szCs w:val="16"/>
              </w:rPr>
              <w:t xml:space="preserve">Liabilities measured at </w:t>
            </w:r>
            <w:proofErr w:type="spellStart"/>
            <w:r w:rsidRPr="00A8408D">
              <w:rPr>
                <w:rStyle w:val="Bold"/>
                <w:rFonts w:ascii="Arial" w:hAnsi="Arial" w:cs="Arial"/>
                <w:bCs w:val="0"/>
                <w:color w:val="auto"/>
                <w:sz w:val="16"/>
                <w:szCs w:val="16"/>
              </w:rPr>
              <w:t>amortised</w:t>
            </w:r>
            <w:proofErr w:type="spellEnd"/>
            <w:r w:rsidRPr="00A8408D">
              <w:rPr>
                <w:rStyle w:val="Bold"/>
                <w:rFonts w:ascii="Arial" w:hAnsi="Arial" w:cs="Arial"/>
                <w:bCs w:val="0"/>
                <w:color w:val="auto"/>
                <w:sz w:val="16"/>
                <w:szCs w:val="16"/>
              </w:rPr>
              <w:t xml:space="preserve"> cost</w:t>
            </w:r>
          </w:p>
        </w:tc>
        <w:tc>
          <w:tcPr>
            <w:cnfStyle w:val="000010000000" w:firstRow="0" w:lastRow="0" w:firstColumn="0" w:lastColumn="0" w:oddVBand="1" w:evenVBand="0" w:oddHBand="0" w:evenHBand="0" w:firstRowFirstColumn="0" w:firstRowLastColumn="0" w:lastRowFirstColumn="0" w:lastRowLastColumn="0"/>
            <w:tcW w:w="1155" w:type="dxa"/>
            <w:gridSpan w:val="2"/>
            <w:shd w:val="clear" w:color="auto" w:fill="4BACC6" w:themeFill="accent5"/>
          </w:tcPr>
          <w:p w:rsidR="004A1210" w:rsidRPr="00A8408D" w:rsidRDefault="004A1210" w:rsidP="00F60EB5">
            <w:pPr>
              <w:pStyle w:val="TableRightBold"/>
              <w:jc w:val="center"/>
              <w:rPr>
                <w:rFonts w:ascii="Arial" w:hAnsi="Arial" w:cs="Arial"/>
                <w:color w:val="auto"/>
                <w:sz w:val="16"/>
                <w:szCs w:val="16"/>
              </w:rPr>
            </w:pPr>
            <w:r w:rsidRPr="00A8408D">
              <w:rPr>
                <w:rStyle w:val="Bold"/>
                <w:rFonts w:ascii="Arial" w:hAnsi="Arial" w:cs="Arial"/>
                <w:bCs w:val="0"/>
                <w:color w:val="auto"/>
                <w:sz w:val="16"/>
                <w:szCs w:val="16"/>
              </w:rPr>
              <w:t xml:space="preserve">Loans and receivables </w:t>
            </w:r>
            <w:r w:rsidRPr="00A8408D">
              <w:rPr>
                <w:rStyle w:val="Bold"/>
                <w:rFonts w:ascii="Arial" w:hAnsi="Arial" w:cs="Arial"/>
                <w:bCs w:val="0"/>
                <w:color w:val="auto"/>
                <w:sz w:val="16"/>
                <w:szCs w:val="16"/>
              </w:rPr>
              <w:br/>
            </w:r>
          </w:p>
        </w:tc>
        <w:tc>
          <w:tcPr>
            <w:tcW w:w="1155" w:type="dxa"/>
            <w:shd w:val="clear" w:color="auto" w:fill="4BACC6" w:themeFill="accent5"/>
          </w:tcPr>
          <w:p w:rsidR="004A1210" w:rsidRPr="00A8408D" w:rsidRDefault="004A1210" w:rsidP="003C5E34">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sz w:val="16"/>
                <w:szCs w:val="16"/>
              </w:rPr>
            </w:pPr>
            <w:r w:rsidRPr="00A8408D">
              <w:rPr>
                <w:rStyle w:val="Bold"/>
                <w:rFonts w:ascii="Arial" w:hAnsi="Arial" w:cs="Arial"/>
                <w:bCs w:val="0"/>
                <w:color w:val="auto"/>
                <w:sz w:val="16"/>
                <w:szCs w:val="16"/>
              </w:rPr>
              <w:t>Assets at Fair Value through Profit and Loss</w:t>
            </w:r>
          </w:p>
          <w:p w:rsidR="004A1210" w:rsidRPr="00A8408D" w:rsidRDefault="004A1210" w:rsidP="003C5E34">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sz w:val="16"/>
                <w:szCs w:val="16"/>
              </w:rPr>
            </w:pPr>
          </w:p>
        </w:tc>
        <w:tc>
          <w:tcPr>
            <w:cnfStyle w:val="000010000000" w:firstRow="0" w:lastRow="0" w:firstColumn="0" w:lastColumn="0" w:oddVBand="1" w:evenVBand="0" w:oddHBand="0" w:evenHBand="0" w:firstRowFirstColumn="0" w:firstRowLastColumn="0" w:lastRowFirstColumn="0" w:lastRowLastColumn="0"/>
            <w:tcW w:w="1161" w:type="dxa"/>
            <w:shd w:val="clear" w:color="auto" w:fill="4BACC6" w:themeFill="accent5"/>
          </w:tcPr>
          <w:p w:rsidR="004A1210" w:rsidRPr="00A8408D" w:rsidRDefault="004A1210" w:rsidP="00F60EB5">
            <w:pPr>
              <w:pStyle w:val="TableRightBold"/>
              <w:jc w:val="center"/>
              <w:rPr>
                <w:rStyle w:val="Bold"/>
                <w:rFonts w:ascii="Arial" w:hAnsi="Arial" w:cs="Arial"/>
                <w:bCs w:val="0"/>
                <w:color w:val="auto"/>
                <w:sz w:val="16"/>
                <w:szCs w:val="16"/>
              </w:rPr>
            </w:pPr>
            <w:r w:rsidRPr="00F40EE2">
              <w:rPr>
                <w:rStyle w:val="Bold"/>
                <w:rFonts w:ascii="Arial" w:hAnsi="Arial" w:cs="Arial"/>
                <w:bCs w:val="0"/>
                <w:color w:val="auto"/>
                <w:sz w:val="16"/>
                <w:szCs w:val="16"/>
              </w:rPr>
              <w:t>Available For Sale Assets</w:t>
            </w:r>
          </w:p>
        </w:tc>
        <w:tc>
          <w:tcPr>
            <w:tcW w:w="1701" w:type="dxa"/>
            <w:shd w:val="clear" w:color="auto" w:fill="4BACC6" w:themeFill="accent5"/>
          </w:tcPr>
          <w:p w:rsidR="004A1210" w:rsidRPr="00A8408D" w:rsidRDefault="004A1210" w:rsidP="00F60EB5">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A8408D">
              <w:rPr>
                <w:rStyle w:val="Bold"/>
                <w:rFonts w:ascii="Arial" w:hAnsi="Arial" w:cs="Arial"/>
                <w:bCs w:val="0"/>
                <w:color w:val="auto"/>
                <w:sz w:val="16"/>
                <w:szCs w:val="16"/>
              </w:rPr>
              <w:t>Total</w:t>
            </w:r>
            <w:r w:rsidRPr="00A8408D">
              <w:rPr>
                <w:rStyle w:val="Bold"/>
                <w:rFonts w:ascii="Arial" w:hAnsi="Arial" w:cs="Arial"/>
                <w:bCs w:val="0"/>
                <w:color w:val="auto"/>
                <w:sz w:val="16"/>
                <w:szCs w:val="16"/>
              </w:rPr>
              <w:br/>
            </w: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4A1210" w:rsidRPr="00A8408D" w:rsidRDefault="004A1210" w:rsidP="00F60EB5">
            <w:pPr>
              <w:pStyle w:val="TableRightBold"/>
              <w:jc w:val="center"/>
              <w:rPr>
                <w:rFonts w:ascii="Arial" w:hAnsi="Arial" w:cs="Arial"/>
                <w:color w:val="auto"/>
                <w:sz w:val="16"/>
                <w:szCs w:val="16"/>
              </w:rPr>
            </w:pPr>
            <w:r w:rsidRPr="00A8408D">
              <w:rPr>
                <w:rStyle w:val="Bold"/>
                <w:rFonts w:ascii="Arial" w:hAnsi="Arial" w:cs="Arial"/>
                <w:bCs w:val="0"/>
                <w:color w:val="auto"/>
                <w:sz w:val="16"/>
                <w:szCs w:val="16"/>
              </w:rPr>
              <w:t xml:space="preserve">Liabilities measured at </w:t>
            </w:r>
            <w:proofErr w:type="spellStart"/>
            <w:r w:rsidRPr="00A8408D">
              <w:rPr>
                <w:rStyle w:val="Bold"/>
                <w:rFonts w:ascii="Arial" w:hAnsi="Arial" w:cs="Arial"/>
                <w:bCs w:val="0"/>
                <w:color w:val="auto"/>
                <w:sz w:val="16"/>
                <w:szCs w:val="16"/>
              </w:rPr>
              <w:t>amortised</w:t>
            </w:r>
            <w:proofErr w:type="spellEnd"/>
            <w:r w:rsidRPr="00A8408D">
              <w:rPr>
                <w:rStyle w:val="Bold"/>
                <w:rFonts w:ascii="Arial" w:hAnsi="Arial" w:cs="Arial"/>
                <w:bCs w:val="0"/>
                <w:color w:val="auto"/>
                <w:sz w:val="16"/>
                <w:szCs w:val="16"/>
              </w:rPr>
              <w:t xml:space="preserve"> cost</w:t>
            </w:r>
            <w:r w:rsidRPr="00A8408D">
              <w:rPr>
                <w:rStyle w:val="Bold"/>
                <w:rFonts w:ascii="Arial" w:hAnsi="Arial" w:cs="Arial"/>
                <w:bCs w:val="0"/>
                <w:color w:val="auto"/>
                <w:sz w:val="16"/>
                <w:szCs w:val="16"/>
              </w:rPr>
              <w:br/>
            </w:r>
          </w:p>
        </w:tc>
        <w:tc>
          <w:tcPr>
            <w:tcW w:w="1275" w:type="dxa"/>
            <w:shd w:val="clear" w:color="auto" w:fill="4BACC6" w:themeFill="accent5"/>
          </w:tcPr>
          <w:p w:rsidR="004A1210" w:rsidRPr="00A8408D" w:rsidRDefault="004A1210" w:rsidP="00F60EB5">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A8408D">
              <w:rPr>
                <w:rStyle w:val="Bold"/>
                <w:rFonts w:ascii="Arial" w:hAnsi="Arial" w:cs="Arial"/>
                <w:bCs w:val="0"/>
                <w:color w:val="auto"/>
                <w:sz w:val="16"/>
                <w:szCs w:val="16"/>
              </w:rPr>
              <w:t xml:space="preserve">Loans and receivables </w:t>
            </w:r>
            <w:r w:rsidRPr="00A8408D">
              <w:rPr>
                <w:rStyle w:val="Bold"/>
                <w:rFonts w:ascii="Arial" w:hAnsi="Arial" w:cs="Arial"/>
                <w:bCs w:val="0"/>
                <w:color w:val="auto"/>
                <w:sz w:val="16"/>
                <w:szCs w:val="16"/>
              </w:rPr>
              <w:br/>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A1210" w:rsidRPr="00F40EE2" w:rsidRDefault="004A1210" w:rsidP="004A1210">
            <w:pPr>
              <w:pStyle w:val="TableRightBold"/>
              <w:jc w:val="center"/>
              <w:rPr>
                <w:rStyle w:val="Bold"/>
                <w:rFonts w:ascii="Arial" w:hAnsi="Arial" w:cs="Arial"/>
                <w:bCs w:val="0"/>
                <w:color w:val="auto"/>
                <w:sz w:val="16"/>
                <w:szCs w:val="16"/>
              </w:rPr>
            </w:pPr>
            <w:r w:rsidRPr="00F40EE2">
              <w:rPr>
                <w:rStyle w:val="Bold"/>
                <w:rFonts w:ascii="Arial" w:hAnsi="Arial" w:cs="Arial"/>
                <w:bCs w:val="0"/>
                <w:color w:val="auto"/>
                <w:sz w:val="16"/>
                <w:szCs w:val="16"/>
              </w:rPr>
              <w:t>Assets at Fair Value through Profit and Loss</w:t>
            </w:r>
          </w:p>
        </w:tc>
        <w:tc>
          <w:tcPr>
            <w:tcW w:w="1134" w:type="dxa"/>
            <w:shd w:val="clear" w:color="auto" w:fill="4BACC6" w:themeFill="accent5"/>
          </w:tcPr>
          <w:p w:rsidR="004A1210" w:rsidRPr="00F40EE2" w:rsidRDefault="004A1210" w:rsidP="00F60EB5">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sz w:val="16"/>
                <w:szCs w:val="16"/>
              </w:rPr>
            </w:pPr>
            <w:r w:rsidRPr="00F40EE2">
              <w:rPr>
                <w:rStyle w:val="Bold"/>
                <w:rFonts w:ascii="Arial" w:hAnsi="Arial" w:cs="Arial"/>
                <w:bCs w:val="0"/>
                <w:color w:val="auto"/>
                <w:sz w:val="16"/>
                <w:szCs w:val="16"/>
              </w:rPr>
              <w:t>Available For Sale Assets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4A1210" w:rsidRPr="00A8408D" w:rsidRDefault="004A1210" w:rsidP="00F60EB5">
            <w:pPr>
              <w:pStyle w:val="TableRightBold"/>
              <w:jc w:val="center"/>
              <w:rPr>
                <w:rFonts w:ascii="Arial" w:hAnsi="Arial" w:cs="Arial"/>
                <w:b w:val="0"/>
                <w:color w:val="auto"/>
                <w:sz w:val="16"/>
                <w:szCs w:val="16"/>
              </w:rPr>
            </w:pPr>
            <w:r w:rsidRPr="00A8408D">
              <w:rPr>
                <w:rStyle w:val="Bold"/>
                <w:rFonts w:ascii="Arial" w:hAnsi="Arial" w:cs="Arial"/>
                <w:b/>
                <w:bCs w:val="0"/>
                <w:color w:val="auto"/>
                <w:sz w:val="16"/>
                <w:szCs w:val="16"/>
              </w:rPr>
              <w:t>Total</w:t>
            </w:r>
            <w:r w:rsidRPr="00A8408D">
              <w:rPr>
                <w:rStyle w:val="Bold"/>
                <w:rFonts w:ascii="Arial" w:hAnsi="Arial" w:cs="Arial"/>
                <w:b/>
                <w:bCs w:val="0"/>
                <w:color w:val="auto"/>
                <w:sz w:val="16"/>
                <w:szCs w:val="16"/>
              </w:rPr>
              <w:br/>
            </w:r>
          </w:p>
        </w:tc>
      </w:tr>
      <w:tr w:rsidR="004A1210" w:rsidRPr="0005794A" w:rsidTr="00C77DEF">
        <w:trPr>
          <w:trHeight w:val="60"/>
          <w:jc w:val="center"/>
        </w:trPr>
        <w:tc>
          <w:tcPr>
            <w:cnfStyle w:val="000010000000" w:firstRow="0" w:lastRow="0" w:firstColumn="0" w:lastColumn="0" w:oddVBand="1" w:evenVBand="0" w:oddHBand="0" w:evenHBand="0" w:firstRowFirstColumn="0" w:firstRowLastColumn="0" w:lastRowFirstColumn="0" w:lastRowLastColumn="0"/>
            <w:tcW w:w="2003" w:type="dxa"/>
            <w:shd w:val="clear" w:color="auto" w:fill="4BACC6" w:themeFill="accent5"/>
          </w:tcPr>
          <w:p w:rsidR="004A1210" w:rsidRPr="00A8408D" w:rsidRDefault="004A1210" w:rsidP="003C5E34">
            <w:pPr>
              <w:pStyle w:val="TableText"/>
              <w:rPr>
                <w:rFonts w:ascii="Arial" w:hAnsi="Arial" w:cs="Arial"/>
                <w:color w:val="auto"/>
                <w:sz w:val="18"/>
                <w:szCs w:val="18"/>
                <w:lang w:val="en-US"/>
              </w:rPr>
            </w:pPr>
          </w:p>
        </w:tc>
        <w:tc>
          <w:tcPr>
            <w:tcW w:w="1155" w:type="dxa"/>
            <w:shd w:val="clear" w:color="auto" w:fill="4BACC6" w:themeFill="accent5"/>
          </w:tcPr>
          <w:p w:rsidR="004A1210" w:rsidRPr="00A8408D" w:rsidRDefault="004A1210" w:rsidP="008060C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408D">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155" w:type="dxa"/>
            <w:gridSpan w:val="2"/>
            <w:shd w:val="clear" w:color="auto" w:fill="4BACC6" w:themeFill="accent5"/>
          </w:tcPr>
          <w:p w:rsidR="004A1210" w:rsidRPr="00A8408D" w:rsidRDefault="004A1210" w:rsidP="008060CD">
            <w:pPr>
              <w:pStyle w:val="TableRight"/>
              <w:jc w:val="center"/>
              <w:rPr>
                <w:rFonts w:ascii="Arial" w:hAnsi="Arial" w:cs="Arial"/>
                <w:color w:val="auto"/>
              </w:rPr>
            </w:pPr>
            <w:r w:rsidRPr="00A8408D">
              <w:rPr>
                <w:rFonts w:ascii="Arial" w:hAnsi="Arial" w:cs="Arial"/>
                <w:color w:val="auto"/>
              </w:rPr>
              <w:t>£m</w:t>
            </w:r>
          </w:p>
        </w:tc>
        <w:tc>
          <w:tcPr>
            <w:tcW w:w="1155" w:type="dxa"/>
            <w:shd w:val="clear" w:color="auto" w:fill="4BACC6" w:themeFill="accent5"/>
          </w:tcPr>
          <w:p w:rsidR="004A1210" w:rsidRPr="00A8408D" w:rsidRDefault="004A1210" w:rsidP="008060C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408D">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161" w:type="dxa"/>
            <w:shd w:val="clear" w:color="auto" w:fill="4BACC6" w:themeFill="accent5"/>
          </w:tcPr>
          <w:p w:rsidR="004A1210" w:rsidRPr="00A8408D" w:rsidRDefault="004A1210" w:rsidP="008060CD">
            <w:pPr>
              <w:pStyle w:val="TableRight"/>
              <w:jc w:val="center"/>
              <w:rPr>
                <w:rFonts w:ascii="Arial" w:hAnsi="Arial" w:cs="Arial"/>
                <w:color w:val="auto"/>
              </w:rPr>
            </w:pPr>
            <w:r>
              <w:rPr>
                <w:rFonts w:ascii="Arial" w:hAnsi="Arial" w:cs="Arial"/>
                <w:color w:val="auto"/>
              </w:rPr>
              <w:t>£m</w:t>
            </w:r>
          </w:p>
        </w:tc>
        <w:tc>
          <w:tcPr>
            <w:tcW w:w="1701" w:type="dxa"/>
            <w:shd w:val="clear" w:color="auto" w:fill="4BACC6" w:themeFill="accent5"/>
          </w:tcPr>
          <w:p w:rsidR="004A1210" w:rsidRPr="00A8408D" w:rsidRDefault="004A1210" w:rsidP="008060C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408D">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4A1210" w:rsidRPr="00A8408D" w:rsidRDefault="004A1210" w:rsidP="00071133">
            <w:pPr>
              <w:pStyle w:val="TableRight"/>
              <w:jc w:val="center"/>
              <w:rPr>
                <w:rFonts w:ascii="Arial" w:hAnsi="Arial" w:cs="Arial"/>
                <w:color w:val="auto"/>
              </w:rPr>
            </w:pPr>
            <w:r w:rsidRPr="00A8408D">
              <w:rPr>
                <w:rFonts w:ascii="Arial" w:hAnsi="Arial" w:cs="Arial"/>
                <w:color w:val="auto"/>
              </w:rPr>
              <w:t>£m</w:t>
            </w:r>
          </w:p>
        </w:tc>
        <w:tc>
          <w:tcPr>
            <w:tcW w:w="1275" w:type="dxa"/>
            <w:shd w:val="clear" w:color="auto" w:fill="4BACC6" w:themeFill="accent5"/>
          </w:tcPr>
          <w:p w:rsidR="004A1210" w:rsidRPr="00A8408D" w:rsidRDefault="004A1210" w:rsidP="007E4746">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408D">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A1210" w:rsidRPr="00A8408D" w:rsidRDefault="004A1210" w:rsidP="007E4746">
            <w:pPr>
              <w:pStyle w:val="TableRight"/>
              <w:jc w:val="center"/>
              <w:rPr>
                <w:rFonts w:ascii="Arial" w:hAnsi="Arial" w:cs="Arial"/>
                <w:color w:val="auto"/>
              </w:rPr>
            </w:pPr>
            <w:r w:rsidRPr="00A8408D">
              <w:rPr>
                <w:rFonts w:ascii="Arial" w:hAnsi="Arial" w:cs="Arial"/>
                <w:color w:val="auto"/>
              </w:rPr>
              <w:t>£m</w:t>
            </w:r>
          </w:p>
        </w:tc>
        <w:tc>
          <w:tcPr>
            <w:tcW w:w="1134" w:type="dxa"/>
            <w:shd w:val="clear" w:color="auto" w:fill="4BACC6" w:themeFill="accent5"/>
          </w:tcPr>
          <w:p w:rsidR="004A1210" w:rsidRPr="00A8408D" w:rsidRDefault="004A1210" w:rsidP="00071133">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4A1210" w:rsidRPr="00A8408D" w:rsidRDefault="004A1210" w:rsidP="00071133">
            <w:pPr>
              <w:pStyle w:val="TableRight"/>
              <w:jc w:val="center"/>
              <w:rPr>
                <w:rFonts w:ascii="Arial" w:hAnsi="Arial" w:cs="Arial"/>
                <w:color w:val="auto"/>
              </w:rPr>
            </w:pPr>
            <w:r w:rsidRPr="00A8408D">
              <w:rPr>
                <w:rFonts w:ascii="Arial" w:hAnsi="Arial" w:cs="Arial"/>
                <w:color w:val="auto"/>
              </w:rPr>
              <w:t>£m</w:t>
            </w:r>
          </w:p>
        </w:tc>
      </w:tr>
      <w:tr w:rsidR="004A1210" w:rsidRPr="0005794A" w:rsidTr="00C77DEF">
        <w:trPr>
          <w:cnfStyle w:val="000000100000" w:firstRow="0" w:lastRow="0" w:firstColumn="0" w:lastColumn="0" w:oddVBand="0" w:evenVBand="0" w:oddHBand="1" w:evenHBand="0" w:firstRowFirstColumn="0" w:firstRowLastColumn="0" w:lastRowFirstColumn="0" w:lastRowLastColumn="0"/>
          <w:trHeight w:val="60"/>
          <w:jc w:val="center"/>
        </w:trPr>
        <w:tc>
          <w:tcPr>
            <w:cnfStyle w:val="000010000000" w:firstRow="0" w:lastRow="0" w:firstColumn="0" w:lastColumn="0" w:oddVBand="1" w:evenVBand="0" w:oddHBand="0" w:evenHBand="0" w:firstRowFirstColumn="0" w:firstRowLastColumn="0" w:lastRowFirstColumn="0" w:lastRowLastColumn="0"/>
            <w:tcW w:w="2003" w:type="dxa"/>
            <w:vAlign w:val="center"/>
          </w:tcPr>
          <w:p w:rsidR="004A1210" w:rsidRPr="00A8408D" w:rsidRDefault="004A1210" w:rsidP="00AE29C3">
            <w:pPr>
              <w:pStyle w:val="TableText"/>
              <w:rPr>
                <w:rFonts w:ascii="Arial" w:hAnsi="Arial" w:cs="Arial"/>
                <w:color w:val="auto"/>
                <w:sz w:val="18"/>
                <w:szCs w:val="18"/>
              </w:rPr>
            </w:pPr>
            <w:r w:rsidRPr="00A8408D">
              <w:rPr>
                <w:rFonts w:ascii="Arial" w:hAnsi="Arial" w:cs="Arial"/>
                <w:color w:val="auto"/>
                <w:sz w:val="18"/>
                <w:szCs w:val="18"/>
                <w:lang w:val="en-US"/>
              </w:rPr>
              <w:t>Interest expense</w:t>
            </w:r>
          </w:p>
        </w:tc>
        <w:tc>
          <w:tcPr>
            <w:tcW w:w="1155"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4.6</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w:t>
            </w:r>
          </w:p>
        </w:tc>
        <w:tc>
          <w:tcPr>
            <w:tcW w:w="1155"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61" w:type="dxa"/>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w:t>
            </w:r>
          </w:p>
        </w:tc>
        <w:tc>
          <w:tcPr>
            <w:tcW w:w="1701"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4.6</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A1210" w:rsidRPr="00A8408D" w:rsidRDefault="00755357" w:rsidP="00AE29C3">
            <w:pPr>
              <w:pStyle w:val="TableRight"/>
              <w:jc w:val="center"/>
              <w:rPr>
                <w:rFonts w:ascii="Arial" w:hAnsi="Arial" w:cs="Arial"/>
                <w:b/>
                <w:color w:val="auto"/>
              </w:rPr>
            </w:pPr>
            <w:r>
              <w:rPr>
                <w:rFonts w:ascii="Arial" w:hAnsi="Arial" w:cs="Arial"/>
                <w:b/>
                <w:color w:val="auto"/>
              </w:rPr>
              <w:t>4.9</w:t>
            </w:r>
          </w:p>
        </w:tc>
        <w:tc>
          <w:tcPr>
            <w:tcW w:w="1275" w:type="dxa"/>
            <w:vAlign w:val="center"/>
          </w:tcPr>
          <w:p w:rsidR="004A1210" w:rsidRPr="00A8408D" w:rsidRDefault="00C77DEF"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A1210" w:rsidRPr="00A8408D" w:rsidRDefault="00C77DEF" w:rsidP="00AE29C3">
            <w:pPr>
              <w:pStyle w:val="TableRight"/>
              <w:jc w:val="center"/>
              <w:rPr>
                <w:rFonts w:ascii="Arial" w:hAnsi="Arial" w:cs="Arial"/>
                <w:b/>
                <w:color w:val="auto"/>
              </w:rPr>
            </w:pPr>
            <w:r>
              <w:rPr>
                <w:rFonts w:ascii="Arial" w:hAnsi="Arial" w:cs="Arial"/>
                <w:b/>
                <w:color w:val="auto"/>
              </w:rPr>
              <w:t>-</w:t>
            </w:r>
          </w:p>
        </w:tc>
        <w:tc>
          <w:tcPr>
            <w:tcW w:w="1134" w:type="dxa"/>
          </w:tcPr>
          <w:p w:rsidR="004A1210" w:rsidRPr="00A8408D" w:rsidRDefault="00C77DEF"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4A1210" w:rsidRPr="00A8408D" w:rsidRDefault="00755357" w:rsidP="00AE29C3">
            <w:pPr>
              <w:pStyle w:val="TableRight"/>
              <w:jc w:val="center"/>
              <w:rPr>
                <w:rFonts w:ascii="Arial" w:hAnsi="Arial" w:cs="Arial"/>
                <w:b/>
                <w:color w:val="auto"/>
              </w:rPr>
            </w:pPr>
            <w:r>
              <w:rPr>
                <w:rFonts w:ascii="Arial" w:hAnsi="Arial" w:cs="Arial"/>
                <w:b/>
                <w:color w:val="auto"/>
              </w:rPr>
              <w:t>4.9</w:t>
            </w:r>
          </w:p>
        </w:tc>
      </w:tr>
      <w:tr w:rsidR="004A1210" w:rsidRPr="0005794A" w:rsidTr="00C77DEF">
        <w:trPr>
          <w:trHeight w:val="60"/>
          <w:jc w:val="center"/>
        </w:trPr>
        <w:tc>
          <w:tcPr>
            <w:cnfStyle w:val="000010000000" w:firstRow="0" w:lastRow="0" w:firstColumn="0" w:lastColumn="0" w:oddVBand="1" w:evenVBand="0" w:oddHBand="0" w:evenHBand="0" w:firstRowFirstColumn="0" w:firstRowLastColumn="0" w:lastRowFirstColumn="0" w:lastRowLastColumn="0"/>
            <w:tcW w:w="2003" w:type="dxa"/>
            <w:vAlign w:val="center"/>
          </w:tcPr>
          <w:p w:rsidR="004A1210" w:rsidRPr="00A8408D" w:rsidRDefault="004A1210" w:rsidP="00AE29C3">
            <w:pPr>
              <w:pStyle w:val="TableText"/>
              <w:rPr>
                <w:rFonts w:ascii="Arial" w:hAnsi="Arial" w:cs="Arial"/>
                <w:color w:val="auto"/>
                <w:sz w:val="18"/>
                <w:szCs w:val="18"/>
                <w:lang w:val="en-US"/>
              </w:rPr>
            </w:pPr>
            <w:r w:rsidRPr="00A8408D">
              <w:rPr>
                <w:rFonts w:ascii="Arial" w:hAnsi="Arial" w:cs="Arial"/>
                <w:color w:val="auto"/>
                <w:sz w:val="18"/>
                <w:szCs w:val="18"/>
                <w:lang w:val="en-US"/>
              </w:rPr>
              <w:t>Reductions in fair  value re interest due</w:t>
            </w:r>
          </w:p>
        </w:tc>
        <w:tc>
          <w:tcPr>
            <w:tcW w:w="1155" w:type="dxa"/>
            <w:vAlign w:val="center"/>
          </w:tcPr>
          <w:p w:rsidR="004A1210" w:rsidRPr="00C77DEF" w:rsidRDefault="004A1210"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7DEF">
              <w:rPr>
                <w:rFonts w:ascii="Arial" w:hAnsi="Arial" w:cs="Arial"/>
                <w:color w:val="auto"/>
              </w:rPr>
              <w:t>1.3</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w:t>
            </w:r>
          </w:p>
        </w:tc>
        <w:tc>
          <w:tcPr>
            <w:tcW w:w="1155" w:type="dxa"/>
            <w:vAlign w:val="center"/>
          </w:tcPr>
          <w:p w:rsidR="004A1210" w:rsidRPr="00C77DEF" w:rsidRDefault="004A1210"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7DEF">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61" w:type="dxa"/>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w:t>
            </w:r>
          </w:p>
        </w:tc>
        <w:tc>
          <w:tcPr>
            <w:tcW w:w="1701" w:type="dxa"/>
            <w:vAlign w:val="center"/>
          </w:tcPr>
          <w:p w:rsidR="004A1210" w:rsidRPr="00C77DEF" w:rsidRDefault="004A1210"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7DEF">
              <w:rPr>
                <w:rFonts w:ascii="Arial" w:hAnsi="Arial" w:cs="Arial"/>
                <w:color w:val="auto"/>
              </w:rPr>
              <w:t>1.3</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A1210" w:rsidRPr="00A8408D" w:rsidRDefault="00755357" w:rsidP="00AE29C3">
            <w:pPr>
              <w:pStyle w:val="TableRight"/>
              <w:jc w:val="center"/>
              <w:rPr>
                <w:rFonts w:ascii="Arial" w:hAnsi="Arial" w:cs="Arial"/>
                <w:b/>
                <w:color w:val="auto"/>
              </w:rPr>
            </w:pPr>
            <w:r>
              <w:rPr>
                <w:rFonts w:ascii="Arial" w:hAnsi="Arial" w:cs="Arial"/>
                <w:b/>
                <w:color w:val="auto"/>
              </w:rPr>
              <w:t>3.0</w:t>
            </w:r>
          </w:p>
        </w:tc>
        <w:tc>
          <w:tcPr>
            <w:tcW w:w="1275" w:type="dxa"/>
            <w:vAlign w:val="center"/>
          </w:tcPr>
          <w:p w:rsidR="004A1210" w:rsidRPr="00A8408D" w:rsidRDefault="00C77DEF" w:rsidP="00AE29C3">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A1210" w:rsidRPr="00A8408D" w:rsidRDefault="00C77DEF" w:rsidP="00AE29C3">
            <w:pPr>
              <w:pStyle w:val="TableRight"/>
              <w:jc w:val="center"/>
              <w:rPr>
                <w:rFonts w:ascii="Arial" w:hAnsi="Arial" w:cs="Arial"/>
                <w:b/>
                <w:color w:val="auto"/>
              </w:rPr>
            </w:pPr>
            <w:r>
              <w:rPr>
                <w:rFonts w:ascii="Arial" w:hAnsi="Arial" w:cs="Arial"/>
                <w:b/>
                <w:color w:val="auto"/>
              </w:rPr>
              <w:t>-</w:t>
            </w:r>
          </w:p>
        </w:tc>
        <w:tc>
          <w:tcPr>
            <w:tcW w:w="1134" w:type="dxa"/>
          </w:tcPr>
          <w:p w:rsidR="004A1210" w:rsidRPr="00A8408D" w:rsidRDefault="00C77DEF" w:rsidP="00AE29C3">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4A1210" w:rsidRPr="00A8408D" w:rsidRDefault="00755357" w:rsidP="00AE29C3">
            <w:pPr>
              <w:pStyle w:val="TableRight"/>
              <w:jc w:val="center"/>
              <w:rPr>
                <w:rFonts w:ascii="Arial" w:hAnsi="Arial" w:cs="Arial"/>
                <w:b/>
                <w:color w:val="auto"/>
              </w:rPr>
            </w:pPr>
            <w:r>
              <w:rPr>
                <w:rFonts w:ascii="Arial" w:hAnsi="Arial" w:cs="Arial"/>
                <w:b/>
                <w:color w:val="auto"/>
              </w:rPr>
              <w:t>3.0</w:t>
            </w:r>
          </w:p>
        </w:tc>
      </w:tr>
      <w:tr w:rsidR="004A1210" w:rsidRPr="0005794A" w:rsidTr="00C77DEF">
        <w:trPr>
          <w:cnfStyle w:val="000000100000" w:firstRow="0" w:lastRow="0" w:firstColumn="0" w:lastColumn="0" w:oddVBand="0" w:evenVBand="0" w:oddHBand="1" w:evenHBand="0" w:firstRowFirstColumn="0" w:firstRowLastColumn="0" w:lastRowFirstColumn="0" w:lastRowLastColumn="0"/>
          <w:trHeight w:val="60"/>
          <w:jc w:val="center"/>
        </w:trPr>
        <w:tc>
          <w:tcPr>
            <w:cnfStyle w:val="000010000000" w:firstRow="0" w:lastRow="0" w:firstColumn="0" w:lastColumn="0" w:oddVBand="1" w:evenVBand="0" w:oddHBand="0" w:evenHBand="0" w:firstRowFirstColumn="0" w:firstRowLastColumn="0" w:lastRowFirstColumn="0" w:lastRowLastColumn="0"/>
            <w:tcW w:w="2003" w:type="dxa"/>
            <w:vAlign w:val="center"/>
          </w:tcPr>
          <w:p w:rsidR="004A1210" w:rsidRPr="00A8408D" w:rsidRDefault="004A1210" w:rsidP="00AE29C3">
            <w:pPr>
              <w:pStyle w:val="TableTextBold"/>
              <w:rPr>
                <w:rFonts w:ascii="Arial" w:hAnsi="Arial" w:cs="Arial"/>
                <w:color w:val="auto"/>
                <w:sz w:val="18"/>
                <w:szCs w:val="18"/>
              </w:rPr>
            </w:pPr>
            <w:r w:rsidRPr="00A8408D">
              <w:rPr>
                <w:rFonts w:ascii="Arial" w:hAnsi="Arial" w:cs="Arial"/>
                <w:color w:val="auto"/>
                <w:sz w:val="18"/>
                <w:szCs w:val="18"/>
              </w:rPr>
              <w:t>Total expense in Surplus or Deficit on the Provision of Services</w:t>
            </w:r>
          </w:p>
        </w:tc>
        <w:tc>
          <w:tcPr>
            <w:tcW w:w="1155"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5.9</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w:t>
            </w:r>
          </w:p>
        </w:tc>
        <w:tc>
          <w:tcPr>
            <w:tcW w:w="1155"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61" w:type="dxa"/>
          </w:tcPr>
          <w:p w:rsidR="00C77DEF" w:rsidRPr="00C77DEF" w:rsidRDefault="00C77DEF" w:rsidP="00A8408D">
            <w:pPr>
              <w:pStyle w:val="TableRight"/>
              <w:jc w:val="center"/>
              <w:rPr>
                <w:rFonts w:ascii="Arial" w:hAnsi="Arial" w:cs="Arial"/>
                <w:color w:val="auto"/>
              </w:rPr>
            </w:pPr>
          </w:p>
          <w:p w:rsidR="004A1210" w:rsidRPr="00C77DEF" w:rsidRDefault="004A1210" w:rsidP="00A8408D">
            <w:pPr>
              <w:pStyle w:val="TableRight"/>
              <w:jc w:val="center"/>
              <w:rPr>
                <w:rFonts w:ascii="Arial" w:hAnsi="Arial" w:cs="Arial"/>
                <w:color w:val="auto"/>
              </w:rPr>
            </w:pPr>
            <w:r w:rsidRPr="00C77DEF">
              <w:rPr>
                <w:rFonts w:ascii="Arial" w:hAnsi="Arial" w:cs="Arial"/>
                <w:color w:val="auto"/>
              </w:rPr>
              <w:t>-</w:t>
            </w:r>
          </w:p>
        </w:tc>
        <w:tc>
          <w:tcPr>
            <w:tcW w:w="1701"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5.9</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A1210" w:rsidRPr="00A8408D" w:rsidRDefault="00755357" w:rsidP="00AE29C3">
            <w:pPr>
              <w:pStyle w:val="TableRight"/>
              <w:jc w:val="center"/>
              <w:rPr>
                <w:rFonts w:ascii="Arial" w:hAnsi="Arial" w:cs="Arial"/>
                <w:b/>
                <w:color w:val="auto"/>
              </w:rPr>
            </w:pPr>
            <w:r>
              <w:rPr>
                <w:rFonts w:ascii="Arial" w:hAnsi="Arial" w:cs="Arial"/>
                <w:b/>
                <w:color w:val="auto"/>
              </w:rPr>
              <w:t>7.9</w:t>
            </w:r>
          </w:p>
        </w:tc>
        <w:tc>
          <w:tcPr>
            <w:tcW w:w="1275" w:type="dxa"/>
            <w:vAlign w:val="center"/>
          </w:tcPr>
          <w:p w:rsidR="004A1210" w:rsidRPr="00A8408D" w:rsidRDefault="00C77DEF"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A1210" w:rsidRPr="00A8408D" w:rsidRDefault="00C77DEF" w:rsidP="00AE29C3">
            <w:pPr>
              <w:pStyle w:val="TableRight"/>
              <w:jc w:val="center"/>
              <w:rPr>
                <w:rFonts w:ascii="Arial" w:hAnsi="Arial" w:cs="Arial"/>
                <w:b/>
                <w:color w:val="auto"/>
              </w:rPr>
            </w:pPr>
            <w:r>
              <w:rPr>
                <w:rFonts w:ascii="Arial" w:hAnsi="Arial" w:cs="Arial"/>
                <w:b/>
                <w:color w:val="auto"/>
              </w:rPr>
              <w:t>-</w:t>
            </w:r>
          </w:p>
        </w:tc>
        <w:tc>
          <w:tcPr>
            <w:tcW w:w="1134" w:type="dxa"/>
          </w:tcPr>
          <w:p w:rsidR="00C77DEF" w:rsidRDefault="00C77DEF"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p w:rsidR="004A1210" w:rsidRPr="00A8408D" w:rsidRDefault="00C77DEF"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4A1210" w:rsidRPr="00A8408D" w:rsidRDefault="00755357" w:rsidP="00AE29C3">
            <w:pPr>
              <w:pStyle w:val="TableRight"/>
              <w:jc w:val="center"/>
              <w:rPr>
                <w:rFonts w:ascii="Arial" w:hAnsi="Arial" w:cs="Arial"/>
                <w:b/>
                <w:color w:val="auto"/>
              </w:rPr>
            </w:pPr>
            <w:r>
              <w:rPr>
                <w:rFonts w:ascii="Arial" w:hAnsi="Arial" w:cs="Arial"/>
                <w:b/>
                <w:color w:val="auto"/>
              </w:rPr>
              <w:t>7.9</w:t>
            </w:r>
          </w:p>
        </w:tc>
      </w:tr>
      <w:tr w:rsidR="004A1210" w:rsidRPr="0005794A" w:rsidTr="00C77DEF">
        <w:trPr>
          <w:trHeight w:val="60"/>
          <w:jc w:val="center"/>
        </w:trPr>
        <w:tc>
          <w:tcPr>
            <w:cnfStyle w:val="000010000000" w:firstRow="0" w:lastRow="0" w:firstColumn="0" w:lastColumn="0" w:oddVBand="1" w:evenVBand="0" w:oddHBand="0" w:evenHBand="0" w:firstRowFirstColumn="0" w:firstRowLastColumn="0" w:lastRowFirstColumn="0" w:lastRowLastColumn="0"/>
            <w:tcW w:w="2003" w:type="dxa"/>
            <w:vAlign w:val="center"/>
          </w:tcPr>
          <w:p w:rsidR="004A1210" w:rsidRPr="00A8408D" w:rsidRDefault="004A1210" w:rsidP="00AE29C3">
            <w:pPr>
              <w:pStyle w:val="TableText"/>
              <w:rPr>
                <w:rFonts w:ascii="Arial" w:hAnsi="Arial" w:cs="Arial"/>
                <w:color w:val="auto"/>
                <w:sz w:val="18"/>
                <w:szCs w:val="18"/>
              </w:rPr>
            </w:pPr>
            <w:r w:rsidRPr="00A8408D">
              <w:rPr>
                <w:rFonts w:ascii="Arial" w:hAnsi="Arial" w:cs="Arial"/>
                <w:color w:val="auto"/>
                <w:sz w:val="18"/>
                <w:szCs w:val="18"/>
                <w:lang w:val="en-US"/>
              </w:rPr>
              <w:t>Interest income</w:t>
            </w:r>
          </w:p>
        </w:tc>
        <w:tc>
          <w:tcPr>
            <w:tcW w:w="1155" w:type="dxa"/>
            <w:vAlign w:val="center"/>
          </w:tcPr>
          <w:p w:rsidR="004A1210" w:rsidRPr="00C77DEF" w:rsidRDefault="004A1210"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7DEF">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(0.3)</w:t>
            </w:r>
          </w:p>
        </w:tc>
        <w:tc>
          <w:tcPr>
            <w:tcW w:w="1155" w:type="dxa"/>
            <w:vAlign w:val="center"/>
          </w:tcPr>
          <w:p w:rsidR="004A1210" w:rsidRPr="00C77DEF" w:rsidRDefault="004A1210"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7DEF">
              <w:rPr>
                <w:rFonts w:ascii="Arial" w:hAnsi="Arial" w:cs="Arial"/>
                <w:color w:val="auto"/>
              </w:rPr>
              <w:t>0</w:t>
            </w:r>
          </w:p>
        </w:tc>
        <w:tc>
          <w:tcPr>
            <w:cnfStyle w:val="000010000000" w:firstRow="0" w:lastRow="0" w:firstColumn="0" w:lastColumn="0" w:oddVBand="1" w:evenVBand="0" w:oddHBand="0" w:evenHBand="0" w:firstRowFirstColumn="0" w:firstRowLastColumn="0" w:lastRowFirstColumn="0" w:lastRowLastColumn="0"/>
            <w:tcW w:w="1161" w:type="dxa"/>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0</w:t>
            </w:r>
          </w:p>
        </w:tc>
        <w:tc>
          <w:tcPr>
            <w:tcW w:w="1701" w:type="dxa"/>
            <w:vAlign w:val="center"/>
          </w:tcPr>
          <w:p w:rsidR="004A1210" w:rsidRPr="00C77DEF" w:rsidRDefault="004A1210"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7DEF">
              <w:rPr>
                <w:rFonts w:ascii="Arial" w:hAnsi="Arial" w:cs="Arial"/>
                <w:color w:val="auto"/>
              </w:rPr>
              <w:t>(0.3)</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A1210" w:rsidRPr="00A8408D" w:rsidRDefault="00C77DEF" w:rsidP="00AE29C3">
            <w:pPr>
              <w:pStyle w:val="TableRight"/>
              <w:jc w:val="center"/>
              <w:rPr>
                <w:rFonts w:ascii="Arial" w:hAnsi="Arial" w:cs="Arial"/>
                <w:b/>
                <w:color w:val="auto"/>
              </w:rPr>
            </w:pPr>
            <w:r>
              <w:rPr>
                <w:rFonts w:ascii="Arial" w:hAnsi="Arial" w:cs="Arial"/>
                <w:b/>
                <w:color w:val="auto"/>
              </w:rPr>
              <w:t>-</w:t>
            </w:r>
          </w:p>
        </w:tc>
        <w:tc>
          <w:tcPr>
            <w:tcW w:w="1275" w:type="dxa"/>
            <w:vAlign w:val="center"/>
          </w:tcPr>
          <w:p w:rsidR="004A1210" w:rsidRPr="00A8408D" w:rsidRDefault="00755357" w:rsidP="00755357">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(0.1)</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A1210" w:rsidRPr="00A8408D" w:rsidRDefault="00755357" w:rsidP="00AD4405">
            <w:pPr>
              <w:pStyle w:val="TableRight"/>
              <w:jc w:val="center"/>
              <w:rPr>
                <w:rFonts w:ascii="Arial" w:hAnsi="Arial" w:cs="Arial"/>
                <w:b/>
                <w:color w:val="auto"/>
              </w:rPr>
            </w:pPr>
            <w:r>
              <w:rPr>
                <w:rFonts w:ascii="Arial" w:hAnsi="Arial" w:cs="Arial"/>
                <w:b/>
                <w:color w:val="auto"/>
              </w:rPr>
              <w:t>0</w:t>
            </w:r>
          </w:p>
        </w:tc>
        <w:tc>
          <w:tcPr>
            <w:tcW w:w="1134" w:type="dxa"/>
          </w:tcPr>
          <w:p w:rsidR="004A1210" w:rsidRPr="00A8408D" w:rsidRDefault="00755357" w:rsidP="00A9411E">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4A1210" w:rsidRPr="00A8408D" w:rsidRDefault="00755357" w:rsidP="00755357">
            <w:pPr>
              <w:pStyle w:val="TableRight"/>
              <w:jc w:val="center"/>
              <w:rPr>
                <w:rFonts w:ascii="Arial" w:hAnsi="Arial" w:cs="Arial"/>
                <w:b/>
                <w:color w:val="auto"/>
              </w:rPr>
            </w:pPr>
            <w:r>
              <w:rPr>
                <w:rFonts w:ascii="Arial" w:hAnsi="Arial" w:cs="Arial"/>
                <w:b/>
                <w:color w:val="auto"/>
              </w:rPr>
              <w:t>(0.1)</w:t>
            </w:r>
          </w:p>
        </w:tc>
      </w:tr>
      <w:tr w:rsidR="004A1210" w:rsidRPr="0005794A" w:rsidTr="00755357">
        <w:trPr>
          <w:cnfStyle w:val="000000100000" w:firstRow="0" w:lastRow="0" w:firstColumn="0" w:lastColumn="0" w:oddVBand="0" w:evenVBand="0" w:oddHBand="1" w:evenHBand="0" w:firstRowFirstColumn="0" w:firstRowLastColumn="0" w:lastRowFirstColumn="0" w:lastRowLastColumn="0"/>
          <w:trHeight w:val="60"/>
          <w:jc w:val="center"/>
        </w:trPr>
        <w:tc>
          <w:tcPr>
            <w:cnfStyle w:val="000010000000" w:firstRow="0" w:lastRow="0" w:firstColumn="0" w:lastColumn="0" w:oddVBand="1" w:evenVBand="0" w:oddHBand="0" w:evenHBand="0" w:firstRowFirstColumn="0" w:firstRowLastColumn="0" w:lastRowFirstColumn="0" w:lastRowLastColumn="0"/>
            <w:tcW w:w="2003" w:type="dxa"/>
            <w:vAlign w:val="center"/>
          </w:tcPr>
          <w:p w:rsidR="004A1210" w:rsidRPr="00A8408D" w:rsidRDefault="004A1210" w:rsidP="00AE29C3">
            <w:pPr>
              <w:pStyle w:val="TableText"/>
              <w:rPr>
                <w:rFonts w:ascii="Arial" w:hAnsi="Arial" w:cs="Arial"/>
                <w:color w:val="auto"/>
                <w:sz w:val="18"/>
                <w:szCs w:val="18"/>
                <w:lang w:val="en-US"/>
              </w:rPr>
            </w:pPr>
            <w:r w:rsidRPr="00A8408D">
              <w:rPr>
                <w:rFonts w:ascii="Arial" w:hAnsi="Arial" w:cs="Arial"/>
                <w:color w:val="auto"/>
                <w:sz w:val="18"/>
                <w:szCs w:val="18"/>
                <w:lang w:val="en-US"/>
              </w:rPr>
              <w:t>Increases in fair  value</w:t>
            </w:r>
          </w:p>
        </w:tc>
        <w:tc>
          <w:tcPr>
            <w:tcW w:w="1155"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(0.1)</w:t>
            </w:r>
          </w:p>
        </w:tc>
        <w:tc>
          <w:tcPr>
            <w:tcW w:w="1155"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(0.2)</w:t>
            </w:r>
          </w:p>
        </w:tc>
        <w:tc>
          <w:tcPr>
            <w:cnfStyle w:val="000010000000" w:firstRow="0" w:lastRow="0" w:firstColumn="0" w:lastColumn="0" w:oddVBand="1" w:evenVBand="0" w:oddHBand="0" w:evenHBand="0" w:firstRowFirstColumn="0" w:firstRowLastColumn="0" w:lastRowFirstColumn="0" w:lastRowLastColumn="0"/>
            <w:tcW w:w="1161" w:type="dxa"/>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0</w:t>
            </w:r>
          </w:p>
        </w:tc>
        <w:tc>
          <w:tcPr>
            <w:tcW w:w="1701"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(0.3)</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A1210" w:rsidRPr="00A8408D" w:rsidRDefault="00C77DEF" w:rsidP="00AE29C3">
            <w:pPr>
              <w:pStyle w:val="TableRight"/>
              <w:jc w:val="center"/>
              <w:rPr>
                <w:rFonts w:ascii="Arial" w:hAnsi="Arial" w:cs="Arial"/>
                <w:b/>
                <w:color w:val="auto"/>
              </w:rPr>
            </w:pPr>
            <w:r>
              <w:rPr>
                <w:rFonts w:ascii="Arial" w:hAnsi="Arial" w:cs="Arial"/>
                <w:b/>
                <w:color w:val="auto"/>
              </w:rPr>
              <w:t>-</w:t>
            </w:r>
          </w:p>
        </w:tc>
        <w:tc>
          <w:tcPr>
            <w:tcW w:w="1275" w:type="dxa"/>
            <w:vAlign w:val="center"/>
          </w:tcPr>
          <w:p w:rsidR="004A1210" w:rsidRPr="00A8408D" w:rsidRDefault="00755357" w:rsidP="00AE29C3">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(0.1)</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A1210" w:rsidRPr="00A8408D" w:rsidRDefault="00755357" w:rsidP="00755357">
            <w:pPr>
              <w:pStyle w:val="TableRight"/>
              <w:jc w:val="center"/>
              <w:rPr>
                <w:rFonts w:ascii="Arial" w:hAnsi="Arial" w:cs="Arial"/>
                <w:b/>
                <w:color w:val="auto"/>
              </w:rPr>
            </w:pPr>
            <w:r>
              <w:rPr>
                <w:rFonts w:ascii="Arial" w:hAnsi="Arial" w:cs="Arial"/>
                <w:b/>
                <w:color w:val="auto"/>
              </w:rPr>
              <w:t>(0.1)</w:t>
            </w:r>
          </w:p>
        </w:tc>
        <w:tc>
          <w:tcPr>
            <w:tcW w:w="1134" w:type="dxa"/>
            <w:vAlign w:val="center"/>
          </w:tcPr>
          <w:p w:rsidR="004A1210" w:rsidRPr="00A8408D" w:rsidRDefault="00755357" w:rsidP="00755357">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(0.2)</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4A1210" w:rsidRPr="00A8408D" w:rsidRDefault="00755357" w:rsidP="0016221E">
            <w:pPr>
              <w:pStyle w:val="TableRight"/>
              <w:jc w:val="center"/>
              <w:rPr>
                <w:rFonts w:ascii="Arial" w:hAnsi="Arial" w:cs="Arial"/>
                <w:b/>
                <w:color w:val="auto"/>
              </w:rPr>
            </w:pPr>
            <w:r>
              <w:rPr>
                <w:rFonts w:ascii="Arial" w:hAnsi="Arial" w:cs="Arial"/>
                <w:b/>
                <w:color w:val="auto"/>
              </w:rPr>
              <w:t>(0.4)</w:t>
            </w:r>
          </w:p>
        </w:tc>
      </w:tr>
      <w:tr w:rsidR="004A1210" w:rsidRPr="0005794A" w:rsidTr="00755357">
        <w:trPr>
          <w:trHeight w:val="60"/>
          <w:jc w:val="center"/>
        </w:trPr>
        <w:tc>
          <w:tcPr>
            <w:cnfStyle w:val="000010000000" w:firstRow="0" w:lastRow="0" w:firstColumn="0" w:lastColumn="0" w:oddVBand="1" w:evenVBand="0" w:oddHBand="0" w:evenHBand="0" w:firstRowFirstColumn="0" w:firstRowLastColumn="0" w:lastRowFirstColumn="0" w:lastRowLastColumn="0"/>
            <w:tcW w:w="2003" w:type="dxa"/>
            <w:vAlign w:val="center"/>
          </w:tcPr>
          <w:p w:rsidR="004A1210" w:rsidRPr="00A8408D" w:rsidRDefault="004A1210" w:rsidP="00AE29C3">
            <w:pPr>
              <w:pStyle w:val="TableTextBold"/>
              <w:rPr>
                <w:rFonts w:ascii="Arial" w:hAnsi="Arial" w:cs="Arial"/>
                <w:color w:val="auto"/>
                <w:sz w:val="18"/>
                <w:szCs w:val="18"/>
              </w:rPr>
            </w:pPr>
            <w:r w:rsidRPr="00A8408D">
              <w:rPr>
                <w:rFonts w:ascii="Arial" w:hAnsi="Arial" w:cs="Arial"/>
                <w:color w:val="auto"/>
                <w:sz w:val="18"/>
                <w:szCs w:val="18"/>
              </w:rPr>
              <w:t>Total income in Surplus or Deficit on the Provision of Services</w:t>
            </w:r>
          </w:p>
        </w:tc>
        <w:tc>
          <w:tcPr>
            <w:tcW w:w="1155" w:type="dxa"/>
            <w:vAlign w:val="center"/>
          </w:tcPr>
          <w:p w:rsidR="004A1210" w:rsidRPr="00C77DEF" w:rsidRDefault="004A1210"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7DEF">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(0.4)</w:t>
            </w:r>
          </w:p>
        </w:tc>
        <w:tc>
          <w:tcPr>
            <w:tcW w:w="1155" w:type="dxa"/>
            <w:vAlign w:val="center"/>
          </w:tcPr>
          <w:p w:rsidR="004A1210" w:rsidRPr="00C77DEF" w:rsidRDefault="004A1210"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7DEF">
              <w:rPr>
                <w:rFonts w:ascii="Arial" w:hAnsi="Arial" w:cs="Arial"/>
                <w:color w:val="auto"/>
              </w:rPr>
              <w:t>(0.2)</w:t>
            </w:r>
          </w:p>
        </w:tc>
        <w:tc>
          <w:tcPr>
            <w:cnfStyle w:val="000010000000" w:firstRow="0" w:lastRow="0" w:firstColumn="0" w:lastColumn="0" w:oddVBand="1" w:evenVBand="0" w:oddHBand="0" w:evenHBand="0" w:firstRowFirstColumn="0" w:firstRowLastColumn="0" w:lastRowFirstColumn="0" w:lastRowLastColumn="0"/>
            <w:tcW w:w="1161" w:type="dxa"/>
          </w:tcPr>
          <w:p w:rsidR="004A1210" w:rsidRPr="00C77DEF" w:rsidRDefault="004A1210" w:rsidP="00A8408D">
            <w:pPr>
              <w:pStyle w:val="TableRight"/>
              <w:jc w:val="center"/>
              <w:rPr>
                <w:rFonts w:ascii="Arial" w:hAnsi="Arial" w:cs="Arial"/>
                <w:color w:val="auto"/>
              </w:rPr>
            </w:pPr>
          </w:p>
          <w:p w:rsidR="004A1210" w:rsidRPr="00C77DEF" w:rsidRDefault="004A1210" w:rsidP="00A8408D">
            <w:pPr>
              <w:pStyle w:val="TableRight"/>
              <w:jc w:val="center"/>
              <w:rPr>
                <w:rFonts w:ascii="Arial" w:hAnsi="Arial" w:cs="Arial"/>
                <w:color w:val="auto"/>
              </w:rPr>
            </w:pPr>
            <w:r w:rsidRPr="00C77DEF">
              <w:rPr>
                <w:rFonts w:ascii="Arial" w:hAnsi="Arial" w:cs="Arial"/>
                <w:color w:val="auto"/>
              </w:rPr>
              <w:t>0</w:t>
            </w:r>
          </w:p>
        </w:tc>
        <w:tc>
          <w:tcPr>
            <w:tcW w:w="1701" w:type="dxa"/>
            <w:vAlign w:val="center"/>
          </w:tcPr>
          <w:p w:rsidR="004A1210" w:rsidRPr="00C77DEF" w:rsidRDefault="004A1210" w:rsidP="00A8408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7DEF">
              <w:rPr>
                <w:rFonts w:ascii="Arial" w:hAnsi="Arial" w:cs="Arial"/>
                <w:color w:val="auto"/>
              </w:rPr>
              <w:t>(0.6)</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A1210" w:rsidRPr="00A8408D" w:rsidRDefault="00C77DEF" w:rsidP="00AE29C3">
            <w:pPr>
              <w:pStyle w:val="TableRight"/>
              <w:jc w:val="center"/>
              <w:rPr>
                <w:rFonts w:ascii="Arial" w:hAnsi="Arial" w:cs="Arial"/>
                <w:b/>
                <w:color w:val="auto"/>
              </w:rPr>
            </w:pPr>
            <w:r>
              <w:rPr>
                <w:rFonts w:ascii="Arial" w:hAnsi="Arial" w:cs="Arial"/>
                <w:b/>
                <w:color w:val="auto"/>
              </w:rPr>
              <w:t>-</w:t>
            </w:r>
          </w:p>
        </w:tc>
        <w:tc>
          <w:tcPr>
            <w:tcW w:w="1275" w:type="dxa"/>
            <w:vAlign w:val="center"/>
          </w:tcPr>
          <w:p w:rsidR="004A1210" w:rsidRPr="00A8408D" w:rsidRDefault="00755357" w:rsidP="00755357">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(0.2)</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A1210" w:rsidRPr="00A8408D" w:rsidRDefault="00755357" w:rsidP="00755357">
            <w:pPr>
              <w:pStyle w:val="TableRight"/>
              <w:jc w:val="center"/>
              <w:rPr>
                <w:rFonts w:ascii="Arial" w:hAnsi="Arial" w:cs="Arial"/>
                <w:b/>
                <w:color w:val="auto"/>
              </w:rPr>
            </w:pPr>
            <w:r>
              <w:rPr>
                <w:rFonts w:ascii="Arial" w:hAnsi="Arial" w:cs="Arial"/>
                <w:b/>
                <w:color w:val="auto"/>
              </w:rPr>
              <w:t>(0.1)</w:t>
            </w:r>
          </w:p>
        </w:tc>
        <w:tc>
          <w:tcPr>
            <w:tcW w:w="1134" w:type="dxa"/>
            <w:vAlign w:val="center"/>
          </w:tcPr>
          <w:p w:rsidR="004A1210" w:rsidRPr="00A8408D" w:rsidRDefault="00755357" w:rsidP="00755357">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(0.2)</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4A1210" w:rsidRPr="00A8408D" w:rsidRDefault="00755357" w:rsidP="00755357">
            <w:pPr>
              <w:pStyle w:val="TableRight"/>
              <w:jc w:val="center"/>
              <w:rPr>
                <w:rFonts w:ascii="Arial" w:hAnsi="Arial" w:cs="Arial"/>
                <w:b/>
                <w:color w:val="auto"/>
              </w:rPr>
            </w:pPr>
            <w:r>
              <w:rPr>
                <w:rFonts w:ascii="Arial" w:hAnsi="Arial" w:cs="Arial"/>
                <w:b/>
                <w:color w:val="auto"/>
              </w:rPr>
              <w:t>(0.5)</w:t>
            </w:r>
          </w:p>
        </w:tc>
      </w:tr>
      <w:tr w:rsidR="004A1210" w:rsidRPr="0005794A" w:rsidTr="00755357">
        <w:trPr>
          <w:cnfStyle w:val="000000100000" w:firstRow="0" w:lastRow="0" w:firstColumn="0" w:lastColumn="0" w:oddVBand="0" w:evenVBand="0" w:oddHBand="1" w:evenHBand="0" w:firstRowFirstColumn="0" w:firstRowLastColumn="0" w:lastRowFirstColumn="0" w:lastRowLastColumn="0"/>
          <w:trHeight w:val="60"/>
          <w:jc w:val="center"/>
        </w:trPr>
        <w:tc>
          <w:tcPr>
            <w:cnfStyle w:val="000010000000" w:firstRow="0" w:lastRow="0" w:firstColumn="0" w:lastColumn="0" w:oddVBand="1" w:evenVBand="0" w:oddHBand="0" w:evenHBand="0" w:firstRowFirstColumn="0" w:firstRowLastColumn="0" w:lastRowFirstColumn="0" w:lastRowLastColumn="0"/>
            <w:tcW w:w="2003" w:type="dxa"/>
            <w:vAlign w:val="center"/>
          </w:tcPr>
          <w:p w:rsidR="004A1210" w:rsidRPr="00A8408D" w:rsidRDefault="004A1210" w:rsidP="00AE29C3">
            <w:pPr>
              <w:pStyle w:val="TableTextBold"/>
              <w:rPr>
                <w:rFonts w:ascii="Arial" w:hAnsi="Arial" w:cs="Arial"/>
                <w:color w:val="auto"/>
                <w:sz w:val="18"/>
                <w:szCs w:val="18"/>
              </w:rPr>
            </w:pPr>
            <w:r w:rsidRPr="00A8408D">
              <w:rPr>
                <w:rFonts w:ascii="Arial" w:hAnsi="Arial" w:cs="Arial"/>
                <w:color w:val="auto"/>
                <w:sz w:val="18"/>
                <w:szCs w:val="18"/>
              </w:rPr>
              <w:t>Net gain/(loss) for the year</w:t>
            </w:r>
          </w:p>
        </w:tc>
        <w:tc>
          <w:tcPr>
            <w:tcW w:w="1155"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5.9</w:t>
            </w:r>
          </w:p>
        </w:tc>
        <w:tc>
          <w:tcPr>
            <w:cnfStyle w:val="000010000000" w:firstRow="0" w:lastRow="0" w:firstColumn="0" w:lastColumn="0" w:oddVBand="1" w:evenVBand="0" w:oddHBand="0" w:evenHBand="0" w:firstRowFirstColumn="0" w:firstRowLastColumn="0" w:lastRowFirstColumn="0" w:lastRowLastColumn="0"/>
            <w:tcW w:w="1155" w:type="dxa"/>
            <w:gridSpan w:val="2"/>
            <w:vAlign w:val="center"/>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(0.4)</w:t>
            </w:r>
          </w:p>
        </w:tc>
        <w:tc>
          <w:tcPr>
            <w:tcW w:w="1155"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(0.2)</w:t>
            </w:r>
          </w:p>
        </w:tc>
        <w:tc>
          <w:tcPr>
            <w:cnfStyle w:val="000010000000" w:firstRow="0" w:lastRow="0" w:firstColumn="0" w:lastColumn="0" w:oddVBand="1" w:evenVBand="0" w:oddHBand="0" w:evenHBand="0" w:firstRowFirstColumn="0" w:firstRowLastColumn="0" w:lastRowFirstColumn="0" w:lastRowLastColumn="0"/>
            <w:tcW w:w="1161" w:type="dxa"/>
          </w:tcPr>
          <w:p w:rsidR="004A1210" w:rsidRPr="00C77DEF" w:rsidRDefault="004A1210" w:rsidP="00A8408D">
            <w:pPr>
              <w:pStyle w:val="TableRight"/>
              <w:jc w:val="center"/>
              <w:rPr>
                <w:rFonts w:ascii="Arial" w:hAnsi="Arial" w:cs="Arial"/>
                <w:color w:val="auto"/>
              </w:rPr>
            </w:pPr>
            <w:r w:rsidRPr="00C77DEF">
              <w:rPr>
                <w:rFonts w:ascii="Arial" w:hAnsi="Arial" w:cs="Arial"/>
                <w:color w:val="auto"/>
              </w:rPr>
              <w:t>0</w:t>
            </w:r>
          </w:p>
        </w:tc>
        <w:tc>
          <w:tcPr>
            <w:tcW w:w="1701" w:type="dxa"/>
            <w:vAlign w:val="center"/>
          </w:tcPr>
          <w:p w:rsidR="004A1210" w:rsidRPr="00C77DEF" w:rsidRDefault="004A1210" w:rsidP="00A8408D">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77DEF">
              <w:rPr>
                <w:rFonts w:ascii="Arial" w:hAnsi="Arial" w:cs="Arial"/>
                <w:color w:val="auto"/>
              </w:rPr>
              <w:t>5.3</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4A1210" w:rsidRPr="00A8408D" w:rsidRDefault="00755357" w:rsidP="00AE29C3">
            <w:pPr>
              <w:pStyle w:val="TableRight"/>
              <w:jc w:val="center"/>
              <w:rPr>
                <w:rFonts w:ascii="Arial" w:hAnsi="Arial" w:cs="Arial"/>
                <w:b/>
                <w:color w:val="auto"/>
              </w:rPr>
            </w:pPr>
            <w:r>
              <w:rPr>
                <w:rFonts w:ascii="Arial" w:hAnsi="Arial" w:cs="Arial"/>
                <w:b/>
                <w:color w:val="auto"/>
              </w:rPr>
              <w:t>7.9</w:t>
            </w:r>
          </w:p>
        </w:tc>
        <w:tc>
          <w:tcPr>
            <w:tcW w:w="1275" w:type="dxa"/>
            <w:vAlign w:val="center"/>
          </w:tcPr>
          <w:p w:rsidR="004A1210" w:rsidRPr="00A8408D" w:rsidRDefault="00755357" w:rsidP="00755357">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(0.2)</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A1210" w:rsidRPr="00A8408D" w:rsidRDefault="00755357" w:rsidP="00755357">
            <w:pPr>
              <w:pStyle w:val="TableRight"/>
              <w:jc w:val="center"/>
              <w:rPr>
                <w:rFonts w:ascii="Arial" w:hAnsi="Arial" w:cs="Arial"/>
                <w:b/>
                <w:color w:val="auto"/>
              </w:rPr>
            </w:pPr>
            <w:r>
              <w:rPr>
                <w:rFonts w:ascii="Arial" w:hAnsi="Arial" w:cs="Arial"/>
                <w:b/>
                <w:color w:val="auto"/>
              </w:rPr>
              <w:t>(0.1)</w:t>
            </w:r>
          </w:p>
        </w:tc>
        <w:tc>
          <w:tcPr>
            <w:tcW w:w="1134" w:type="dxa"/>
            <w:vAlign w:val="center"/>
          </w:tcPr>
          <w:p w:rsidR="004A1210" w:rsidRPr="00A8408D" w:rsidRDefault="00755357" w:rsidP="00755357">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(0.2)</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4A1210" w:rsidRPr="00A8408D" w:rsidRDefault="00755357" w:rsidP="00AE29C3">
            <w:pPr>
              <w:pStyle w:val="TableRight"/>
              <w:jc w:val="center"/>
              <w:rPr>
                <w:rFonts w:ascii="Arial" w:hAnsi="Arial" w:cs="Arial"/>
                <w:b/>
                <w:color w:val="auto"/>
              </w:rPr>
            </w:pPr>
            <w:r>
              <w:rPr>
                <w:rFonts w:ascii="Arial" w:hAnsi="Arial" w:cs="Arial"/>
                <w:b/>
                <w:color w:val="auto"/>
              </w:rPr>
              <w:t>7.4</w:t>
            </w:r>
          </w:p>
        </w:tc>
      </w:tr>
    </w:tbl>
    <w:p w:rsidR="00F73A30" w:rsidRPr="0005794A" w:rsidRDefault="00F73A30" w:rsidP="003C5E34">
      <w:pPr>
        <w:pStyle w:val="CodeNotesExampleText"/>
        <w:widowControl w:val="0"/>
        <w:ind w:left="567"/>
        <w:outlineLvl w:val="0"/>
        <w:rPr>
          <w:rFonts w:cs="Arial"/>
          <w:color w:val="548DD4" w:themeColor="text2" w:themeTint="99"/>
          <w:sz w:val="20"/>
          <w:szCs w:val="20"/>
          <w:u w:val="single"/>
        </w:rPr>
      </w:pPr>
    </w:p>
    <w:p w:rsidR="00F73A30" w:rsidRPr="0005794A" w:rsidRDefault="00F73A30" w:rsidP="003C5E34">
      <w:pPr>
        <w:pStyle w:val="CodeNotesExampleText"/>
        <w:widowControl w:val="0"/>
        <w:ind w:left="567"/>
        <w:outlineLvl w:val="0"/>
        <w:rPr>
          <w:rFonts w:cs="Arial"/>
          <w:color w:val="548DD4" w:themeColor="text2" w:themeTint="99"/>
          <w:sz w:val="20"/>
          <w:szCs w:val="20"/>
          <w:u w:val="single"/>
        </w:rPr>
        <w:sectPr w:rsidR="00F73A30" w:rsidRPr="0005794A" w:rsidSect="005253A3">
          <w:pgSz w:w="16838" w:h="11906" w:orient="landscape" w:code="9"/>
          <w:pgMar w:top="1440" w:right="1440" w:bottom="1440" w:left="1440" w:header="544" w:footer="544" w:gutter="0"/>
          <w:cols w:space="708"/>
          <w:titlePg/>
          <w:docGrid w:linePitch="360"/>
        </w:sectPr>
      </w:pPr>
    </w:p>
    <w:p w:rsidR="00E51139" w:rsidRPr="00445C10" w:rsidRDefault="00E51139" w:rsidP="008D0906">
      <w:pPr>
        <w:pStyle w:val="CodeNotesExampleText"/>
        <w:widowControl w:val="0"/>
        <w:ind w:firstLine="567"/>
        <w:outlineLvl w:val="0"/>
        <w:rPr>
          <w:rFonts w:cs="Arial"/>
          <w:b/>
          <w:color w:val="auto"/>
          <w:sz w:val="20"/>
          <w:szCs w:val="20"/>
        </w:rPr>
      </w:pPr>
      <w:r w:rsidRPr="00445C10">
        <w:rPr>
          <w:rFonts w:cs="Arial"/>
          <w:b/>
          <w:color w:val="auto"/>
          <w:sz w:val="20"/>
          <w:szCs w:val="20"/>
        </w:rPr>
        <w:lastRenderedPageBreak/>
        <w:t>Fair Values of Assets and Liabilities</w:t>
      </w:r>
    </w:p>
    <w:p w:rsidR="00E51139" w:rsidRPr="00445C10" w:rsidRDefault="00E51139" w:rsidP="003C5E34">
      <w:pPr>
        <w:pStyle w:val="CodeNotesExampleText"/>
        <w:widowControl w:val="0"/>
        <w:ind w:left="567"/>
        <w:outlineLvl w:val="0"/>
        <w:rPr>
          <w:rFonts w:cs="Arial"/>
          <w:i/>
          <w:color w:val="auto"/>
          <w:sz w:val="20"/>
          <w:szCs w:val="20"/>
        </w:rPr>
      </w:pPr>
    </w:p>
    <w:p w:rsidR="00E51139" w:rsidRPr="0012473A" w:rsidRDefault="00E51139" w:rsidP="00F73A30">
      <w:pPr>
        <w:widowControl w:val="0"/>
        <w:ind w:left="567"/>
        <w:rPr>
          <w:rFonts w:cs="Arial"/>
          <w:color w:val="auto"/>
          <w:sz w:val="20"/>
          <w:szCs w:val="20"/>
        </w:rPr>
      </w:pPr>
      <w:r w:rsidRPr="00445C10">
        <w:rPr>
          <w:rFonts w:cs="Arial"/>
          <w:color w:val="auto"/>
          <w:sz w:val="20"/>
          <w:szCs w:val="20"/>
        </w:rPr>
        <w:t>Financial liabilities</w:t>
      </w:r>
      <w:r w:rsidR="008D64B7" w:rsidRPr="00445C10">
        <w:rPr>
          <w:rFonts w:cs="Arial"/>
          <w:color w:val="auto"/>
          <w:sz w:val="20"/>
          <w:szCs w:val="20"/>
        </w:rPr>
        <w:t xml:space="preserve"> and</w:t>
      </w:r>
      <w:r w:rsidRPr="00445C10">
        <w:rPr>
          <w:rFonts w:cs="Arial"/>
          <w:color w:val="auto"/>
          <w:sz w:val="20"/>
          <w:szCs w:val="20"/>
        </w:rPr>
        <w:t xml:space="preserve"> financial assets represented by loans and receivables and long-term debtors and creditors are carried in the </w:t>
      </w:r>
      <w:r w:rsidR="00F73A30" w:rsidRPr="00445C10">
        <w:rPr>
          <w:rFonts w:cs="Arial"/>
          <w:color w:val="auto"/>
          <w:sz w:val="20"/>
          <w:szCs w:val="20"/>
        </w:rPr>
        <w:t>b</w:t>
      </w:r>
      <w:r w:rsidRPr="00445C10">
        <w:rPr>
          <w:rFonts w:cs="Arial"/>
          <w:color w:val="auto"/>
          <w:sz w:val="20"/>
          <w:szCs w:val="20"/>
        </w:rPr>
        <w:t xml:space="preserve">alance </w:t>
      </w:r>
      <w:r w:rsidR="00F73A30" w:rsidRPr="00445C10">
        <w:rPr>
          <w:rFonts w:cs="Arial"/>
          <w:color w:val="auto"/>
          <w:sz w:val="20"/>
          <w:szCs w:val="20"/>
        </w:rPr>
        <w:t>s</w:t>
      </w:r>
      <w:r w:rsidRPr="00445C10">
        <w:rPr>
          <w:rFonts w:cs="Arial"/>
          <w:color w:val="auto"/>
          <w:sz w:val="20"/>
          <w:szCs w:val="20"/>
        </w:rPr>
        <w:t>heet at amortised cost.  Their fair value can be</w:t>
      </w:r>
      <w:r w:rsidRPr="00445C10">
        <w:rPr>
          <w:rFonts w:cs="Arial"/>
          <w:b/>
          <w:i/>
          <w:color w:val="auto"/>
          <w:sz w:val="20"/>
          <w:szCs w:val="20"/>
        </w:rPr>
        <w:t xml:space="preserve"> </w:t>
      </w:r>
      <w:r w:rsidRPr="00445C10">
        <w:rPr>
          <w:rFonts w:cs="Arial"/>
          <w:color w:val="auto"/>
          <w:sz w:val="20"/>
          <w:szCs w:val="20"/>
        </w:rPr>
        <w:t>assessed by calculating the present value of the cash flows that will take place over the rem</w:t>
      </w:r>
      <w:r w:rsidR="003B0D2B" w:rsidRPr="00445C10">
        <w:rPr>
          <w:rFonts w:cs="Arial"/>
          <w:color w:val="auto"/>
          <w:sz w:val="20"/>
          <w:szCs w:val="20"/>
        </w:rPr>
        <w:t>aining term of the instruments.</w:t>
      </w:r>
      <w:r w:rsidR="0012473A">
        <w:rPr>
          <w:rFonts w:cs="Arial"/>
          <w:color w:val="auto"/>
          <w:sz w:val="20"/>
          <w:szCs w:val="20"/>
        </w:rPr>
        <w:t xml:space="preserve"> For financial assets that are short term, “cash accounts</w:t>
      </w:r>
      <w:proofErr w:type="gramStart"/>
      <w:r w:rsidR="0012473A">
        <w:rPr>
          <w:rFonts w:cs="Arial"/>
          <w:color w:val="auto"/>
          <w:sz w:val="20"/>
          <w:szCs w:val="20"/>
        </w:rPr>
        <w:t>”  or</w:t>
      </w:r>
      <w:proofErr w:type="gramEnd"/>
      <w:r w:rsidR="0012473A">
        <w:rPr>
          <w:rFonts w:cs="Arial"/>
          <w:color w:val="auto"/>
          <w:sz w:val="20"/>
          <w:szCs w:val="20"/>
        </w:rPr>
        <w:t xml:space="preserve"> are held at their carrying value as at 31</w:t>
      </w:r>
      <w:r w:rsidR="0012473A" w:rsidRPr="0012473A">
        <w:rPr>
          <w:rFonts w:cs="Arial"/>
          <w:color w:val="auto"/>
          <w:sz w:val="20"/>
          <w:szCs w:val="20"/>
          <w:vertAlign w:val="superscript"/>
        </w:rPr>
        <w:t>st</w:t>
      </w:r>
      <w:r w:rsidR="0012473A">
        <w:rPr>
          <w:rFonts w:cs="Arial"/>
          <w:color w:val="auto"/>
          <w:sz w:val="20"/>
          <w:szCs w:val="20"/>
        </w:rPr>
        <w:t xml:space="preserve"> March </w:t>
      </w:r>
      <w:r w:rsidR="0012473A" w:rsidRPr="0012473A">
        <w:rPr>
          <w:rFonts w:cs="Arial"/>
          <w:color w:val="auto"/>
          <w:sz w:val="20"/>
          <w:szCs w:val="20"/>
        </w:rPr>
        <w:t xml:space="preserve">the </w:t>
      </w:r>
      <w:proofErr w:type="spellStart"/>
      <w:r w:rsidR="0012473A" w:rsidRPr="0012473A">
        <w:rPr>
          <w:iCs/>
        </w:rPr>
        <w:t>the</w:t>
      </w:r>
      <w:proofErr w:type="spellEnd"/>
      <w:r w:rsidR="0012473A" w:rsidRPr="0012473A">
        <w:rPr>
          <w:iCs/>
        </w:rPr>
        <w:t xml:space="preserve"> carrying amount is a reasonable approximation of fair value</w:t>
      </w:r>
      <w:r w:rsidR="0012473A">
        <w:rPr>
          <w:iCs/>
        </w:rPr>
        <w:t xml:space="preserve">. </w:t>
      </w:r>
      <w:r w:rsidR="0012473A" w:rsidRPr="0012473A">
        <w:rPr>
          <w:color w:val="auto"/>
          <w:sz w:val="20"/>
          <w:szCs w:val="20"/>
        </w:rPr>
        <w:t>The fair value of debtors and creditors is taken to be the invoiced or billed amount</w:t>
      </w:r>
    </w:p>
    <w:p w:rsidR="00D04B38" w:rsidRPr="0005794A" w:rsidRDefault="007E33E1" w:rsidP="0012473A">
      <w:pPr>
        <w:pStyle w:val="BodyTextIndent"/>
        <w:tabs>
          <w:tab w:val="left" w:pos="525"/>
        </w:tabs>
        <w:ind w:left="567"/>
        <w:rPr>
          <w:color w:val="548DD4" w:themeColor="text2" w:themeTint="99"/>
          <w:sz w:val="20"/>
          <w:szCs w:val="20"/>
        </w:rPr>
      </w:pPr>
      <w:r w:rsidRPr="0012473A">
        <w:rPr>
          <w:color w:val="auto"/>
          <w:sz w:val="20"/>
          <w:szCs w:val="20"/>
        </w:rPr>
        <w:t>For PWLB debt</w:t>
      </w:r>
      <w:r w:rsidR="00CC4737">
        <w:rPr>
          <w:color w:val="auto"/>
          <w:sz w:val="20"/>
          <w:szCs w:val="20"/>
        </w:rPr>
        <w:t>,</w:t>
      </w:r>
      <w:r w:rsidR="0012473A" w:rsidRPr="0012473A">
        <w:rPr>
          <w:color w:val="auto"/>
          <w:sz w:val="20"/>
          <w:szCs w:val="20"/>
        </w:rPr>
        <w:t xml:space="preserve"> with a </w:t>
      </w:r>
      <w:proofErr w:type="spellStart"/>
      <w:r w:rsidR="0012473A" w:rsidRPr="0012473A">
        <w:rPr>
          <w:color w:val="auto"/>
          <w:sz w:val="20"/>
          <w:szCs w:val="20"/>
        </w:rPr>
        <w:t>carying</w:t>
      </w:r>
      <w:proofErr w:type="spellEnd"/>
      <w:r w:rsidR="0012473A" w:rsidRPr="0012473A">
        <w:rPr>
          <w:color w:val="auto"/>
          <w:sz w:val="20"/>
          <w:szCs w:val="20"/>
        </w:rPr>
        <w:t xml:space="preserve"> value of £265.3m (£144.3m 16/17)</w:t>
      </w:r>
      <w:r w:rsidR="00CC4737">
        <w:rPr>
          <w:color w:val="auto"/>
          <w:sz w:val="20"/>
          <w:szCs w:val="20"/>
        </w:rPr>
        <w:t>,</w:t>
      </w:r>
      <w:r w:rsidR="0012473A" w:rsidRPr="0012473A">
        <w:rPr>
          <w:color w:val="auto"/>
          <w:sz w:val="20"/>
          <w:szCs w:val="20"/>
        </w:rPr>
        <w:t xml:space="preserve"> </w:t>
      </w:r>
      <w:r w:rsidRPr="0012473A">
        <w:rPr>
          <w:color w:val="auto"/>
          <w:sz w:val="20"/>
          <w:szCs w:val="20"/>
        </w:rPr>
        <w:t xml:space="preserve"> the fair value </w:t>
      </w:r>
      <w:r w:rsidR="0012473A" w:rsidRPr="0012473A">
        <w:rPr>
          <w:color w:val="auto"/>
          <w:sz w:val="20"/>
          <w:szCs w:val="20"/>
        </w:rPr>
        <w:t xml:space="preserve">of £309.2m (£186.4m 16/17) </w:t>
      </w:r>
      <w:r w:rsidRPr="0012473A">
        <w:rPr>
          <w:color w:val="auto"/>
          <w:sz w:val="20"/>
          <w:szCs w:val="20"/>
        </w:rPr>
        <w:t>has been assessed by using PWLB discount rates (certainty rate) for new loans as at 31</w:t>
      </w:r>
      <w:r w:rsidRPr="0012473A">
        <w:rPr>
          <w:color w:val="auto"/>
          <w:sz w:val="20"/>
          <w:szCs w:val="20"/>
          <w:vertAlign w:val="superscript"/>
        </w:rPr>
        <w:t>st</w:t>
      </w:r>
      <w:r w:rsidRPr="0012473A">
        <w:rPr>
          <w:color w:val="auto"/>
          <w:sz w:val="20"/>
          <w:szCs w:val="20"/>
        </w:rPr>
        <w:t xml:space="preserve"> March 201</w:t>
      </w:r>
      <w:r w:rsidR="00445C10" w:rsidRPr="0012473A">
        <w:rPr>
          <w:color w:val="auto"/>
          <w:sz w:val="20"/>
          <w:szCs w:val="20"/>
        </w:rPr>
        <w:t>8</w:t>
      </w:r>
      <w:r w:rsidRPr="0012473A">
        <w:rPr>
          <w:color w:val="auto"/>
          <w:sz w:val="20"/>
          <w:szCs w:val="20"/>
        </w:rPr>
        <w:t xml:space="preserve">, and then matched, as appropriate, to the duration on an existing maturity. </w:t>
      </w:r>
      <w:r w:rsidR="00E51139" w:rsidRPr="0012473A">
        <w:rPr>
          <w:color w:val="auto"/>
          <w:sz w:val="20"/>
          <w:szCs w:val="20"/>
        </w:rPr>
        <w:t>No early repaymen</w:t>
      </w:r>
      <w:r w:rsidR="00A03B34" w:rsidRPr="0012473A">
        <w:rPr>
          <w:color w:val="auto"/>
          <w:sz w:val="20"/>
          <w:szCs w:val="20"/>
        </w:rPr>
        <w:t xml:space="preserve">t or impairment is recognised.  </w:t>
      </w:r>
      <w:r w:rsidR="00E51139" w:rsidRPr="0012473A">
        <w:rPr>
          <w:color w:val="auto"/>
          <w:sz w:val="20"/>
          <w:szCs w:val="20"/>
        </w:rPr>
        <w:t xml:space="preserve">For </w:t>
      </w:r>
      <w:r w:rsidR="00840578" w:rsidRPr="0012473A">
        <w:rPr>
          <w:color w:val="auto"/>
          <w:sz w:val="20"/>
          <w:szCs w:val="20"/>
        </w:rPr>
        <w:t>non PWLB loans</w:t>
      </w:r>
      <w:r w:rsidR="00CC4737">
        <w:rPr>
          <w:color w:val="auto"/>
          <w:sz w:val="20"/>
          <w:szCs w:val="20"/>
        </w:rPr>
        <w:t>,</w:t>
      </w:r>
      <w:r w:rsidR="00840578" w:rsidRPr="0012473A">
        <w:rPr>
          <w:color w:val="auto"/>
          <w:sz w:val="20"/>
          <w:szCs w:val="20"/>
        </w:rPr>
        <w:t xml:space="preserve"> </w:t>
      </w:r>
      <w:r w:rsidR="0012473A">
        <w:rPr>
          <w:color w:val="auto"/>
          <w:sz w:val="20"/>
          <w:szCs w:val="20"/>
        </w:rPr>
        <w:t>with a carrying value of £10.1m (£10.1m 16/17)</w:t>
      </w:r>
      <w:r w:rsidR="00CC4737">
        <w:rPr>
          <w:color w:val="auto"/>
          <w:sz w:val="20"/>
          <w:szCs w:val="20"/>
        </w:rPr>
        <w:t>,</w:t>
      </w:r>
      <w:r w:rsidR="0012473A">
        <w:rPr>
          <w:color w:val="auto"/>
          <w:sz w:val="20"/>
          <w:szCs w:val="20"/>
        </w:rPr>
        <w:t xml:space="preserve"> </w:t>
      </w:r>
      <w:r w:rsidR="00E51139" w:rsidRPr="0012473A">
        <w:rPr>
          <w:color w:val="auto"/>
          <w:sz w:val="20"/>
          <w:szCs w:val="20"/>
        </w:rPr>
        <w:t xml:space="preserve">the fair value </w:t>
      </w:r>
      <w:r w:rsidR="0012473A">
        <w:rPr>
          <w:color w:val="auto"/>
          <w:sz w:val="20"/>
          <w:szCs w:val="20"/>
        </w:rPr>
        <w:t xml:space="preserve">of £17.2m </w:t>
      </w:r>
      <w:r w:rsidR="00CC4737">
        <w:rPr>
          <w:color w:val="auto"/>
          <w:sz w:val="20"/>
          <w:szCs w:val="20"/>
        </w:rPr>
        <w:t xml:space="preserve">(£16.4m 16/17) </w:t>
      </w:r>
      <w:r w:rsidR="00E51139" w:rsidRPr="0012473A">
        <w:rPr>
          <w:color w:val="auto"/>
          <w:sz w:val="20"/>
          <w:szCs w:val="20"/>
        </w:rPr>
        <w:t xml:space="preserve">has been assessed by using </w:t>
      </w:r>
      <w:r w:rsidR="007C5CB4" w:rsidRPr="0012473A">
        <w:rPr>
          <w:color w:val="auto"/>
          <w:sz w:val="20"/>
          <w:szCs w:val="20"/>
        </w:rPr>
        <w:t>discount</w:t>
      </w:r>
      <w:r w:rsidR="00E51139" w:rsidRPr="0012473A">
        <w:rPr>
          <w:color w:val="auto"/>
          <w:sz w:val="20"/>
          <w:szCs w:val="20"/>
        </w:rPr>
        <w:t xml:space="preserve"> rate</w:t>
      </w:r>
      <w:r w:rsidR="00840578" w:rsidRPr="0012473A">
        <w:rPr>
          <w:color w:val="auto"/>
          <w:sz w:val="20"/>
          <w:szCs w:val="20"/>
        </w:rPr>
        <w:t>s</w:t>
      </w:r>
      <w:r w:rsidR="00E51139" w:rsidRPr="0012473A">
        <w:rPr>
          <w:color w:val="auto"/>
          <w:sz w:val="20"/>
          <w:szCs w:val="20"/>
        </w:rPr>
        <w:t xml:space="preserve"> of similar length and structure with a comparable lender as at 31</w:t>
      </w:r>
      <w:r w:rsidR="00E51139" w:rsidRPr="0012473A">
        <w:rPr>
          <w:color w:val="auto"/>
          <w:sz w:val="20"/>
          <w:szCs w:val="20"/>
          <w:vertAlign w:val="superscript"/>
        </w:rPr>
        <w:t>st</w:t>
      </w:r>
      <w:r w:rsidR="00E51139" w:rsidRPr="0012473A">
        <w:rPr>
          <w:color w:val="auto"/>
          <w:sz w:val="20"/>
          <w:szCs w:val="20"/>
        </w:rPr>
        <w:t xml:space="preserve"> March 201</w:t>
      </w:r>
      <w:r w:rsidR="00445C10" w:rsidRPr="0012473A">
        <w:rPr>
          <w:color w:val="auto"/>
          <w:sz w:val="20"/>
          <w:szCs w:val="20"/>
        </w:rPr>
        <w:t>8</w:t>
      </w:r>
      <w:r w:rsidR="00E51139" w:rsidRPr="0012473A">
        <w:rPr>
          <w:color w:val="auto"/>
          <w:sz w:val="20"/>
          <w:szCs w:val="20"/>
        </w:rPr>
        <w:t>.</w:t>
      </w:r>
      <w:r w:rsidR="0012473A" w:rsidRPr="0012473A">
        <w:rPr>
          <w:color w:val="auto"/>
          <w:sz w:val="20"/>
          <w:szCs w:val="20"/>
        </w:rPr>
        <w:t xml:space="preserve"> </w:t>
      </w:r>
      <w:r w:rsidR="00D04B38" w:rsidRPr="0012473A">
        <w:rPr>
          <w:color w:val="auto"/>
          <w:sz w:val="20"/>
          <w:szCs w:val="20"/>
        </w:rPr>
        <w:t>For both fair values, under the requirements</w:t>
      </w:r>
      <w:r w:rsidR="00A96E26" w:rsidRPr="0012473A">
        <w:rPr>
          <w:color w:val="auto"/>
          <w:sz w:val="20"/>
          <w:szCs w:val="20"/>
        </w:rPr>
        <w:t xml:space="preserve"> </w:t>
      </w:r>
      <w:r w:rsidR="00D04B38" w:rsidRPr="0012473A">
        <w:rPr>
          <w:color w:val="auto"/>
          <w:sz w:val="20"/>
          <w:szCs w:val="20"/>
        </w:rPr>
        <w:t xml:space="preserve">of IFRS13, these values are based on Level Two inputs, </w:t>
      </w:r>
      <w:r w:rsidRPr="0012473A">
        <w:rPr>
          <w:color w:val="auto"/>
          <w:sz w:val="20"/>
          <w:szCs w:val="20"/>
        </w:rPr>
        <w:t>i.e.</w:t>
      </w:r>
      <w:r w:rsidR="00D04B38" w:rsidRPr="0012473A">
        <w:rPr>
          <w:color w:val="auto"/>
          <w:sz w:val="20"/>
          <w:szCs w:val="20"/>
        </w:rPr>
        <w:t xml:space="preserve"> inputs other than quoted prices that are </w:t>
      </w:r>
      <w:r w:rsidRPr="0012473A">
        <w:rPr>
          <w:color w:val="auto"/>
          <w:sz w:val="20"/>
          <w:szCs w:val="20"/>
        </w:rPr>
        <w:t>observable</w:t>
      </w:r>
      <w:r w:rsidR="00D04B38" w:rsidRPr="0012473A">
        <w:rPr>
          <w:color w:val="auto"/>
          <w:sz w:val="20"/>
          <w:szCs w:val="20"/>
        </w:rPr>
        <w:t>.</w:t>
      </w:r>
    </w:p>
    <w:p w:rsidR="00E51139" w:rsidRPr="00F31DDA" w:rsidRDefault="00E51139" w:rsidP="00E97043">
      <w:pPr>
        <w:pStyle w:val="BodyTextIndent"/>
        <w:tabs>
          <w:tab w:val="left" w:pos="0"/>
        </w:tabs>
        <w:ind w:left="567"/>
        <w:rPr>
          <w:color w:val="auto"/>
          <w:sz w:val="20"/>
          <w:szCs w:val="20"/>
        </w:rPr>
      </w:pPr>
      <w:r w:rsidRPr="00F31DDA">
        <w:rPr>
          <w:color w:val="auto"/>
          <w:sz w:val="20"/>
          <w:szCs w:val="20"/>
        </w:rPr>
        <w:t xml:space="preserve">The fair value of the liabilities (borrowing) is higher than the carrying amount because the Council’s portfolio of loans includes a number of fixed rates where the interest rate payable is higher than the rates available for similar loans at the balance sheet date for the term remaining. The commitment to pay interest above current market rates increases the amount the Council would have to pay if the lender requested or agreed to early repayment of the loans. </w:t>
      </w:r>
    </w:p>
    <w:p w:rsidR="00E51139" w:rsidRPr="0005794A" w:rsidRDefault="00E51139" w:rsidP="00E97043">
      <w:pPr>
        <w:pStyle w:val="BodyTextIndent"/>
        <w:tabs>
          <w:tab w:val="left" w:pos="0"/>
        </w:tabs>
        <w:ind w:left="567"/>
        <w:rPr>
          <w:color w:val="548DD4" w:themeColor="text2" w:themeTint="99"/>
          <w:sz w:val="20"/>
          <w:szCs w:val="20"/>
        </w:rPr>
      </w:pPr>
      <w:r w:rsidRPr="00445C10">
        <w:rPr>
          <w:color w:val="auto"/>
          <w:sz w:val="20"/>
          <w:szCs w:val="20"/>
        </w:rPr>
        <w:t>It should be noted that the PWLB also provided a fair value of the Council’s PWLB debt as at 31</w:t>
      </w:r>
      <w:r w:rsidRPr="00445C10">
        <w:rPr>
          <w:color w:val="auto"/>
          <w:sz w:val="20"/>
          <w:szCs w:val="20"/>
          <w:vertAlign w:val="superscript"/>
        </w:rPr>
        <w:t>st</w:t>
      </w:r>
      <w:r w:rsidRPr="00445C10">
        <w:rPr>
          <w:color w:val="auto"/>
          <w:sz w:val="20"/>
          <w:szCs w:val="20"/>
        </w:rPr>
        <w:t xml:space="preserve"> March 201</w:t>
      </w:r>
      <w:r w:rsidR="00445C10">
        <w:rPr>
          <w:color w:val="auto"/>
          <w:sz w:val="20"/>
          <w:szCs w:val="20"/>
        </w:rPr>
        <w:t>8</w:t>
      </w:r>
      <w:r w:rsidRPr="00445C10">
        <w:rPr>
          <w:color w:val="auto"/>
          <w:sz w:val="20"/>
          <w:szCs w:val="20"/>
        </w:rPr>
        <w:t xml:space="preserve"> of £</w:t>
      </w:r>
      <w:r w:rsidR="00EF5A7C">
        <w:rPr>
          <w:color w:val="auto"/>
          <w:sz w:val="20"/>
          <w:szCs w:val="20"/>
        </w:rPr>
        <w:t>369.5</w:t>
      </w:r>
      <w:r w:rsidR="00FB55B3" w:rsidRPr="00445C10">
        <w:rPr>
          <w:color w:val="auto"/>
          <w:sz w:val="20"/>
          <w:szCs w:val="20"/>
        </w:rPr>
        <w:t>m</w:t>
      </w:r>
      <w:r w:rsidR="004004FE" w:rsidRPr="00445C10">
        <w:rPr>
          <w:color w:val="auto"/>
          <w:sz w:val="20"/>
          <w:szCs w:val="20"/>
        </w:rPr>
        <w:t xml:space="preserve"> (£</w:t>
      </w:r>
      <w:r w:rsidR="003A37D5" w:rsidRPr="00445C10">
        <w:rPr>
          <w:color w:val="auto"/>
          <w:sz w:val="20"/>
          <w:szCs w:val="20"/>
        </w:rPr>
        <w:t>217.0</w:t>
      </w:r>
      <w:r w:rsidR="004004FE" w:rsidRPr="00445C10">
        <w:rPr>
          <w:color w:val="auto"/>
          <w:sz w:val="20"/>
          <w:szCs w:val="20"/>
        </w:rPr>
        <w:t>m 1</w:t>
      </w:r>
      <w:r w:rsidR="003A37D5" w:rsidRPr="00445C10">
        <w:rPr>
          <w:color w:val="auto"/>
          <w:sz w:val="20"/>
          <w:szCs w:val="20"/>
        </w:rPr>
        <w:t>6</w:t>
      </w:r>
      <w:r w:rsidR="004004FE" w:rsidRPr="00445C10">
        <w:rPr>
          <w:color w:val="auto"/>
          <w:sz w:val="20"/>
          <w:szCs w:val="20"/>
        </w:rPr>
        <w:t>/1</w:t>
      </w:r>
      <w:r w:rsidR="003A37D5" w:rsidRPr="00445C10">
        <w:rPr>
          <w:color w:val="auto"/>
          <w:sz w:val="20"/>
          <w:szCs w:val="20"/>
        </w:rPr>
        <w:t>7</w:t>
      </w:r>
      <w:r w:rsidR="004004FE" w:rsidRPr="00445C10">
        <w:rPr>
          <w:color w:val="auto"/>
          <w:sz w:val="20"/>
          <w:szCs w:val="20"/>
        </w:rPr>
        <w:t>)</w:t>
      </w:r>
      <w:r w:rsidRPr="00445C10">
        <w:rPr>
          <w:color w:val="auto"/>
          <w:sz w:val="20"/>
          <w:szCs w:val="20"/>
        </w:rPr>
        <w:t>. This is higher than the fair value PWLB amount</w:t>
      </w:r>
      <w:r w:rsidRPr="0005794A">
        <w:rPr>
          <w:color w:val="548DD4" w:themeColor="text2" w:themeTint="99"/>
          <w:sz w:val="20"/>
          <w:szCs w:val="20"/>
        </w:rPr>
        <w:t xml:space="preserve"> </w:t>
      </w:r>
      <w:r w:rsidRPr="00F31DDA">
        <w:rPr>
          <w:color w:val="auto"/>
          <w:sz w:val="20"/>
          <w:szCs w:val="20"/>
        </w:rPr>
        <w:t xml:space="preserve">of </w:t>
      </w:r>
      <w:r w:rsidR="00AC256D" w:rsidRPr="00F31DDA">
        <w:rPr>
          <w:color w:val="auto"/>
          <w:sz w:val="20"/>
          <w:szCs w:val="20"/>
        </w:rPr>
        <w:t>£</w:t>
      </w:r>
      <w:r w:rsidR="00F31DDA" w:rsidRPr="00F31DDA">
        <w:rPr>
          <w:color w:val="auto"/>
          <w:sz w:val="20"/>
          <w:szCs w:val="20"/>
        </w:rPr>
        <w:t>309.2</w:t>
      </w:r>
      <w:r w:rsidR="00AC256D" w:rsidRPr="00F31DDA">
        <w:rPr>
          <w:color w:val="auto"/>
          <w:sz w:val="20"/>
          <w:szCs w:val="20"/>
        </w:rPr>
        <w:t>m</w:t>
      </w:r>
      <w:r w:rsidR="00AC256D" w:rsidRPr="0005794A">
        <w:rPr>
          <w:color w:val="548DD4" w:themeColor="text2" w:themeTint="99"/>
          <w:sz w:val="20"/>
          <w:szCs w:val="20"/>
        </w:rPr>
        <w:t xml:space="preserve"> </w:t>
      </w:r>
      <w:r w:rsidR="00AC256D" w:rsidRPr="003A37D5">
        <w:rPr>
          <w:color w:val="auto"/>
          <w:sz w:val="20"/>
          <w:szCs w:val="20"/>
        </w:rPr>
        <w:t>(</w:t>
      </w:r>
      <w:r w:rsidRPr="003A37D5">
        <w:rPr>
          <w:color w:val="auto"/>
          <w:sz w:val="20"/>
          <w:szCs w:val="20"/>
        </w:rPr>
        <w:t>£</w:t>
      </w:r>
      <w:r w:rsidR="008F1208" w:rsidRPr="003A37D5">
        <w:rPr>
          <w:color w:val="auto"/>
          <w:sz w:val="20"/>
          <w:szCs w:val="20"/>
        </w:rPr>
        <w:t>1</w:t>
      </w:r>
      <w:r w:rsidR="003A37D5" w:rsidRPr="003A37D5">
        <w:rPr>
          <w:color w:val="auto"/>
          <w:sz w:val="20"/>
          <w:szCs w:val="20"/>
        </w:rPr>
        <w:t>86.4</w:t>
      </w:r>
      <w:r w:rsidRPr="003A37D5">
        <w:rPr>
          <w:color w:val="auto"/>
          <w:sz w:val="20"/>
          <w:szCs w:val="20"/>
        </w:rPr>
        <w:t xml:space="preserve">m </w:t>
      </w:r>
      <w:r w:rsidR="00AC256D" w:rsidRPr="003A37D5">
        <w:rPr>
          <w:color w:val="auto"/>
          <w:sz w:val="20"/>
          <w:szCs w:val="20"/>
        </w:rPr>
        <w:t>1</w:t>
      </w:r>
      <w:r w:rsidR="003A37D5" w:rsidRPr="003A37D5">
        <w:rPr>
          <w:color w:val="auto"/>
          <w:sz w:val="20"/>
          <w:szCs w:val="20"/>
        </w:rPr>
        <w:t>6</w:t>
      </w:r>
      <w:r w:rsidR="00AC256D" w:rsidRPr="003A37D5">
        <w:rPr>
          <w:color w:val="auto"/>
          <w:sz w:val="20"/>
          <w:szCs w:val="20"/>
        </w:rPr>
        <w:t>/1</w:t>
      </w:r>
      <w:r w:rsidR="003A37D5" w:rsidRPr="003A37D5">
        <w:rPr>
          <w:color w:val="auto"/>
          <w:sz w:val="20"/>
          <w:szCs w:val="20"/>
        </w:rPr>
        <w:t>7</w:t>
      </w:r>
      <w:r w:rsidR="00AC256D" w:rsidRPr="00445C10">
        <w:rPr>
          <w:color w:val="auto"/>
          <w:sz w:val="20"/>
          <w:szCs w:val="20"/>
        </w:rPr>
        <w:t xml:space="preserve">) </w:t>
      </w:r>
      <w:r w:rsidRPr="00445C10">
        <w:rPr>
          <w:color w:val="auto"/>
          <w:sz w:val="20"/>
          <w:szCs w:val="20"/>
        </w:rPr>
        <w:t>as the PWLB has used their “premature redemption rate of interest” to calculate fair value. This rate is a more punitive rate than current rates that only applies</w:t>
      </w:r>
      <w:r w:rsidR="00401764" w:rsidRPr="00445C10">
        <w:rPr>
          <w:color w:val="auto"/>
          <w:sz w:val="20"/>
          <w:szCs w:val="20"/>
        </w:rPr>
        <w:t xml:space="preserve"> if a Council repays debt early.</w:t>
      </w:r>
    </w:p>
    <w:p w:rsidR="00D35D27" w:rsidRPr="0005794A" w:rsidRDefault="0021260C" w:rsidP="00D35D27">
      <w:pPr>
        <w:pStyle w:val="BodyTextIndent"/>
        <w:tabs>
          <w:tab w:val="left" w:pos="709"/>
        </w:tabs>
        <w:ind w:left="567"/>
        <w:rPr>
          <w:color w:val="548DD4" w:themeColor="text2" w:themeTint="99"/>
          <w:sz w:val="20"/>
          <w:szCs w:val="20"/>
        </w:rPr>
      </w:pPr>
      <w:r w:rsidRPr="00A31E2A">
        <w:rPr>
          <w:color w:val="auto"/>
          <w:sz w:val="20"/>
          <w:szCs w:val="20"/>
        </w:rPr>
        <w:t xml:space="preserve">The Council has a liability for the remaining </w:t>
      </w:r>
      <w:r w:rsidR="00A31E2A" w:rsidRPr="00A31E2A">
        <w:rPr>
          <w:color w:val="auto"/>
          <w:sz w:val="20"/>
          <w:szCs w:val="20"/>
        </w:rPr>
        <w:t>9</w:t>
      </w:r>
      <w:r w:rsidRPr="00A31E2A">
        <w:rPr>
          <w:color w:val="auto"/>
          <w:sz w:val="20"/>
          <w:szCs w:val="20"/>
        </w:rPr>
        <w:t xml:space="preserve">.5 years on its 25 year School PFI contract for the construction </w:t>
      </w:r>
      <w:r w:rsidRPr="00F31DDA">
        <w:rPr>
          <w:color w:val="auto"/>
          <w:sz w:val="20"/>
          <w:szCs w:val="20"/>
        </w:rPr>
        <w:t xml:space="preserve">element. </w:t>
      </w:r>
      <w:r w:rsidR="00D35D27" w:rsidRPr="00F31DDA">
        <w:rPr>
          <w:color w:val="auto"/>
          <w:sz w:val="20"/>
          <w:szCs w:val="20"/>
        </w:rPr>
        <w:t>T</w:t>
      </w:r>
      <w:r w:rsidRPr="00F31DDA">
        <w:rPr>
          <w:color w:val="auto"/>
          <w:sz w:val="20"/>
          <w:szCs w:val="20"/>
        </w:rPr>
        <w:t xml:space="preserve">he fair value of the liability </w:t>
      </w:r>
      <w:r w:rsidR="00D35D27" w:rsidRPr="00F31DDA">
        <w:rPr>
          <w:color w:val="auto"/>
          <w:sz w:val="20"/>
          <w:szCs w:val="20"/>
        </w:rPr>
        <w:t>as at 31/3/1</w:t>
      </w:r>
      <w:r w:rsidR="000F665D">
        <w:rPr>
          <w:color w:val="auto"/>
          <w:sz w:val="20"/>
          <w:szCs w:val="20"/>
        </w:rPr>
        <w:t>8</w:t>
      </w:r>
      <w:r w:rsidR="00D35D27" w:rsidRPr="00F31DDA">
        <w:rPr>
          <w:color w:val="auto"/>
          <w:sz w:val="20"/>
          <w:szCs w:val="20"/>
        </w:rPr>
        <w:t xml:space="preserve"> </w:t>
      </w:r>
      <w:r w:rsidR="007502C3" w:rsidRPr="00F31DDA">
        <w:rPr>
          <w:color w:val="auto"/>
          <w:sz w:val="20"/>
          <w:szCs w:val="20"/>
        </w:rPr>
        <w:t>of £</w:t>
      </w:r>
      <w:r w:rsidR="00F31DDA" w:rsidRPr="00F31DDA">
        <w:rPr>
          <w:color w:val="auto"/>
          <w:sz w:val="20"/>
          <w:szCs w:val="20"/>
        </w:rPr>
        <w:t>8.</w:t>
      </w:r>
      <w:r w:rsidR="000F665D">
        <w:rPr>
          <w:color w:val="auto"/>
          <w:sz w:val="20"/>
          <w:szCs w:val="20"/>
        </w:rPr>
        <w:t>1</w:t>
      </w:r>
      <w:r w:rsidR="007502C3" w:rsidRPr="00F31DDA">
        <w:rPr>
          <w:color w:val="auto"/>
          <w:sz w:val="20"/>
          <w:szCs w:val="20"/>
        </w:rPr>
        <w:t>m (</w:t>
      </w:r>
      <w:r w:rsidR="00D35D27" w:rsidRPr="00F31DDA">
        <w:rPr>
          <w:color w:val="auto"/>
          <w:sz w:val="20"/>
          <w:szCs w:val="20"/>
        </w:rPr>
        <w:t>£</w:t>
      </w:r>
      <w:r w:rsidR="00B86888" w:rsidRPr="00F31DDA">
        <w:rPr>
          <w:color w:val="auto"/>
          <w:sz w:val="20"/>
          <w:szCs w:val="20"/>
        </w:rPr>
        <w:t>9.7</w:t>
      </w:r>
      <w:r w:rsidR="00D35D27" w:rsidRPr="00F31DDA">
        <w:rPr>
          <w:color w:val="auto"/>
          <w:sz w:val="20"/>
          <w:szCs w:val="20"/>
        </w:rPr>
        <w:t>m</w:t>
      </w:r>
      <w:r w:rsidR="007502C3" w:rsidRPr="00F31DDA">
        <w:rPr>
          <w:color w:val="auto"/>
          <w:sz w:val="20"/>
          <w:szCs w:val="20"/>
        </w:rPr>
        <w:t xml:space="preserve"> 1</w:t>
      </w:r>
      <w:r w:rsidR="00B86888" w:rsidRPr="00F31DDA">
        <w:rPr>
          <w:color w:val="auto"/>
          <w:sz w:val="20"/>
          <w:szCs w:val="20"/>
        </w:rPr>
        <w:t>6</w:t>
      </w:r>
      <w:r w:rsidR="007502C3" w:rsidRPr="00F31DDA">
        <w:rPr>
          <w:color w:val="auto"/>
          <w:sz w:val="20"/>
          <w:szCs w:val="20"/>
        </w:rPr>
        <w:t>/1</w:t>
      </w:r>
      <w:r w:rsidR="00B86888" w:rsidRPr="00F31DDA">
        <w:rPr>
          <w:color w:val="auto"/>
          <w:sz w:val="20"/>
          <w:szCs w:val="20"/>
        </w:rPr>
        <w:t>7</w:t>
      </w:r>
      <w:r w:rsidR="007502C3" w:rsidRPr="00F31DDA">
        <w:rPr>
          <w:color w:val="auto"/>
          <w:sz w:val="20"/>
          <w:szCs w:val="20"/>
        </w:rPr>
        <w:t xml:space="preserve">) </w:t>
      </w:r>
      <w:r w:rsidR="00D35D27" w:rsidRPr="00F31DDA">
        <w:rPr>
          <w:color w:val="auto"/>
          <w:sz w:val="20"/>
          <w:szCs w:val="20"/>
        </w:rPr>
        <w:t xml:space="preserve"> has be</w:t>
      </w:r>
      <w:r w:rsidR="00140820" w:rsidRPr="00F31DDA">
        <w:rPr>
          <w:color w:val="auto"/>
          <w:sz w:val="20"/>
          <w:szCs w:val="20"/>
        </w:rPr>
        <w:t>e</w:t>
      </w:r>
      <w:r w:rsidR="00D35D27" w:rsidRPr="00F31DDA">
        <w:rPr>
          <w:color w:val="auto"/>
          <w:sz w:val="20"/>
          <w:szCs w:val="20"/>
        </w:rPr>
        <w:t>n assessed using Level Two inputs</w:t>
      </w:r>
      <w:r w:rsidR="006318A8" w:rsidRPr="00F31DDA">
        <w:rPr>
          <w:color w:val="auto"/>
          <w:sz w:val="20"/>
          <w:szCs w:val="20"/>
        </w:rPr>
        <w:t xml:space="preserve"> using a PWLB annuity discount rate</w:t>
      </w:r>
      <w:r w:rsidR="00D35D27" w:rsidRPr="00F31DDA">
        <w:rPr>
          <w:color w:val="auto"/>
          <w:sz w:val="20"/>
          <w:szCs w:val="20"/>
        </w:rPr>
        <w:t xml:space="preserve">, </w:t>
      </w:r>
      <w:r w:rsidR="007E33E1" w:rsidRPr="00F31DDA">
        <w:rPr>
          <w:color w:val="auto"/>
          <w:sz w:val="20"/>
          <w:szCs w:val="20"/>
        </w:rPr>
        <w:t>i.e.</w:t>
      </w:r>
      <w:r w:rsidR="00D35D27" w:rsidRPr="00F31DDA">
        <w:rPr>
          <w:color w:val="auto"/>
          <w:sz w:val="20"/>
          <w:szCs w:val="20"/>
        </w:rPr>
        <w:t xml:space="preserve"> </w:t>
      </w:r>
      <w:r w:rsidR="006318A8" w:rsidRPr="00F31DDA">
        <w:rPr>
          <w:color w:val="auto"/>
          <w:sz w:val="20"/>
          <w:szCs w:val="20"/>
        </w:rPr>
        <w:t xml:space="preserve">an </w:t>
      </w:r>
      <w:r w:rsidR="00D35D27" w:rsidRPr="00F31DDA">
        <w:rPr>
          <w:color w:val="auto"/>
          <w:sz w:val="20"/>
          <w:szCs w:val="20"/>
        </w:rPr>
        <w:t xml:space="preserve">input other than quoted prices that are </w:t>
      </w:r>
      <w:r w:rsidR="007E33E1" w:rsidRPr="00F31DDA">
        <w:rPr>
          <w:color w:val="auto"/>
          <w:sz w:val="20"/>
          <w:szCs w:val="20"/>
        </w:rPr>
        <w:t>observable</w:t>
      </w:r>
      <w:r w:rsidR="00D35D27" w:rsidRPr="00F31DDA">
        <w:rPr>
          <w:color w:val="auto"/>
          <w:sz w:val="20"/>
          <w:szCs w:val="20"/>
        </w:rPr>
        <w:t>.</w:t>
      </w:r>
    </w:p>
    <w:p w:rsidR="00974BDC" w:rsidRPr="0005794A" w:rsidRDefault="00974BDC" w:rsidP="00974BDC">
      <w:pPr>
        <w:pStyle w:val="BodyTextIndent"/>
        <w:tabs>
          <w:tab w:val="left" w:pos="0"/>
        </w:tabs>
        <w:ind w:left="567"/>
        <w:rPr>
          <w:color w:val="548DD4" w:themeColor="text2" w:themeTint="99"/>
          <w:sz w:val="20"/>
          <w:szCs w:val="20"/>
        </w:rPr>
      </w:pPr>
      <w:r w:rsidRPr="00A31E2A">
        <w:rPr>
          <w:color w:val="auto"/>
          <w:sz w:val="20"/>
          <w:szCs w:val="20"/>
        </w:rPr>
        <w:t>The Council has a liability for the remaining 2</w:t>
      </w:r>
      <w:r w:rsidR="00A31E2A" w:rsidRPr="00A31E2A">
        <w:rPr>
          <w:color w:val="auto"/>
          <w:sz w:val="20"/>
          <w:szCs w:val="20"/>
        </w:rPr>
        <w:t>1</w:t>
      </w:r>
      <w:r w:rsidRPr="00A31E2A">
        <w:rPr>
          <w:color w:val="auto"/>
          <w:sz w:val="20"/>
          <w:szCs w:val="20"/>
        </w:rPr>
        <w:t xml:space="preserve">.5 years on its 25 year Energy </w:t>
      </w:r>
      <w:r w:rsidR="00CA7693" w:rsidRPr="00A31E2A">
        <w:rPr>
          <w:color w:val="auto"/>
          <w:sz w:val="20"/>
          <w:szCs w:val="20"/>
        </w:rPr>
        <w:t>from</w:t>
      </w:r>
      <w:r w:rsidRPr="00A31E2A">
        <w:rPr>
          <w:color w:val="auto"/>
          <w:sz w:val="20"/>
          <w:szCs w:val="20"/>
        </w:rPr>
        <w:t xml:space="preserve"> Waste PFI contract for the construction element</w:t>
      </w:r>
      <w:r w:rsidRPr="0005794A">
        <w:rPr>
          <w:color w:val="548DD4" w:themeColor="text2" w:themeTint="99"/>
          <w:sz w:val="20"/>
          <w:szCs w:val="20"/>
        </w:rPr>
        <w:t xml:space="preserve">. </w:t>
      </w:r>
      <w:r w:rsidR="00133BD7" w:rsidRPr="0050285C">
        <w:rPr>
          <w:color w:val="auto"/>
          <w:sz w:val="20"/>
          <w:szCs w:val="20"/>
        </w:rPr>
        <w:t>The fair value of the liability as at 31/3/1</w:t>
      </w:r>
      <w:r w:rsidR="000F665D">
        <w:rPr>
          <w:color w:val="auto"/>
          <w:sz w:val="20"/>
          <w:szCs w:val="20"/>
        </w:rPr>
        <w:t>8</w:t>
      </w:r>
      <w:r w:rsidR="00133BD7" w:rsidRPr="0050285C">
        <w:rPr>
          <w:color w:val="auto"/>
          <w:sz w:val="20"/>
          <w:szCs w:val="20"/>
        </w:rPr>
        <w:t xml:space="preserve"> of </w:t>
      </w:r>
      <w:r w:rsidR="007502C3" w:rsidRPr="0050285C">
        <w:rPr>
          <w:color w:val="auto"/>
          <w:sz w:val="20"/>
          <w:szCs w:val="20"/>
        </w:rPr>
        <w:t>£2</w:t>
      </w:r>
      <w:r w:rsidR="0050285C" w:rsidRPr="0050285C">
        <w:rPr>
          <w:color w:val="auto"/>
          <w:sz w:val="20"/>
          <w:szCs w:val="20"/>
        </w:rPr>
        <w:t>5.3</w:t>
      </w:r>
      <w:r w:rsidR="007502C3" w:rsidRPr="0050285C">
        <w:rPr>
          <w:color w:val="auto"/>
          <w:sz w:val="20"/>
          <w:szCs w:val="20"/>
        </w:rPr>
        <w:t>m (</w:t>
      </w:r>
      <w:r w:rsidR="00133BD7" w:rsidRPr="0050285C">
        <w:rPr>
          <w:color w:val="auto"/>
          <w:sz w:val="20"/>
          <w:szCs w:val="20"/>
        </w:rPr>
        <w:t>£2</w:t>
      </w:r>
      <w:r w:rsidR="00BE11EE" w:rsidRPr="0050285C">
        <w:rPr>
          <w:color w:val="auto"/>
          <w:sz w:val="20"/>
          <w:szCs w:val="20"/>
        </w:rPr>
        <w:t>6.</w:t>
      </w:r>
      <w:r w:rsidR="00B86888" w:rsidRPr="0050285C">
        <w:rPr>
          <w:color w:val="auto"/>
          <w:sz w:val="20"/>
          <w:szCs w:val="20"/>
        </w:rPr>
        <w:t>2</w:t>
      </w:r>
      <w:r w:rsidR="00133BD7" w:rsidRPr="0050285C">
        <w:rPr>
          <w:color w:val="auto"/>
          <w:sz w:val="20"/>
          <w:szCs w:val="20"/>
        </w:rPr>
        <w:t xml:space="preserve">m </w:t>
      </w:r>
      <w:r w:rsidR="007502C3" w:rsidRPr="0050285C">
        <w:rPr>
          <w:color w:val="auto"/>
          <w:sz w:val="20"/>
          <w:szCs w:val="20"/>
        </w:rPr>
        <w:t>1</w:t>
      </w:r>
      <w:r w:rsidR="00B86888" w:rsidRPr="0050285C">
        <w:rPr>
          <w:color w:val="auto"/>
          <w:sz w:val="20"/>
          <w:szCs w:val="20"/>
        </w:rPr>
        <w:t>6</w:t>
      </w:r>
      <w:r w:rsidR="007502C3" w:rsidRPr="0050285C">
        <w:rPr>
          <w:color w:val="auto"/>
          <w:sz w:val="20"/>
          <w:szCs w:val="20"/>
        </w:rPr>
        <w:t>/1</w:t>
      </w:r>
      <w:r w:rsidR="00B86888" w:rsidRPr="0050285C">
        <w:rPr>
          <w:color w:val="auto"/>
          <w:sz w:val="20"/>
          <w:szCs w:val="20"/>
        </w:rPr>
        <w:t>7</w:t>
      </w:r>
      <w:r w:rsidR="007502C3" w:rsidRPr="0050285C">
        <w:rPr>
          <w:color w:val="auto"/>
          <w:sz w:val="20"/>
          <w:szCs w:val="20"/>
        </w:rPr>
        <w:t xml:space="preserve">) </w:t>
      </w:r>
      <w:r w:rsidR="00133BD7" w:rsidRPr="0050285C">
        <w:rPr>
          <w:color w:val="auto"/>
          <w:sz w:val="20"/>
          <w:szCs w:val="20"/>
        </w:rPr>
        <w:t xml:space="preserve">has been assessed using Level Two inputs using a PWLB annuity discount rate, </w:t>
      </w:r>
      <w:r w:rsidR="007E33E1" w:rsidRPr="0050285C">
        <w:rPr>
          <w:color w:val="auto"/>
          <w:sz w:val="20"/>
          <w:szCs w:val="20"/>
        </w:rPr>
        <w:t>i.e.</w:t>
      </w:r>
      <w:r w:rsidR="00133BD7" w:rsidRPr="0050285C">
        <w:rPr>
          <w:color w:val="auto"/>
          <w:sz w:val="20"/>
          <w:szCs w:val="20"/>
        </w:rPr>
        <w:t xml:space="preserve"> an input other than quoted prices that are </w:t>
      </w:r>
      <w:r w:rsidR="007E33E1" w:rsidRPr="0050285C">
        <w:rPr>
          <w:color w:val="auto"/>
          <w:sz w:val="20"/>
          <w:szCs w:val="20"/>
        </w:rPr>
        <w:t>observable</w:t>
      </w:r>
      <w:r w:rsidR="00133BD7" w:rsidRPr="0050285C">
        <w:rPr>
          <w:color w:val="auto"/>
          <w:sz w:val="20"/>
          <w:szCs w:val="20"/>
        </w:rPr>
        <w:t>.</w:t>
      </w:r>
    </w:p>
    <w:p w:rsidR="00974BDC" w:rsidRPr="00EC6C80" w:rsidRDefault="00974BDC" w:rsidP="004C1441">
      <w:pPr>
        <w:pStyle w:val="BodyTextIndent"/>
        <w:tabs>
          <w:tab w:val="left" w:pos="0"/>
        </w:tabs>
        <w:ind w:left="567"/>
        <w:rPr>
          <w:color w:val="auto"/>
          <w:sz w:val="20"/>
          <w:szCs w:val="20"/>
        </w:rPr>
      </w:pPr>
    </w:p>
    <w:p w:rsidR="00E51139" w:rsidRPr="00EC6C80" w:rsidRDefault="00066F17" w:rsidP="00F60EB5">
      <w:pPr>
        <w:pStyle w:val="Subtitle"/>
        <w:ind w:left="567" w:hanging="567"/>
        <w:rPr>
          <w:b/>
          <w:color w:val="auto"/>
          <w:sz w:val="22"/>
          <w:szCs w:val="22"/>
        </w:rPr>
      </w:pPr>
      <w:r w:rsidRPr="00EC6C80">
        <w:rPr>
          <w:b/>
          <w:color w:val="auto"/>
          <w:sz w:val="22"/>
          <w:szCs w:val="22"/>
        </w:rPr>
        <w:t>1</w:t>
      </w:r>
      <w:r w:rsidR="005F70BB" w:rsidRPr="00EC6C80">
        <w:rPr>
          <w:b/>
          <w:color w:val="auto"/>
          <w:sz w:val="22"/>
          <w:szCs w:val="22"/>
        </w:rPr>
        <w:t>7</w:t>
      </w:r>
      <w:r w:rsidRPr="00EC6C80">
        <w:rPr>
          <w:b/>
          <w:color w:val="auto"/>
          <w:sz w:val="22"/>
          <w:szCs w:val="22"/>
        </w:rPr>
        <w:t>.</w:t>
      </w:r>
      <w:r w:rsidRPr="00EC6C80">
        <w:rPr>
          <w:b/>
          <w:color w:val="auto"/>
          <w:sz w:val="22"/>
          <w:szCs w:val="22"/>
        </w:rPr>
        <w:tab/>
      </w:r>
      <w:r w:rsidR="00F60EB5" w:rsidRPr="00EC6C80">
        <w:rPr>
          <w:b/>
          <w:color w:val="auto"/>
          <w:sz w:val="22"/>
          <w:szCs w:val="22"/>
        </w:rPr>
        <w:t>Nature and Extent of Risks Arising from Financial Instruments</w:t>
      </w:r>
    </w:p>
    <w:p w:rsidR="00E51139" w:rsidRPr="00EC6C80" w:rsidRDefault="00E51139" w:rsidP="00061621">
      <w:pPr>
        <w:pStyle w:val="BodyTextIndent"/>
        <w:ind w:left="567"/>
        <w:rPr>
          <w:color w:val="auto"/>
          <w:sz w:val="20"/>
          <w:szCs w:val="20"/>
        </w:rPr>
      </w:pPr>
      <w:r w:rsidRPr="00EC6C80">
        <w:rPr>
          <w:color w:val="auto"/>
          <w:sz w:val="20"/>
          <w:szCs w:val="20"/>
        </w:rPr>
        <w:t>The Council’s activities expose it to a variety of financial risks:</w:t>
      </w:r>
    </w:p>
    <w:p w:rsidR="00E51139" w:rsidRPr="00EC6C80" w:rsidRDefault="00E51139" w:rsidP="00FC32F1">
      <w:pPr>
        <w:pStyle w:val="BodyTextIndent"/>
        <w:widowControl w:val="0"/>
        <w:numPr>
          <w:ilvl w:val="2"/>
          <w:numId w:val="16"/>
        </w:numPr>
        <w:tabs>
          <w:tab w:val="clear" w:pos="2505"/>
          <w:tab w:val="num" w:pos="1418"/>
        </w:tabs>
        <w:adjustRightInd w:val="0"/>
        <w:spacing w:after="0" w:line="360" w:lineRule="atLeast"/>
        <w:ind w:left="1418" w:hanging="284"/>
        <w:jc w:val="both"/>
        <w:textAlignment w:val="baseline"/>
        <w:rPr>
          <w:color w:val="auto"/>
          <w:sz w:val="20"/>
          <w:szCs w:val="20"/>
        </w:rPr>
      </w:pPr>
      <w:r w:rsidRPr="00EC6C80">
        <w:rPr>
          <w:color w:val="auto"/>
          <w:sz w:val="20"/>
          <w:szCs w:val="20"/>
        </w:rPr>
        <w:t>credit risk – the possibility that other parties might fail to pay amounts due to the Council</w:t>
      </w:r>
    </w:p>
    <w:p w:rsidR="00E51139" w:rsidRPr="00EC6C80" w:rsidRDefault="00E51139" w:rsidP="00FC32F1">
      <w:pPr>
        <w:pStyle w:val="BodyTextIndent"/>
        <w:widowControl w:val="0"/>
        <w:numPr>
          <w:ilvl w:val="1"/>
          <w:numId w:val="16"/>
        </w:numPr>
        <w:tabs>
          <w:tab w:val="clear" w:pos="1785"/>
          <w:tab w:val="num" w:pos="1418"/>
        </w:tabs>
        <w:adjustRightInd w:val="0"/>
        <w:spacing w:after="0" w:line="360" w:lineRule="atLeast"/>
        <w:ind w:left="1418" w:hanging="284"/>
        <w:jc w:val="both"/>
        <w:textAlignment w:val="baseline"/>
        <w:rPr>
          <w:color w:val="auto"/>
          <w:sz w:val="20"/>
          <w:szCs w:val="20"/>
        </w:rPr>
      </w:pPr>
      <w:r w:rsidRPr="00EC6C80">
        <w:rPr>
          <w:color w:val="auto"/>
          <w:sz w:val="20"/>
          <w:szCs w:val="20"/>
        </w:rPr>
        <w:t>liquidity risk – the possibility that the Council might not have funds available to meet its commitments to make payments</w:t>
      </w:r>
    </w:p>
    <w:p w:rsidR="00E51139" w:rsidRPr="00EC6C80" w:rsidRDefault="00E51139" w:rsidP="00FC32F1">
      <w:pPr>
        <w:pStyle w:val="BodyTextIndent"/>
        <w:widowControl w:val="0"/>
        <w:numPr>
          <w:ilvl w:val="1"/>
          <w:numId w:val="16"/>
        </w:numPr>
        <w:tabs>
          <w:tab w:val="clear" w:pos="1785"/>
          <w:tab w:val="num" w:pos="1418"/>
        </w:tabs>
        <w:adjustRightInd w:val="0"/>
        <w:spacing w:after="0" w:line="360" w:lineRule="atLeast"/>
        <w:ind w:left="1418" w:hanging="284"/>
        <w:jc w:val="both"/>
        <w:textAlignment w:val="baseline"/>
        <w:rPr>
          <w:color w:val="auto"/>
          <w:sz w:val="20"/>
          <w:szCs w:val="20"/>
        </w:rPr>
      </w:pPr>
      <w:r w:rsidRPr="00EC6C80">
        <w:rPr>
          <w:color w:val="auto"/>
          <w:sz w:val="20"/>
          <w:szCs w:val="20"/>
        </w:rPr>
        <w:t>market risk – the possibility that financial loss might arise for the Council as a result of changes in such measures as interest rates and stock movements</w:t>
      </w:r>
    </w:p>
    <w:p w:rsidR="00E51139" w:rsidRPr="00EC6C80" w:rsidRDefault="00E51139" w:rsidP="00AD6C46">
      <w:pPr>
        <w:pStyle w:val="BodyTextIndent"/>
        <w:tabs>
          <w:tab w:val="left" w:pos="709"/>
        </w:tabs>
        <w:rPr>
          <w:color w:val="auto"/>
          <w:sz w:val="20"/>
          <w:szCs w:val="20"/>
        </w:rPr>
      </w:pPr>
    </w:p>
    <w:p w:rsidR="00E51139" w:rsidRPr="00EC6C80" w:rsidRDefault="00E51139" w:rsidP="00061621">
      <w:pPr>
        <w:pStyle w:val="BodyTextIndent"/>
        <w:tabs>
          <w:tab w:val="left" w:pos="0"/>
        </w:tabs>
        <w:ind w:left="567"/>
        <w:rPr>
          <w:color w:val="auto"/>
          <w:sz w:val="20"/>
          <w:szCs w:val="20"/>
        </w:rPr>
      </w:pPr>
      <w:r w:rsidRPr="00EC6C80">
        <w:rPr>
          <w:color w:val="auto"/>
          <w:sz w:val="20"/>
          <w:szCs w:val="20"/>
        </w:rPr>
        <w:t xml:space="preserve">The Council’s overall risk management programme (as outlined in its Treasury Management Strategy) focuses on the unpredictability of financial markets and seeks to minimise potential adverse effects on the resources available to fund services. Risk management is carried out by the Council’s treasury team, under policies and practices approved by full Council in March </w:t>
      </w:r>
      <w:r w:rsidRPr="00EC6C80">
        <w:rPr>
          <w:color w:val="auto"/>
          <w:sz w:val="20"/>
          <w:szCs w:val="20"/>
        </w:rPr>
        <w:lastRenderedPageBreak/>
        <w:t>2010</w:t>
      </w:r>
      <w:r w:rsidR="00A005B1" w:rsidRPr="00EC6C80">
        <w:rPr>
          <w:color w:val="auto"/>
          <w:sz w:val="20"/>
          <w:szCs w:val="20"/>
        </w:rPr>
        <w:t xml:space="preserve"> and updated as required in the annual Treasury Management Strategy</w:t>
      </w:r>
      <w:r w:rsidRPr="00EC6C80">
        <w:rPr>
          <w:color w:val="auto"/>
          <w:sz w:val="20"/>
          <w:szCs w:val="20"/>
        </w:rPr>
        <w:t>. The Council provides written principles for overall risk management, as well as written policies covering specific areas, such as interest rate risk, credit risk and the investment of surplus cash. The Council’s treasury team also, as required, make in year adjustments in the event of changing circumstances such as economic pressures impacting on rates or changes to investment counterparty lists.</w:t>
      </w:r>
    </w:p>
    <w:p w:rsidR="00E51139" w:rsidRPr="00AB77F2" w:rsidRDefault="00E51139" w:rsidP="008D0906">
      <w:pPr>
        <w:pStyle w:val="BodyTextIndent"/>
        <w:tabs>
          <w:tab w:val="left" w:pos="709"/>
        </w:tabs>
        <w:ind w:left="567"/>
        <w:outlineLvl w:val="0"/>
        <w:rPr>
          <w:b/>
          <w:color w:val="auto"/>
          <w:sz w:val="20"/>
          <w:szCs w:val="20"/>
        </w:rPr>
      </w:pPr>
      <w:r w:rsidRPr="00AB77F2">
        <w:rPr>
          <w:b/>
          <w:color w:val="auto"/>
          <w:sz w:val="20"/>
          <w:szCs w:val="20"/>
        </w:rPr>
        <w:t>Credit Risk</w:t>
      </w:r>
    </w:p>
    <w:p w:rsidR="00E51139" w:rsidRPr="000A05CC" w:rsidRDefault="00E51139" w:rsidP="00061621">
      <w:pPr>
        <w:ind w:left="567"/>
        <w:rPr>
          <w:color w:val="auto"/>
          <w:sz w:val="20"/>
          <w:szCs w:val="20"/>
          <w:lang w:val="en-US"/>
        </w:rPr>
      </w:pPr>
      <w:r w:rsidRPr="000A05CC">
        <w:rPr>
          <w:rFonts w:cs="Arial"/>
          <w:color w:val="auto"/>
          <w:sz w:val="20"/>
          <w:szCs w:val="20"/>
        </w:rPr>
        <w:t>Credit risk arises from deposits with banks and financial institutions, as well as credit exposure to the Council’s customers. Deposits are not made with banks and financial institutions unless they have a sufficiently high credit rating, as designated by independent credit rating agencies, or other strong measure of security such as a central government guarantee with a minimum sovereign rating of “AAA”/”AA</w:t>
      </w:r>
      <w:r w:rsidR="003324EC" w:rsidRPr="000A05CC">
        <w:rPr>
          <w:rFonts w:cs="Arial"/>
          <w:color w:val="auto"/>
          <w:sz w:val="20"/>
          <w:szCs w:val="20"/>
        </w:rPr>
        <w:t>+”</w:t>
      </w:r>
      <w:r w:rsidRPr="000A05CC">
        <w:rPr>
          <w:rFonts w:cs="Arial"/>
          <w:color w:val="auto"/>
          <w:sz w:val="20"/>
          <w:szCs w:val="20"/>
        </w:rPr>
        <w:t xml:space="preserve">. The system of counterparty selection includes a sophisticated modelling approach which combines credit ratings, credit watches, credit outlooks and credit default swaps (CDS) spreads in a weighted scoring system for which the end product is a series of colour code bands which indicate the value and durational limits for each counterparty. </w:t>
      </w:r>
    </w:p>
    <w:p w:rsidR="00516589" w:rsidRPr="000A05CC" w:rsidRDefault="009A3A9C" w:rsidP="00100BBC">
      <w:pPr>
        <w:pStyle w:val="BodyTextIndent"/>
        <w:tabs>
          <w:tab w:val="left" w:pos="0"/>
        </w:tabs>
        <w:spacing w:line="240" w:lineRule="auto"/>
        <w:ind w:left="567"/>
        <w:rPr>
          <w:color w:val="auto"/>
          <w:sz w:val="20"/>
          <w:szCs w:val="20"/>
        </w:rPr>
      </w:pPr>
      <w:r w:rsidRPr="000A05CC">
        <w:rPr>
          <w:color w:val="auto"/>
          <w:sz w:val="20"/>
          <w:szCs w:val="20"/>
        </w:rPr>
        <w:t xml:space="preserve">The </w:t>
      </w:r>
      <w:r w:rsidR="007E33E1" w:rsidRPr="000A05CC">
        <w:rPr>
          <w:color w:val="auto"/>
          <w:sz w:val="20"/>
          <w:szCs w:val="20"/>
        </w:rPr>
        <w:t>Council’s</w:t>
      </w:r>
      <w:r w:rsidRPr="000A05CC">
        <w:rPr>
          <w:color w:val="auto"/>
          <w:sz w:val="20"/>
          <w:szCs w:val="20"/>
        </w:rPr>
        <w:t xml:space="preserve"> investment in th</w:t>
      </w:r>
      <w:r w:rsidR="00516589" w:rsidRPr="000A05CC">
        <w:rPr>
          <w:color w:val="auto"/>
          <w:sz w:val="20"/>
          <w:szCs w:val="20"/>
        </w:rPr>
        <w:t>e Fundi</w:t>
      </w:r>
      <w:r w:rsidRPr="000A05CC">
        <w:rPr>
          <w:color w:val="auto"/>
          <w:sz w:val="20"/>
          <w:szCs w:val="20"/>
        </w:rPr>
        <w:t>ng</w:t>
      </w:r>
      <w:r w:rsidR="00516589" w:rsidRPr="000A05CC">
        <w:rPr>
          <w:color w:val="auto"/>
          <w:sz w:val="20"/>
          <w:szCs w:val="20"/>
        </w:rPr>
        <w:t xml:space="preserve"> Circle</w:t>
      </w:r>
      <w:r w:rsidR="00E24395" w:rsidRPr="000A05CC">
        <w:rPr>
          <w:color w:val="auto"/>
          <w:sz w:val="20"/>
          <w:szCs w:val="20"/>
        </w:rPr>
        <w:t xml:space="preserve"> (£0.</w:t>
      </w:r>
      <w:r w:rsidR="00EC6C80" w:rsidRPr="000A05CC">
        <w:rPr>
          <w:color w:val="auto"/>
          <w:sz w:val="20"/>
          <w:szCs w:val="20"/>
        </w:rPr>
        <w:t>1</w:t>
      </w:r>
      <w:r w:rsidR="00E24395" w:rsidRPr="000A05CC">
        <w:rPr>
          <w:color w:val="auto"/>
          <w:sz w:val="20"/>
          <w:szCs w:val="20"/>
        </w:rPr>
        <w:t xml:space="preserve">m) </w:t>
      </w:r>
      <w:r w:rsidRPr="000A05CC">
        <w:rPr>
          <w:color w:val="auto"/>
          <w:sz w:val="20"/>
          <w:szCs w:val="20"/>
        </w:rPr>
        <w:t xml:space="preserve">is limited to individual loans to applicants with a credit score (as assessed by </w:t>
      </w:r>
      <w:r w:rsidR="007E33E1" w:rsidRPr="000A05CC">
        <w:rPr>
          <w:color w:val="auto"/>
          <w:sz w:val="20"/>
          <w:szCs w:val="20"/>
        </w:rPr>
        <w:t>Funding</w:t>
      </w:r>
      <w:r w:rsidRPr="000A05CC">
        <w:rPr>
          <w:color w:val="auto"/>
          <w:sz w:val="20"/>
          <w:szCs w:val="20"/>
        </w:rPr>
        <w:t xml:space="preserve"> Circle) of A+, A and B the three highest categories of credit combined with a maximum loan to any applicant of £1,</w:t>
      </w:r>
      <w:r w:rsidR="006066B3" w:rsidRPr="000A05CC">
        <w:rPr>
          <w:color w:val="auto"/>
          <w:sz w:val="20"/>
          <w:szCs w:val="20"/>
        </w:rPr>
        <w:t>5</w:t>
      </w:r>
      <w:r w:rsidRPr="000A05CC">
        <w:rPr>
          <w:color w:val="auto"/>
          <w:sz w:val="20"/>
          <w:szCs w:val="20"/>
        </w:rPr>
        <w:t>00.</w:t>
      </w:r>
    </w:p>
    <w:p w:rsidR="00C62B8D" w:rsidRPr="000A05CC" w:rsidRDefault="00E51139" w:rsidP="00100BBC">
      <w:pPr>
        <w:pStyle w:val="BodyTextIndent"/>
        <w:tabs>
          <w:tab w:val="left" w:pos="0"/>
        </w:tabs>
        <w:spacing w:line="240" w:lineRule="auto"/>
        <w:ind w:left="567"/>
        <w:rPr>
          <w:color w:val="auto"/>
          <w:sz w:val="20"/>
          <w:szCs w:val="20"/>
        </w:rPr>
      </w:pPr>
      <w:r w:rsidRPr="000A05CC">
        <w:rPr>
          <w:color w:val="auto"/>
          <w:sz w:val="20"/>
          <w:szCs w:val="20"/>
        </w:rPr>
        <w:t xml:space="preserve">The following analysis summarises the Council’s potential maximum exposure to credit risk, based on experience of default and </w:t>
      </w:r>
      <w:proofErr w:type="spellStart"/>
      <w:r w:rsidRPr="000A05CC">
        <w:rPr>
          <w:color w:val="auto"/>
          <w:sz w:val="20"/>
          <w:szCs w:val="20"/>
        </w:rPr>
        <w:t>uncollectability</w:t>
      </w:r>
      <w:proofErr w:type="spellEnd"/>
      <w:r w:rsidRPr="000A05CC">
        <w:rPr>
          <w:color w:val="auto"/>
          <w:sz w:val="20"/>
          <w:szCs w:val="20"/>
        </w:rPr>
        <w:t xml:space="preserve">, adjusted to reflect current market conditions.  </w:t>
      </w:r>
    </w:p>
    <w:p w:rsidR="00100BBC" w:rsidRPr="0005794A" w:rsidRDefault="00100BBC" w:rsidP="00100BBC">
      <w:pPr>
        <w:pStyle w:val="BodyTextIndent"/>
        <w:tabs>
          <w:tab w:val="left" w:pos="0"/>
        </w:tabs>
        <w:spacing w:line="240" w:lineRule="auto"/>
        <w:ind w:left="567"/>
        <w:rPr>
          <w:color w:val="548DD4" w:themeColor="text2" w:themeTint="99"/>
          <w:sz w:val="20"/>
          <w:szCs w:val="20"/>
        </w:rPr>
      </w:pPr>
    </w:p>
    <w:tbl>
      <w:tblPr>
        <w:tblStyle w:val="ListTable3-Accent51"/>
        <w:tblW w:w="7797" w:type="dxa"/>
        <w:tblInd w:w="675" w:type="dxa"/>
        <w:tblLayout w:type="fixed"/>
        <w:tblLook w:val="01E0" w:firstRow="1" w:lastRow="1" w:firstColumn="1" w:lastColumn="1" w:noHBand="0" w:noVBand="0"/>
      </w:tblPr>
      <w:tblGrid>
        <w:gridCol w:w="2835"/>
        <w:gridCol w:w="993"/>
        <w:gridCol w:w="1275"/>
        <w:gridCol w:w="1276"/>
        <w:gridCol w:w="1418"/>
      </w:tblGrid>
      <w:tr w:rsidR="00652B7D" w:rsidRPr="0005794A" w:rsidTr="00652B7D">
        <w:trPr>
          <w:cnfStyle w:val="100000000000" w:firstRow="1" w:lastRow="0" w:firstColumn="0" w:lastColumn="0" w:oddVBand="0" w:evenVBand="0" w:oddHBand="0" w:evenHBand="0" w:firstRowFirstColumn="0" w:firstRowLastColumn="0" w:lastRowFirstColumn="0" w:lastRowLastColumn="0"/>
          <w:trHeight w:val="1054"/>
          <w:tblHeader/>
        </w:trPr>
        <w:tc>
          <w:tcPr>
            <w:cnfStyle w:val="001000000100" w:firstRow="0" w:lastRow="0" w:firstColumn="1" w:lastColumn="0" w:oddVBand="0" w:evenVBand="0" w:oddHBand="0" w:evenHBand="0" w:firstRowFirstColumn="1" w:firstRowLastColumn="0" w:lastRowFirstColumn="0" w:lastRowLastColumn="0"/>
            <w:tcW w:w="2835" w:type="dxa"/>
          </w:tcPr>
          <w:p w:rsidR="00E51139" w:rsidRPr="00A8408D" w:rsidRDefault="00486BDA" w:rsidP="00F5278B">
            <w:pPr>
              <w:pStyle w:val="BodyTextIndent"/>
              <w:tabs>
                <w:tab w:val="left" w:pos="709"/>
              </w:tabs>
              <w:ind w:left="0"/>
              <w:rPr>
                <w:color w:val="auto"/>
                <w:sz w:val="22"/>
                <w:szCs w:val="22"/>
              </w:rPr>
            </w:pPr>
            <w:r w:rsidRPr="00A8408D">
              <w:rPr>
                <w:color w:val="auto"/>
                <w:sz w:val="22"/>
                <w:szCs w:val="22"/>
              </w:rPr>
              <w:t>201</w:t>
            </w:r>
            <w:r w:rsidR="00A8408D" w:rsidRPr="00A8408D">
              <w:rPr>
                <w:color w:val="auto"/>
                <w:sz w:val="22"/>
                <w:szCs w:val="22"/>
              </w:rPr>
              <w:t>7</w:t>
            </w:r>
            <w:r w:rsidRPr="00A8408D">
              <w:rPr>
                <w:color w:val="auto"/>
                <w:sz w:val="22"/>
                <w:szCs w:val="22"/>
              </w:rPr>
              <w:t>/1</w:t>
            </w:r>
            <w:r w:rsidR="00A8408D" w:rsidRPr="00A8408D">
              <w:rPr>
                <w:color w:val="auto"/>
                <w:sz w:val="22"/>
                <w:szCs w:val="22"/>
              </w:rPr>
              <w:t>8</w:t>
            </w:r>
          </w:p>
        </w:tc>
        <w:tc>
          <w:tcPr>
            <w:cnfStyle w:val="000010000000" w:firstRow="0" w:lastRow="0" w:firstColumn="0" w:lastColumn="0" w:oddVBand="1" w:evenVBand="0" w:oddHBand="0" w:evenHBand="0" w:firstRowFirstColumn="0" w:firstRowLastColumn="0" w:lastRowFirstColumn="0" w:lastRowLastColumn="0"/>
            <w:tcW w:w="993" w:type="dxa"/>
          </w:tcPr>
          <w:p w:rsidR="00E51139" w:rsidRPr="00A8408D" w:rsidRDefault="00061621" w:rsidP="00995820">
            <w:pPr>
              <w:pStyle w:val="BodyTextIndent"/>
              <w:tabs>
                <w:tab w:val="left" w:pos="709"/>
              </w:tabs>
              <w:ind w:left="0"/>
              <w:jc w:val="center"/>
              <w:rPr>
                <w:b w:val="0"/>
                <w:color w:val="auto"/>
                <w:sz w:val="18"/>
                <w:szCs w:val="18"/>
              </w:rPr>
            </w:pPr>
            <w:r w:rsidRPr="00A8408D">
              <w:rPr>
                <w:b w:val="0"/>
                <w:color w:val="auto"/>
                <w:sz w:val="18"/>
                <w:szCs w:val="18"/>
              </w:rPr>
              <w:t xml:space="preserve">Value as </w:t>
            </w:r>
            <w:r w:rsidR="00E51139" w:rsidRPr="00A8408D">
              <w:rPr>
                <w:b w:val="0"/>
                <w:color w:val="auto"/>
                <w:sz w:val="18"/>
                <w:szCs w:val="18"/>
              </w:rPr>
              <w:t xml:space="preserve">at </w:t>
            </w:r>
            <w:r w:rsidRPr="00A8408D">
              <w:rPr>
                <w:b w:val="0"/>
                <w:color w:val="auto"/>
                <w:sz w:val="18"/>
                <w:szCs w:val="18"/>
              </w:rPr>
              <w:t>31st March 201</w:t>
            </w:r>
            <w:r w:rsidR="00A8408D" w:rsidRPr="00A8408D">
              <w:rPr>
                <w:b w:val="0"/>
                <w:color w:val="auto"/>
                <w:sz w:val="18"/>
                <w:szCs w:val="18"/>
              </w:rPr>
              <w:t>8</w:t>
            </w:r>
          </w:p>
        </w:tc>
        <w:tc>
          <w:tcPr>
            <w:tcW w:w="1275" w:type="dxa"/>
          </w:tcPr>
          <w:p w:rsidR="00E51139" w:rsidRPr="00A8408D" w:rsidRDefault="00E51139" w:rsidP="00061621">
            <w:pPr>
              <w:pStyle w:val="BodyTextIndent"/>
              <w:tabs>
                <w:tab w:val="left" w:pos="709"/>
              </w:tabs>
              <w:ind w:left="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8408D">
              <w:rPr>
                <w:b w:val="0"/>
                <w:color w:val="auto"/>
                <w:sz w:val="18"/>
                <w:szCs w:val="18"/>
              </w:rPr>
              <w:t>Historical experience of default</w:t>
            </w:r>
          </w:p>
        </w:tc>
        <w:tc>
          <w:tcPr>
            <w:cnfStyle w:val="000010000000" w:firstRow="0" w:lastRow="0" w:firstColumn="0" w:lastColumn="0" w:oddVBand="1" w:evenVBand="0" w:oddHBand="0" w:evenHBand="0" w:firstRowFirstColumn="0" w:firstRowLastColumn="0" w:lastRowFirstColumn="0" w:lastRowLastColumn="0"/>
            <w:tcW w:w="1276" w:type="dxa"/>
          </w:tcPr>
          <w:p w:rsidR="001A40C7" w:rsidRPr="00A8408D" w:rsidRDefault="00E51139" w:rsidP="00995820">
            <w:pPr>
              <w:pStyle w:val="BodyTextIndent"/>
              <w:tabs>
                <w:tab w:val="left" w:pos="709"/>
              </w:tabs>
              <w:ind w:left="0"/>
              <w:jc w:val="center"/>
              <w:rPr>
                <w:b w:val="0"/>
                <w:color w:val="auto"/>
                <w:sz w:val="18"/>
                <w:szCs w:val="18"/>
              </w:rPr>
            </w:pPr>
            <w:r w:rsidRPr="00A8408D">
              <w:rPr>
                <w:b w:val="0"/>
                <w:color w:val="auto"/>
                <w:sz w:val="18"/>
                <w:szCs w:val="18"/>
              </w:rPr>
              <w:t xml:space="preserve">Historical experience adjusted for market conditions </w:t>
            </w:r>
            <w:r w:rsidR="00486BDA" w:rsidRPr="00A8408D">
              <w:rPr>
                <w:b w:val="0"/>
                <w:color w:val="auto"/>
                <w:sz w:val="18"/>
                <w:szCs w:val="18"/>
              </w:rPr>
              <w:t xml:space="preserve">as </w:t>
            </w:r>
            <w:r w:rsidRPr="00A8408D">
              <w:rPr>
                <w:b w:val="0"/>
                <w:color w:val="auto"/>
                <w:sz w:val="18"/>
                <w:szCs w:val="18"/>
              </w:rPr>
              <w:t xml:space="preserve">at </w:t>
            </w:r>
            <w:r w:rsidR="00486BDA" w:rsidRPr="00A8408D">
              <w:rPr>
                <w:b w:val="0"/>
                <w:color w:val="auto"/>
                <w:sz w:val="18"/>
                <w:szCs w:val="18"/>
              </w:rPr>
              <w:t>31</w:t>
            </w:r>
            <w:r w:rsidR="00486BDA" w:rsidRPr="00A8408D">
              <w:rPr>
                <w:b w:val="0"/>
                <w:color w:val="auto"/>
                <w:sz w:val="18"/>
                <w:szCs w:val="18"/>
                <w:vertAlign w:val="superscript"/>
              </w:rPr>
              <w:t>st</w:t>
            </w:r>
            <w:r w:rsidR="00486BDA" w:rsidRPr="00A8408D">
              <w:rPr>
                <w:b w:val="0"/>
                <w:color w:val="auto"/>
                <w:sz w:val="18"/>
                <w:szCs w:val="18"/>
              </w:rPr>
              <w:t xml:space="preserve"> March 201</w:t>
            </w:r>
            <w:r w:rsidR="00A8408D" w:rsidRPr="00A8408D">
              <w:rPr>
                <w:b w:val="0"/>
                <w:color w:val="auto"/>
                <w:sz w:val="18"/>
                <w:szCs w:val="18"/>
              </w:rPr>
              <w:t>8</w:t>
            </w:r>
          </w:p>
        </w:tc>
        <w:tc>
          <w:tcPr>
            <w:cnfStyle w:val="000100001000" w:firstRow="0" w:lastRow="0" w:firstColumn="0" w:lastColumn="1" w:oddVBand="0" w:evenVBand="0" w:oddHBand="0" w:evenHBand="0" w:firstRowFirstColumn="0" w:firstRowLastColumn="1" w:lastRowFirstColumn="0" w:lastRowLastColumn="0"/>
            <w:tcW w:w="1418" w:type="dxa"/>
          </w:tcPr>
          <w:p w:rsidR="00E51139" w:rsidRPr="00A8408D" w:rsidRDefault="00E51139" w:rsidP="00995820">
            <w:pPr>
              <w:pStyle w:val="BodyTextIndent"/>
              <w:tabs>
                <w:tab w:val="left" w:pos="709"/>
              </w:tabs>
              <w:ind w:left="0"/>
              <w:jc w:val="center"/>
              <w:rPr>
                <w:b w:val="0"/>
                <w:color w:val="auto"/>
                <w:sz w:val="18"/>
                <w:szCs w:val="18"/>
              </w:rPr>
            </w:pPr>
            <w:r w:rsidRPr="00A8408D">
              <w:rPr>
                <w:b w:val="0"/>
                <w:color w:val="auto"/>
                <w:sz w:val="18"/>
                <w:szCs w:val="18"/>
              </w:rPr>
              <w:t xml:space="preserve">Estimated maximum exposure to default and </w:t>
            </w:r>
            <w:proofErr w:type="spellStart"/>
            <w:r w:rsidRPr="00A8408D">
              <w:rPr>
                <w:b w:val="0"/>
                <w:color w:val="auto"/>
                <w:sz w:val="18"/>
                <w:szCs w:val="18"/>
              </w:rPr>
              <w:t>uncollectability</w:t>
            </w:r>
            <w:proofErr w:type="spellEnd"/>
            <w:r w:rsidRPr="00A8408D">
              <w:rPr>
                <w:b w:val="0"/>
                <w:color w:val="auto"/>
                <w:sz w:val="18"/>
                <w:szCs w:val="18"/>
              </w:rPr>
              <w:t xml:space="preserve"> at </w:t>
            </w:r>
            <w:r w:rsidR="00486BDA" w:rsidRPr="00A8408D">
              <w:rPr>
                <w:b w:val="0"/>
                <w:color w:val="auto"/>
                <w:sz w:val="18"/>
                <w:szCs w:val="18"/>
              </w:rPr>
              <w:t>31</w:t>
            </w:r>
            <w:r w:rsidR="00486BDA" w:rsidRPr="00A8408D">
              <w:rPr>
                <w:b w:val="0"/>
                <w:color w:val="auto"/>
                <w:sz w:val="18"/>
                <w:szCs w:val="18"/>
                <w:vertAlign w:val="superscript"/>
              </w:rPr>
              <w:t>st</w:t>
            </w:r>
            <w:r w:rsidR="00486BDA" w:rsidRPr="00A8408D">
              <w:rPr>
                <w:b w:val="0"/>
                <w:color w:val="auto"/>
                <w:sz w:val="18"/>
                <w:szCs w:val="18"/>
              </w:rPr>
              <w:t xml:space="preserve"> March 201</w:t>
            </w:r>
            <w:r w:rsidR="00A8408D" w:rsidRPr="00A8408D">
              <w:rPr>
                <w:b w:val="0"/>
                <w:color w:val="auto"/>
                <w:sz w:val="18"/>
                <w:szCs w:val="18"/>
              </w:rPr>
              <w:t>8</w:t>
            </w:r>
          </w:p>
        </w:tc>
      </w:tr>
      <w:tr w:rsidR="00652B7D" w:rsidRPr="0005794A" w:rsidTr="00652B7D">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35" w:type="dxa"/>
            <w:shd w:val="clear" w:color="auto" w:fill="4BACC6" w:themeFill="accent5"/>
          </w:tcPr>
          <w:p w:rsidR="00061621" w:rsidRPr="00A8408D" w:rsidRDefault="00061621" w:rsidP="00CE6D72">
            <w:pPr>
              <w:pStyle w:val="BodyTextIndent"/>
              <w:tabs>
                <w:tab w:val="left" w:pos="709"/>
              </w:tabs>
              <w:ind w:left="0"/>
              <w:rPr>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shd w:val="clear" w:color="auto" w:fill="4BACC6" w:themeFill="accent5"/>
          </w:tcPr>
          <w:p w:rsidR="00061621" w:rsidRPr="00A8408D" w:rsidRDefault="00061621" w:rsidP="00680507">
            <w:pPr>
              <w:pStyle w:val="BodyTextIndent"/>
              <w:tabs>
                <w:tab w:val="left" w:pos="709"/>
              </w:tabs>
              <w:ind w:left="0"/>
              <w:jc w:val="center"/>
              <w:rPr>
                <w:color w:val="auto"/>
                <w:sz w:val="20"/>
                <w:szCs w:val="20"/>
              </w:rPr>
            </w:pPr>
            <w:r w:rsidRPr="00A8408D">
              <w:rPr>
                <w:color w:val="auto"/>
                <w:sz w:val="20"/>
                <w:szCs w:val="20"/>
              </w:rPr>
              <w:t>£m</w:t>
            </w:r>
          </w:p>
        </w:tc>
        <w:tc>
          <w:tcPr>
            <w:tcW w:w="1275" w:type="dxa"/>
            <w:shd w:val="clear" w:color="auto" w:fill="4BACC6" w:themeFill="accent5"/>
          </w:tcPr>
          <w:p w:rsidR="00061621" w:rsidRPr="00A8408D" w:rsidRDefault="00061621" w:rsidP="00CE6D72">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8408D">
              <w:rPr>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061621" w:rsidRPr="00A8408D" w:rsidRDefault="00061621" w:rsidP="00CE6D72">
            <w:pPr>
              <w:pStyle w:val="BodyTextIndent"/>
              <w:tabs>
                <w:tab w:val="left" w:pos="709"/>
              </w:tabs>
              <w:ind w:left="0"/>
              <w:jc w:val="center"/>
              <w:rPr>
                <w:color w:val="auto"/>
                <w:sz w:val="20"/>
                <w:szCs w:val="20"/>
              </w:rPr>
            </w:pPr>
            <w:r w:rsidRPr="00A8408D">
              <w:rPr>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4BACC6" w:themeFill="accent5"/>
          </w:tcPr>
          <w:p w:rsidR="00061621" w:rsidRPr="00A8408D" w:rsidRDefault="00061621" w:rsidP="00CE6D72">
            <w:pPr>
              <w:pStyle w:val="BodyTextIndent"/>
              <w:tabs>
                <w:tab w:val="left" w:pos="709"/>
              </w:tabs>
              <w:ind w:left="0"/>
              <w:jc w:val="center"/>
              <w:rPr>
                <w:b w:val="0"/>
                <w:color w:val="auto"/>
                <w:sz w:val="20"/>
                <w:szCs w:val="20"/>
              </w:rPr>
            </w:pPr>
            <w:r w:rsidRPr="00A8408D">
              <w:rPr>
                <w:b w:val="0"/>
                <w:color w:val="auto"/>
                <w:sz w:val="20"/>
                <w:szCs w:val="20"/>
              </w:rPr>
              <w:t>£m</w:t>
            </w:r>
          </w:p>
        </w:tc>
      </w:tr>
      <w:tr w:rsidR="00652B7D" w:rsidRPr="0005794A" w:rsidTr="00652B7D">
        <w:trPr>
          <w:trHeight w:val="597"/>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4BACC6" w:themeColor="accent5"/>
            </w:tcBorders>
            <w:vAlign w:val="center"/>
          </w:tcPr>
          <w:p w:rsidR="00E51139" w:rsidRPr="00A8408D" w:rsidRDefault="00E51139" w:rsidP="008832F2">
            <w:pPr>
              <w:pStyle w:val="BodyTextIndent"/>
              <w:tabs>
                <w:tab w:val="left" w:pos="709"/>
              </w:tabs>
              <w:ind w:left="0"/>
              <w:rPr>
                <w:b w:val="0"/>
                <w:color w:val="auto"/>
                <w:sz w:val="20"/>
                <w:szCs w:val="20"/>
              </w:rPr>
            </w:pPr>
            <w:r w:rsidRPr="00A8408D">
              <w:rPr>
                <w:b w:val="0"/>
                <w:color w:val="auto"/>
                <w:sz w:val="20"/>
                <w:szCs w:val="20"/>
              </w:rPr>
              <w:t>Deposits with banks and other financial institutions</w:t>
            </w:r>
          </w:p>
        </w:tc>
        <w:tc>
          <w:tcPr>
            <w:cnfStyle w:val="000010000000" w:firstRow="0" w:lastRow="0" w:firstColumn="0" w:lastColumn="0" w:oddVBand="1" w:evenVBand="0" w:oddHBand="0" w:evenHBand="0" w:firstRowFirstColumn="0" w:firstRowLastColumn="0" w:lastRowFirstColumn="0" w:lastRowLastColumn="0"/>
            <w:tcW w:w="993" w:type="dxa"/>
            <w:tcBorders>
              <w:bottom w:val="single" w:sz="4" w:space="0" w:color="4BACC6" w:themeColor="accent5"/>
            </w:tcBorders>
            <w:vAlign w:val="center"/>
          </w:tcPr>
          <w:p w:rsidR="00E51139" w:rsidRPr="00A8408D" w:rsidRDefault="007B44AB" w:rsidP="007B44AB">
            <w:pPr>
              <w:pStyle w:val="BodyTextIndent"/>
              <w:tabs>
                <w:tab w:val="left" w:pos="709"/>
              </w:tabs>
              <w:ind w:left="0"/>
              <w:jc w:val="center"/>
              <w:rPr>
                <w:color w:val="auto"/>
                <w:sz w:val="20"/>
                <w:szCs w:val="20"/>
              </w:rPr>
            </w:pPr>
            <w:r>
              <w:rPr>
                <w:color w:val="auto"/>
                <w:sz w:val="20"/>
                <w:szCs w:val="20"/>
              </w:rPr>
              <w:t>25.4</w:t>
            </w:r>
          </w:p>
        </w:tc>
        <w:tc>
          <w:tcPr>
            <w:tcW w:w="1275" w:type="dxa"/>
            <w:tcBorders>
              <w:bottom w:val="single" w:sz="4" w:space="0" w:color="4BACC6" w:themeColor="accent5"/>
            </w:tcBorders>
            <w:vAlign w:val="center"/>
          </w:tcPr>
          <w:p w:rsidR="00E51139" w:rsidRPr="00A8408D" w:rsidRDefault="00EC6C80" w:rsidP="008832F2">
            <w:pPr>
              <w:pStyle w:val="BodyTextIndent"/>
              <w:tabs>
                <w:tab w:val="left" w:pos="709"/>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4BACC6" w:themeColor="accent5"/>
            </w:tcBorders>
            <w:vAlign w:val="center"/>
          </w:tcPr>
          <w:p w:rsidR="00E51139" w:rsidRPr="00A8408D" w:rsidRDefault="003B265B" w:rsidP="008832F2">
            <w:pPr>
              <w:pStyle w:val="BodyTextIndent"/>
              <w:tabs>
                <w:tab w:val="left" w:pos="709"/>
              </w:tabs>
              <w:ind w:left="0"/>
              <w:jc w:val="center"/>
              <w:rPr>
                <w:color w:val="auto"/>
                <w:sz w:val="20"/>
                <w:szCs w:val="20"/>
              </w:rPr>
            </w:pPr>
            <w:r>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418" w:type="dxa"/>
            <w:tcBorders>
              <w:bottom w:val="single" w:sz="4" w:space="0" w:color="4BACC6" w:themeColor="accent5"/>
            </w:tcBorders>
            <w:vAlign w:val="center"/>
          </w:tcPr>
          <w:p w:rsidR="00E51139" w:rsidRPr="00A8408D" w:rsidRDefault="003B265B" w:rsidP="008832F2">
            <w:pPr>
              <w:pStyle w:val="BodyTextIndent"/>
              <w:tabs>
                <w:tab w:val="left" w:pos="709"/>
              </w:tabs>
              <w:ind w:left="0"/>
              <w:jc w:val="center"/>
              <w:rPr>
                <w:b w:val="0"/>
                <w:color w:val="auto"/>
                <w:sz w:val="20"/>
                <w:szCs w:val="20"/>
              </w:rPr>
            </w:pPr>
            <w:r>
              <w:rPr>
                <w:b w:val="0"/>
                <w:color w:val="auto"/>
                <w:sz w:val="20"/>
                <w:szCs w:val="20"/>
              </w:rPr>
              <w:t>0</w:t>
            </w:r>
          </w:p>
        </w:tc>
      </w:tr>
      <w:tr w:rsidR="00652B7D" w:rsidRPr="0005794A" w:rsidTr="00652B7D">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835" w:type="dxa"/>
            <w:vAlign w:val="center"/>
          </w:tcPr>
          <w:p w:rsidR="00E51139" w:rsidRPr="00A8408D" w:rsidRDefault="00F5278B" w:rsidP="00F5278B">
            <w:pPr>
              <w:pStyle w:val="BodyTextIndent"/>
              <w:tabs>
                <w:tab w:val="left" w:pos="709"/>
              </w:tabs>
              <w:ind w:left="0"/>
              <w:rPr>
                <w:b w:val="0"/>
                <w:color w:val="auto"/>
                <w:sz w:val="20"/>
                <w:szCs w:val="20"/>
              </w:rPr>
            </w:pPr>
            <w:r w:rsidRPr="00A8408D">
              <w:rPr>
                <w:b w:val="0"/>
                <w:color w:val="auto"/>
                <w:sz w:val="20"/>
                <w:szCs w:val="20"/>
              </w:rPr>
              <w:t xml:space="preserve">Deposits held in Enhanced Money </w:t>
            </w:r>
            <w:proofErr w:type="spellStart"/>
            <w:r w:rsidRPr="00A8408D">
              <w:rPr>
                <w:b w:val="0"/>
                <w:color w:val="auto"/>
                <w:sz w:val="20"/>
                <w:szCs w:val="20"/>
              </w:rPr>
              <w:t>Martket</w:t>
            </w:r>
            <w:proofErr w:type="spellEnd"/>
            <w:r w:rsidRPr="00A8408D">
              <w:rPr>
                <w:b w:val="0"/>
                <w:color w:val="auto"/>
                <w:sz w:val="20"/>
                <w:szCs w:val="20"/>
              </w:rPr>
              <w:t xml:space="preserve"> Fund</w:t>
            </w:r>
            <w:r w:rsidR="00E51139" w:rsidRPr="00A8408D">
              <w:rPr>
                <w:b w:val="0"/>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93" w:type="dxa"/>
            <w:vAlign w:val="center"/>
          </w:tcPr>
          <w:p w:rsidR="00E51139" w:rsidRPr="00A8408D" w:rsidRDefault="00EC6C80" w:rsidP="007B44AB">
            <w:pPr>
              <w:pStyle w:val="BodyTextIndent"/>
              <w:tabs>
                <w:tab w:val="left" w:pos="709"/>
              </w:tabs>
              <w:ind w:left="0"/>
              <w:jc w:val="center"/>
              <w:rPr>
                <w:color w:val="auto"/>
                <w:sz w:val="20"/>
                <w:szCs w:val="20"/>
              </w:rPr>
            </w:pPr>
            <w:r>
              <w:rPr>
                <w:color w:val="auto"/>
                <w:sz w:val="20"/>
                <w:szCs w:val="20"/>
              </w:rPr>
              <w:t>11.</w:t>
            </w:r>
            <w:r w:rsidR="007B44AB">
              <w:rPr>
                <w:color w:val="auto"/>
                <w:sz w:val="20"/>
                <w:szCs w:val="20"/>
              </w:rPr>
              <w:t>4</w:t>
            </w:r>
          </w:p>
        </w:tc>
        <w:tc>
          <w:tcPr>
            <w:tcW w:w="1275" w:type="dxa"/>
            <w:vAlign w:val="center"/>
          </w:tcPr>
          <w:p w:rsidR="00E51139" w:rsidRPr="00A8408D" w:rsidRDefault="00EC6C80" w:rsidP="008832F2">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E51139" w:rsidRPr="00A8408D" w:rsidRDefault="003B265B" w:rsidP="008832F2">
            <w:pPr>
              <w:pStyle w:val="BodyTextIndent"/>
              <w:tabs>
                <w:tab w:val="left" w:pos="709"/>
              </w:tabs>
              <w:ind w:left="0"/>
              <w:jc w:val="center"/>
              <w:rPr>
                <w:color w:val="auto"/>
                <w:sz w:val="20"/>
                <w:szCs w:val="20"/>
              </w:rPr>
            </w:pPr>
            <w:r>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E51139" w:rsidRPr="00A8408D" w:rsidRDefault="003B265B" w:rsidP="002E688B">
            <w:pPr>
              <w:pStyle w:val="BodyTextIndent"/>
              <w:tabs>
                <w:tab w:val="left" w:pos="709"/>
              </w:tabs>
              <w:ind w:left="0"/>
              <w:jc w:val="center"/>
              <w:rPr>
                <w:b w:val="0"/>
                <w:color w:val="auto"/>
                <w:sz w:val="20"/>
                <w:szCs w:val="20"/>
              </w:rPr>
            </w:pPr>
            <w:r>
              <w:rPr>
                <w:b w:val="0"/>
                <w:color w:val="auto"/>
                <w:sz w:val="20"/>
                <w:szCs w:val="20"/>
              </w:rPr>
              <w:t>0</w:t>
            </w:r>
          </w:p>
        </w:tc>
      </w:tr>
      <w:tr w:rsidR="00F5278B" w:rsidRPr="0005794A" w:rsidTr="00652B7D">
        <w:trPr>
          <w:trHeight w:val="606"/>
        </w:trPr>
        <w:tc>
          <w:tcPr>
            <w:cnfStyle w:val="001000000000" w:firstRow="0" w:lastRow="0" w:firstColumn="1" w:lastColumn="0" w:oddVBand="0" w:evenVBand="0" w:oddHBand="0" w:evenHBand="0" w:firstRowFirstColumn="0" w:firstRowLastColumn="0" w:lastRowFirstColumn="0" w:lastRowLastColumn="0"/>
            <w:tcW w:w="2835" w:type="dxa"/>
            <w:vAlign w:val="center"/>
          </w:tcPr>
          <w:p w:rsidR="00F5278B" w:rsidRPr="00A8408D" w:rsidRDefault="00F5278B" w:rsidP="00F5278B">
            <w:pPr>
              <w:pStyle w:val="BodyTextIndent"/>
              <w:tabs>
                <w:tab w:val="left" w:pos="709"/>
              </w:tabs>
              <w:ind w:left="0"/>
              <w:rPr>
                <w:b w:val="0"/>
                <w:color w:val="auto"/>
                <w:sz w:val="20"/>
                <w:szCs w:val="20"/>
              </w:rPr>
            </w:pPr>
            <w:r w:rsidRPr="00A8408D">
              <w:rPr>
                <w:b w:val="0"/>
                <w:color w:val="auto"/>
                <w:sz w:val="20"/>
                <w:szCs w:val="20"/>
              </w:rPr>
              <w:t>Deposits held with other public sector bodies</w:t>
            </w:r>
          </w:p>
        </w:tc>
        <w:tc>
          <w:tcPr>
            <w:cnfStyle w:val="000010000000" w:firstRow="0" w:lastRow="0" w:firstColumn="0" w:lastColumn="0" w:oddVBand="1" w:evenVBand="0" w:oddHBand="0" w:evenHBand="0" w:firstRowFirstColumn="0" w:firstRowLastColumn="0" w:lastRowFirstColumn="0" w:lastRowLastColumn="0"/>
            <w:tcW w:w="993" w:type="dxa"/>
            <w:vAlign w:val="center"/>
          </w:tcPr>
          <w:p w:rsidR="00F5278B" w:rsidRPr="00A8408D" w:rsidRDefault="00EC6C80" w:rsidP="008832F2">
            <w:pPr>
              <w:pStyle w:val="BodyTextIndent"/>
              <w:tabs>
                <w:tab w:val="left" w:pos="709"/>
              </w:tabs>
              <w:ind w:left="0"/>
              <w:jc w:val="center"/>
              <w:rPr>
                <w:color w:val="auto"/>
                <w:sz w:val="20"/>
                <w:szCs w:val="20"/>
              </w:rPr>
            </w:pPr>
            <w:r>
              <w:rPr>
                <w:color w:val="auto"/>
                <w:sz w:val="20"/>
                <w:szCs w:val="20"/>
              </w:rPr>
              <w:t>17.0</w:t>
            </w:r>
          </w:p>
        </w:tc>
        <w:tc>
          <w:tcPr>
            <w:tcW w:w="1275" w:type="dxa"/>
            <w:vAlign w:val="center"/>
          </w:tcPr>
          <w:p w:rsidR="00F5278B" w:rsidRPr="00A8408D" w:rsidRDefault="00EC6C80" w:rsidP="008832F2">
            <w:pPr>
              <w:pStyle w:val="BodyTextIndent"/>
              <w:tabs>
                <w:tab w:val="left" w:pos="709"/>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F5278B" w:rsidRPr="00A8408D" w:rsidRDefault="003B265B" w:rsidP="008832F2">
            <w:pPr>
              <w:pStyle w:val="BodyTextIndent"/>
              <w:tabs>
                <w:tab w:val="left" w:pos="709"/>
              </w:tabs>
              <w:ind w:left="0"/>
              <w:jc w:val="center"/>
              <w:rPr>
                <w:color w:val="auto"/>
                <w:sz w:val="20"/>
                <w:szCs w:val="20"/>
              </w:rPr>
            </w:pPr>
            <w:r>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F5278B" w:rsidRPr="00A8408D" w:rsidRDefault="003B265B" w:rsidP="002E688B">
            <w:pPr>
              <w:pStyle w:val="BodyTextIndent"/>
              <w:tabs>
                <w:tab w:val="left" w:pos="709"/>
              </w:tabs>
              <w:ind w:left="0"/>
              <w:jc w:val="center"/>
              <w:rPr>
                <w:b w:val="0"/>
                <w:color w:val="auto"/>
                <w:sz w:val="20"/>
                <w:szCs w:val="20"/>
              </w:rPr>
            </w:pPr>
            <w:r>
              <w:rPr>
                <w:b w:val="0"/>
                <w:color w:val="auto"/>
                <w:sz w:val="20"/>
                <w:szCs w:val="20"/>
              </w:rPr>
              <w:t>0</w:t>
            </w:r>
          </w:p>
        </w:tc>
      </w:tr>
      <w:tr w:rsidR="007D6A80" w:rsidRPr="0005794A" w:rsidTr="00652B7D">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835" w:type="dxa"/>
            <w:vAlign w:val="center"/>
          </w:tcPr>
          <w:p w:rsidR="007D6A80" w:rsidRPr="00A8408D" w:rsidRDefault="006873A8" w:rsidP="006873A8">
            <w:pPr>
              <w:pStyle w:val="BodyTextIndent"/>
              <w:tabs>
                <w:tab w:val="left" w:pos="709"/>
              </w:tabs>
              <w:ind w:left="0"/>
              <w:rPr>
                <w:b w:val="0"/>
                <w:color w:val="auto"/>
                <w:sz w:val="20"/>
                <w:szCs w:val="20"/>
              </w:rPr>
            </w:pPr>
            <w:r w:rsidRPr="00A8408D">
              <w:rPr>
                <w:b w:val="0"/>
                <w:color w:val="auto"/>
                <w:sz w:val="20"/>
                <w:szCs w:val="20"/>
              </w:rPr>
              <w:t xml:space="preserve">Units purchased in </w:t>
            </w:r>
            <w:r w:rsidR="007D6A80" w:rsidRPr="00A8408D">
              <w:rPr>
                <w:b w:val="0"/>
                <w:color w:val="auto"/>
                <w:sz w:val="20"/>
                <w:szCs w:val="20"/>
              </w:rPr>
              <w:t>CCLA Property Fund</w:t>
            </w:r>
          </w:p>
        </w:tc>
        <w:tc>
          <w:tcPr>
            <w:cnfStyle w:val="000010000000" w:firstRow="0" w:lastRow="0" w:firstColumn="0" w:lastColumn="0" w:oddVBand="1" w:evenVBand="0" w:oddHBand="0" w:evenHBand="0" w:firstRowFirstColumn="0" w:firstRowLastColumn="0" w:lastRowFirstColumn="0" w:lastRowLastColumn="0"/>
            <w:tcW w:w="993" w:type="dxa"/>
            <w:vAlign w:val="center"/>
          </w:tcPr>
          <w:p w:rsidR="007D6A80" w:rsidRPr="00A8408D" w:rsidRDefault="00EC6C80" w:rsidP="008832F2">
            <w:pPr>
              <w:pStyle w:val="BodyTextIndent"/>
              <w:tabs>
                <w:tab w:val="left" w:pos="709"/>
              </w:tabs>
              <w:ind w:left="0"/>
              <w:jc w:val="center"/>
              <w:rPr>
                <w:color w:val="auto"/>
                <w:sz w:val="20"/>
                <w:szCs w:val="20"/>
              </w:rPr>
            </w:pPr>
            <w:r>
              <w:rPr>
                <w:color w:val="auto"/>
                <w:sz w:val="20"/>
                <w:szCs w:val="20"/>
              </w:rPr>
              <w:t>4.8</w:t>
            </w:r>
          </w:p>
        </w:tc>
        <w:tc>
          <w:tcPr>
            <w:tcW w:w="1275" w:type="dxa"/>
            <w:vAlign w:val="center"/>
          </w:tcPr>
          <w:p w:rsidR="007D6A80" w:rsidRPr="00A8408D" w:rsidRDefault="00EC6C80" w:rsidP="0060735B">
            <w:pPr>
              <w:pStyle w:val="BodyTextIndent"/>
              <w:tabs>
                <w:tab w:val="left" w:pos="709"/>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7D6A80" w:rsidRPr="00A8408D" w:rsidRDefault="003B265B" w:rsidP="0060735B">
            <w:pPr>
              <w:pStyle w:val="BodyTextIndent"/>
              <w:tabs>
                <w:tab w:val="left" w:pos="709"/>
              </w:tabs>
              <w:ind w:left="0"/>
              <w:jc w:val="center"/>
              <w:rPr>
                <w:color w:val="auto"/>
                <w:sz w:val="20"/>
                <w:szCs w:val="20"/>
              </w:rPr>
            </w:pPr>
            <w:r>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7D6A80" w:rsidRPr="00A8408D" w:rsidRDefault="003B265B" w:rsidP="0060735B">
            <w:pPr>
              <w:pStyle w:val="BodyTextIndent"/>
              <w:tabs>
                <w:tab w:val="left" w:pos="709"/>
              </w:tabs>
              <w:ind w:left="0"/>
              <w:jc w:val="center"/>
              <w:rPr>
                <w:b w:val="0"/>
                <w:color w:val="auto"/>
                <w:sz w:val="20"/>
                <w:szCs w:val="20"/>
              </w:rPr>
            </w:pPr>
            <w:r>
              <w:rPr>
                <w:b w:val="0"/>
                <w:color w:val="auto"/>
                <w:sz w:val="20"/>
                <w:szCs w:val="20"/>
              </w:rPr>
              <w:t>0</w:t>
            </w:r>
          </w:p>
        </w:tc>
      </w:tr>
      <w:tr w:rsidR="007D6A80" w:rsidRPr="0005794A" w:rsidTr="00652B7D">
        <w:trPr>
          <w:cnfStyle w:val="010000000000" w:firstRow="0" w:lastRow="1" w:firstColumn="0" w:lastColumn="0" w:oddVBand="0" w:evenVBand="0" w:oddHBand="0" w:evenHBand="0" w:firstRowFirstColumn="0" w:firstRowLastColumn="0" w:lastRowFirstColumn="0" w:lastRowLastColumn="0"/>
          <w:trHeight w:val="606"/>
        </w:trPr>
        <w:tc>
          <w:tcPr>
            <w:cnfStyle w:val="001000000001" w:firstRow="0" w:lastRow="0" w:firstColumn="1" w:lastColumn="0" w:oddVBand="0" w:evenVBand="0" w:oddHBand="0" w:evenHBand="0" w:firstRowFirstColumn="0" w:firstRowLastColumn="0" w:lastRowFirstColumn="1" w:lastRowLastColumn="0"/>
            <w:tcW w:w="2835" w:type="dxa"/>
            <w:tcBorders>
              <w:top w:val="single" w:sz="4" w:space="0" w:color="4BACC6" w:themeColor="accent5"/>
              <w:bottom w:val="single" w:sz="4" w:space="0" w:color="4BACC6" w:themeColor="accent5"/>
            </w:tcBorders>
            <w:vAlign w:val="center"/>
          </w:tcPr>
          <w:p w:rsidR="007D6A80" w:rsidRPr="00A8408D" w:rsidRDefault="007D6A80" w:rsidP="0065141A">
            <w:pPr>
              <w:pStyle w:val="BodyTextIndent"/>
              <w:tabs>
                <w:tab w:val="left" w:pos="709"/>
              </w:tabs>
              <w:ind w:left="0"/>
              <w:rPr>
                <w:b w:val="0"/>
                <w:color w:val="auto"/>
                <w:sz w:val="20"/>
                <w:szCs w:val="20"/>
              </w:rPr>
            </w:pPr>
            <w:r w:rsidRPr="00A8408D">
              <w:rPr>
                <w:b w:val="0"/>
                <w:color w:val="auto"/>
                <w:sz w:val="20"/>
                <w:szCs w:val="20"/>
              </w:rPr>
              <w:t>Trade and other Receivables</w:t>
            </w:r>
            <w:r w:rsidR="0065141A">
              <w:rPr>
                <w:b w:val="0"/>
                <w:color w:val="auto"/>
                <w:sz w:val="20"/>
                <w:szCs w:val="20"/>
              </w:rPr>
              <w:t>, excluding loans</w:t>
            </w:r>
            <w:r w:rsidR="00CC2B54">
              <w:rPr>
                <w:b w:val="0"/>
                <w:color w:val="auto"/>
                <w:sz w:val="20"/>
                <w:szCs w:val="20"/>
              </w:rPr>
              <w:t xml:space="preserve"> </w:t>
            </w:r>
            <w:r w:rsidRPr="00A8408D">
              <w:rPr>
                <w:b w:val="0"/>
                <w:color w:val="auto"/>
                <w:sz w:val="20"/>
                <w:szCs w:val="20"/>
              </w:rPr>
              <w:t xml:space="preserve"> (Sundry</w:t>
            </w:r>
            <w:r w:rsidR="00EC6C80">
              <w:rPr>
                <w:b w:val="0"/>
                <w:color w:val="auto"/>
                <w:sz w:val="20"/>
                <w:szCs w:val="20"/>
              </w:rPr>
              <w:t>, Beach Huts</w:t>
            </w:r>
            <w:r w:rsidRPr="00A8408D">
              <w:rPr>
                <w:b w:val="0"/>
                <w:color w:val="auto"/>
                <w:sz w:val="20"/>
                <w:szCs w:val="20"/>
              </w:rPr>
              <w:t xml:space="preserve"> &amp; Harbour Debt)</w:t>
            </w:r>
            <w:r w:rsidR="00CC2B54">
              <w:rPr>
                <w:b w:val="0"/>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93" w:type="dxa"/>
            <w:tcBorders>
              <w:top w:val="single" w:sz="4" w:space="0" w:color="4BACC6" w:themeColor="accent5"/>
              <w:bottom w:val="single" w:sz="4" w:space="0" w:color="4BACC6" w:themeColor="accent5"/>
            </w:tcBorders>
            <w:vAlign w:val="center"/>
          </w:tcPr>
          <w:p w:rsidR="007D6A80" w:rsidRPr="00A8408D" w:rsidRDefault="00CC2B54" w:rsidP="00CC2B54">
            <w:pPr>
              <w:pStyle w:val="BodyTextIndent"/>
              <w:tabs>
                <w:tab w:val="left" w:pos="709"/>
              </w:tabs>
              <w:ind w:left="0"/>
              <w:jc w:val="center"/>
              <w:rPr>
                <w:b w:val="0"/>
                <w:color w:val="auto"/>
                <w:sz w:val="20"/>
                <w:szCs w:val="20"/>
              </w:rPr>
            </w:pPr>
            <w:r>
              <w:rPr>
                <w:b w:val="0"/>
                <w:color w:val="auto"/>
                <w:sz w:val="20"/>
                <w:szCs w:val="20"/>
              </w:rPr>
              <w:t>3.3</w:t>
            </w:r>
          </w:p>
        </w:tc>
        <w:tc>
          <w:tcPr>
            <w:tcW w:w="1275" w:type="dxa"/>
            <w:tcBorders>
              <w:top w:val="single" w:sz="4" w:space="0" w:color="4BACC6" w:themeColor="accent5"/>
              <w:bottom w:val="single" w:sz="4" w:space="0" w:color="4BACC6" w:themeColor="accent5"/>
            </w:tcBorders>
            <w:vAlign w:val="center"/>
          </w:tcPr>
          <w:p w:rsidR="007D6A80" w:rsidRPr="00A8408D" w:rsidRDefault="00CC2B54" w:rsidP="00995820">
            <w:pPr>
              <w:pStyle w:val="BodyTextIndent"/>
              <w:tabs>
                <w:tab w:val="left" w:pos="709"/>
              </w:tabs>
              <w:ind w:left="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4BACC6" w:themeColor="accent5"/>
              <w:bottom w:val="single" w:sz="4" w:space="0" w:color="4BACC6" w:themeColor="accent5"/>
            </w:tcBorders>
            <w:vAlign w:val="center"/>
          </w:tcPr>
          <w:p w:rsidR="007D6A80" w:rsidRPr="00A8408D" w:rsidRDefault="00CC2B54" w:rsidP="008832F2">
            <w:pPr>
              <w:pStyle w:val="BodyTextIndent"/>
              <w:tabs>
                <w:tab w:val="left" w:pos="709"/>
              </w:tabs>
              <w:ind w:left="0"/>
              <w:jc w:val="center"/>
              <w:rPr>
                <w:b w:val="0"/>
                <w:color w:val="auto"/>
                <w:sz w:val="20"/>
                <w:szCs w:val="20"/>
              </w:rPr>
            </w:pPr>
            <w:r>
              <w:rPr>
                <w:b w:val="0"/>
                <w:color w:val="auto"/>
                <w:sz w:val="20"/>
                <w:szCs w:val="20"/>
              </w:rPr>
              <w:t>0</w:t>
            </w:r>
          </w:p>
        </w:tc>
        <w:tc>
          <w:tcPr>
            <w:cnfStyle w:val="000100000010" w:firstRow="0" w:lastRow="0" w:firstColumn="0" w:lastColumn="1" w:oddVBand="0" w:evenVBand="0" w:oddHBand="0" w:evenHBand="0" w:firstRowFirstColumn="0" w:firstRowLastColumn="0" w:lastRowFirstColumn="0" w:lastRowLastColumn="1"/>
            <w:tcW w:w="1418" w:type="dxa"/>
            <w:tcBorders>
              <w:top w:val="single" w:sz="4" w:space="0" w:color="4BACC6" w:themeColor="accent5"/>
              <w:bottom w:val="single" w:sz="4" w:space="0" w:color="4BACC6" w:themeColor="accent5"/>
            </w:tcBorders>
            <w:vAlign w:val="center"/>
          </w:tcPr>
          <w:p w:rsidR="007D6A80" w:rsidRPr="00A8408D" w:rsidRDefault="00CC2B54" w:rsidP="008832F2">
            <w:pPr>
              <w:pStyle w:val="BodyTextIndent"/>
              <w:tabs>
                <w:tab w:val="left" w:pos="709"/>
              </w:tabs>
              <w:ind w:left="0"/>
              <w:jc w:val="center"/>
              <w:rPr>
                <w:b w:val="0"/>
                <w:color w:val="auto"/>
                <w:sz w:val="20"/>
                <w:szCs w:val="20"/>
              </w:rPr>
            </w:pPr>
            <w:r>
              <w:rPr>
                <w:b w:val="0"/>
                <w:color w:val="auto"/>
                <w:sz w:val="20"/>
                <w:szCs w:val="20"/>
              </w:rPr>
              <w:t>0.1</w:t>
            </w:r>
          </w:p>
        </w:tc>
      </w:tr>
    </w:tbl>
    <w:p w:rsidR="00387CBD" w:rsidRPr="0005794A" w:rsidRDefault="00387CBD" w:rsidP="004C1441">
      <w:pPr>
        <w:pStyle w:val="BodyTextIndent"/>
        <w:tabs>
          <w:tab w:val="left" w:pos="567"/>
        </w:tabs>
        <w:ind w:left="567"/>
        <w:rPr>
          <w:color w:val="548DD4" w:themeColor="text2" w:themeTint="99"/>
          <w:sz w:val="20"/>
          <w:szCs w:val="20"/>
        </w:rPr>
      </w:pPr>
    </w:p>
    <w:p w:rsidR="00716C4F" w:rsidRPr="00CC2B54" w:rsidRDefault="00E51139" w:rsidP="004C1441">
      <w:pPr>
        <w:pStyle w:val="BodyTextIndent"/>
        <w:tabs>
          <w:tab w:val="left" w:pos="567"/>
        </w:tabs>
        <w:ind w:left="567"/>
        <w:rPr>
          <w:color w:val="auto"/>
          <w:sz w:val="20"/>
          <w:szCs w:val="20"/>
        </w:rPr>
      </w:pPr>
      <w:r w:rsidRPr="00CC2B54">
        <w:rPr>
          <w:color w:val="auto"/>
          <w:sz w:val="20"/>
          <w:szCs w:val="20"/>
        </w:rPr>
        <w:t xml:space="preserve">The Council does not generally allow credit to customers. </w:t>
      </w:r>
      <w:r w:rsidR="0055612A" w:rsidRPr="00CC2B54">
        <w:rPr>
          <w:color w:val="auto"/>
          <w:sz w:val="20"/>
          <w:szCs w:val="20"/>
        </w:rPr>
        <w:t xml:space="preserve">Within the </w:t>
      </w:r>
      <w:r w:rsidRPr="00CC2B54">
        <w:rPr>
          <w:color w:val="auto"/>
          <w:sz w:val="20"/>
          <w:szCs w:val="20"/>
        </w:rPr>
        <w:t xml:space="preserve">Council’s sundry debt </w:t>
      </w:r>
      <w:r w:rsidR="0055612A" w:rsidRPr="00CC2B54">
        <w:rPr>
          <w:color w:val="auto"/>
          <w:sz w:val="20"/>
          <w:szCs w:val="20"/>
        </w:rPr>
        <w:t xml:space="preserve">total of </w:t>
      </w:r>
      <w:r w:rsidRPr="00CC2B54">
        <w:rPr>
          <w:color w:val="auto"/>
          <w:sz w:val="20"/>
          <w:szCs w:val="20"/>
        </w:rPr>
        <w:t>£</w:t>
      </w:r>
      <w:r w:rsidR="00BE61A4" w:rsidRPr="00CC2B54">
        <w:rPr>
          <w:color w:val="auto"/>
          <w:sz w:val="20"/>
          <w:szCs w:val="20"/>
        </w:rPr>
        <w:t>3.</w:t>
      </w:r>
      <w:r w:rsidR="00CC2B54" w:rsidRPr="00CC2B54">
        <w:rPr>
          <w:color w:val="auto"/>
          <w:sz w:val="20"/>
          <w:szCs w:val="20"/>
        </w:rPr>
        <w:t>3</w:t>
      </w:r>
      <w:r w:rsidR="0055612A" w:rsidRPr="00CC2B54">
        <w:rPr>
          <w:color w:val="auto"/>
          <w:sz w:val="20"/>
          <w:szCs w:val="20"/>
        </w:rPr>
        <w:t>m</w:t>
      </w:r>
      <w:r w:rsidR="00D5605D" w:rsidRPr="00CC2B54">
        <w:rPr>
          <w:color w:val="auto"/>
          <w:sz w:val="20"/>
          <w:szCs w:val="20"/>
        </w:rPr>
        <w:t xml:space="preserve"> (£</w:t>
      </w:r>
      <w:r w:rsidR="00CC2B54" w:rsidRPr="00CC2B54">
        <w:rPr>
          <w:color w:val="auto"/>
          <w:sz w:val="20"/>
          <w:szCs w:val="20"/>
        </w:rPr>
        <w:t>3.7</w:t>
      </w:r>
      <w:r w:rsidR="00D5605D" w:rsidRPr="00CC2B54">
        <w:rPr>
          <w:color w:val="auto"/>
          <w:sz w:val="20"/>
          <w:szCs w:val="20"/>
        </w:rPr>
        <w:t>m 1</w:t>
      </w:r>
      <w:r w:rsidR="00CC2B54" w:rsidRPr="00CC2B54">
        <w:rPr>
          <w:color w:val="auto"/>
          <w:sz w:val="20"/>
          <w:szCs w:val="20"/>
        </w:rPr>
        <w:t>6</w:t>
      </w:r>
      <w:r w:rsidR="00D5605D" w:rsidRPr="00CC2B54">
        <w:rPr>
          <w:color w:val="auto"/>
          <w:sz w:val="20"/>
          <w:szCs w:val="20"/>
        </w:rPr>
        <w:t>/1</w:t>
      </w:r>
      <w:r w:rsidR="00CC2B54" w:rsidRPr="00CC2B54">
        <w:rPr>
          <w:color w:val="auto"/>
          <w:sz w:val="20"/>
          <w:szCs w:val="20"/>
        </w:rPr>
        <w:t>7</w:t>
      </w:r>
      <w:r w:rsidR="00D5605D" w:rsidRPr="00CC2B54">
        <w:rPr>
          <w:color w:val="auto"/>
          <w:sz w:val="20"/>
          <w:szCs w:val="20"/>
        </w:rPr>
        <w:t>)</w:t>
      </w:r>
      <w:r w:rsidR="0055612A" w:rsidRPr="00CC2B54">
        <w:rPr>
          <w:color w:val="auto"/>
          <w:sz w:val="20"/>
          <w:szCs w:val="20"/>
        </w:rPr>
        <w:t>,</w:t>
      </w:r>
      <w:r w:rsidRPr="00CC2B54">
        <w:rPr>
          <w:color w:val="auto"/>
          <w:sz w:val="20"/>
          <w:szCs w:val="20"/>
        </w:rPr>
        <w:t xml:space="preserve"> </w:t>
      </w:r>
      <w:r w:rsidR="00D5605D" w:rsidRPr="00CC2B54">
        <w:rPr>
          <w:color w:val="auto"/>
          <w:sz w:val="20"/>
          <w:szCs w:val="20"/>
        </w:rPr>
        <w:t>£</w:t>
      </w:r>
      <w:r w:rsidR="00BE61A4" w:rsidRPr="00CC2B54">
        <w:rPr>
          <w:color w:val="auto"/>
          <w:sz w:val="20"/>
          <w:szCs w:val="20"/>
        </w:rPr>
        <w:t>0.</w:t>
      </w:r>
      <w:r w:rsidR="003B35C3">
        <w:rPr>
          <w:color w:val="auto"/>
          <w:sz w:val="20"/>
          <w:szCs w:val="20"/>
        </w:rPr>
        <w:t>4</w:t>
      </w:r>
      <w:r w:rsidR="00D5605D" w:rsidRPr="00CC2B54">
        <w:rPr>
          <w:color w:val="auto"/>
          <w:sz w:val="20"/>
          <w:szCs w:val="20"/>
        </w:rPr>
        <w:t>m (</w:t>
      </w:r>
      <w:r w:rsidRPr="00CC2B54">
        <w:rPr>
          <w:color w:val="auto"/>
          <w:sz w:val="20"/>
          <w:szCs w:val="20"/>
        </w:rPr>
        <w:t>£</w:t>
      </w:r>
      <w:r w:rsidR="008F2550" w:rsidRPr="00CC2B54">
        <w:rPr>
          <w:color w:val="auto"/>
          <w:sz w:val="20"/>
          <w:szCs w:val="20"/>
        </w:rPr>
        <w:t>0.</w:t>
      </w:r>
      <w:r w:rsidR="00CC2B54" w:rsidRPr="00CC2B54">
        <w:rPr>
          <w:color w:val="auto"/>
          <w:sz w:val="20"/>
          <w:szCs w:val="20"/>
        </w:rPr>
        <w:t>5</w:t>
      </w:r>
      <w:r w:rsidR="00FB55B3" w:rsidRPr="00CC2B54">
        <w:rPr>
          <w:color w:val="auto"/>
          <w:sz w:val="20"/>
          <w:szCs w:val="20"/>
        </w:rPr>
        <w:t xml:space="preserve">m </w:t>
      </w:r>
      <w:r w:rsidR="00D5605D" w:rsidRPr="00CC2B54">
        <w:rPr>
          <w:color w:val="auto"/>
          <w:sz w:val="20"/>
          <w:szCs w:val="20"/>
        </w:rPr>
        <w:t>1</w:t>
      </w:r>
      <w:r w:rsidR="00CC2B54" w:rsidRPr="00CC2B54">
        <w:rPr>
          <w:color w:val="auto"/>
          <w:sz w:val="20"/>
          <w:szCs w:val="20"/>
        </w:rPr>
        <w:t>6</w:t>
      </w:r>
      <w:r w:rsidR="00D5605D" w:rsidRPr="00CC2B54">
        <w:rPr>
          <w:color w:val="auto"/>
          <w:sz w:val="20"/>
          <w:szCs w:val="20"/>
        </w:rPr>
        <w:t>/1</w:t>
      </w:r>
      <w:r w:rsidR="00CC2B54" w:rsidRPr="00CC2B54">
        <w:rPr>
          <w:color w:val="auto"/>
          <w:sz w:val="20"/>
          <w:szCs w:val="20"/>
        </w:rPr>
        <w:t>7</w:t>
      </w:r>
      <w:r w:rsidR="00D5605D" w:rsidRPr="00CC2B54">
        <w:rPr>
          <w:color w:val="auto"/>
          <w:sz w:val="20"/>
          <w:szCs w:val="20"/>
        </w:rPr>
        <w:t xml:space="preserve">) </w:t>
      </w:r>
      <w:r w:rsidRPr="00CC2B54">
        <w:rPr>
          <w:color w:val="auto"/>
          <w:sz w:val="20"/>
          <w:szCs w:val="20"/>
        </w:rPr>
        <w:t>is over three months due for payment. The past due amount can be analysed by age as follows:</w:t>
      </w:r>
    </w:p>
    <w:p w:rsidR="00E50806" w:rsidRPr="0005794A" w:rsidRDefault="00E50806" w:rsidP="0054285C">
      <w:pPr>
        <w:pStyle w:val="BodyTextIndent"/>
        <w:tabs>
          <w:tab w:val="left" w:pos="0"/>
        </w:tabs>
        <w:ind w:left="567"/>
        <w:rPr>
          <w:color w:val="548DD4" w:themeColor="text2" w:themeTint="99"/>
          <w:sz w:val="20"/>
          <w:szCs w:val="20"/>
        </w:rPr>
      </w:pPr>
    </w:p>
    <w:tbl>
      <w:tblPr>
        <w:tblStyle w:val="ListTable3-Accent51"/>
        <w:tblW w:w="7797" w:type="dxa"/>
        <w:tblInd w:w="675" w:type="dxa"/>
        <w:tblLook w:val="01E0" w:firstRow="1" w:lastRow="1" w:firstColumn="1" w:lastColumn="1" w:noHBand="0" w:noVBand="0"/>
      </w:tblPr>
      <w:tblGrid>
        <w:gridCol w:w="2127"/>
        <w:gridCol w:w="4110"/>
        <w:gridCol w:w="1560"/>
      </w:tblGrid>
      <w:tr w:rsidR="00E51139" w:rsidRPr="0005794A" w:rsidTr="00EA44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rsidR="00E51139" w:rsidRPr="00A8408D" w:rsidRDefault="00E51139" w:rsidP="008F2550">
            <w:pPr>
              <w:pStyle w:val="BodyTextIndent"/>
              <w:tabs>
                <w:tab w:val="left" w:pos="709"/>
              </w:tabs>
              <w:ind w:left="0"/>
              <w:jc w:val="center"/>
              <w:rPr>
                <w:b w:val="0"/>
                <w:color w:val="auto"/>
                <w:sz w:val="20"/>
                <w:szCs w:val="20"/>
              </w:rPr>
            </w:pPr>
            <w:r w:rsidRPr="00A8408D">
              <w:rPr>
                <w:b w:val="0"/>
                <w:color w:val="auto"/>
                <w:sz w:val="20"/>
                <w:szCs w:val="20"/>
              </w:rPr>
              <w:lastRenderedPageBreak/>
              <w:t>31</w:t>
            </w:r>
            <w:r w:rsidR="0054285C" w:rsidRPr="00A8408D">
              <w:rPr>
                <w:b w:val="0"/>
                <w:color w:val="auto"/>
                <w:sz w:val="20"/>
                <w:szCs w:val="20"/>
                <w:vertAlign w:val="superscript"/>
              </w:rPr>
              <w:t>st</w:t>
            </w:r>
            <w:r w:rsidR="0054285C" w:rsidRPr="00A8408D">
              <w:rPr>
                <w:b w:val="0"/>
                <w:color w:val="auto"/>
                <w:sz w:val="20"/>
                <w:szCs w:val="20"/>
              </w:rPr>
              <w:t xml:space="preserve"> March 20</w:t>
            </w:r>
            <w:r w:rsidRPr="00A8408D">
              <w:rPr>
                <w:b w:val="0"/>
                <w:color w:val="auto"/>
                <w:sz w:val="20"/>
                <w:szCs w:val="20"/>
              </w:rPr>
              <w:t>1</w:t>
            </w:r>
            <w:r w:rsidR="00A8408D" w:rsidRPr="00A8408D">
              <w:rPr>
                <w:b w:val="0"/>
                <w:color w:val="auto"/>
                <w:sz w:val="20"/>
                <w:szCs w:val="20"/>
              </w:rPr>
              <w:t>7</w:t>
            </w:r>
          </w:p>
        </w:tc>
        <w:tc>
          <w:tcPr>
            <w:cnfStyle w:val="000010000000" w:firstRow="0" w:lastRow="0" w:firstColumn="0" w:lastColumn="0" w:oddVBand="1" w:evenVBand="0" w:oddHBand="0" w:evenHBand="0" w:firstRowFirstColumn="0" w:firstRowLastColumn="0" w:lastRowFirstColumn="0" w:lastRowLastColumn="0"/>
            <w:tcW w:w="4110" w:type="dxa"/>
          </w:tcPr>
          <w:p w:rsidR="00E51139" w:rsidRPr="00A8408D" w:rsidRDefault="00E51139" w:rsidP="00E50806">
            <w:pPr>
              <w:pStyle w:val="BodyTextIndent"/>
              <w:tabs>
                <w:tab w:val="left" w:pos="709"/>
              </w:tabs>
              <w:ind w:left="0"/>
              <w:jc w:val="center"/>
              <w:rPr>
                <w:color w:val="auto"/>
                <w:sz w:val="20"/>
                <w:szCs w:val="20"/>
              </w:rPr>
            </w:pPr>
          </w:p>
        </w:tc>
        <w:tc>
          <w:tcPr>
            <w:cnfStyle w:val="000100001000" w:firstRow="0" w:lastRow="0" w:firstColumn="0" w:lastColumn="1" w:oddVBand="0" w:evenVBand="0" w:oddHBand="0" w:evenHBand="0" w:firstRowFirstColumn="0" w:firstRowLastColumn="1" w:lastRowFirstColumn="0" w:lastRowLastColumn="0"/>
            <w:tcW w:w="1560" w:type="dxa"/>
          </w:tcPr>
          <w:p w:rsidR="00E51139" w:rsidRPr="00A8408D" w:rsidRDefault="0054285C" w:rsidP="008F2550">
            <w:pPr>
              <w:pStyle w:val="BodyTextIndent"/>
              <w:tabs>
                <w:tab w:val="left" w:pos="709"/>
              </w:tabs>
              <w:ind w:left="0"/>
              <w:jc w:val="center"/>
              <w:rPr>
                <w:color w:val="auto"/>
                <w:sz w:val="20"/>
                <w:szCs w:val="20"/>
              </w:rPr>
            </w:pPr>
            <w:r w:rsidRPr="00A8408D">
              <w:rPr>
                <w:color w:val="auto"/>
                <w:sz w:val="20"/>
                <w:szCs w:val="20"/>
              </w:rPr>
              <w:t>31</w:t>
            </w:r>
            <w:r w:rsidRPr="00A8408D">
              <w:rPr>
                <w:color w:val="auto"/>
                <w:sz w:val="20"/>
                <w:szCs w:val="20"/>
                <w:vertAlign w:val="superscript"/>
              </w:rPr>
              <w:t>st</w:t>
            </w:r>
            <w:r w:rsidRPr="00A8408D">
              <w:rPr>
                <w:color w:val="auto"/>
                <w:sz w:val="20"/>
                <w:szCs w:val="20"/>
              </w:rPr>
              <w:t xml:space="preserve"> March 201</w:t>
            </w:r>
            <w:r w:rsidR="00A8408D" w:rsidRPr="00A8408D">
              <w:rPr>
                <w:color w:val="auto"/>
                <w:sz w:val="20"/>
                <w:szCs w:val="20"/>
              </w:rPr>
              <w:t>8</w:t>
            </w:r>
          </w:p>
        </w:tc>
      </w:tr>
      <w:tr w:rsidR="00E51139" w:rsidRPr="0005794A" w:rsidTr="00EA4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4BACC6" w:themeFill="accent5"/>
          </w:tcPr>
          <w:p w:rsidR="00E51139" w:rsidRPr="00A8408D" w:rsidRDefault="00E51139" w:rsidP="00E50806">
            <w:pPr>
              <w:pStyle w:val="BodyTextIndent"/>
              <w:tabs>
                <w:tab w:val="left" w:pos="709"/>
              </w:tabs>
              <w:ind w:left="0"/>
              <w:jc w:val="center"/>
              <w:rPr>
                <w:b w:val="0"/>
                <w:color w:val="auto"/>
                <w:sz w:val="20"/>
                <w:szCs w:val="20"/>
              </w:rPr>
            </w:pPr>
            <w:r w:rsidRPr="00A8408D">
              <w:rPr>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4BACC6" w:themeFill="accent5"/>
          </w:tcPr>
          <w:p w:rsidR="00E51139" w:rsidRPr="00A8408D" w:rsidRDefault="00E51139" w:rsidP="00E50806">
            <w:pPr>
              <w:pStyle w:val="BodyTextIndent"/>
              <w:tabs>
                <w:tab w:val="left" w:pos="709"/>
              </w:tabs>
              <w:ind w:left="0"/>
              <w:jc w:val="center"/>
              <w:rPr>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1560" w:type="dxa"/>
            <w:shd w:val="clear" w:color="auto" w:fill="4BACC6" w:themeFill="accent5"/>
          </w:tcPr>
          <w:p w:rsidR="00E51139" w:rsidRPr="00A8408D" w:rsidRDefault="00E51139" w:rsidP="00E50806">
            <w:pPr>
              <w:pStyle w:val="BodyTextIndent"/>
              <w:tabs>
                <w:tab w:val="left" w:pos="709"/>
              </w:tabs>
              <w:ind w:left="0"/>
              <w:jc w:val="center"/>
              <w:rPr>
                <w:b w:val="0"/>
                <w:color w:val="auto"/>
                <w:sz w:val="20"/>
                <w:szCs w:val="20"/>
              </w:rPr>
            </w:pPr>
            <w:r w:rsidRPr="00A8408D">
              <w:rPr>
                <w:b w:val="0"/>
                <w:color w:val="auto"/>
                <w:sz w:val="20"/>
                <w:szCs w:val="20"/>
              </w:rPr>
              <w:t>£m</w:t>
            </w:r>
          </w:p>
        </w:tc>
      </w:tr>
      <w:tr w:rsidR="00A8408D" w:rsidRPr="0005794A" w:rsidTr="00EA44EC">
        <w:tc>
          <w:tcPr>
            <w:cnfStyle w:val="001000000000" w:firstRow="0" w:lastRow="0" w:firstColumn="1" w:lastColumn="0" w:oddVBand="0" w:evenVBand="0" w:oddHBand="0" w:evenHBand="0" w:firstRowFirstColumn="0" w:firstRowLastColumn="0" w:lastRowFirstColumn="0" w:lastRowLastColumn="0"/>
            <w:tcW w:w="2127" w:type="dxa"/>
            <w:vAlign w:val="center"/>
          </w:tcPr>
          <w:p w:rsidR="00A8408D" w:rsidRPr="00A8408D" w:rsidRDefault="00A8408D" w:rsidP="00A8408D">
            <w:pPr>
              <w:pStyle w:val="BodyTextIndent"/>
              <w:tabs>
                <w:tab w:val="left" w:pos="709"/>
              </w:tabs>
              <w:ind w:left="0"/>
              <w:jc w:val="center"/>
              <w:rPr>
                <w:color w:val="auto"/>
                <w:sz w:val="20"/>
                <w:szCs w:val="20"/>
              </w:rPr>
            </w:pPr>
            <w:r w:rsidRPr="00A8408D">
              <w:rPr>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4110" w:type="dxa"/>
            <w:vAlign w:val="center"/>
          </w:tcPr>
          <w:p w:rsidR="00A8408D" w:rsidRPr="00A8408D" w:rsidRDefault="00A8408D" w:rsidP="00E50806">
            <w:pPr>
              <w:pStyle w:val="BodyTextIndent"/>
              <w:tabs>
                <w:tab w:val="left" w:pos="709"/>
              </w:tabs>
              <w:ind w:left="0"/>
              <w:rPr>
                <w:color w:val="auto"/>
                <w:sz w:val="20"/>
                <w:szCs w:val="20"/>
              </w:rPr>
            </w:pPr>
            <w:r w:rsidRPr="00A8408D">
              <w:rPr>
                <w:color w:val="auto"/>
                <w:sz w:val="20"/>
                <w:szCs w:val="20"/>
              </w:rPr>
              <w:t>Less than 3 months</w:t>
            </w:r>
          </w:p>
        </w:tc>
        <w:tc>
          <w:tcPr>
            <w:cnfStyle w:val="000100000000" w:firstRow="0" w:lastRow="0" w:firstColumn="0" w:lastColumn="1" w:oddVBand="0" w:evenVBand="0" w:oddHBand="0" w:evenHBand="0" w:firstRowFirstColumn="0" w:firstRowLastColumn="0" w:lastRowFirstColumn="0" w:lastRowLastColumn="0"/>
            <w:tcW w:w="1560" w:type="dxa"/>
            <w:vAlign w:val="center"/>
          </w:tcPr>
          <w:p w:rsidR="00A8408D" w:rsidRPr="00A8408D" w:rsidRDefault="00496E82" w:rsidP="00E50806">
            <w:pPr>
              <w:pStyle w:val="BodyTextIndent"/>
              <w:tabs>
                <w:tab w:val="left" w:pos="709"/>
              </w:tabs>
              <w:ind w:left="0"/>
              <w:jc w:val="center"/>
              <w:rPr>
                <w:color w:val="auto"/>
                <w:sz w:val="20"/>
                <w:szCs w:val="20"/>
              </w:rPr>
            </w:pPr>
            <w:r>
              <w:rPr>
                <w:color w:val="auto"/>
                <w:sz w:val="20"/>
                <w:szCs w:val="20"/>
              </w:rPr>
              <w:t>2.9</w:t>
            </w:r>
          </w:p>
        </w:tc>
      </w:tr>
      <w:tr w:rsidR="00A8408D" w:rsidRPr="0005794A" w:rsidTr="00EA4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8408D" w:rsidRPr="00A8408D" w:rsidRDefault="00A8408D" w:rsidP="00A8408D">
            <w:pPr>
              <w:pStyle w:val="BodyTextIndent"/>
              <w:tabs>
                <w:tab w:val="left" w:pos="709"/>
              </w:tabs>
              <w:ind w:left="0"/>
              <w:jc w:val="center"/>
              <w:rPr>
                <w:color w:val="auto"/>
                <w:sz w:val="20"/>
                <w:szCs w:val="20"/>
              </w:rPr>
            </w:pPr>
            <w:r w:rsidRPr="00A8408D">
              <w:rPr>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4110" w:type="dxa"/>
            <w:vAlign w:val="center"/>
          </w:tcPr>
          <w:p w:rsidR="00A8408D" w:rsidRPr="00A8408D" w:rsidRDefault="00A8408D" w:rsidP="00E50806">
            <w:pPr>
              <w:pStyle w:val="BodyTextIndent"/>
              <w:tabs>
                <w:tab w:val="left" w:pos="709"/>
              </w:tabs>
              <w:ind w:left="0"/>
              <w:rPr>
                <w:color w:val="auto"/>
                <w:sz w:val="20"/>
                <w:szCs w:val="20"/>
              </w:rPr>
            </w:pPr>
            <w:r w:rsidRPr="00A8408D">
              <w:rPr>
                <w:color w:val="auto"/>
                <w:sz w:val="20"/>
                <w:szCs w:val="20"/>
              </w:rPr>
              <w:t>Three months to one year</w:t>
            </w:r>
          </w:p>
        </w:tc>
        <w:tc>
          <w:tcPr>
            <w:cnfStyle w:val="000100000000" w:firstRow="0" w:lastRow="0" w:firstColumn="0" w:lastColumn="1" w:oddVBand="0" w:evenVBand="0" w:oddHBand="0" w:evenHBand="0" w:firstRowFirstColumn="0" w:firstRowLastColumn="0" w:lastRowFirstColumn="0" w:lastRowLastColumn="0"/>
            <w:tcW w:w="1560" w:type="dxa"/>
            <w:vAlign w:val="center"/>
          </w:tcPr>
          <w:p w:rsidR="00A8408D" w:rsidRPr="00A8408D" w:rsidRDefault="00CC2B54" w:rsidP="00E50806">
            <w:pPr>
              <w:pStyle w:val="BodyTextIndent"/>
              <w:tabs>
                <w:tab w:val="left" w:pos="709"/>
              </w:tabs>
              <w:ind w:left="0"/>
              <w:jc w:val="center"/>
              <w:rPr>
                <w:color w:val="auto"/>
                <w:sz w:val="20"/>
                <w:szCs w:val="20"/>
              </w:rPr>
            </w:pPr>
            <w:r>
              <w:rPr>
                <w:color w:val="auto"/>
                <w:sz w:val="20"/>
                <w:szCs w:val="20"/>
              </w:rPr>
              <w:t>0.1</w:t>
            </w:r>
          </w:p>
        </w:tc>
      </w:tr>
      <w:tr w:rsidR="00A8408D" w:rsidRPr="0005794A" w:rsidTr="00EA44EC">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4BACC6" w:themeColor="accent5"/>
              <w:bottom w:val="single" w:sz="4" w:space="0" w:color="4BACC6" w:themeColor="accent5"/>
            </w:tcBorders>
            <w:vAlign w:val="center"/>
          </w:tcPr>
          <w:p w:rsidR="00A8408D" w:rsidRPr="00A8408D" w:rsidRDefault="00A8408D" w:rsidP="00A8408D">
            <w:pPr>
              <w:pStyle w:val="BodyTextIndent"/>
              <w:tabs>
                <w:tab w:val="left" w:pos="709"/>
              </w:tabs>
              <w:ind w:left="0"/>
              <w:jc w:val="center"/>
              <w:rPr>
                <w:color w:val="auto"/>
                <w:sz w:val="20"/>
                <w:szCs w:val="20"/>
              </w:rPr>
            </w:pPr>
            <w:r w:rsidRPr="00A8408D">
              <w:rPr>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4110" w:type="dxa"/>
            <w:tcBorders>
              <w:top w:val="single" w:sz="4" w:space="0" w:color="4BACC6" w:themeColor="accent5"/>
              <w:bottom w:val="single" w:sz="4" w:space="0" w:color="4BACC6" w:themeColor="accent5"/>
            </w:tcBorders>
            <w:vAlign w:val="center"/>
          </w:tcPr>
          <w:p w:rsidR="00A8408D" w:rsidRPr="00A8408D" w:rsidRDefault="00A8408D" w:rsidP="00E50806">
            <w:pPr>
              <w:pStyle w:val="BodyTextIndent"/>
              <w:tabs>
                <w:tab w:val="left" w:pos="709"/>
              </w:tabs>
              <w:ind w:left="0"/>
              <w:rPr>
                <w:color w:val="auto"/>
                <w:sz w:val="20"/>
                <w:szCs w:val="20"/>
              </w:rPr>
            </w:pPr>
            <w:r w:rsidRPr="00A8408D">
              <w:rPr>
                <w:color w:val="auto"/>
                <w:sz w:val="20"/>
                <w:szCs w:val="20"/>
              </w:rPr>
              <w:t>More than one year</w:t>
            </w:r>
          </w:p>
        </w:tc>
        <w:tc>
          <w:tcPr>
            <w:cnfStyle w:val="000100000000" w:firstRow="0" w:lastRow="0" w:firstColumn="0" w:lastColumn="1" w:oddVBand="0" w:evenVBand="0" w:oddHBand="0" w:evenHBand="0" w:firstRowFirstColumn="0" w:firstRowLastColumn="0" w:lastRowFirstColumn="0" w:lastRowLastColumn="0"/>
            <w:tcW w:w="1560" w:type="dxa"/>
            <w:tcBorders>
              <w:top w:val="single" w:sz="4" w:space="0" w:color="4BACC6" w:themeColor="accent5"/>
              <w:bottom w:val="single" w:sz="4" w:space="0" w:color="4BACC6" w:themeColor="accent5"/>
            </w:tcBorders>
            <w:vAlign w:val="center"/>
          </w:tcPr>
          <w:p w:rsidR="00A8408D" w:rsidRPr="00A8408D" w:rsidRDefault="00C310D9" w:rsidP="00E50806">
            <w:pPr>
              <w:pStyle w:val="BodyTextIndent"/>
              <w:tabs>
                <w:tab w:val="left" w:pos="709"/>
              </w:tabs>
              <w:ind w:left="0"/>
              <w:jc w:val="center"/>
              <w:rPr>
                <w:color w:val="auto"/>
                <w:sz w:val="20"/>
                <w:szCs w:val="20"/>
              </w:rPr>
            </w:pPr>
            <w:r>
              <w:rPr>
                <w:color w:val="auto"/>
                <w:sz w:val="20"/>
                <w:szCs w:val="20"/>
              </w:rPr>
              <w:t>0.3</w:t>
            </w:r>
          </w:p>
        </w:tc>
      </w:tr>
      <w:tr w:rsidR="00A8408D" w:rsidRPr="0005794A" w:rsidTr="00EA44E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127" w:type="dxa"/>
            <w:tcBorders>
              <w:top w:val="single" w:sz="4" w:space="0" w:color="4BACC6" w:themeColor="accent5"/>
              <w:bottom w:val="single" w:sz="4" w:space="0" w:color="4BACC6" w:themeColor="accent5"/>
            </w:tcBorders>
            <w:vAlign w:val="center"/>
          </w:tcPr>
          <w:p w:rsidR="00A8408D" w:rsidRPr="00A8408D" w:rsidRDefault="00A8408D" w:rsidP="00A8408D">
            <w:pPr>
              <w:pStyle w:val="BodyTextIndent"/>
              <w:tabs>
                <w:tab w:val="left" w:pos="709"/>
              </w:tabs>
              <w:ind w:left="0"/>
              <w:jc w:val="center"/>
              <w:rPr>
                <w:color w:val="auto"/>
                <w:sz w:val="20"/>
                <w:szCs w:val="20"/>
              </w:rPr>
            </w:pPr>
            <w:r w:rsidRPr="00A8408D">
              <w:rPr>
                <w:color w:val="auto"/>
                <w:sz w:val="20"/>
                <w:szCs w:val="20"/>
              </w:rPr>
              <w:t>3.7</w:t>
            </w:r>
          </w:p>
        </w:tc>
        <w:tc>
          <w:tcPr>
            <w:cnfStyle w:val="000010000000" w:firstRow="0" w:lastRow="0" w:firstColumn="0" w:lastColumn="0" w:oddVBand="1" w:evenVBand="0" w:oddHBand="0" w:evenHBand="0" w:firstRowFirstColumn="0" w:firstRowLastColumn="0" w:lastRowFirstColumn="0" w:lastRowLastColumn="0"/>
            <w:tcW w:w="4110" w:type="dxa"/>
            <w:tcBorders>
              <w:top w:val="single" w:sz="4" w:space="0" w:color="4BACC6" w:themeColor="accent5"/>
              <w:bottom w:val="single" w:sz="4" w:space="0" w:color="4BACC6" w:themeColor="accent5"/>
            </w:tcBorders>
            <w:vAlign w:val="center"/>
          </w:tcPr>
          <w:p w:rsidR="00A8408D" w:rsidRPr="00A8408D" w:rsidRDefault="00A8408D" w:rsidP="00E50806">
            <w:pPr>
              <w:pStyle w:val="BodyTextIndent"/>
              <w:tabs>
                <w:tab w:val="left" w:pos="709"/>
              </w:tabs>
              <w:ind w:left="0"/>
              <w:rPr>
                <w:b w:val="0"/>
                <w:color w:val="auto"/>
                <w:sz w:val="20"/>
                <w:szCs w:val="20"/>
              </w:rPr>
            </w:pPr>
            <w:r w:rsidRPr="00A8408D">
              <w:rPr>
                <w:b w:val="0"/>
                <w:color w:val="auto"/>
                <w:sz w:val="20"/>
                <w:szCs w:val="20"/>
              </w:rPr>
              <w:t>Total</w:t>
            </w:r>
          </w:p>
        </w:tc>
        <w:tc>
          <w:tcPr>
            <w:cnfStyle w:val="000100000010" w:firstRow="0" w:lastRow="0" w:firstColumn="0" w:lastColumn="1" w:oddVBand="0" w:evenVBand="0" w:oddHBand="0" w:evenHBand="0" w:firstRowFirstColumn="0" w:firstRowLastColumn="0" w:lastRowFirstColumn="0" w:lastRowLastColumn="1"/>
            <w:tcW w:w="1560" w:type="dxa"/>
            <w:tcBorders>
              <w:top w:val="single" w:sz="4" w:space="0" w:color="4BACC6" w:themeColor="accent5"/>
              <w:bottom w:val="single" w:sz="4" w:space="0" w:color="4BACC6" w:themeColor="accent5"/>
            </w:tcBorders>
            <w:vAlign w:val="center"/>
          </w:tcPr>
          <w:p w:rsidR="00A8408D" w:rsidRPr="00A8408D" w:rsidRDefault="00CC2B54" w:rsidP="00E50806">
            <w:pPr>
              <w:pStyle w:val="BodyTextIndent"/>
              <w:tabs>
                <w:tab w:val="left" w:pos="709"/>
              </w:tabs>
              <w:ind w:left="0"/>
              <w:jc w:val="center"/>
              <w:rPr>
                <w:color w:val="auto"/>
                <w:sz w:val="20"/>
                <w:szCs w:val="20"/>
              </w:rPr>
            </w:pPr>
            <w:r>
              <w:rPr>
                <w:color w:val="auto"/>
                <w:sz w:val="20"/>
                <w:szCs w:val="20"/>
              </w:rPr>
              <w:t>3.3</w:t>
            </w:r>
          </w:p>
        </w:tc>
      </w:tr>
    </w:tbl>
    <w:p w:rsidR="00E51139" w:rsidRPr="0005794A" w:rsidRDefault="00E51139" w:rsidP="00AD6C46">
      <w:pPr>
        <w:pStyle w:val="BodyTextIndent"/>
        <w:tabs>
          <w:tab w:val="left" w:pos="709"/>
        </w:tabs>
        <w:ind w:left="0"/>
        <w:rPr>
          <w:b/>
          <w:color w:val="548DD4" w:themeColor="text2" w:themeTint="99"/>
          <w:sz w:val="20"/>
          <w:szCs w:val="20"/>
        </w:rPr>
      </w:pPr>
    </w:p>
    <w:p w:rsidR="00E51139" w:rsidRPr="00CC2B54" w:rsidRDefault="00E51139" w:rsidP="0054285C">
      <w:pPr>
        <w:pStyle w:val="BodyTextIndent"/>
        <w:tabs>
          <w:tab w:val="left" w:pos="567"/>
        </w:tabs>
        <w:ind w:left="567"/>
        <w:rPr>
          <w:color w:val="auto"/>
          <w:sz w:val="20"/>
          <w:szCs w:val="20"/>
        </w:rPr>
      </w:pPr>
      <w:r w:rsidRPr="00CC2B54">
        <w:rPr>
          <w:color w:val="auto"/>
          <w:sz w:val="20"/>
          <w:szCs w:val="20"/>
        </w:rPr>
        <w:t xml:space="preserve">At year end the level of impairment for </w:t>
      </w:r>
      <w:r w:rsidR="003426EF" w:rsidRPr="00CC2B54">
        <w:rPr>
          <w:color w:val="auto"/>
          <w:sz w:val="20"/>
          <w:szCs w:val="20"/>
        </w:rPr>
        <w:t xml:space="preserve">all </w:t>
      </w:r>
      <w:r w:rsidRPr="00CC2B54">
        <w:rPr>
          <w:color w:val="auto"/>
          <w:sz w:val="20"/>
          <w:szCs w:val="20"/>
        </w:rPr>
        <w:t>Council debt is assessed and reflected in the value of the impairment disclosed in the debtors note.</w:t>
      </w:r>
    </w:p>
    <w:p w:rsidR="00E51139" w:rsidRPr="000A05CC" w:rsidRDefault="00E51139" w:rsidP="008D0906">
      <w:pPr>
        <w:pStyle w:val="BodyTextIndent"/>
        <w:tabs>
          <w:tab w:val="left" w:pos="567"/>
        </w:tabs>
        <w:ind w:left="567"/>
        <w:outlineLvl w:val="0"/>
        <w:rPr>
          <w:b/>
          <w:color w:val="auto"/>
          <w:sz w:val="20"/>
          <w:szCs w:val="20"/>
        </w:rPr>
      </w:pPr>
      <w:r w:rsidRPr="000A05CC">
        <w:rPr>
          <w:b/>
          <w:color w:val="auto"/>
          <w:sz w:val="20"/>
          <w:szCs w:val="20"/>
        </w:rPr>
        <w:t>Liquidity Risk</w:t>
      </w:r>
    </w:p>
    <w:p w:rsidR="00E51139" w:rsidRPr="000A05CC" w:rsidRDefault="00E51139" w:rsidP="0054285C">
      <w:pPr>
        <w:pStyle w:val="BodyTextIndent"/>
        <w:tabs>
          <w:tab w:val="left" w:pos="0"/>
          <w:tab w:val="left" w:pos="567"/>
        </w:tabs>
        <w:ind w:left="567"/>
        <w:rPr>
          <w:color w:val="auto"/>
          <w:sz w:val="20"/>
          <w:szCs w:val="20"/>
        </w:rPr>
      </w:pPr>
      <w:r w:rsidRPr="000A05CC">
        <w:rPr>
          <w:color w:val="auto"/>
          <w:sz w:val="20"/>
          <w:szCs w:val="20"/>
        </w:rPr>
        <w:t>As the Council has ready access to borrowings from th</w:t>
      </w:r>
      <w:r w:rsidR="000A05CC" w:rsidRPr="000A05CC">
        <w:rPr>
          <w:color w:val="auto"/>
          <w:sz w:val="20"/>
          <w:szCs w:val="20"/>
        </w:rPr>
        <w:t>e Public Works Loans Board and</w:t>
      </w:r>
      <w:r w:rsidRPr="000A05CC">
        <w:rPr>
          <w:color w:val="auto"/>
          <w:sz w:val="20"/>
          <w:szCs w:val="20"/>
        </w:rPr>
        <w:t xml:space="preserve"> short </w:t>
      </w:r>
      <w:r w:rsidR="003A5011" w:rsidRPr="000A05CC">
        <w:rPr>
          <w:color w:val="auto"/>
          <w:sz w:val="20"/>
          <w:szCs w:val="20"/>
        </w:rPr>
        <w:t xml:space="preserve">term funding facilities with </w:t>
      </w:r>
      <w:r w:rsidR="00CA7693" w:rsidRPr="000A05CC">
        <w:rPr>
          <w:color w:val="auto"/>
          <w:sz w:val="20"/>
          <w:szCs w:val="20"/>
        </w:rPr>
        <w:t>its</w:t>
      </w:r>
      <w:r w:rsidR="003A5011" w:rsidRPr="000A05CC">
        <w:rPr>
          <w:color w:val="auto"/>
          <w:sz w:val="20"/>
          <w:szCs w:val="20"/>
        </w:rPr>
        <w:t xml:space="preserve"> Bankers</w:t>
      </w:r>
      <w:r w:rsidRPr="000A05CC">
        <w:rPr>
          <w:color w:val="auto"/>
          <w:sz w:val="20"/>
          <w:szCs w:val="20"/>
        </w:rPr>
        <w:t>, there is no significant risk that it will be unable to raise finance to meet its commitments under financial instruments. Instead there is a risk that the Council will be bound to replenish a proportion of its borrowings at a time of unfavourable interest rates. The Council’s treasury team aim to ensure that the Council’s borrowing portfolio is spread over a range of maturities by a combination of careful planni</w:t>
      </w:r>
      <w:r w:rsidR="00661F5C" w:rsidRPr="000A05CC">
        <w:rPr>
          <w:color w:val="auto"/>
          <w:sz w:val="20"/>
          <w:szCs w:val="20"/>
        </w:rPr>
        <w:t xml:space="preserve">ng of new loans taken out and, </w:t>
      </w:r>
      <w:r w:rsidRPr="000A05CC">
        <w:rPr>
          <w:color w:val="auto"/>
          <w:sz w:val="20"/>
          <w:szCs w:val="20"/>
        </w:rPr>
        <w:t>where it is economic to do so, rescheduling debt.</w:t>
      </w:r>
    </w:p>
    <w:p w:rsidR="006E667C" w:rsidRPr="000A05CC" w:rsidRDefault="00E51139" w:rsidP="00403BA0">
      <w:pPr>
        <w:pStyle w:val="BodyTextIndent"/>
        <w:tabs>
          <w:tab w:val="left" w:pos="0"/>
          <w:tab w:val="left" w:pos="567"/>
        </w:tabs>
        <w:ind w:left="567"/>
        <w:rPr>
          <w:color w:val="auto"/>
          <w:sz w:val="20"/>
          <w:szCs w:val="20"/>
        </w:rPr>
      </w:pPr>
      <w:r w:rsidRPr="000A05CC">
        <w:rPr>
          <w:color w:val="auto"/>
          <w:sz w:val="20"/>
          <w:szCs w:val="20"/>
        </w:rPr>
        <w:t>The maturity analysis of fixed rate borrowing at fair value is as follows:</w:t>
      </w:r>
    </w:p>
    <w:p w:rsidR="00E51139" w:rsidRPr="0005794A" w:rsidRDefault="00E51139" w:rsidP="00AD6C46">
      <w:pPr>
        <w:pStyle w:val="BodyTextIndent"/>
        <w:tabs>
          <w:tab w:val="left" w:pos="0"/>
        </w:tabs>
        <w:ind w:left="0"/>
        <w:rPr>
          <w:color w:val="548DD4" w:themeColor="text2" w:themeTint="99"/>
          <w:sz w:val="20"/>
          <w:szCs w:val="20"/>
        </w:rPr>
      </w:pPr>
    </w:p>
    <w:tbl>
      <w:tblPr>
        <w:tblStyle w:val="ListTable3-Accent51"/>
        <w:tblW w:w="8821" w:type="dxa"/>
        <w:tblInd w:w="643" w:type="dxa"/>
        <w:tblLook w:val="01E0" w:firstRow="1" w:lastRow="1" w:firstColumn="1" w:lastColumn="1" w:noHBand="0" w:noVBand="0"/>
      </w:tblPr>
      <w:tblGrid>
        <w:gridCol w:w="2017"/>
        <w:gridCol w:w="4536"/>
        <w:gridCol w:w="2268"/>
      </w:tblGrid>
      <w:tr w:rsidR="00E51139" w:rsidRPr="0005794A" w:rsidTr="004C14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7" w:type="dxa"/>
          </w:tcPr>
          <w:p w:rsidR="00F82E5E" w:rsidRPr="00B07474" w:rsidRDefault="0054285C" w:rsidP="00F4439D">
            <w:pPr>
              <w:pStyle w:val="BodyTextIndent"/>
              <w:tabs>
                <w:tab w:val="left" w:pos="709"/>
              </w:tabs>
              <w:ind w:left="0"/>
              <w:jc w:val="center"/>
              <w:rPr>
                <w:color w:val="auto"/>
                <w:sz w:val="20"/>
                <w:szCs w:val="20"/>
              </w:rPr>
            </w:pPr>
            <w:r w:rsidRPr="00B07474">
              <w:rPr>
                <w:b w:val="0"/>
                <w:color w:val="auto"/>
                <w:sz w:val="20"/>
                <w:szCs w:val="20"/>
              </w:rPr>
              <w:t>31</w:t>
            </w:r>
            <w:r w:rsidRPr="00B07474">
              <w:rPr>
                <w:b w:val="0"/>
                <w:color w:val="auto"/>
                <w:sz w:val="20"/>
                <w:szCs w:val="20"/>
                <w:vertAlign w:val="superscript"/>
              </w:rPr>
              <w:t>st</w:t>
            </w:r>
            <w:r w:rsidRPr="00B07474">
              <w:rPr>
                <w:b w:val="0"/>
                <w:color w:val="auto"/>
                <w:sz w:val="20"/>
                <w:szCs w:val="20"/>
              </w:rPr>
              <w:t xml:space="preserve"> March 201</w:t>
            </w:r>
            <w:r w:rsidR="00A8408D" w:rsidRPr="00B07474">
              <w:rPr>
                <w:b w:val="0"/>
                <w:color w:val="auto"/>
                <w:sz w:val="20"/>
                <w:szCs w:val="20"/>
              </w:rPr>
              <w:t>7</w:t>
            </w:r>
          </w:p>
        </w:tc>
        <w:tc>
          <w:tcPr>
            <w:cnfStyle w:val="000010000000" w:firstRow="0" w:lastRow="0" w:firstColumn="0" w:lastColumn="0" w:oddVBand="1" w:evenVBand="0" w:oddHBand="0" w:evenHBand="0" w:firstRowFirstColumn="0" w:firstRowLastColumn="0" w:lastRowFirstColumn="0" w:lastRowLastColumn="0"/>
            <w:tcW w:w="4536" w:type="dxa"/>
          </w:tcPr>
          <w:p w:rsidR="00E51139" w:rsidRPr="00B07474" w:rsidRDefault="00E51139" w:rsidP="00CE6D72">
            <w:pPr>
              <w:pStyle w:val="BodyTextIndent"/>
              <w:tabs>
                <w:tab w:val="left" w:pos="709"/>
              </w:tabs>
              <w:ind w:left="0"/>
              <w:rPr>
                <w:color w:val="auto"/>
                <w:sz w:val="20"/>
                <w:szCs w:val="20"/>
              </w:rPr>
            </w:pPr>
          </w:p>
        </w:tc>
        <w:tc>
          <w:tcPr>
            <w:cnfStyle w:val="000100001000" w:firstRow="0" w:lastRow="0" w:firstColumn="0" w:lastColumn="1" w:oddVBand="0" w:evenVBand="0" w:oddHBand="0" w:evenHBand="0" w:firstRowFirstColumn="0" w:firstRowLastColumn="1" w:lastRowFirstColumn="0" w:lastRowLastColumn="0"/>
            <w:tcW w:w="2268" w:type="dxa"/>
          </w:tcPr>
          <w:p w:rsidR="00E51139" w:rsidRPr="00B07474" w:rsidRDefault="0054285C" w:rsidP="00CE6D72">
            <w:pPr>
              <w:pStyle w:val="BodyTextIndent"/>
              <w:tabs>
                <w:tab w:val="left" w:pos="709"/>
              </w:tabs>
              <w:ind w:left="0"/>
              <w:jc w:val="center"/>
              <w:rPr>
                <w:color w:val="auto"/>
                <w:sz w:val="20"/>
                <w:szCs w:val="20"/>
              </w:rPr>
            </w:pPr>
            <w:r w:rsidRPr="00B07474">
              <w:rPr>
                <w:color w:val="auto"/>
                <w:sz w:val="20"/>
                <w:szCs w:val="20"/>
              </w:rPr>
              <w:t>31</w:t>
            </w:r>
            <w:r w:rsidRPr="00B07474">
              <w:rPr>
                <w:color w:val="auto"/>
                <w:sz w:val="20"/>
                <w:szCs w:val="20"/>
                <w:vertAlign w:val="superscript"/>
              </w:rPr>
              <w:t>st</w:t>
            </w:r>
            <w:r w:rsidRPr="00B07474">
              <w:rPr>
                <w:color w:val="auto"/>
                <w:sz w:val="20"/>
                <w:szCs w:val="20"/>
              </w:rPr>
              <w:t xml:space="preserve"> March 201</w:t>
            </w:r>
            <w:r w:rsidR="00A8408D" w:rsidRPr="00B07474">
              <w:rPr>
                <w:color w:val="auto"/>
                <w:sz w:val="20"/>
                <w:szCs w:val="20"/>
              </w:rPr>
              <w:t>8</w:t>
            </w:r>
          </w:p>
        </w:tc>
      </w:tr>
      <w:tr w:rsidR="00E51139" w:rsidRPr="0005794A" w:rsidTr="004C144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017" w:type="dxa"/>
            <w:shd w:val="clear" w:color="auto" w:fill="4BACC6" w:themeFill="accent5"/>
          </w:tcPr>
          <w:p w:rsidR="00E51139" w:rsidRPr="00B07474" w:rsidRDefault="0054285C" w:rsidP="008060CD">
            <w:pPr>
              <w:pStyle w:val="BodyTextIndent"/>
              <w:tabs>
                <w:tab w:val="left" w:pos="709"/>
              </w:tabs>
              <w:ind w:left="0"/>
              <w:jc w:val="center"/>
              <w:rPr>
                <w:b w:val="0"/>
                <w:color w:val="auto"/>
                <w:sz w:val="20"/>
                <w:szCs w:val="20"/>
              </w:rPr>
            </w:pPr>
            <w:r w:rsidRPr="00B07474">
              <w:rPr>
                <w:b w:val="0"/>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536" w:type="dxa"/>
            <w:shd w:val="clear" w:color="auto" w:fill="4BACC6" w:themeFill="accent5"/>
          </w:tcPr>
          <w:p w:rsidR="00E51139" w:rsidRPr="00B07474" w:rsidRDefault="00E51139" w:rsidP="00CE6D72">
            <w:pPr>
              <w:pStyle w:val="BodyTextIndent"/>
              <w:tabs>
                <w:tab w:val="left" w:pos="709"/>
              </w:tabs>
              <w:ind w:left="0"/>
              <w:rPr>
                <w:color w:val="auto"/>
                <w:sz w:val="20"/>
                <w:szCs w:val="20"/>
              </w:rPr>
            </w:pPr>
          </w:p>
        </w:tc>
        <w:tc>
          <w:tcPr>
            <w:cnfStyle w:val="000100000000" w:firstRow="0" w:lastRow="0" w:firstColumn="0" w:lastColumn="1" w:oddVBand="0" w:evenVBand="0" w:oddHBand="0" w:evenHBand="0" w:firstRowFirstColumn="0" w:firstRowLastColumn="0" w:lastRowFirstColumn="0" w:lastRowLastColumn="0"/>
            <w:tcW w:w="2268" w:type="dxa"/>
            <w:shd w:val="clear" w:color="auto" w:fill="4BACC6" w:themeFill="accent5"/>
          </w:tcPr>
          <w:p w:rsidR="00E51139" w:rsidRPr="00B07474" w:rsidRDefault="0054285C" w:rsidP="008060CD">
            <w:pPr>
              <w:pStyle w:val="BodyTextIndent"/>
              <w:tabs>
                <w:tab w:val="left" w:pos="709"/>
              </w:tabs>
              <w:ind w:left="0"/>
              <w:jc w:val="center"/>
              <w:rPr>
                <w:color w:val="auto"/>
                <w:sz w:val="20"/>
                <w:szCs w:val="20"/>
              </w:rPr>
            </w:pPr>
            <w:r w:rsidRPr="00B07474">
              <w:rPr>
                <w:color w:val="auto"/>
                <w:sz w:val="20"/>
                <w:szCs w:val="20"/>
              </w:rPr>
              <w:t>£m</w:t>
            </w:r>
          </w:p>
        </w:tc>
      </w:tr>
      <w:tr w:rsidR="002134A7" w:rsidRPr="0005794A" w:rsidTr="004C1441">
        <w:tc>
          <w:tcPr>
            <w:cnfStyle w:val="001000000000" w:firstRow="0" w:lastRow="0" w:firstColumn="1" w:lastColumn="0" w:oddVBand="0" w:evenVBand="0" w:oddHBand="0" w:evenHBand="0" w:firstRowFirstColumn="0" w:firstRowLastColumn="0" w:lastRowFirstColumn="0" w:lastRowLastColumn="0"/>
            <w:tcW w:w="2017" w:type="dxa"/>
            <w:vAlign w:val="center"/>
          </w:tcPr>
          <w:p w:rsidR="002134A7" w:rsidRPr="00B07474" w:rsidRDefault="002134A7" w:rsidP="002134A7">
            <w:pPr>
              <w:pStyle w:val="BodyTextIndent"/>
              <w:tabs>
                <w:tab w:val="left" w:pos="709"/>
              </w:tabs>
              <w:ind w:left="0"/>
              <w:jc w:val="center"/>
              <w:rPr>
                <w:b w:val="0"/>
                <w:color w:val="auto"/>
                <w:sz w:val="20"/>
                <w:szCs w:val="20"/>
              </w:rPr>
            </w:pPr>
            <w:r w:rsidRPr="00B07474">
              <w:rPr>
                <w:b w:val="0"/>
                <w:color w:val="auto"/>
                <w:sz w:val="20"/>
                <w:szCs w:val="20"/>
              </w:rPr>
              <w:t>5.8</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2134A7" w:rsidRPr="00B07474" w:rsidRDefault="002134A7" w:rsidP="002134A7">
            <w:pPr>
              <w:pStyle w:val="BodyTextIndent"/>
              <w:tabs>
                <w:tab w:val="left" w:pos="709"/>
              </w:tabs>
              <w:ind w:left="0"/>
              <w:rPr>
                <w:color w:val="auto"/>
                <w:sz w:val="20"/>
                <w:szCs w:val="20"/>
              </w:rPr>
            </w:pPr>
            <w:r w:rsidRPr="00B07474">
              <w:rPr>
                <w:color w:val="auto"/>
                <w:sz w:val="20"/>
                <w:szCs w:val="20"/>
              </w:rPr>
              <w:t>Less than one year</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2134A7" w:rsidRPr="00B07474" w:rsidRDefault="002134A7" w:rsidP="002134A7">
            <w:pPr>
              <w:pStyle w:val="BodyTextIndent"/>
              <w:tabs>
                <w:tab w:val="left" w:pos="709"/>
              </w:tabs>
              <w:ind w:left="0"/>
              <w:jc w:val="center"/>
              <w:rPr>
                <w:b w:val="0"/>
                <w:color w:val="auto"/>
                <w:sz w:val="20"/>
                <w:szCs w:val="20"/>
              </w:rPr>
            </w:pPr>
            <w:r>
              <w:rPr>
                <w:b w:val="0"/>
                <w:color w:val="auto"/>
                <w:sz w:val="20"/>
                <w:szCs w:val="20"/>
              </w:rPr>
              <w:t>5.6</w:t>
            </w:r>
          </w:p>
        </w:tc>
      </w:tr>
      <w:tr w:rsidR="002134A7" w:rsidRPr="0005794A" w:rsidTr="004C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vAlign w:val="center"/>
          </w:tcPr>
          <w:p w:rsidR="002134A7" w:rsidRPr="00B07474" w:rsidRDefault="002134A7" w:rsidP="002134A7">
            <w:pPr>
              <w:pStyle w:val="BodyTextIndent"/>
              <w:tabs>
                <w:tab w:val="left" w:pos="709"/>
              </w:tabs>
              <w:ind w:left="0"/>
              <w:jc w:val="center"/>
              <w:rPr>
                <w:b w:val="0"/>
                <w:color w:val="auto"/>
                <w:sz w:val="20"/>
                <w:szCs w:val="20"/>
              </w:rPr>
            </w:pPr>
            <w:r w:rsidRPr="00B07474">
              <w:rPr>
                <w:b w:val="0"/>
                <w:color w:val="auto"/>
                <w:sz w:val="20"/>
                <w:szCs w:val="20"/>
              </w:rPr>
              <w:t>2.5</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2134A7" w:rsidRPr="00B07474" w:rsidRDefault="002134A7" w:rsidP="002134A7">
            <w:pPr>
              <w:pStyle w:val="BodyTextIndent"/>
              <w:tabs>
                <w:tab w:val="left" w:pos="709"/>
              </w:tabs>
              <w:ind w:left="0"/>
              <w:rPr>
                <w:color w:val="auto"/>
                <w:sz w:val="20"/>
                <w:szCs w:val="20"/>
              </w:rPr>
            </w:pPr>
            <w:r w:rsidRPr="00B07474">
              <w:rPr>
                <w:color w:val="auto"/>
                <w:sz w:val="20"/>
                <w:szCs w:val="20"/>
              </w:rPr>
              <w:t>Between one and two years</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2134A7" w:rsidRPr="00B07474" w:rsidRDefault="002134A7" w:rsidP="002134A7">
            <w:pPr>
              <w:pStyle w:val="BodyTextIndent"/>
              <w:tabs>
                <w:tab w:val="left" w:pos="709"/>
              </w:tabs>
              <w:ind w:left="0"/>
              <w:jc w:val="center"/>
              <w:rPr>
                <w:b w:val="0"/>
                <w:color w:val="auto"/>
                <w:sz w:val="20"/>
                <w:szCs w:val="20"/>
              </w:rPr>
            </w:pPr>
            <w:r>
              <w:rPr>
                <w:b w:val="0"/>
                <w:color w:val="auto"/>
                <w:sz w:val="20"/>
                <w:szCs w:val="20"/>
              </w:rPr>
              <w:t>0.6</w:t>
            </w:r>
          </w:p>
        </w:tc>
      </w:tr>
      <w:tr w:rsidR="002134A7" w:rsidRPr="0005794A" w:rsidTr="004C1441">
        <w:tc>
          <w:tcPr>
            <w:cnfStyle w:val="001000000000" w:firstRow="0" w:lastRow="0" w:firstColumn="1" w:lastColumn="0" w:oddVBand="0" w:evenVBand="0" w:oddHBand="0" w:evenHBand="0" w:firstRowFirstColumn="0" w:firstRowLastColumn="0" w:lastRowFirstColumn="0" w:lastRowLastColumn="0"/>
            <w:tcW w:w="2017" w:type="dxa"/>
            <w:vAlign w:val="center"/>
          </w:tcPr>
          <w:p w:rsidR="002134A7" w:rsidRPr="00B07474" w:rsidRDefault="002134A7" w:rsidP="002134A7">
            <w:pPr>
              <w:pStyle w:val="BodyTextIndent"/>
              <w:tabs>
                <w:tab w:val="left" w:pos="709"/>
              </w:tabs>
              <w:ind w:left="0"/>
              <w:jc w:val="center"/>
              <w:rPr>
                <w:b w:val="0"/>
                <w:color w:val="auto"/>
                <w:sz w:val="20"/>
                <w:szCs w:val="20"/>
              </w:rPr>
            </w:pPr>
            <w:r w:rsidRPr="00B07474">
              <w:rPr>
                <w:b w:val="0"/>
                <w:color w:val="auto"/>
                <w:sz w:val="20"/>
                <w:szCs w:val="20"/>
              </w:rPr>
              <w:t>9.5</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2134A7" w:rsidRPr="00B07474" w:rsidRDefault="002134A7" w:rsidP="002134A7">
            <w:pPr>
              <w:pStyle w:val="BodyTextIndent"/>
              <w:tabs>
                <w:tab w:val="left" w:pos="709"/>
              </w:tabs>
              <w:ind w:left="0"/>
              <w:rPr>
                <w:color w:val="auto"/>
                <w:sz w:val="20"/>
                <w:szCs w:val="20"/>
              </w:rPr>
            </w:pPr>
            <w:r w:rsidRPr="00B07474">
              <w:rPr>
                <w:color w:val="auto"/>
                <w:sz w:val="20"/>
                <w:szCs w:val="20"/>
              </w:rPr>
              <w:t>Between two and five years</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2134A7" w:rsidRPr="00B07474" w:rsidRDefault="002134A7" w:rsidP="002134A7">
            <w:pPr>
              <w:pStyle w:val="BodyTextIndent"/>
              <w:tabs>
                <w:tab w:val="left" w:pos="709"/>
              </w:tabs>
              <w:ind w:left="0"/>
              <w:jc w:val="center"/>
              <w:rPr>
                <w:b w:val="0"/>
                <w:color w:val="auto"/>
                <w:sz w:val="20"/>
                <w:szCs w:val="20"/>
              </w:rPr>
            </w:pPr>
            <w:r>
              <w:rPr>
                <w:b w:val="0"/>
                <w:color w:val="auto"/>
                <w:sz w:val="20"/>
                <w:szCs w:val="20"/>
              </w:rPr>
              <w:t>9.9</w:t>
            </w:r>
          </w:p>
        </w:tc>
      </w:tr>
      <w:tr w:rsidR="002134A7" w:rsidRPr="0005794A" w:rsidTr="004C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vAlign w:val="center"/>
          </w:tcPr>
          <w:p w:rsidR="002134A7" w:rsidRPr="00B07474" w:rsidRDefault="002134A7" w:rsidP="002134A7">
            <w:pPr>
              <w:pStyle w:val="BodyTextIndent"/>
              <w:tabs>
                <w:tab w:val="left" w:pos="709"/>
              </w:tabs>
              <w:ind w:left="0"/>
              <w:jc w:val="center"/>
              <w:rPr>
                <w:b w:val="0"/>
                <w:color w:val="auto"/>
                <w:sz w:val="20"/>
                <w:szCs w:val="20"/>
              </w:rPr>
            </w:pPr>
            <w:r w:rsidRPr="00B07474">
              <w:rPr>
                <w:b w:val="0"/>
                <w:color w:val="auto"/>
                <w:sz w:val="20"/>
                <w:szCs w:val="20"/>
              </w:rPr>
              <w:t>14.1</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2134A7" w:rsidRPr="00B07474" w:rsidRDefault="002134A7" w:rsidP="002134A7">
            <w:pPr>
              <w:pStyle w:val="BodyTextIndent"/>
              <w:tabs>
                <w:tab w:val="left" w:pos="709"/>
              </w:tabs>
              <w:ind w:left="0"/>
              <w:rPr>
                <w:color w:val="auto"/>
                <w:sz w:val="20"/>
                <w:szCs w:val="20"/>
              </w:rPr>
            </w:pPr>
            <w:r w:rsidRPr="00B07474">
              <w:rPr>
                <w:color w:val="auto"/>
                <w:sz w:val="20"/>
                <w:szCs w:val="20"/>
              </w:rPr>
              <w:t>Between five and ten years</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2134A7" w:rsidRPr="00B07474" w:rsidRDefault="002134A7" w:rsidP="002134A7">
            <w:pPr>
              <w:pStyle w:val="BodyTextIndent"/>
              <w:tabs>
                <w:tab w:val="left" w:pos="709"/>
              </w:tabs>
              <w:ind w:left="0"/>
              <w:jc w:val="center"/>
              <w:rPr>
                <w:b w:val="0"/>
                <w:color w:val="auto"/>
                <w:sz w:val="20"/>
                <w:szCs w:val="20"/>
              </w:rPr>
            </w:pPr>
            <w:r>
              <w:rPr>
                <w:b w:val="0"/>
                <w:color w:val="auto"/>
                <w:sz w:val="20"/>
                <w:szCs w:val="20"/>
              </w:rPr>
              <w:t>17.8</w:t>
            </w:r>
          </w:p>
        </w:tc>
      </w:tr>
      <w:tr w:rsidR="002134A7" w:rsidRPr="0005794A" w:rsidTr="004C1441">
        <w:tc>
          <w:tcPr>
            <w:cnfStyle w:val="001000000000" w:firstRow="0" w:lastRow="0" w:firstColumn="1" w:lastColumn="0" w:oddVBand="0" w:evenVBand="0" w:oddHBand="0" w:evenHBand="0" w:firstRowFirstColumn="0" w:firstRowLastColumn="0" w:lastRowFirstColumn="0" w:lastRowLastColumn="0"/>
            <w:tcW w:w="2017" w:type="dxa"/>
            <w:vAlign w:val="center"/>
          </w:tcPr>
          <w:p w:rsidR="002134A7" w:rsidRPr="00B07474" w:rsidRDefault="002134A7" w:rsidP="002134A7">
            <w:pPr>
              <w:pStyle w:val="BodyTextIndent"/>
              <w:tabs>
                <w:tab w:val="left" w:pos="709"/>
              </w:tabs>
              <w:ind w:left="0"/>
              <w:jc w:val="center"/>
              <w:rPr>
                <w:b w:val="0"/>
                <w:color w:val="auto"/>
                <w:sz w:val="20"/>
                <w:szCs w:val="20"/>
              </w:rPr>
            </w:pPr>
            <w:r w:rsidRPr="00B07474">
              <w:rPr>
                <w:b w:val="0"/>
                <w:color w:val="auto"/>
                <w:sz w:val="20"/>
                <w:szCs w:val="20"/>
              </w:rPr>
              <w:t>26.9</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2134A7" w:rsidRPr="00B07474" w:rsidRDefault="002134A7" w:rsidP="002134A7">
            <w:pPr>
              <w:pStyle w:val="BodyTextIndent"/>
              <w:tabs>
                <w:tab w:val="left" w:pos="709"/>
              </w:tabs>
              <w:ind w:left="0"/>
              <w:rPr>
                <w:color w:val="auto"/>
                <w:sz w:val="20"/>
                <w:szCs w:val="20"/>
              </w:rPr>
            </w:pPr>
            <w:r w:rsidRPr="00B07474">
              <w:rPr>
                <w:color w:val="auto"/>
                <w:sz w:val="20"/>
                <w:szCs w:val="20"/>
              </w:rPr>
              <w:t>Between ten and twenty years</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2134A7" w:rsidRPr="00B07474" w:rsidRDefault="002134A7" w:rsidP="002134A7">
            <w:pPr>
              <w:pStyle w:val="BodyTextIndent"/>
              <w:tabs>
                <w:tab w:val="left" w:pos="709"/>
              </w:tabs>
              <w:ind w:left="0"/>
              <w:jc w:val="center"/>
              <w:rPr>
                <w:b w:val="0"/>
                <w:color w:val="auto"/>
                <w:sz w:val="20"/>
                <w:szCs w:val="20"/>
              </w:rPr>
            </w:pPr>
            <w:r>
              <w:rPr>
                <w:b w:val="0"/>
                <w:color w:val="auto"/>
                <w:sz w:val="20"/>
                <w:szCs w:val="20"/>
              </w:rPr>
              <w:t>54.9</w:t>
            </w:r>
          </w:p>
        </w:tc>
      </w:tr>
      <w:tr w:rsidR="002134A7" w:rsidRPr="0005794A" w:rsidTr="004C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vAlign w:val="center"/>
          </w:tcPr>
          <w:p w:rsidR="002134A7" w:rsidRPr="00B07474" w:rsidRDefault="002134A7" w:rsidP="002134A7">
            <w:pPr>
              <w:pStyle w:val="BodyTextIndent"/>
              <w:tabs>
                <w:tab w:val="left" w:pos="709"/>
              </w:tabs>
              <w:ind w:left="0"/>
              <w:jc w:val="center"/>
              <w:rPr>
                <w:b w:val="0"/>
                <w:color w:val="auto"/>
                <w:sz w:val="20"/>
                <w:szCs w:val="20"/>
              </w:rPr>
            </w:pPr>
            <w:r w:rsidRPr="00B07474">
              <w:rPr>
                <w:b w:val="0"/>
                <w:color w:val="auto"/>
                <w:sz w:val="20"/>
                <w:szCs w:val="20"/>
              </w:rPr>
              <w:t>31.1</w:t>
            </w:r>
          </w:p>
        </w:tc>
        <w:tc>
          <w:tcPr>
            <w:cnfStyle w:val="000010000000" w:firstRow="0" w:lastRow="0" w:firstColumn="0" w:lastColumn="0" w:oddVBand="1" w:evenVBand="0" w:oddHBand="0" w:evenHBand="0" w:firstRowFirstColumn="0" w:firstRowLastColumn="0" w:lastRowFirstColumn="0" w:lastRowLastColumn="0"/>
            <w:tcW w:w="4536" w:type="dxa"/>
            <w:vAlign w:val="center"/>
          </w:tcPr>
          <w:p w:rsidR="002134A7" w:rsidRPr="00B07474" w:rsidRDefault="002134A7" w:rsidP="002134A7">
            <w:pPr>
              <w:pStyle w:val="BodyTextIndent"/>
              <w:tabs>
                <w:tab w:val="left" w:pos="709"/>
              </w:tabs>
              <w:ind w:left="0"/>
              <w:rPr>
                <w:color w:val="auto"/>
                <w:sz w:val="20"/>
                <w:szCs w:val="20"/>
              </w:rPr>
            </w:pPr>
            <w:r w:rsidRPr="00B07474">
              <w:rPr>
                <w:color w:val="auto"/>
                <w:sz w:val="20"/>
                <w:szCs w:val="20"/>
              </w:rPr>
              <w:t>Between twenty and thirty years</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2134A7" w:rsidRPr="00B07474" w:rsidRDefault="002134A7" w:rsidP="002134A7">
            <w:pPr>
              <w:pStyle w:val="BodyTextIndent"/>
              <w:tabs>
                <w:tab w:val="left" w:pos="709"/>
              </w:tabs>
              <w:ind w:left="0"/>
              <w:jc w:val="center"/>
              <w:rPr>
                <w:b w:val="0"/>
                <w:color w:val="auto"/>
                <w:sz w:val="20"/>
                <w:szCs w:val="20"/>
              </w:rPr>
            </w:pPr>
            <w:r>
              <w:rPr>
                <w:b w:val="0"/>
                <w:color w:val="auto"/>
                <w:sz w:val="20"/>
                <w:szCs w:val="20"/>
              </w:rPr>
              <w:t>29.5</w:t>
            </w:r>
          </w:p>
        </w:tc>
      </w:tr>
      <w:tr w:rsidR="002134A7" w:rsidRPr="0005794A" w:rsidTr="004C1441">
        <w:tc>
          <w:tcPr>
            <w:cnfStyle w:val="001000000000" w:firstRow="0" w:lastRow="0" w:firstColumn="1" w:lastColumn="0" w:oddVBand="0" w:evenVBand="0" w:oddHBand="0" w:evenHBand="0" w:firstRowFirstColumn="0" w:firstRowLastColumn="0" w:lastRowFirstColumn="0" w:lastRowLastColumn="0"/>
            <w:tcW w:w="2017" w:type="dxa"/>
            <w:tcBorders>
              <w:top w:val="single" w:sz="4" w:space="0" w:color="4BACC6" w:themeColor="accent5"/>
              <w:bottom w:val="single" w:sz="4" w:space="0" w:color="4BACC6" w:themeColor="accent5"/>
            </w:tcBorders>
            <w:vAlign w:val="center"/>
          </w:tcPr>
          <w:p w:rsidR="002134A7" w:rsidRPr="00B07474" w:rsidRDefault="002134A7" w:rsidP="002134A7">
            <w:pPr>
              <w:pStyle w:val="BodyTextIndent"/>
              <w:tabs>
                <w:tab w:val="left" w:pos="709"/>
              </w:tabs>
              <w:ind w:left="0"/>
              <w:jc w:val="center"/>
              <w:rPr>
                <w:b w:val="0"/>
                <w:color w:val="auto"/>
                <w:sz w:val="20"/>
                <w:szCs w:val="20"/>
              </w:rPr>
            </w:pPr>
            <w:r w:rsidRPr="00B07474">
              <w:rPr>
                <w:b w:val="0"/>
                <w:color w:val="auto"/>
                <w:sz w:val="20"/>
                <w:szCs w:val="20"/>
              </w:rPr>
              <w:t>64.5</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4BACC6" w:themeColor="accent5"/>
              <w:bottom w:val="single" w:sz="4" w:space="0" w:color="4BACC6" w:themeColor="accent5"/>
            </w:tcBorders>
            <w:vAlign w:val="center"/>
          </w:tcPr>
          <w:p w:rsidR="002134A7" w:rsidRPr="00B07474" w:rsidRDefault="002134A7" w:rsidP="002134A7">
            <w:pPr>
              <w:pStyle w:val="BodyTextIndent"/>
              <w:tabs>
                <w:tab w:val="left" w:pos="709"/>
              </w:tabs>
              <w:ind w:left="0"/>
              <w:rPr>
                <w:color w:val="auto"/>
                <w:sz w:val="20"/>
                <w:szCs w:val="20"/>
              </w:rPr>
            </w:pPr>
            <w:r w:rsidRPr="00B07474">
              <w:rPr>
                <w:color w:val="auto"/>
                <w:sz w:val="20"/>
                <w:szCs w:val="20"/>
              </w:rPr>
              <w:t>Above thirty years</w:t>
            </w:r>
          </w:p>
        </w:tc>
        <w:tc>
          <w:tcPr>
            <w:cnfStyle w:val="000100000000" w:firstRow="0" w:lastRow="0" w:firstColumn="0" w:lastColumn="1" w:oddVBand="0" w:evenVBand="0" w:oddHBand="0" w:evenHBand="0" w:firstRowFirstColumn="0" w:firstRowLastColumn="0" w:lastRowFirstColumn="0" w:lastRowLastColumn="0"/>
            <w:tcW w:w="2268" w:type="dxa"/>
            <w:tcBorders>
              <w:top w:val="single" w:sz="4" w:space="0" w:color="4BACC6" w:themeColor="accent5"/>
              <w:bottom w:val="single" w:sz="4" w:space="0" w:color="4BACC6" w:themeColor="accent5"/>
            </w:tcBorders>
            <w:vAlign w:val="center"/>
          </w:tcPr>
          <w:p w:rsidR="002134A7" w:rsidRPr="00B07474" w:rsidRDefault="002134A7" w:rsidP="002134A7">
            <w:pPr>
              <w:pStyle w:val="BodyTextIndent"/>
              <w:tabs>
                <w:tab w:val="left" w:pos="709"/>
              </w:tabs>
              <w:ind w:left="0"/>
              <w:jc w:val="center"/>
              <w:rPr>
                <w:b w:val="0"/>
                <w:color w:val="auto"/>
                <w:sz w:val="20"/>
                <w:szCs w:val="20"/>
              </w:rPr>
            </w:pPr>
            <w:r>
              <w:rPr>
                <w:b w:val="0"/>
                <w:color w:val="auto"/>
                <w:sz w:val="20"/>
                <w:szCs w:val="20"/>
              </w:rPr>
              <w:t>157.1</w:t>
            </w:r>
          </w:p>
        </w:tc>
      </w:tr>
      <w:tr w:rsidR="00A8408D" w:rsidRPr="0005794A" w:rsidTr="004C144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017" w:type="dxa"/>
            <w:tcBorders>
              <w:top w:val="single" w:sz="4" w:space="0" w:color="4BACC6" w:themeColor="accent5"/>
              <w:bottom w:val="single" w:sz="4" w:space="0" w:color="4BACC6" w:themeColor="accent5"/>
            </w:tcBorders>
            <w:vAlign w:val="center"/>
          </w:tcPr>
          <w:p w:rsidR="00A8408D" w:rsidRPr="00B07474" w:rsidRDefault="00A8408D" w:rsidP="00A8408D">
            <w:pPr>
              <w:pStyle w:val="BodyTextIndent"/>
              <w:tabs>
                <w:tab w:val="left" w:pos="709"/>
              </w:tabs>
              <w:ind w:left="0"/>
              <w:jc w:val="center"/>
              <w:rPr>
                <w:color w:val="auto"/>
                <w:sz w:val="20"/>
                <w:szCs w:val="20"/>
              </w:rPr>
            </w:pPr>
            <w:r w:rsidRPr="00B07474">
              <w:rPr>
                <w:color w:val="auto"/>
                <w:sz w:val="20"/>
                <w:szCs w:val="20"/>
              </w:rPr>
              <w:t>154.4</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4BACC6" w:themeColor="accent5"/>
              <w:bottom w:val="single" w:sz="4" w:space="0" w:color="4BACC6" w:themeColor="accent5"/>
            </w:tcBorders>
            <w:vAlign w:val="center"/>
          </w:tcPr>
          <w:p w:rsidR="00A8408D" w:rsidRPr="00B07474" w:rsidRDefault="00A8408D" w:rsidP="008832F2">
            <w:pPr>
              <w:pStyle w:val="BodyTextIndent"/>
              <w:tabs>
                <w:tab w:val="left" w:pos="709"/>
              </w:tabs>
              <w:ind w:left="0"/>
              <w:rPr>
                <w:color w:val="auto"/>
                <w:sz w:val="20"/>
                <w:szCs w:val="20"/>
              </w:rPr>
            </w:pPr>
            <w:r w:rsidRPr="00B07474">
              <w:rPr>
                <w:color w:val="auto"/>
                <w:sz w:val="20"/>
                <w:szCs w:val="20"/>
              </w:rPr>
              <w:t>Total</w:t>
            </w:r>
          </w:p>
        </w:tc>
        <w:tc>
          <w:tcPr>
            <w:cnfStyle w:val="000100000010" w:firstRow="0" w:lastRow="0" w:firstColumn="0" w:lastColumn="1" w:oddVBand="0" w:evenVBand="0" w:oddHBand="0" w:evenHBand="0" w:firstRowFirstColumn="0" w:firstRowLastColumn="0" w:lastRowFirstColumn="0" w:lastRowLastColumn="1"/>
            <w:tcW w:w="2268" w:type="dxa"/>
            <w:tcBorders>
              <w:top w:val="single" w:sz="4" w:space="0" w:color="4BACC6" w:themeColor="accent5"/>
              <w:bottom w:val="single" w:sz="4" w:space="0" w:color="4BACC6" w:themeColor="accent5"/>
            </w:tcBorders>
            <w:vAlign w:val="center"/>
          </w:tcPr>
          <w:p w:rsidR="00A8408D" w:rsidRPr="00B07474" w:rsidRDefault="00F31DDA" w:rsidP="00206CA0">
            <w:pPr>
              <w:pStyle w:val="BodyTextIndent"/>
              <w:tabs>
                <w:tab w:val="left" w:pos="709"/>
              </w:tabs>
              <w:ind w:left="0"/>
              <w:jc w:val="center"/>
              <w:rPr>
                <w:color w:val="auto"/>
                <w:sz w:val="20"/>
                <w:szCs w:val="20"/>
              </w:rPr>
            </w:pPr>
            <w:r>
              <w:rPr>
                <w:color w:val="auto"/>
                <w:sz w:val="20"/>
                <w:szCs w:val="20"/>
              </w:rPr>
              <w:t>27</w:t>
            </w:r>
            <w:r w:rsidR="00206CA0">
              <w:rPr>
                <w:color w:val="auto"/>
                <w:sz w:val="20"/>
                <w:szCs w:val="20"/>
              </w:rPr>
              <w:t>5</w:t>
            </w:r>
            <w:r>
              <w:rPr>
                <w:color w:val="auto"/>
                <w:sz w:val="20"/>
                <w:szCs w:val="20"/>
              </w:rPr>
              <w:t>.4</w:t>
            </w:r>
          </w:p>
        </w:tc>
      </w:tr>
    </w:tbl>
    <w:p w:rsidR="00E51139" w:rsidRPr="0005794A" w:rsidRDefault="00E51139" w:rsidP="00AD6C46">
      <w:pPr>
        <w:pStyle w:val="BodyTextIndent"/>
        <w:tabs>
          <w:tab w:val="left" w:pos="0"/>
        </w:tabs>
        <w:ind w:left="0"/>
        <w:rPr>
          <w:color w:val="548DD4" w:themeColor="text2" w:themeTint="99"/>
          <w:sz w:val="20"/>
          <w:szCs w:val="20"/>
        </w:rPr>
      </w:pPr>
    </w:p>
    <w:p w:rsidR="00E51139" w:rsidRPr="000A05CC" w:rsidRDefault="00E51139" w:rsidP="00614653">
      <w:pPr>
        <w:pStyle w:val="BodyTextIndent"/>
        <w:tabs>
          <w:tab w:val="left" w:pos="0"/>
        </w:tabs>
        <w:ind w:left="567"/>
        <w:rPr>
          <w:color w:val="auto"/>
          <w:sz w:val="20"/>
          <w:szCs w:val="20"/>
        </w:rPr>
      </w:pPr>
      <w:r w:rsidRPr="000A05CC">
        <w:rPr>
          <w:color w:val="auto"/>
          <w:sz w:val="20"/>
          <w:szCs w:val="20"/>
        </w:rPr>
        <w:t>The Council monitors and manages its cash flow on a daily basis to ensure it has, at all times, short term liquidity to meet payables and other liabilities.</w:t>
      </w:r>
    </w:p>
    <w:p w:rsidR="00E51139" w:rsidRPr="000A05CC" w:rsidRDefault="00E51139" w:rsidP="008D0906">
      <w:pPr>
        <w:pStyle w:val="BodyTextIndent"/>
        <w:tabs>
          <w:tab w:val="left" w:pos="567"/>
        </w:tabs>
        <w:ind w:left="567"/>
        <w:outlineLvl w:val="0"/>
        <w:rPr>
          <w:b/>
          <w:color w:val="auto"/>
          <w:sz w:val="20"/>
          <w:szCs w:val="20"/>
        </w:rPr>
      </w:pPr>
      <w:r w:rsidRPr="000A05CC">
        <w:rPr>
          <w:b/>
          <w:color w:val="auto"/>
          <w:sz w:val="20"/>
          <w:szCs w:val="20"/>
        </w:rPr>
        <w:t>Market Risk</w:t>
      </w:r>
    </w:p>
    <w:p w:rsidR="00A03B34" w:rsidRPr="000A05CC" w:rsidRDefault="00E51139" w:rsidP="009F6115">
      <w:pPr>
        <w:pStyle w:val="BodyTextIndent"/>
        <w:tabs>
          <w:tab w:val="left" w:pos="0"/>
        </w:tabs>
        <w:ind w:left="567"/>
        <w:rPr>
          <w:color w:val="auto"/>
          <w:sz w:val="20"/>
          <w:szCs w:val="20"/>
        </w:rPr>
      </w:pPr>
      <w:r w:rsidRPr="000A05CC">
        <w:rPr>
          <w:color w:val="auto"/>
          <w:sz w:val="20"/>
          <w:szCs w:val="20"/>
        </w:rPr>
        <w:t>There are three market related risks the Council is aware of: Interest Rate Risk, Price Risk and Foreign Exchange Risk. Further detail of each risk is outlined below:</w:t>
      </w:r>
    </w:p>
    <w:p w:rsidR="00E51139" w:rsidRPr="000A05CC" w:rsidRDefault="00E51139" w:rsidP="008D0906">
      <w:pPr>
        <w:pStyle w:val="BodyTextIndent"/>
        <w:tabs>
          <w:tab w:val="left" w:pos="567"/>
        </w:tabs>
        <w:ind w:left="567"/>
        <w:outlineLvl w:val="0"/>
        <w:rPr>
          <w:b/>
          <w:color w:val="auto"/>
          <w:sz w:val="20"/>
          <w:szCs w:val="20"/>
        </w:rPr>
      </w:pPr>
      <w:r w:rsidRPr="000A05CC">
        <w:rPr>
          <w:b/>
          <w:color w:val="auto"/>
          <w:sz w:val="20"/>
          <w:szCs w:val="20"/>
        </w:rPr>
        <w:t>Interest Rate Risk</w:t>
      </w:r>
    </w:p>
    <w:p w:rsidR="00E51139" w:rsidRPr="000A05CC" w:rsidRDefault="00E51139" w:rsidP="009F6115">
      <w:pPr>
        <w:pStyle w:val="BodyTextIndent"/>
        <w:tabs>
          <w:tab w:val="left" w:pos="0"/>
        </w:tabs>
        <w:ind w:left="567"/>
        <w:rPr>
          <w:color w:val="auto"/>
          <w:sz w:val="20"/>
          <w:szCs w:val="20"/>
        </w:rPr>
      </w:pPr>
      <w:r w:rsidRPr="000A05CC">
        <w:rPr>
          <w:color w:val="auto"/>
          <w:sz w:val="20"/>
          <w:szCs w:val="20"/>
        </w:rPr>
        <w:t>The Council is exposed to risk in terms of its exposure to interest rate movements on its borrowing and investments. Movements in interest rates have a complex impact on the Council. For example a rise in interest rates would have the following effects:</w:t>
      </w:r>
    </w:p>
    <w:p w:rsidR="00E51139" w:rsidRPr="000A05CC" w:rsidRDefault="00E51139" w:rsidP="00FC32F1">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0A05CC">
        <w:rPr>
          <w:color w:val="auto"/>
          <w:sz w:val="20"/>
          <w:szCs w:val="20"/>
        </w:rPr>
        <w:t>borrowings at variable rates – the interest expenses charged to the Comprehensive Income and Expenditure will rise</w:t>
      </w:r>
    </w:p>
    <w:p w:rsidR="00E51139" w:rsidRPr="000A05CC" w:rsidRDefault="00E51139" w:rsidP="00FC32F1">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0A05CC">
        <w:rPr>
          <w:color w:val="auto"/>
          <w:sz w:val="20"/>
          <w:szCs w:val="20"/>
        </w:rPr>
        <w:lastRenderedPageBreak/>
        <w:t>borrowings at fixed rates  - the fair value of the liabilities borrowings will rise</w:t>
      </w:r>
    </w:p>
    <w:p w:rsidR="00E51139" w:rsidRPr="000A05CC" w:rsidRDefault="00E51139" w:rsidP="00FC32F1">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0A05CC">
        <w:rPr>
          <w:color w:val="auto"/>
          <w:sz w:val="20"/>
          <w:szCs w:val="20"/>
        </w:rPr>
        <w:t>investments at variable rates – the interest income credited to the Comprehensive Income and Expenditure will rise</w:t>
      </w:r>
    </w:p>
    <w:p w:rsidR="00E51139" w:rsidRPr="000A05CC" w:rsidRDefault="00E51139" w:rsidP="00FC32F1">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0A05CC">
        <w:rPr>
          <w:color w:val="auto"/>
          <w:sz w:val="20"/>
          <w:szCs w:val="20"/>
        </w:rPr>
        <w:t xml:space="preserve">investments at fixed rates - the fair value of the assets will fall </w:t>
      </w:r>
    </w:p>
    <w:p w:rsidR="00E51139" w:rsidRPr="000A05CC" w:rsidRDefault="00E51139" w:rsidP="009F6115">
      <w:pPr>
        <w:pStyle w:val="BodyTextIndent"/>
        <w:tabs>
          <w:tab w:val="left" w:pos="0"/>
        </w:tabs>
        <w:ind w:left="567"/>
        <w:rPr>
          <w:color w:val="auto"/>
          <w:sz w:val="20"/>
          <w:szCs w:val="20"/>
        </w:rPr>
      </w:pPr>
      <w:r w:rsidRPr="000A05CC">
        <w:rPr>
          <w:color w:val="auto"/>
          <w:sz w:val="20"/>
          <w:szCs w:val="20"/>
        </w:rPr>
        <w:t xml:space="preserve"> </w:t>
      </w:r>
    </w:p>
    <w:p w:rsidR="00E51139" w:rsidRPr="000A05CC" w:rsidRDefault="00E51139" w:rsidP="009F6115">
      <w:pPr>
        <w:pStyle w:val="BodyTextIndent"/>
        <w:tabs>
          <w:tab w:val="left" w:pos="709"/>
        </w:tabs>
        <w:ind w:left="567"/>
        <w:rPr>
          <w:color w:val="auto"/>
          <w:sz w:val="20"/>
          <w:szCs w:val="20"/>
        </w:rPr>
      </w:pPr>
      <w:r w:rsidRPr="000A05CC">
        <w:rPr>
          <w:color w:val="auto"/>
          <w:sz w:val="20"/>
          <w:szCs w:val="20"/>
        </w:rPr>
        <w:t>Where the Council has borrow</w:t>
      </w:r>
      <w:r w:rsidR="003426EF" w:rsidRPr="000A05CC">
        <w:rPr>
          <w:color w:val="auto"/>
          <w:sz w:val="20"/>
          <w:szCs w:val="20"/>
        </w:rPr>
        <w:t>ed</w:t>
      </w:r>
      <w:r w:rsidRPr="000A05CC">
        <w:rPr>
          <w:color w:val="auto"/>
          <w:sz w:val="20"/>
          <w:szCs w:val="20"/>
        </w:rPr>
        <w:t xml:space="preserve"> on a fixed rate basis there will be no variation between the carrying value and fair value, so nominal gains and losses on fixed rate borrowings would not impact on the Income and Expenditure account or Movement in Reserves Statement (MIRS). However any changes in interest payable and receivable on variable rate borrowings and investments will be posted to the Income </w:t>
      </w:r>
      <w:r w:rsidR="000A05CC" w:rsidRPr="000A05CC">
        <w:rPr>
          <w:color w:val="auto"/>
          <w:sz w:val="20"/>
          <w:szCs w:val="20"/>
        </w:rPr>
        <w:t>and Expenditure and effect the G</w:t>
      </w:r>
      <w:r w:rsidRPr="000A05CC">
        <w:rPr>
          <w:color w:val="auto"/>
          <w:sz w:val="20"/>
          <w:szCs w:val="20"/>
        </w:rPr>
        <w:t xml:space="preserve">eneral Fund Balance. </w:t>
      </w:r>
    </w:p>
    <w:p w:rsidR="00E51139" w:rsidRPr="003B265B" w:rsidRDefault="00E51139" w:rsidP="009F6115">
      <w:pPr>
        <w:pStyle w:val="BodyTextIndent"/>
        <w:tabs>
          <w:tab w:val="left" w:pos="709"/>
        </w:tabs>
        <w:ind w:left="567"/>
        <w:rPr>
          <w:color w:val="auto"/>
          <w:sz w:val="20"/>
          <w:szCs w:val="20"/>
        </w:rPr>
      </w:pPr>
      <w:r w:rsidRPr="003B265B">
        <w:rPr>
          <w:color w:val="auto"/>
          <w:sz w:val="20"/>
          <w:szCs w:val="20"/>
        </w:rPr>
        <w:t>The Council has a number of strategies for managing interest rate risk. Its policy is to limit its exposure to variable rate loans. As at 31</w:t>
      </w:r>
      <w:r w:rsidRPr="003B265B">
        <w:rPr>
          <w:color w:val="auto"/>
          <w:sz w:val="20"/>
          <w:szCs w:val="20"/>
          <w:vertAlign w:val="superscript"/>
        </w:rPr>
        <w:t>st</w:t>
      </w:r>
      <w:r w:rsidRPr="003B265B">
        <w:rPr>
          <w:color w:val="auto"/>
          <w:sz w:val="20"/>
          <w:szCs w:val="20"/>
        </w:rPr>
        <w:t xml:space="preserve"> March 201</w:t>
      </w:r>
      <w:r w:rsidR="003B265B" w:rsidRPr="003B265B">
        <w:rPr>
          <w:color w:val="auto"/>
          <w:sz w:val="20"/>
          <w:szCs w:val="20"/>
        </w:rPr>
        <w:t>8</w:t>
      </w:r>
      <w:r w:rsidRPr="003B265B">
        <w:rPr>
          <w:color w:val="auto"/>
          <w:sz w:val="20"/>
          <w:szCs w:val="20"/>
        </w:rPr>
        <w:t xml:space="preserve"> the Council </w:t>
      </w:r>
      <w:r w:rsidR="007912C7" w:rsidRPr="003B265B">
        <w:rPr>
          <w:color w:val="auto"/>
          <w:sz w:val="20"/>
          <w:szCs w:val="20"/>
        </w:rPr>
        <w:t>didn’</w:t>
      </w:r>
      <w:r w:rsidR="000212CA" w:rsidRPr="003B265B">
        <w:rPr>
          <w:color w:val="auto"/>
          <w:sz w:val="20"/>
          <w:szCs w:val="20"/>
        </w:rPr>
        <w:t>t</w:t>
      </w:r>
      <w:r w:rsidR="007912C7" w:rsidRPr="003B265B">
        <w:rPr>
          <w:color w:val="auto"/>
          <w:sz w:val="20"/>
          <w:szCs w:val="20"/>
        </w:rPr>
        <w:t xml:space="preserve"> have any PWLB </w:t>
      </w:r>
      <w:r w:rsidRPr="003B265B">
        <w:rPr>
          <w:color w:val="auto"/>
          <w:sz w:val="20"/>
          <w:szCs w:val="20"/>
        </w:rPr>
        <w:t xml:space="preserve">borrowing at variable interest rates </w:t>
      </w:r>
      <w:r w:rsidR="00365143" w:rsidRPr="003B265B">
        <w:rPr>
          <w:color w:val="auto"/>
          <w:sz w:val="20"/>
          <w:szCs w:val="20"/>
        </w:rPr>
        <w:t xml:space="preserve">however the Council does have </w:t>
      </w:r>
      <w:r w:rsidRPr="003B265B">
        <w:rPr>
          <w:color w:val="auto"/>
          <w:sz w:val="20"/>
          <w:szCs w:val="20"/>
        </w:rPr>
        <w:t>£</w:t>
      </w:r>
      <w:r w:rsidR="00490733" w:rsidRPr="003B265B">
        <w:rPr>
          <w:color w:val="auto"/>
          <w:sz w:val="20"/>
          <w:szCs w:val="20"/>
        </w:rPr>
        <w:t>5</w:t>
      </w:r>
      <w:r w:rsidR="009F5274" w:rsidRPr="003B265B">
        <w:rPr>
          <w:color w:val="auto"/>
          <w:sz w:val="20"/>
          <w:szCs w:val="20"/>
        </w:rPr>
        <w:t>m</w:t>
      </w:r>
      <w:r w:rsidRPr="003B265B">
        <w:rPr>
          <w:color w:val="auto"/>
          <w:sz w:val="20"/>
          <w:szCs w:val="20"/>
        </w:rPr>
        <w:t xml:space="preserve"> </w:t>
      </w:r>
      <w:r w:rsidR="00032333" w:rsidRPr="003B265B">
        <w:rPr>
          <w:color w:val="auto"/>
          <w:sz w:val="20"/>
          <w:szCs w:val="20"/>
        </w:rPr>
        <w:t>i</w:t>
      </w:r>
      <w:r w:rsidRPr="003B265B">
        <w:rPr>
          <w:color w:val="auto"/>
          <w:sz w:val="20"/>
          <w:szCs w:val="20"/>
        </w:rPr>
        <w:t xml:space="preserve">n </w:t>
      </w:r>
      <w:r w:rsidR="00490733" w:rsidRPr="003B265B">
        <w:rPr>
          <w:color w:val="auto"/>
          <w:sz w:val="20"/>
          <w:szCs w:val="20"/>
        </w:rPr>
        <w:t xml:space="preserve">a </w:t>
      </w:r>
      <w:r w:rsidRPr="003B265B">
        <w:rPr>
          <w:color w:val="auto"/>
          <w:sz w:val="20"/>
          <w:szCs w:val="20"/>
        </w:rPr>
        <w:t xml:space="preserve">market loans (LOBO) where in future years the rates could vary. </w:t>
      </w:r>
    </w:p>
    <w:p w:rsidR="00E51139" w:rsidRPr="000A05CC" w:rsidRDefault="00E51139" w:rsidP="009F6115">
      <w:pPr>
        <w:pStyle w:val="BodyTextIndent"/>
        <w:tabs>
          <w:tab w:val="left" w:pos="567"/>
        </w:tabs>
        <w:ind w:left="567"/>
        <w:rPr>
          <w:color w:val="auto"/>
          <w:sz w:val="20"/>
          <w:szCs w:val="20"/>
        </w:rPr>
      </w:pPr>
      <w:r w:rsidRPr="000A05CC">
        <w:rPr>
          <w:color w:val="auto"/>
          <w:sz w:val="20"/>
          <w:szCs w:val="20"/>
        </w:rPr>
        <w:t xml:space="preserve">The Council’s treasury management team has an active strategy for assessing interest rate exposure that supports the setting of the annual budget and which is used to proactively manage the Council’s investments and borrowings during a year. </w:t>
      </w:r>
    </w:p>
    <w:p w:rsidR="00E51139" w:rsidRPr="003B265B" w:rsidRDefault="00E51139" w:rsidP="009F6115">
      <w:pPr>
        <w:pStyle w:val="BodyTextIndent"/>
        <w:tabs>
          <w:tab w:val="left" w:pos="709"/>
        </w:tabs>
        <w:ind w:left="567"/>
        <w:rPr>
          <w:color w:val="auto"/>
          <w:sz w:val="20"/>
          <w:szCs w:val="20"/>
        </w:rPr>
      </w:pPr>
      <w:r w:rsidRPr="003B265B">
        <w:rPr>
          <w:color w:val="auto"/>
          <w:sz w:val="20"/>
          <w:szCs w:val="20"/>
        </w:rPr>
        <w:t>If on the 31</w:t>
      </w:r>
      <w:r w:rsidRPr="003B265B">
        <w:rPr>
          <w:color w:val="auto"/>
          <w:sz w:val="20"/>
          <w:szCs w:val="20"/>
          <w:vertAlign w:val="superscript"/>
        </w:rPr>
        <w:t>st</w:t>
      </w:r>
      <w:r w:rsidRPr="003B265B">
        <w:rPr>
          <w:color w:val="auto"/>
          <w:sz w:val="20"/>
          <w:szCs w:val="20"/>
        </w:rPr>
        <w:t xml:space="preserve"> March 201</w:t>
      </w:r>
      <w:r w:rsidR="003B265B">
        <w:rPr>
          <w:color w:val="auto"/>
          <w:sz w:val="20"/>
          <w:szCs w:val="20"/>
        </w:rPr>
        <w:t>8</w:t>
      </w:r>
      <w:r w:rsidRPr="003B265B">
        <w:rPr>
          <w:color w:val="auto"/>
          <w:sz w:val="20"/>
          <w:szCs w:val="20"/>
        </w:rPr>
        <w:t xml:space="preserve"> the interest rates are 1% higher than the actual interest rates the financial impact would be:</w:t>
      </w:r>
    </w:p>
    <w:p w:rsidR="00E51139" w:rsidRPr="003B265B" w:rsidRDefault="00E51139" w:rsidP="009F6115">
      <w:pPr>
        <w:pStyle w:val="BodyTextIndent"/>
        <w:tabs>
          <w:tab w:val="left" w:pos="567"/>
        </w:tabs>
        <w:ind w:left="567"/>
        <w:rPr>
          <w:color w:val="auto"/>
          <w:sz w:val="20"/>
          <w:szCs w:val="20"/>
        </w:rPr>
      </w:pPr>
      <w:r w:rsidRPr="003B265B">
        <w:rPr>
          <w:color w:val="auto"/>
          <w:sz w:val="20"/>
          <w:szCs w:val="20"/>
        </w:rPr>
        <w:t>a) Borrowing:</w:t>
      </w:r>
    </w:p>
    <w:p w:rsidR="00E51139" w:rsidRPr="003B265B" w:rsidRDefault="00E51139" w:rsidP="009F6115">
      <w:pPr>
        <w:pStyle w:val="BodyTextIndent"/>
        <w:tabs>
          <w:tab w:val="left" w:pos="567"/>
        </w:tabs>
        <w:ind w:left="567"/>
        <w:rPr>
          <w:color w:val="auto"/>
          <w:sz w:val="20"/>
          <w:szCs w:val="20"/>
        </w:rPr>
      </w:pPr>
      <w:r w:rsidRPr="003B265B">
        <w:rPr>
          <w:color w:val="auto"/>
          <w:sz w:val="20"/>
          <w:szCs w:val="20"/>
        </w:rPr>
        <w:t>The Council had no variable rate borrowing as at 31st March 201</w:t>
      </w:r>
      <w:r w:rsidR="003B265B" w:rsidRPr="003B265B">
        <w:rPr>
          <w:color w:val="auto"/>
          <w:sz w:val="20"/>
          <w:szCs w:val="20"/>
        </w:rPr>
        <w:t>8</w:t>
      </w:r>
      <w:r w:rsidRPr="003B265B">
        <w:rPr>
          <w:color w:val="auto"/>
          <w:sz w:val="20"/>
          <w:szCs w:val="20"/>
        </w:rPr>
        <w:t xml:space="preserve"> so there would be no impact. </w:t>
      </w:r>
    </w:p>
    <w:p w:rsidR="00E51139" w:rsidRPr="002F0F89" w:rsidRDefault="00E51139" w:rsidP="009F6115">
      <w:pPr>
        <w:pStyle w:val="BodyTextIndent"/>
        <w:tabs>
          <w:tab w:val="left" w:pos="567"/>
        </w:tabs>
        <w:ind w:left="567"/>
        <w:rPr>
          <w:color w:val="auto"/>
          <w:sz w:val="20"/>
          <w:szCs w:val="20"/>
        </w:rPr>
      </w:pPr>
      <w:r w:rsidRPr="002F0F89">
        <w:rPr>
          <w:color w:val="auto"/>
          <w:sz w:val="20"/>
          <w:szCs w:val="20"/>
        </w:rPr>
        <w:t>b) Investments</w:t>
      </w:r>
      <w:r w:rsidR="00930218" w:rsidRPr="002F0F89">
        <w:rPr>
          <w:color w:val="auto"/>
          <w:sz w:val="20"/>
          <w:szCs w:val="20"/>
        </w:rPr>
        <w:t>:</w:t>
      </w:r>
    </w:p>
    <w:p w:rsidR="00E51139" w:rsidRPr="002F0F89" w:rsidRDefault="00E51139" w:rsidP="009F6115">
      <w:pPr>
        <w:pStyle w:val="BodyTextIndent"/>
        <w:tabs>
          <w:tab w:val="left" w:pos="567"/>
        </w:tabs>
        <w:ind w:left="567"/>
        <w:rPr>
          <w:color w:val="auto"/>
          <w:sz w:val="20"/>
          <w:szCs w:val="20"/>
        </w:rPr>
      </w:pPr>
      <w:r w:rsidRPr="002F0F89">
        <w:rPr>
          <w:color w:val="auto"/>
          <w:sz w:val="20"/>
          <w:szCs w:val="20"/>
        </w:rPr>
        <w:t xml:space="preserve">It is reasonable to assume that the Council’s investments in “cash” accounts, money market funds and the fund </w:t>
      </w:r>
      <w:proofErr w:type="spellStart"/>
      <w:r w:rsidRPr="002F0F89">
        <w:rPr>
          <w:color w:val="auto"/>
          <w:sz w:val="20"/>
          <w:szCs w:val="20"/>
        </w:rPr>
        <w:t>manger</w:t>
      </w:r>
      <w:proofErr w:type="spellEnd"/>
      <w:r w:rsidRPr="002F0F89">
        <w:rPr>
          <w:color w:val="auto"/>
          <w:sz w:val="20"/>
          <w:szCs w:val="20"/>
        </w:rPr>
        <w:t xml:space="preserve"> should increase by the change in interest rates. If the Council’s investment in these instruments were maintained at the level as at 31st March 201</w:t>
      </w:r>
      <w:r w:rsidR="00812AB6" w:rsidRPr="002F0F89">
        <w:rPr>
          <w:color w:val="auto"/>
          <w:sz w:val="20"/>
          <w:szCs w:val="20"/>
        </w:rPr>
        <w:t>7</w:t>
      </w:r>
      <w:r w:rsidR="00C06681" w:rsidRPr="002F0F89">
        <w:rPr>
          <w:color w:val="auto"/>
          <w:sz w:val="20"/>
          <w:szCs w:val="20"/>
        </w:rPr>
        <w:t xml:space="preserve"> </w:t>
      </w:r>
      <w:r w:rsidRPr="002F0F89">
        <w:rPr>
          <w:color w:val="auto"/>
          <w:sz w:val="20"/>
          <w:szCs w:val="20"/>
        </w:rPr>
        <w:t>for a full financial year, this would generate an additional £</w:t>
      </w:r>
      <w:r w:rsidR="005E7033" w:rsidRPr="002F0F89">
        <w:rPr>
          <w:color w:val="auto"/>
          <w:sz w:val="20"/>
          <w:szCs w:val="20"/>
        </w:rPr>
        <w:t>0.</w:t>
      </w:r>
      <w:r w:rsidR="000A05CC" w:rsidRPr="002F0F89">
        <w:rPr>
          <w:color w:val="auto"/>
          <w:sz w:val="20"/>
          <w:szCs w:val="20"/>
        </w:rPr>
        <w:t>6</w:t>
      </w:r>
      <w:r w:rsidRPr="002F0F89">
        <w:rPr>
          <w:color w:val="auto"/>
          <w:sz w:val="20"/>
          <w:szCs w:val="20"/>
        </w:rPr>
        <w:t>m over a year</w:t>
      </w:r>
      <w:r w:rsidR="000A05CC" w:rsidRPr="002F0F89">
        <w:rPr>
          <w:color w:val="auto"/>
          <w:sz w:val="20"/>
          <w:szCs w:val="20"/>
        </w:rPr>
        <w:t xml:space="preserve"> if rates incre</w:t>
      </w:r>
      <w:r w:rsidR="002F0F89" w:rsidRPr="002F0F89">
        <w:rPr>
          <w:color w:val="auto"/>
          <w:sz w:val="20"/>
          <w:szCs w:val="20"/>
        </w:rPr>
        <w:t>a</w:t>
      </w:r>
      <w:r w:rsidR="000A05CC" w:rsidRPr="002F0F89">
        <w:rPr>
          <w:color w:val="auto"/>
          <w:sz w:val="20"/>
          <w:szCs w:val="20"/>
        </w:rPr>
        <w:t>se by 1%</w:t>
      </w:r>
      <w:r w:rsidRPr="002F0F89">
        <w:rPr>
          <w:color w:val="auto"/>
          <w:sz w:val="20"/>
          <w:szCs w:val="20"/>
        </w:rPr>
        <w:t xml:space="preserve">. It should be noted that if the interest rate increase was forecast it is likely the profile of fixed rate deposits would have been invested on that basis. </w:t>
      </w:r>
    </w:p>
    <w:p w:rsidR="00E51139" w:rsidRPr="002F0F89" w:rsidRDefault="00E51139" w:rsidP="009F6115">
      <w:pPr>
        <w:pStyle w:val="BodyTextIndent"/>
        <w:tabs>
          <w:tab w:val="left" w:pos="567"/>
        </w:tabs>
        <w:ind w:left="567"/>
        <w:rPr>
          <w:color w:val="auto"/>
          <w:sz w:val="20"/>
          <w:szCs w:val="20"/>
        </w:rPr>
      </w:pPr>
      <w:r w:rsidRPr="002F0F89">
        <w:rPr>
          <w:color w:val="auto"/>
          <w:sz w:val="20"/>
          <w:szCs w:val="20"/>
        </w:rPr>
        <w:t xml:space="preserve">The impact of a 1% fall in interest rates would be as above but with the movements being reversed. </w:t>
      </w:r>
    </w:p>
    <w:p w:rsidR="00E51139" w:rsidRPr="002F0F89" w:rsidRDefault="00E51139" w:rsidP="008D0906">
      <w:pPr>
        <w:pStyle w:val="BodyTextIndent"/>
        <w:tabs>
          <w:tab w:val="left" w:pos="567"/>
        </w:tabs>
        <w:ind w:left="567"/>
        <w:outlineLvl w:val="0"/>
        <w:rPr>
          <w:b/>
          <w:color w:val="auto"/>
          <w:sz w:val="20"/>
          <w:szCs w:val="20"/>
        </w:rPr>
      </w:pPr>
      <w:r w:rsidRPr="002F0F89">
        <w:rPr>
          <w:b/>
          <w:color w:val="auto"/>
          <w:sz w:val="20"/>
          <w:szCs w:val="20"/>
        </w:rPr>
        <w:t>Price Risk</w:t>
      </w:r>
    </w:p>
    <w:p w:rsidR="00E51139" w:rsidRPr="002F0F89" w:rsidRDefault="00E51139" w:rsidP="009F6115">
      <w:pPr>
        <w:pStyle w:val="BodyTextIndent"/>
        <w:tabs>
          <w:tab w:val="left" w:pos="709"/>
        </w:tabs>
        <w:ind w:left="567"/>
        <w:rPr>
          <w:color w:val="auto"/>
          <w:sz w:val="20"/>
          <w:szCs w:val="20"/>
        </w:rPr>
      </w:pPr>
      <w:r w:rsidRPr="002F0F89">
        <w:rPr>
          <w:color w:val="auto"/>
          <w:sz w:val="20"/>
          <w:szCs w:val="20"/>
        </w:rPr>
        <w:t xml:space="preserve">The Council does not generally invest in equity shares. The Council does have an equity interest in a number of companies </w:t>
      </w:r>
      <w:r w:rsidR="001C1FC9" w:rsidRPr="002F0F89">
        <w:rPr>
          <w:color w:val="auto"/>
          <w:sz w:val="20"/>
          <w:szCs w:val="20"/>
        </w:rPr>
        <w:t>as part of service delivery</w:t>
      </w:r>
      <w:r w:rsidRPr="002F0F89">
        <w:rPr>
          <w:color w:val="auto"/>
          <w:sz w:val="20"/>
          <w:szCs w:val="20"/>
        </w:rPr>
        <w:t xml:space="preserve">. Of these, only the </w:t>
      </w:r>
      <w:r w:rsidR="001A276C" w:rsidRPr="002F0F89">
        <w:rPr>
          <w:color w:val="auto"/>
          <w:sz w:val="20"/>
          <w:szCs w:val="20"/>
        </w:rPr>
        <w:t xml:space="preserve">Council’s minority </w:t>
      </w:r>
      <w:proofErr w:type="spellStart"/>
      <w:r w:rsidRPr="002F0F89">
        <w:rPr>
          <w:color w:val="auto"/>
          <w:sz w:val="20"/>
          <w:szCs w:val="20"/>
        </w:rPr>
        <w:t>share holding</w:t>
      </w:r>
      <w:proofErr w:type="spellEnd"/>
      <w:r w:rsidRPr="002F0F89">
        <w:rPr>
          <w:color w:val="auto"/>
          <w:sz w:val="20"/>
          <w:szCs w:val="20"/>
        </w:rPr>
        <w:t xml:space="preserve"> in TOR2 could lead to a realised share of profits. </w:t>
      </w:r>
      <w:r w:rsidR="00812AB6" w:rsidRPr="002F0F89">
        <w:rPr>
          <w:color w:val="auto"/>
          <w:sz w:val="20"/>
          <w:szCs w:val="20"/>
        </w:rPr>
        <w:t>The Council’s holding in the CCLA property fund will vary in price de</w:t>
      </w:r>
      <w:r w:rsidR="004C5E98" w:rsidRPr="002F0F89">
        <w:rPr>
          <w:color w:val="auto"/>
          <w:sz w:val="20"/>
          <w:szCs w:val="20"/>
        </w:rPr>
        <w:t>pending o</w:t>
      </w:r>
      <w:r w:rsidR="00812AB6" w:rsidRPr="002F0F89">
        <w:rPr>
          <w:color w:val="auto"/>
          <w:sz w:val="20"/>
          <w:szCs w:val="20"/>
        </w:rPr>
        <w:t>n the Fund’s performance.</w:t>
      </w:r>
    </w:p>
    <w:p w:rsidR="00E51139" w:rsidRPr="002F0F89" w:rsidRDefault="00E51139" w:rsidP="008D0906">
      <w:pPr>
        <w:pStyle w:val="BodyTextIndent"/>
        <w:tabs>
          <w:tab w:val="left" w:pos="567"/>
        </w:tabs>
        <w:ind w:left="567"/>
        <w:outlineLvl w:val="0"/>
        <w:rPr>
          <w:b/>
          <w:color w:val="auto"/>
          <w:sz w:val="20"/>
          <w:szCs w:val="20"/>
        </w:rPr>
      </w:pPr>
      <w:r w:rsidRPr="002F0F89">
        <w:rPr>
          <w:b/>
          <w:color w:val="auto"/>
          <w:sz w:val="20"/>
          <w:szCs w:val="20"/>
        </w:rPr>
        <w:t>Foreign Exchange Risk</w:t>
      </w:r>
    </w:p>
    <w:p w:rsidR="00E51139" w:rsidRPr="002F0F89" w:rsidRDefault="00E51139" w:rsidP="009F6115">
      <w:pPr>
        <w:pStyle w:val="BodyTextIndent"/>
        <w:tabs>
          <w:tab w:val="left" w:pos="567"/>
        </w:tabs>
        <w:ind w:left="567"/>
        <w:rPr>
          <w:color w:val="auto"/>
          <w:sz w:val="20"/>
          <w:szCs w:val="20"/>
        </w:rPr>
      </w:pPr>
      <w:r w:rsidRPr="002F0F89">
        <w:rPr>
          <w:color w:val="auto"/>
          <w:sz w:val="20"/>
          <w:szCs w:val="20"/>
        </w:rPr>
        <w:t>The Council has no financial assets or liabilities denominated in foreign currencies (except for an occasional non sterling creditor payment) and thus have no exposure to loss arising from movements in exchange rates.</w:t>
      </w:r>
    </w:p>
    <w:p w:rsidR="005C6E43" w:rsidRDefault="005C6E43" w:rsidP="009F6115">
      <w:pPr>
        <w:pStyle w:val="BodyTextIndent"/>
        <w:tabs>
          <w:tab w:val="left" w:pos="567"/>
        </w:tabs>
        <w:ind w:left="567"/>
        <w:rPr>
          <w:color w:val="548DD4" w:themeColor="text2" w:themeTint="99"/>
          <w:sz w:val="20"/>
          <w:szCs w:val="20"/>
        </w:rPr>
      </w:pPr>
    </w:p>
    <w:p w:rsidR="00262F42" w:rsidRDefault="00262F42" w:rsidP="009F6115">
      <w:pPr>
        <w:pStyle w:val="BodyTextIndent"/>
        <w:tabs>
          <w:tab w:val="left" w:pos="567"/>
        </w:tabs>
        <w:ind w:left="567"/>
        <w:rPr>
          <w:color w:val="548DD4" w:themeColor="text2" w:themeTint="99"/>
          <w:sz w:val="20"/>
          <w:szCs w:val="20"/>
        </w:rPr>
      </w:pPr>
    </w:p>
    <w:p w:rsidR="00262F42" w:rsidRDefault="00262F42" w:rsidP="009F6115">
      <w:pPr>
        <w:pStyle w:val="BodyTextIndent"/>
        <w:tabs>
          <w:tab w:val="left" w:pos="567"/>
        </w:tabs>
        <w:ind w:left="567"/>
        <w:rPr>
          <w:color w:val="548DD4" w:themeColor="text2" w:themeTint="99"/>
          <w:sz w:val="20"/>
          <w:szCs w:val="20"/>
        </w:rPr>
      </w:pPr>
    </w:p>
    <w:p w:rsidR="00262F42" w:rsidRDefault="00262F42" w:rsidP="009F6115">
      <w:pPr>
        <w:pStyle w:val="BodyTextIndent"/>
        <w:tabs>
          <w:tab w:val="left" w:pos="567"/>
        </w:tabs>
        <w:ind w:left="567"/>
        <w:rPr>
          <w:color w:val="548DD4" w:themeColor="text2" w:themeTint="99"/>
          <w:sz w:val="20"/>
          <w:szCs w:val="20"/>
        </w:rPr>
      </w:pPr>
    </w:p>
    <w:p w:rsidR="00262F42" w:rsidRPr="0005794A" w:rsidRDefault="00262F42" w:rsidP="009F6115">
      <w:pPr>
        <w:pStyle w:val="BodyTextIndent"/>
        <w:tabs>
          <w:tab w:val="left" w:pos="567"/>
        </w:tabs>
        <w:ind w:left="567"/>
        <w:rPr>
          <w:color w:val="548DD4" w:themeColor="text2" w:themeTint="99"/>
          <w:sz w:val="20"/>
          <w:szCs w:val="20"/>
        </w:rPr>
      </w:pPr>
    </w:p>
    <w:p w:rsidR="00E51139" w:rsidRPr="003B265B" w:rsidRDefault="00E51139" w:rsidP="009F6115">
      <w:pPr>
        <w:pStyle w:val="Subtitle"/>
        <w:ind w:left="567" w:hanging="567"/>
        <w:rPr>
          <w:b/>
          <w:color w:val="auto"/>
          <w:sz w:val="22"/>
          <w:szCs w:val="22"/>
        </w:rPr>
      </w:pPr>
      <w:r w:rsidRPr="003B265B">
        <w:rPr>
          <w:b/>
          <w:color w:val="auto"/>
          <w:sz w:val="22"/>
          <w:szCs w:val="22"/>
        </w:rPr>
        <w:lastRenderedPageBreak/>
        <w:t>1</w:t>
      </w:r>
      <w:r w:rsidR="005F70BB" w:rsidRPr="003B265B">
        <w:rPr>
          <w:b/>
          <w:color w:val="auto"/>
          <w:sz w:val="22"/>
          <w:szCs w:val="22"/>
        </w:rPr>
        <w:t>8</w:t>
      </w:r>
      <w:r w:rsidR="009F6115" w:rsidRPr="003B265B">
        <w:rPr>
          <w:b/>
          <w:color w:val="auto"/>
          <w:sz w:val="22"/>
          <w:szCs w:val="22"/>
        </w:rPr>
        <w:t>.</w:t>
      </w:r>
      <w:r w:rsidRPr="003B265B">
        <w:rPr>
          <w:b/>
          <w:color w:val="auto"/>
          <w:sz w:val="22"/>
          <w:szCs w:val="22"/>
        </w:rPr>
        <w:tab/>
        <w:t>Investments</w:t>
      </w:r>
    </w:p>
    <w:p w:rsidR="00E51139" w:rsidRPr="003B265B" w:rsidRDefault="00E51139" w:rsidP="008D0906">
      <w:pPr>
        <w:pStyle w:val="BodyTextIndent"/>
        <w:tabs>
          <w:tab w:val="left" w:pos="567"/>
        </w:tabs>
        <w:ind w:left="567"/>
        <w:outlineLvl w:val="0"/>
        <w:rPr>
          <w:b/>
          <w:color w:val="auto"/>
          <w:sz w:val="20"/>
          <w:szCs w:val="20"/>
        </w:rPr>
      </w:pPr>
      <w:r w:rsidRPr="003B265B">
        <w:rPr>
          <w:b/>
          <w:color w:val="auto"/>
          <w:sz w:val="20"/>
          <w:szCs w:val="20"/>
        </w:rPr>
        <w:t>Long Term Investments</w:t>
      </w:r>
    </w:p>
    <w:p w:rsidR="00FA45D0" w:rsidRPr="003B265B" w:rsidRDefault="00E3034E" w:rsidP="00FA45D0">
      <w:pPr>
        <w:pStyle w:val="BodyTextIndent"/>
        <w:tabs>
          <w:tab w:val="left" w:pos="567"/>
        </w:tabs>
        <w:ind w:left="567"/>
        <w:rPr>
          <w:color w:val="auto"/>
          <w:sz w:val="20"/>
          <w:szCs w:val="20"/>
        </w:rPr>
      </w:pPr>
      <w:r w:rsidRPr="003B265B">
        <w:rPr>
          <w:color w:val="auto"/>
          <w:sz w:val="20"/>
          <w:szCs w:val="20"/>
        </w:rPr>
        <w:t xml:space="preserve"> </w:t>
      </w:r>
    </w:p>
    <w:p w:rsidR="00FA45D0" w:rsidRPr="003B265B" w:rsidRDefault="00FA45D0" w:rsidP="00FA45D0">
      <w:pPr>
        <w:pStyle w:val="BodyTextIndent"/>
        <w:tabs>
          <w:tab w:val="left" w:pos="567"/>
        </w:tabs>
        <w:ind w:left="567"/>
        <w:rPr>
          <w:color w:val="auto"/>
          <w:sz w:val="20"/>
          <w:szCs w:val="20"/>
        </w:rPr>
      </w:pPr>
      <w:r w:rsidRPr="003B265B">
        <w:rPr>
          <w:color w:val="auto"/>
          <w:sz w:val="20"/>
          <w:szCs w:val="20"/>
        </w:rPr>
        <w:t>Long term investments comprise any cash investments the Council has made with a maturity in excess o</w:t>
      </w:r>
      <w:r w:rsidR="003B265B" w:rsidRPr="003B265B">
        <w:rPr>
          <w:color w:val="auto"/>
          <w:sz w:val="20"/>
          <w:szCs w:val="20"/>
        </w:rPr>
        <w:t>f</w:t>
      </w:r>
      <w:r w:rsidRPr="003B265B">
        <w:rPr>
          <w:color w:val="auto"/>
          <w:sz w:val="20"/>
          <w:szCs w:val="20"/>
        </w:rPr>
        <w:t xml:space="preserve"> one year, an investment in the Funding Circle, an investment in a Property Fund managed by the </w:t>
      </w:r>
      <w:r w:rsidR="003B265B" w:rsidRPr="003B265B">
        <w:rPr>
          <w:color w:val="auto"/>
          <w:sz w:val="20"/>
          <w:szCs w:val="20"/>
        </w:rPr>
        <w:t>CCLA.</w:t>
      </w:r>
    </w:p>
    <w:p w:rsidR="00E3034E" w:rsidRPr="0005794A" w:rsidRDefault="00E3034E" w:rsidP="009F6115">
      <w:pPr>
        <w:pStyle w:val="BodyTextIndent"/>
        <w:tabs>
          <w:tab w:val="left" w:pos="567"/>
        </w:tabs>
        <w:ind w:left="567"/>
        <w:rPr>
          <w:color w:val="548DD4" w:themeColor="text2" w:themeTint="99"/>
          <w:sz w:val="20"/>
          <w:szCs w:val="20"/>
        </w:rPr>
      </w:pPr>
    </w:p>
    <w:tbl>
      <w:tblPr>
        <w:tblStyle w:val="ListTable3-Accent51"/>
        <w:tblpPr w:leftFromText="180" w:rightFromText="180" w:vertAnchor="text" w:horzAnchor="margin" w:tblpXSpec="center" w:tblpY="79"/>
        <w:tblW w:w="8784" w:type="dxa"/>
        <w:tblLayout w:type="fixed"/>
        <w:tblLook w:val="0000" w:firstRow="0" w:lastRow="0" w:firstColumn="0" w:lastColumn="0" w:noHBand="0" w:noVBand="0"/>
      </w:tblPr>
      <w:tblGrid>
        <w:gridCol w:w="1413"/>
        <w:gridCol w:w="1417"/>
        <w:gridCol w:w="295"/>
        <w:gridCol w:w="291"/>
        <w:gridCol w:w="754"/>
        <w:gridCol w:w="1637"/>
        <w:gridCol w:w="1559"/>
        <w:gridCol w:w="1418"/>
      </w:tblGrid>
      <w:tr w:rsidR="003B265B" w:rsidRPr="0005794A" w:rsidTr="00937EF0">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4170" w:type="dxa"/>
            <w:gridSpan w:val="5"/>
            <w:shd w:val="clear" w:color="auto" w:fill="4BACC6" w:themeFill="accent5"/>
          </w:tcPr>
          <w:p w:rsidR="003B265B" w:rsidRPr="00B07474" w:rsidRDefault="003B265B" w:rsidP="003B265B">
            <w:pPr>
              <w:pStyle w:val="TableText"/>
              <w:jc w:val="center"/>
              <w:rPr>
                <w:rFonts w:ascii="Arial" w:hAnsi="Arial" w:cs="Arial"/>
                <w:color w:val="auto"/>
              </w:rPr>
            </w:pPr>
            <w:r>
              <w:rPr>
                <w:rFonts w:ascii="Arial" w:hAnsi="Arial" w:cs="Arial"/>
                <w:color w:val="auto"/>
              </w:rPr>
              <w:t>2016/17</w:t>
            </w:r>
          </w:p>
        </w:tc>
        <w:tc>
          <w:tcPr>
            <w:tcW w:w="4614" w:type="dxa"/>
            <w:gridSpan w:val="3"/>
            <w:shd w:val="clear" w:color="auto" w:fill="4BACC6" w:themeFill="accent5"/>
          </w:tcPr>
          <w:p w:rsidR="003B265B" w:rsidRPr="00386F65" w:rsidRDefault="003B265B" w:rsidP="003B265B">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color w:val="auto"/>
              </w:rPr>
              <w:t xml:space="preserve">            </w:t>
            </w:r>
            <w:r w:rsidRPr="00386F65">
              <w:rPr>
                <w:rFonts w:ascii="Arial" w:hAnsi="Arial" w:cs="Arial"/>
                <w:b/>
                <w:color w:val="auto"/>
              </w:rPr>
              <w:t>2017/18</w:t>
            </w:r>
          </w:p>
        </w:tc>
      </w:tr>
      <w:tr w:rsidR="003B265B" w:rsidRPr="0005794A" w:rsidTr="00937EF0">
        <w:trPr>
          <w:trHeight w:val="60"/>
        </w:trPr>
        <w:tc>
          <w:tcPr>
            <w:cnfStyle w:val="000010000000" w:firstRow="0" w:lastRow="0" w:firstColumn="0" w:lastColumn="0" w:oddVBand="1" w:evenVBand="0" w:oddHBand="0" w:evenHBand="0" w:firstRowFirstColumn="0" w:firstRowLastColumn="0" w:lastRowFirstColumn="0" w:lastRowLastColumn="0"/>
            <w:tcW w:w="1413" w:type="dxa"/>
            <w:shd w:val="clear" w:color="auto" w:fill="4BACC6" w:themeFill="accent5"/>
          </w:tcPr>
          <w:p w:rsidR="003B265B" w:rsidRPr="00B07474" w:rsidRDefault="003B265B" w:rsidP="003B265B">
            <w:pPr>
              <w:pStyle w:val="TableRight"/>
              <w:ind w:left="0" w:right="142"/>
              <w:jc w:val="center"/>
              <w:rPr>
                <w:rFonts w:ascii="Arial" w:hAnsi="Arial" w:cs="Arial"/>
                <w:color w:val="auto"/>
                <w:sz w:val="18"/>
                <w:szCs w:val="18"/>
              </w:rPr>
            </w:pPr>
            <w:r w:rsidRPr="00B07474">
              <w:rPr>
                <w:rFonts w:ascii="Arial" w:hAnsi="Arial" w:cs="Arial"/>
                <w:color w:val="auto"/>
                <w:sz w:val="18"/>
                <w:szCs w:val="18"/>
              </w:rPr>
              <w:t>Cash Investments</w:t>
            </w:r>
          </w:p>
        </w:tc>
        <w:tc>
          <w:tcPr>
            <w:tcW w:w="1712" w:type="dxa"/>
            <w:gridSpan w:val="2"/>
            <w:shd w:val="clear" w:color="auto" w:fill="4BACC6" w:themeFill="accent5"/>
          </w:tcPr>
          <w:p w:rsidR="003B265B" w:rsidRPr="00B07474" w:rsidRDefault="003B265B" w:rsidP="003B265B">
            <w:pPr>
              <w:pStyle w:val="TableText"/>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B07474">
              <w:rPr>
                <w:rFonts w:ascii="Arial" w:hAnsi="Arial" w:cs="Arial"/>
                <w:color w:val="auto"/>
                <w:sz w:val="18"/>
                <w:szCs w:val="18"/>
              </w:rPr>
              <w:t>Other Investment</w:t>
            </w:r>
          </w:p>
        </w:tc>
        <w:tc>
          <w:tcPr>
            <w:cnfStyle w:val="000010000000" w:firstRow="0" w:lastRow="0" w:firstColumn="0" w:lastColumn="0" w:oddVBand="1" w:evenVBand="0" w:oddHBand="0" w:evenHBand="0" w:firstRowFirstColumn="0" w:firstRowLastColumn="0" w:lastRowFirstColumn="0" w:lastRowLastColumn="0"/>
            <w:tcW w:w="2682" w:type="dxa"/>
            <w:gridSpan w:val="3"/>
            <w:shd w:val="clear" w:color="auto" w:fill="4BACC6" w:themeFill="accent5"/>
          </w:tcPr>
          <w:p w:rsidR="003B265B" w:rsidRPr="00B07474" w:rsidRDefault="003B265B" w:rsidP="003B265B">
            <w:pPr>
              <w:pStyle w:val="TableText"/>
              <w:ind w:left="0"/>
              <w:jc w:val="center"/>
              <w:rPr>
                <w:rFonts w:ascii="Arial" w:hAnsi="Arial" w:cs="Arial"/>
                <w:color w:val="auto"/>
              </w:rPr>
            </w:pPr>
          </w:p>
        </w:tc>
        <w:tc>
          <w:tcPr>
            <w:tcW w:w="1559" w:type="dxa"/>
            <w:shd w:val="clear" w:color="auto" w:fill="4BACC6" w:themeFill="accent5"/>
          </w:tcPr>
          <w:p w:rsidR="003B265B" w:rsidRPr="00B07474" w:rsidRDefault="003B265B" w:rsidP="003B265B">
            <w:pPr>
              <w:pStyle w:val="TableRight"/>
              <w:ind w:left="0" w:righ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rPr>
            </w:pPr>
            <w:r w:rsidRPr="00B07474">
              <w:rPr>
                <w:rFonts w:ascii="Arial" w:hAnsi="Arial" w:cs="Arial"/>
                <w:b/>
                <w:color w:val="auto"/>
                <w:sz w:val="18"/>
                <w:szCs w:val="18"/>
              </w:rPr>
              <w:t>Cash Investment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3B265B" w:rsidRPr="00B07474" w:rsidRDefault="003B265B" w:rsidP="003B265B">
            <w:pPr>
              <w:pStyle w:val="TableRight"/>
              <w:ind w:left="0" w:right="142"/>
              <w:jc w:val="center"/>
              <w:rPr>
                <w:rFonts w:ascii="Arial" w:hAnsi="Arial" w:cs="Arial"/>
                <w:b/>
                <w:color w:val="auto"/>
                <w:sz w:val="18"/>
                <w:szCs w:val="18"/>
              </w:rPr>
            </w:pPr>
            <w:r w:rsidRPr="00B07474">
              <w:rPr>
                <w:rFonts w:ascii="Arial" w:hAnsi="Arial" w:cs="Arial"/>
                <w:b/>
                <w:color w:val="auto"/>
                <w:sz w:val="18"/>
                <w:szCs w:val="18"/>
              </w:rPr>
              <w:t>Other Investment</w:t>
            </w:r>
          </w:p>
        </w:tc>
      </w:tr>
      <w:tr w:rsidR="003B265B" w:rsidRPr="0005794A" w:rsidTr="00937EF0">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1413" w:type="dxa"/>
            <w:shd w:val="clear" w:color="auto" w:fill="4BACC6" w:themeFill="accent5"/>
          </w:tcPr>
          <w:p w:rsidR="003B265B" w:rsidRPr="00B07474" w:rsidRDefault="003B265B" w:rsidP="003B265B">
            <w:pPr>
              <w:pStyle w:val="TableRight"/>
              <w:ind w:right="142"/>
              <w:jc w:val="center"/>
              <w:rPr>
                <w:rFonts w:ascii="Arial" w:hAnsi="Arial" w:cs="Arial"/>
                <w:color w:val="auto"/>
              </w:rPr>
            </w:pPr>
            <w:r w:rsidRPr="00B07474">
              <w:rPr>
                <w:rFonts w:ascii="Arial" w:hAnsi="Arial" w:cs="Arial"/>
                <w:color w:val="auto"/>
              </w:rPr>
              <w:t>£m</w:t>
            </w:r>
          </w:p>
        </w:tc>
        <w:tc>
          <w:tcPr>
            <w:tcW w:w="2003" w:type="dxa"/>
            <w:gridSpan w:val="3"/>
            <w:shd w:val="clear" w:color="auto" w:fill="4BACC6" w:themeFill="accent5"/>
          </w:tcPr>
          <w:p w:rsidR="003B265B" w:rsidRPr="00B07474" w:rsidRDefault="003B265B" w:rsidP="003B265B">
            <w:pPr>
              <w:pStyle w:val="TableText"/>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07474">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2391" w:type="dxa"/>
            <w:gridSpan w:val="2"/>
            <w:shd w:val="clear" w:color="auto" w:fill="4BACC6" w:themeFill="accent5"/>
          </w:tcPr>
          <w:p w:rsidR="003B265B" w:rsidRPr="00B07474" w:rsidRDefault="003B265B" w:rsidP="003B265B">
            <w:pPr>
              <w:pStyle w:val="TableText"/>
              <w:ind w:left="0"/>
              <w:jc w:val="center"/>
              <w:rPr>
                <w:rFonts w:ascii="Arial" w:hAnsi="Arial" w:cs="Arial"/>
                <w:color w:val="auto"/>
              </w:rPr>
            </w:pPr>
          </w:p>
        </w:tc>
        <w:tc>
          <w:tcPr>
            <w:tcW w:w="1559" w:type="dxa"/>
            <w:shd w:val="clear" w:color="auto" w:fill="4BACC6" w:themeFill="accent5"/>
          </w:tcPr>
          <w:p w:rsidR="003B265B" w:rsidRPr="00B07474" w:rsidRDefault="003B265B" w:rsidP="003B265B">
            <w:pPr>
              <w:pStyle w:val="TableRight"/>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B07474">
              <w:rPr>
                <w:rFonts w:ascii="Arial" w:hAnsi="Arial" w:cs="Arial"/>
                <w:color w:val="auto"/>
                <w:sz w:val="18"/>
                <w:szCs w:val="18"/>
              </w:rPr>
              <w:t>£m</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3B265B" w:rsidRPr="00B07474" w:rsidRDefault="003B265B" w:rsidP="003B265B">
            <w:pPr>
              <w:pStyle w:val="TableRight"/>
              <w:ind w:right="142"/>
              <w:jc w:val="center"/>
              <w:rPr>
                <w:rFonts w:ascii="Arial" w:hAnsi="Arial" w:cs="Arial"/>
                <w:color w:val="auto"/>
                <w:sz w:val="18"/>
                <w:szCs w:val="18"/>
              </w:rPr>
            </w:pPr>
            <w:r w:rsidRPr="00B07474">
              <w:rPr>
                <w:rFonts w:ascii="Arial" w:hAnsi="Arial" w:cs="Arial"/>
                <w:color w:val="auto"/>
                <w:sz w:val="18"/>
                <w:szCs w:val="18"/>
              </w:rPr>
              <w:t>£m</w:t>
            </w:r>
          </w:p>
        </w:tc>
      </w:tr>
      <w:tr w:rsidR="003B265B" w:rsidRPr="0005794A" w:rsidTr="00937EF0">
        <w:trPr>
          <w:trHeight w:hRule="exact" w:val="675"/>
        </w:trPr>
        <w:tc>
          <w:tcPr>
            <w:cnfStyle w:val="000010000000" w:firstRow="0" w:lastRow="0" w:firstColumn="0" w:lastColumn="0" w:oddVBand="1" w:evenVBand="0" w:oddHBand="0" w:evenHBand="0" w:firstRowFirstColumn="0" w:firstRowLastColumn="0" w:lastRowFirstColumn="0" w:lastRowLastColumn="0"/>
            <w:tcW w:w="1413" w:type="dxa"/>
          </w:tcPr>
          <w:p w:rsidR="003B265B" w:rsidRPr="003B265B" w:rsidRDefault="003B265B" w:rsidP="003B265B">
            <w:pPr>
              <w:pStyle w:val="TableRight"/>
              <w:ind w:right="142"/>
              <w:jc w:val="center"/>
              <w:rPr>
                <w:rFonts w:ascii="Arial" w:hAnsi="Arial" w:cs="Arial"/>
                <w:color w:val="auto"/>
              </w:rPr>
            </w:pPr>
            <w:r w:rsidRPr="003B265B">
              <w:rPr>
                <w:rFonts w:ascii="Arial" w:hAnsi="Arial" w:cs="Arial"/>
                <w:color w:val="auto"/>
              </w:rPr>
              <w:t>7.0</w:t>
            </w:r>
          </w:p>
        </w:tc>
        <w:tc>
          <w:tcPr>
            <w:tcW w:w="1417" w:type="dxa"/>
          </w:tcPr>
          <w:p w:rsidR="003B265B" w:rsidRPr="003B265B" w:rsidRDefault="003B265B" w:rsidP="003B265B">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265B">
              <w:rPr>
                <w:rFonts w:ascii="Arial" w:hAnsi="Arial" w:cs="Arial"/>
                <w:color w:val="auto"/>
              </w:rPr>
              <w:t>0.1</w:t>
            </w:r>
          </w:p>
        </w:tc>
        <w:tc>
          <w:tcPr>
            <w:cnfStyle w:val="000010000000" w:firstRow="0" w:lastRow="0" w:firstColumn="0" w:lastColumn="0" w:oddVBand="1" w:evenVBand="0" w:oddHBand="0" w:evenHBand="0" w:firstRowFirstColumn="0" w:firstRowLastColumn="0" w:lastRowFirstColumn="0" w:lastRowLastColumn="0"/>
            <w:tcW w:w="2977" w:type="dxa"/>
            <w:gridSpan w:val="4"/>
          </w:tcPr>
          <w:p w:rsidR="003B265B" w:rsidRPr="00B07474" w:rsidRDefault="003B265B" w:rsidP="003B265B">
            <w:pPr>
              <w:pStyle w:val="TableText"/>
              <w:ind w:left="0"/>
              <w:rPr>
                <w:rFonts w:ascii="Arial" w:hAnsi="Arial" w:cs="Arial"/>
                <w:b/>
                <w:color w:val="auto"/>
              </w:rPr>
            </w:pPr>
            <w:r w:rsidRPr="00B07474">
              <w:rPr>
                <w:rFonts w:ascii="Arial" w:hAnsi="Arial" w:cs="Arial"/>
                <w:b/>
                <w:color w:val="auto"/>
              </w:rPr>
              <w:t>Balance at start of year:</w:t>
            </w:r>
          </w:p>
        </w:tc>
        <w:tc>
          <w:tcPr>
            <w:tcW w:w="1559" w:type="dxa"/>
          </w:tcPr>
          <w:p w:rsidR="003B265B" w:rsidRPr="00B07474" w:rsidRDefault="003B265B" w:rsidP="003B265B">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12.0</w:t>
            </w:r>
          </w:p>
        </w:tc>
        <w:tc>
          <w:tcPr>
            <w:cnfStyle w:val="000010000000" w:firstRow="0" w:lastRow="0" w:firstColumn="0" w:lastColumn="0" w:oddVBand="1" w:evenVBand="0" w:oddHBand="0" w:evenHBand="0" w:firstRowFirstColumn="0" w:firstRowLastColumn="0" w:lastRowFirstColumn="0" w:lastRowLastColumn="0"/>
            <w:tcW w:w="1418" w:type="dxa"/>
          </w:tcPr>
          <w:p w:rsidR="003B265B" w:rsidRPr="00B07474" w:rsidRDefault="003B265B" w:rsidP="003B265B">
            <w:pPr>
              <w:pStyle w:val="TableRight"/>
              <w:ind w:right="142"/>
              <w:jc w:val="center"/>
              <w:rPr>
                <w:rFonts w:ascii="Arial" w:hAnsi="Arial" w:cs="Arial"/>
                <w:b/>
                <w:color w:val="auto"/>
              </w:rPr>
            </w:pPr>
            <w:r>
              <w:rPr>
                <w:rFonts w:ascii="Arial" w:hAnsi="Arial" w:cs="Arial"/>
                <w:b/>
                <w:color w:val="auto"/>
              </w:rPr>
              <w:t>3.0</w:t>
            </w:r>
          </w:p>
        </w:tc>
      </w:tr>
      <w:tr w:rsidR="003B265B" w:rsidRPr="0005794A" w:rsidTr="00937EF0">
        <w:trPr>
          <w:cnfStyle w:val="000000100000" w:firstRow="0" w:lastRow="0" w:firstColumn="0" w:lastColumn="0" w:oddVBand="0" w:evenVBand="0" w:oddHBand="1" w:evenHBand="0" w:firstRowFirstColumn="0" w:firstRowLastColumn="0" w:lastRowFirstColumn="0" w:lastRowLastColumn="0"/>
          <w:trHeight w:val="551"/>
        </w:trPr>
        <w:tc>
          <w:tcPr>
            <w:cnfStyle w:val="000010000000" w:firstRow="0" w:lastRow="0" w:firstColumn="0" w:lastColumn="0" w:oddVBand="1" w:evenVBand="0" w:oddHBand="0" w:evenHBand="0" w:firstRowFirstColumn="0" w:firstRowLastColumn="0" w:lastRowFirstColumn="0" w:lastRowLastColumn="0"/>
            <w:tcW w:w="1413" w:type="dxa"/>
          </w:tcPr>
          <w:p w:rsidR="003B265B" w:rsidRPr="003B265B" w:rsidRDefault="003B265B" w:rsidP="003B265B">
            <w:pPr>
              <w:pStyle w:val="TableRight"/>
              <w:ind w:right="142"/>
              <w:jc w:val="center"/>
              <w:rPr>
                <w:rFonts w:ascii="Arial" w:hAnsi="Arial" w:cs="Arial"/>
                <w:color w:val="auto"/>
              </w:rPr>
            </w:pPr>
            <w:r w:rsidRPr="003B265B">
              <w:rPr>
                <w:rFonts w:ascii="Arial" w:hAnsi="Arial" w:cs="Arial"/>
                <w:color w:val="auto"/>
              </w:rPr>
              <w:t>5.0</w:t>
            </w:r>
          </w:p>
        </w:tc>
        <w:tc>
          <w:tcPr>
            <w:tcW w:w="1417" w:type="dxa"/>
          </w:tcPr>
          <w:p w:rsidR="003B265B" w:rsidRPr="003B265B" w:rsidRDefault="003B265B" w:rsidP="003B265B">
            <w:pPr>
              <w:pStyle w:val="TableRight"/>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B265B">
              <w:rPr>
                <w:rFonts w:ascii="Arial" w:hAnsi="Arial" w:cs="Arial"/>
                <w:color w:val="auto"/>
              </w:rPr>
              <w:t>2.9</w:t>
            </w:r>
          </w:p>
        </w:tc>
        <w:tc>
          <w:tcPr>
            <w:cnfStyle w:val="000010000000" w:firstRow="0" w:lastRow="0" w:firstColumn="0" w:lastColumn="0" w:oddVBand="1" w:evenVBand="0" w:oddHBand="0" w:evenHBand="0" w:firstRowFirstColumn="0" w:firstRowLastColumn="0" w:lastRowFirstColumn="0" w:lastRowLastColumn="0"/>
            <w:tcW w:w="2977" w:type="dxa"/>
            <w:gridSpan w:val="4"/>
          </w:tcPr>
          <w:p w:rsidR="003B265B" w:rsidRPr="00B07474" w:rsidRDefault="003B265B" w:rsidP="003B265B">
            <w:pPr>
              <w:pStyle w:val="TableText"/>
              <w:ind w:left="0"/>
              <w:rPr>
                <w:rFonts w:ascii="Arial" w:hAnsi="Arial" w:cs="Arial"/>
                <w:color w:val="auto"/>
              </w:rPr>
            </w:pPr>
            <w:r w:rsidRPr="00B07474">
              <w:rPr>
                <w:rFonts w:ascii="Arial" w:hAnsi="Arial" w:cs="Arial"/>
                <w:color w:val="auto"/>
              </w:rPr>
              <w:t>Change in Investment in year</w:t>
            </w:r>
          </w:p>
        </w:tc>
        <w:tc>
          <w:tcPr>
            <w:tcW w:w="1559" w:type="dxa"/>
          </w:tcPr>
          <w:p w:rsidR="003B265B" w:rsidRPr="00A42670" w:rsidRDefault="003B265B" w:rsidP="003B265B">
            <w:pPr>
              <w:pStyle w:val="TableRight"/>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42670">
              <w:rPr>
                <w:rFonts w:ascii="Arial" w:hAnsi="Arial" w:cs="Arial"/>
                <w:color w:val="auto"/>
              </w:rPr>
              <w:t>(12.0)</w:t>
            </w:r>
          </w:p>
        </w:tc>
        <w:tc>
          <w:tcPr>
            <w:cnfStyle w:val="000010000000" w:firstRow="0" w:lastRow="0" w:firstColumn="0" w:lastColumn="0" w:oddVBand="1" w:evenVBand="0" w:oddHBand="0" w:evenHBand="0" w:firstRowFirstColumn="0" w:firstRowLastColumn="0" w:lastRowFirstColumn="0" w:lastRowLastColumn="0"/>
            <w:tcW w:w="1418" w:type="dxa"/>
          </w:tcPr>
          <w:p w:rsidR="003B265B" w:rsidRPr="00A42670" w:rsidRDefault="003B265B" w:rsidP="003B265B">
            <w:pPr>
              <w:pStyle w:val="TableRight"/>
              <w:ind w:right="142"/>
              <w:jc w:val="center"/>
              <w:rPr>
                <w:rFonts w:ascii="Arial" w:hAnsi="Arial" w:cs="Arial"/>
                <w:color w:val="auto"/>
              </w:rPr>
            </w:pPr>
            <w:r w:rsidRPr="00A42670">
              <w:rPr>
                <w:rFonts w:ascii="Arial" w:hAnsi="Arial" w:cs="Arial"/>
                <w:color w:val="auto"/>
              </w:rPr>
              <w:t>2.0</w:t>
            </w:r>
          </w:p>
        </w:tc>
      </w:tr>
      <w:tr w:rsidR="003B265B" w:rsidRPr="0005794A" w:rsidTr="00937EF0">
        <w:trPr>
          <w:trHeight w:val="60"/>
        </w:trPr>
        <w:tc>
          <w:tcPr>
            <w:cnfStyle w:val="000010000000" w:firstRow="0" w:lastRow="0" w:firstColumn="0" w:lastColumn="0" w:oddVBand="1" w:evenVBand="0" w:oddHBand="0" w:evenHBand="0" w:firstRowFirstColumn="0" w:firstRowLastColumn="0" w:lastRowFirstColumn="0" w:lastRowLastColumn="0"/>
            <w:tcW w:w="1413" w:type="dxa"/>
          </w:tcPr>
          <w:p w:rsidR="003B265B" w:rsidRPr="003B265B" w:rsidRDefault="003B265B" w:rsidP="003B265B">
            <w:pPr>
              <w:pStyle w:val="TableRight"/>
              <w:ind w:right="142"/>
              <w:jc w:val="center"/>
              <w:rPr>
                <w:rFonts w:ascii="Arial" w:hAnsi="Arial" w:cs="Arial"/>
                <w:color w:val="auto"/>
              </w:rPr>
            </w:pPr>
            <w:r w:rsidRPr="003B265B">
              <w:rPr>
                <w:rFonts w:ascii="Arial" w:hAnsi="Arial" w:cs="Arial"/>
                <w:color w:val="auto"/>
              </w:rPr>
              <w:t>12.0</w:t>
            </w:r>
          </w:p>
        </w:tc>
        <w:tc>
          <w:tcPr>
            <w:tcW w:w="1417" w:type="dxa"/>
          </w:tcPr>
          <w:p w:rsidR="003B265B" w:rsidRPr="003B265B" w:rsidRDefault="003B265B" w:rsidP="003B265B">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265B">
              <w:rPr>
                <w:rFonts w:ascii="Arial" w:hAnsi="Arial" w:cs="Arial"/>
                <w:color w:val="auto"/>
              </w:rPr>
              <w:t>3.0</w:t>
            </w:r>
          </w:p>
        </w:tc>
        <w:tc>
          <w:tcPr>
            <w:cnfStyle w:val="000010000000" w:firstRow="0" w:lastRow="0" w:firstColumn="0" w:lastColumn="0" w:oddVBand="1" w:evenVBand="0" w:oddHBand="0" w:evenHBand="0" w:firstRowFirstColumn="0" w:firstRowLastColumn="0" w:lastRowFirstColumn="0" w:lastRowLastColumn="0"/>
            <w:tcW w:w="2977" w:type="dxa"/>
            <w:gridSpan w:val="4"/>
          </w:tcPr>
          <w:p w:rsidR="003B265B" w:rsidRDefault="003B265B" w:rsidP="003B265B">
            <w:pPr>
              <w:pStyle w:val="TableText"/>
              <w:rPr>
                <w:rFonts w:ascii="Arial" w:hAnsi="Arial" w:cs="Arial"/>
                <w:b/>
                <w:color w:val="auto"/>
              </w:rPr>
            </w:pPr>
            <w:r w:rsidRPr="00B07474">
              <w:rPr>
                <w:rFonts w:ascii="Arial" w:hAnsi="Arial" w:cs="Arial"/>
                <w:b/>
                <w:color w:val="auto"/>
              </w:rPr>
              <w:t>Fair Value as at 31</w:t>
            </w:r>
            <w:r w:rsidRPr="00B07474">
              <w:rPr>
                <w:rFonts w:ascii="Arial" w:hAnsi="Arial" w:cs="Arial"/>
                <w:b/>
                <w:color w:val="auto"/>
                <w:vertAlign w:val="superscript"/>
              </w:rPr>
              <w:t>st</w:t>
            </w:r>
            <w:r w:rsidRPr="00B07474">
              <w:rPr>
                <w:rFonts w:ascii="Arial" w:hAnsi="Arial" w:cs="Arial"/>
                <w:b/>
                <w:color w:val="auto"/>
              </w:rPr>
              <w:t xml:space="preserve"> March</w:t>
            </w:r>
          </w:p>
          <w:p w:rsidR="00937EF0" w:rsidRPr="00B07474" w:rsidRDefault="00937EF0" w:rsidP="003B265B">
            <w:pPr>
              <w:pStyle w:val="TableText"/>
              <w:rPr>
                <w:rFonts w:ascii="Arial" w:hAnsi="Arial" w:cs="Arial"/>
                <w:b/>
                <w:color w:val="auto"/>
              </w:rPr>
            </w:pPr>
          </w:p>
        </w:tc>
        <w:tc>
          <w:tcPr>
            <w:tcW w:w="1559" w:type="dxa"/>
          </w:tcPr>
          <w:p w:rsidR="003B265B" w:rsidRPr="00B07474" w:rsidRDefault="003B265B" w:rsidP="003B265B">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0</w:t>
            </w:r>
          </w:p>
        </w:tc>
        <w:tc>
          <w:tcPr>
            <w:cnfStyle w:val="000010000000" w:firstRow="0" w:lastRow="0" w:firstColumn="0" w:lastColumn="0" w:oddVBand="1" w:evenVBand="0" w:oddHBand="0" w:evenHBand="0" w:firstRowFirstColumn="0" w:firstRowLastColumn="0" w:lastRowFirstColumn="0" w:lastRowLastColumn="0"/>
            <w:tcW w:w="1418" w:type="dxa"/>
          </w:tcPr>
          <w:p w:rsidR="003B265B" w:rsidRPr="00B07474" w:rsidRDefault="003B265B" w:rsidP="003B265B">
            <w:pPr>
              <w:pStyle w:val="TableRight"/>
              <w:ind w:right="142"/>
              <w:jc w:val="center"/>
              <w:rPr>
                <w:rFonts w:ascii="Arial" w:hAnsi="Arial" w:cs="Arial"/>
                <w:b/>
                <w:color w:val="auto"/>
              </w:rPr>
            </w:pPr>
            <w:r>
              <w:rPr>
                <w:rFonts w:ascii="Arial" w:hAnsi="Arial" w:cs="Arial"/>
                <w:b/>
                <w:color w:val="auto"/>
              </w:rPr>
              <w:t>5.0</w:t>
            </w:r>
          </w:p>
        </w:tc>
      </w:tr>
    </w:tbl>
    <w:p w:rsidR="00E3034E" w:rsidRPr="0005794A" w:rsidRDefault="00E3034E" w:rsidP="00FA45D0">
      <w:pPr>
        <w:pStyle w:val="BodyTextIndent"/>
        <w:tabs>
          <w:tab w:val="left" w:pos="567"/>
        </w:tabs>
        <w:ind w:left="0"/>
        <w:rPr>
          <w:b/>
          <w:color w:val="548DD4" w:themeColor="text2" w:themeTint="99"/>
          <w:sz w:val="20"/>
          <w:szCs w:val="20"/>
        </w:rPr>
      </w:pPr>
    </w:p>
    <w:p w:rsidR="00E51139" w:rsidRPr="00386F65" w:rsidRDefault="00E51139" w:rsidP="008D0906">
      <w:pPr>
        <w:pStyle w:val="BodyTextIndent"/>
        <w:tabs>
          <w:tab w:val="left" w:pos="567"/>
        </w:tabs>
        <w:ind w:left="567"/>
        <w:outlineLvl w:val="0"/>
        <w:rPr>
          <w:b/>
          <w:color w:val="auto"/>
          <w:sz w:val="20"/>
          <w:szCs w:val="20"/>
        </w:rPr>
      </w:pPr>
      <w:r w:rsidRPr="00386F65">
        <w:rPr>
          <w:b/>
          <w:color w:val="auto"/>
          <w:sz w:val="20"/>
          <w:szCs w:val="20"/>
        </w:rPr>
        <w:t>Short Term Investments</w:t>
      </w:r>
    </w:p>
    <w:p w:rsidR="00875EAB" w:rsidRPr="0005794A" w:rsidRDefault="00E51139" w:rsidP="00403BA0">
      <w:pPr>
        <w:pStyle w:val="BodyTextIndent"/>
        <w:tabs>
          <w:tab w:val="left" w:pos="567"/>
        </w:tabs>
        <w:ind w:left="567"/>
        <w:rPr>
          <w:color w:val="548DD4" w:themeColor="text2" w:themeTint="99"/>
          <w:sz w:val="20"/>
          <w:szCs w:val="20"/>
        </w:rPr>
      </w:pPr>
      <w:r w:rsidRPr="003B265B">
        <w:rPr>
          <w:color w:val="auto"/>
          <w:sz w:val="20"/>
          <w:szCs w:val="20"/>
        </w:rPr>
        <w:t>Temporary investments are short term investments with a maturity less than one year that are held for investment purposes not short term cash flow liquidity</w:t>
      </w:r>
      <w:r w:rsidRPr="00F85615">
        <w:rPr>
          <w:color w:val="auto"/>
          <w:sz w:val="20"/>
          <w:szCs w:val="20"/>
        </w:rPr>
        <w:t>. As at 31</w:t>
      </w:r>
      <w:r w:rsidRPr="00F85615">
        <w:rPr>
          <w:color w:val="auto"/>
          <w:sz w:val="20"/>
          <w:szCs w:val="20"/>
          <w:vertAlign w:val="superscript"/>
        </w:rPr>
        <w:t>st</w:t>
      </w:r>
      <w:r w:rsidRPr="00F85615">
        <w:rPr>
          <w:color w:val="auto"/>
          <w:sz w:val="20"/>
          <w:szCs w:val="20"/>
        </w:rPr>
        <w:t xml:space="preserve"> March 201</w:t>
      </w:r>
      <w:r w:rsidR="003B265B" w:rsidRPr="00F85615">
        <w:rPr>
          <w:color w:val="auto"/>
          <w:sz w:val="20"/>
          <w:szCs w:val="20"/>
        </w:rPr>
        <w:t>8</w:t>
      </w:r>
      <w:r w:rsidRPr="00F85615">
        <w:rPr>
          <w:color w:val="auto"/>
          <w:sz w:val="20"/>
          <w:szCs w:val="20"/>
        </w:rPr>
        <w:t xml:space="preserve"> the Council held £</w:t>
      </w:r>
      <w:r w:rsidR="00F85615" w:rsidRPr="00F85615">
        <w:rPr>
          <w:color w:val="auto"/>
          <w:sz w:val="20"/>
          <w:szCs w:val="20"/>
        </w:rPr>
        <w:t>45.6</w:t>
      </w:r>
      <w:r w:rsidR="00FB55B3" w:rsidRPr="00F85615">
        <w:rPr>
          <w:color w:val="auto"/>
          <w:sz w:val="20"/>
          <w:szCs w:val="20"/>
        </w:rPr>
        <w:t xml:space="preserve">m </w:t>
      </w:r>
      <w:r w:rsidRPr="00F85615">
        <w:rPr>
          <w:color w:val="auto"/>
          <w:sz w:val="20"/>
          <w:szCs w:val="20"/>
        </w:rPr>
        <w:t>(</w:t>
      </w:r>
      <w:r w:rsidR="00743183" w:rsidRPr="00F85615">
        <w:rPr>
          <w:color w:val="auto"/>
          <w:sz w:val="20"/>
          <w:szCs w:val="20"/>
        </w:rPr>
        <w:t>201</w:t>
      </w:r>
      <w:r w:rsidR="003B265B" w:rsidRPr="00F85615">
        <w:rPr>
          <w:color w:val="auto"/>
          <w:sz w:val="20"/>
          <w:szCs w:val="20"/>
        </w:rPr>
        <w:t>6</w:t>
      </w:r>
      <w:r w:rsidR="00743183" w:rsidRPr="00F85615">
        <w:rPr>
          <w:color w:val="auto"/>
          <w:sz w:val="20"/>
          <w:szCs w:val="20"/>
        </w:rPr>
        <w:t>/1</w:t>
      </w:r>
      <w:r w:rsidR="003B265B" w:rsidRPr="00F85615">
        <w:rPr>
          <w:color w:val="auto"/>
          <w:sz w:val="20"/>
          <w:szCs w:val="20"/>
        </w:rPr>
        <w:t>7</w:t>
      </w:r>
      <w:r w:rsidR="00743183" w:rsidRPr="00F85615">
        <w:rPr>
          <w:color w:val="auto"/>
          <w:sz w:val="20"/>
          <w:szCs w:val="20"/>
        </w:rPr>
        <w:t xml:space="preserve"> £</w:t>
      </w:r>
      <w:r w:rsidR="003B265B" w:rsidRPr="00F85615">
        <w:rPr>
          <w:color w:val="auto"/>
          <w:sz w:val="20"/>
          <w:szCs w:val="20"/>
        </w:rPr>
        <w:t>26.4</w:t>
      </w:r>
      <w:r w:rsidRPr="00F85615">
        <w:rPr>
          <w:color w:val="auto"/>
          <w:sz w:val="20"/>
          <w:szCs w:val="20"/>
        </w:rPr>
        <w:t>m) of short-term (money market) investments (principal only), of which £</w:t>
      </w:r>
      <w:r w:rsidR="00CB1F2F" w:rsidRPr="00F85615">
        <w:rPr>
          <w:color w:val="auto"/>
          <w:sz w:val="20"/>
          <w:szCs w:val="20"/>
        </w:rPr>
        <w:t>11.</w:t>
      </w:r>
      <w:r w:rsidR="00F85615" w:rsidRPr="00F85615">
        <w:rPr>
          <w:color w:val="auto"/>
          <w:sz w:val="20"/>
          <w:szCs w:val="20"/>
        </w:rPr>
        <w:t>0</w:t>
      </w:r>
      <w:r w:rsidR="00FB55B3" w:rsidRPr="00F85615">
        <w:rPr>
          <w:color w:val="auto"/>
          <w:sz w:val="20"/>
          <w:szCs w:val="20"/>
        </w:rPr>
        <w:t>m</w:t>
      </w:r>
      <w:r w:rsidRPr="00F85615">
        <w:rPr>
          <w:color w:val="auto"/>
          <w:sz w:val="20"/>
          <w:szCs w:val="20"/>
        </w:rPr>
        <w:t xml:space="preserve"> (201</w:t>
      </w:r>
      <w:r w:rsidR="003B265B" w:rsidRPr="00F85615">
        <w:rPr>
          <w:color w:val="auto"/>
          <w:sz w:val="20"/>
          <w:szCs w:val="20"/>
        </w:rPr>
        <w:t>6</w:t>
      </w:r>
      <w:r w:rsidR="00743183" w:rsidRPr="00F85615">
        <w:rPr>
          <w:color w:val="auto"/>
          <w:sz w:val="20"/>
          <w:szCs w:val="20"/>
        </w:rPr>
        <w:t>/1</w:t>
      </w:r>
      <w:r w:rsidR="003B265B" w:rsidRPr="00F85615">
        <w:rPr>
          <w:color w:val="auto"/>
          <w:sz w:val="20"/>
          <w:szCs w:val="20"/>
        </w:rPr>
        <w:t>7</w:t>
      </w:r>
      <w:r w:rsidRPr="003B265B">
        <w:rPr>
          <w:color w:val="auto"/>
          <w:sz w:val="20"/>
          <w:szCs w:val="20"/>
        </w:rPr>
        <w:t xml:space="preserve"> £</w:t>
      </w:r>
      <w:r w:rsidR="009338F9" w:rsidRPr="003B265B">
        <w:rPr>
          <w:color w:val="auto"/>
          <w:sz w:val="20"/>
          <w:szCs w:val="20"/>
        </w:rPr>
        <w:t>1</w:t>
      </w:r>
      <w:r w:rsidR="003B265B" w:rsidRPr="003B265B">
        <w:rPr>
          <w:color w:val="auto"/>
          <w:sz w:val="20"/>
          <w:szCs w:val="20"/>
        </w:rPr>
        <w:t>1.1</w:t>
      </w:r>
      <w:r w:rsidR="00743183" w:rsidRPr="003B265B">
        <w:rPr>
          <w:color w:val="auto"/>
          <w:sz w:val="20"/>
          <w:szCs w:val="20"/>
        </w:rPr>
        <w:t>m</w:t>
      </w:r>
      <w:r w:rsidRPr="003B265B">
        <w:rPr>
          <w:color w:val="auto"/>
          <w:sz w:val="20"/>
          <w:szCs w:val="20"/>
        </w:rPr>
        <w:t xml:space="preserve">) is held </w:t>
      </w:r>
      <w:r w:rsidR="00B17F90" w:rsidRPr="003B265B">
        <w:rPr>
          <w:color w:val="auto"/>
          <w:sz w:val="20"/>
          <w:szCs w:val="20"/>
        </w:rPr>
        <w:t xml:space="preserve">in an Enhanced Money Market Fund managed by </w:t>
      </w:r>
      <w:r w:rsidR="00C75868" w:rsidRPr="003B265B">
        <w:rPr>
          <w:color w:val="auto"/>
          <w:sz w:val="20"/>
          <w:szCs w:val="20"/>
        </w:rPr>
        <w:t>Aberdeen Asset Manag</w:t>
      </w:r>
      <w:r w:rsidR="009F5274" w:rsidRPr="003B265B">
        <w:rPr>
          <w:color w:val="auto"/>
          <w:sz w:val="20"/>
          <w:szCs w:val="20"/>
        </w:rPr>
        <w:t>e</w:t>
      </w:r>
      <w:r w:rsidR="00C75868" w:rsidRPr="003B265B">
        <w:rPr>
          <w:color w:val="auto"/>
          <w:sz w:val="20"/>
          <w:szCs w:val="20"/>
        </w:rPr>
        <w:t>ment.</w:t>
      </w:r>
    </w:p>
    <w:p w:rsidR="000464F8" w:rsidRPr="0005794A" w:rsidRDefault="000464F8" w:rsidP="00403BA0">
      <w:pPr>
        <w:pStyle w:val="BodyTextIndent"/>
        <w:tabs>
          <w:tab w:val="left" w:pos="567"/>
        </w:tabs>
        <w:ind w:left="567"/>
        <w:rPr>
          <w:color w:val="548DD4" w:themeColor="text2" w:themeTint="99"/>
          <w:sz w:val="20"/>
          <w:szCs w:val="20"/>
        </w:rPr>
      </w:pPr>
    </w:p>
    <w:tbl>
      <w:tblPr>
        <w:tblStyle w:val="ListTable3-Accent51"/>
        <w:tblW w:w="8613" w:type="dxa"/>
        <w:tblInd w:w="675" w:type="dxa"/>
        <w:tblLayout w:type="fixed"/>
        <w:tblLook w:val="0000" w:firstRow="0" w:lastRow="0" w:firstColumn="0" w:lastColumn="0" w:noHBand="0" w:noVBand="0"/>
      </w:tblPr>
      <w:tblGrid>
        <w:gridCol w:w="2127"/>
        <w:gridCol w:w="4110"/>
        <w:gridCol w:w="2376"/>
      </w:tblGrid>
      <w:tr w:rsidR="00E51139" w:rsidRPr="0005794A" w:rsidTr="0036203D">
        <w:trPr>
          <w:tblHeader/>
        </w:trPr>
        <w:tc>
          <w:tcPr>
            <w:cnfStyle w:val="000010000000" w:firstRow="0" w:lastRow="0" w:firstColumn="0" w:lastColumn="0" w:oddVBand="1" w:evenVBand="0" w:oddHBand="0" w:evenHBand="0" w:firstRowFirstColumn="0" w:firstRowLastColumn="0" w:lastRowFirstColumn="0" w:lastRowLastColumn="0"/>
            <w:tcW w:w="2127" w:type="dxa"/>
            <w:shd w:val="clear" w:color="auto" w:fill="4BACC6" w:themeFill="accent5"/>
          </w:tcPr>
          <w:p w:rsidR="00E51139" w:rsidRPr="00B07474" w:rsidRDefault="00E51139" w:rsidP="0036203D">
            <w:pPr>
              <w:pStyle w:val="BodyTextIndent"/>
              <w:tabs>
                <w:tab w:val="left" w:pos="709"/>
              </w:tabs>
              <w:ind w:left="0"/>
              <w:jc w:val="center"/>
              <w:rPr>
                <w:color w:val="auto"/>
                <w:sz w:val="20"/>
                <w:szCs w:val="20"/>
              </w:rPr>
            </w:pPr>
            <w:r w:rsidRPr="00B07474">
              <w:rPr>
                <w:color w:val="auto"/>
                <w:sz w:val="20"/>
                <w:szCs w:val="20"/>
              </w:rPr>
              <w:t>Total</w:t>
            </w:r>
            <w:r w:rsidR="005C6E43" w:rsidRPr="00B07474">
              <w:rPr>
                <w:color w:val="auto"/>
                <w:sz w:val="20"/>
                <w:szCs w:val="20"/>
              </w:rPr>
              <w:t xml:space="preserve"> </w:t>
            </w:r>
            <w:r w:rsidRPr="00B07474">
              <w:rPr>
                <w:color w:val="auto"/>
                <w:sz w:val="20"/>
                <w:szCs w:val="20"/>
              </w:rPr>
              <w:t xml:space="preserve">Invested  </w:t>
            </w:r>
          </w:p>
          <w:p w:rsidR="00E51139" w:rsidRPr="00B07474" w:rsidRDefault="00E51139" w:rsidP="0036203D">
            <w:pPr>
              <w:pStyle w:val="BodyTextIndent"/>
              <w:tabs>
                <w:tab w:val="left" w:pos="709"/>
              </w:tabs>
              <w:ind w:left="0"/>
              <w:jc w:val="center"/>
              <w:rPr>
                <w:color w:val="auto"/>
                <w:sz w:val="20"/>
                <w:szCs w:val="20"/>
              </w:rPr>
            </w:pPr>
            <w:r w:rsidRPr="00B07474">
              <w:rPr>
                <w:color w:val="auto"/>
                <w:sz w:val="20"/>
                <w:szCs w:val="20"/>
              </w:rPr>
              <w:t>31st March 201</w:t>
            </w:r>
            <w:r w:rsidR="00B07474" w:rsidRPr="00B07474">
              <w:rPr>
                <w:color w:val="auto"/>
                <w:sz w:val="20"/>
                <w:szCs w:val="20"/>
              </w:rPr>
              <w:t>7</w:t>
            </w:r>
          </w:p>
          <w:p w:rsidR="00E51139" w:rsidRPr="00B07474" w:rsidRDefault="00E51139" w:rsidP="0036203D">
            <w:pPr>
              <w:pStyle w:val="BodyTextIndent"/>
              <w:tabs>
                <w:tab w:val="left" w:pos="709"/>
              </w:tabs>
              <w:ind w:left="0"/>
              <w:jc w:val="center"/>
              <w:rPr>
                <w:color w:val="auto"/>
                <w:sz w:val="20"/>
                <w:szCs w:val="20"/>
              </w:rPr>
            </w:pPr>
            <w:r w:rsidRPr="00B07474">
              <w:rPr>
                <w:color w:val="auto"/>
                <w:sz w:val="20"/>
                <w:szCs w:val="20"/>
              </w:rPr>
              <w:t>£ m</w:t>
            </w:r>
          </w:p>
        </w:tc>
        <w:tc>
          <w:tcPr>
            <w:tcW w:w="4110" w:type="dxa"/>
            <w:shd w:val="clear" w:color="auto" w:fill="4BACC6" w:themeFill="accent5"/>
          </w:tcPr>
          <w:p w:rsidR="00E51139" w:rsidRPr="00B07474" w:rsidRDefault="00E51139" w:rsidP="0036203D">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76" w:type="dxa"/>
            <w:shd w:val="clear" w:color="auto" w:fill="4BACC6" w:themeFill="accent5"/>
          </w:tcPr>
          <w:p w:rsidR="00E51139" w:rsidRPr="00B07474" w:rsidRDefault="00E51139" w:rsidP="0036203D">
            <w:pPr>
              <w:pStyle w:val="BodyTextIndent"/>
              <w:tabs>
                <w:tab w:val="left" w:pos="709"/>
              </w:tabs>
              <w:ind w:left="0"/>
              <w:jc w:val="center"/>
              <w:rPr>
                <w:b/>
                <w:color w:val="auto"/>
                <w:sz w:val="20"/>
                <w:szCs w:val="20"/>
              </w:rPr>
            </w:pPr>
            <w:r w:rsidRPr="00B07474">
              <w:rPr>
                <w:b/>
                <w:color w:val="auto"/>
                <w:sz w:val="20"/>
                <w:szCs w:val="20"/>
              </w:rPr>
              <w:t>Total</w:t>
            </w:r>
            <w:r w:rsidR="005C6E43" w:rsidRPr="00B07474">
              <w:rPr>
                <w:b/>
                <w:color w:val="auto"/>
                <w:sz w:val="20"/>
                <w:szCs w:val="20"/>
              </w:rPr>
              <w:t xml:space="preserve"> </w:t>
            </w:r>
            <w:r w:rsidRPr="00B07474">
              <w:rPr>
                <w:b/>
                <w:color w:val="auto"/>
                <w:sz w:val="20"/>
                <w:szCs w:val="20"/>
              </w:rPr>
              <w:t>Invested</w:t>
            </w:r>
          </w:p>
          <w:p w:rsidR="00E51139" w:rsidRPr="00B07474" w:rsidRDefault="00E51139" w:rsidP="0036203D">
            <w:pPr>
              <w:pStyle w:val="BodyTextIndent"/>
              <w:tabs>
                <w:tab w:val="left" w:pos="709"/>
              </w:tabs>
              <w:ind w:left="0"/>
              <w:jc w:val="center"/>
              <w:rPr>
                <w:b/>
                <w:color w:val="auto"/>
                <w:sz w:val="20"/>
                <w:szCs w:val="20"/>
              </w:rPr>
            </w:pPr>
            <w:r w:rsidRPr="00B07474">
              <w:rPr>
                <w:b/>
                <w:color w:val="auto"/>
                <w:sz w:val="20"/>
                <w:szCs w:val="20"/>
              </w:rPr>
              <w:t>31st March 201</w:t>
            </w:r>
            <w:r w:rsidR="00B07474" w:rsidRPr="00B07474">
              <w:rPr>
                <w:b/>
                <w:color w:val="auto"/>
                <w:sz w:val="20"/>
                <w:szCs w:val="20"/>
              </w:rPr>
              <w:t>8</w:t>
            </w:r>
          </w:p>
          <w:p w:rsidR="00E51139" w:rsidRPr="00B07474" w:rsidRDefault="00E51139" w:rsidP="0036203D">
            <w:pPr>
              <w:pStyle w:val="BodyTextIndent"/>
              <w:tabs>
                <w:tab w:val="left" w:pos="709"/>
              </w:tabs>
              <w:ind w:left="0"/>
              <w:jc w:val="center"/>
              <w:rPr>
                <w:color w:val="auto"/>
                <w:sz w:val="20"/>
                <w:szCs w:val="20"/>
              </w:rPr>
            </w:pPr>
            <w:r w:rsidRPr="00B07474">
              <w:rPr>
                <w:color w:val="auto"/>
                <w:sz w:val="20"/>
                <w:szCs w:val="20"/>
              </w:rPr>
              <w:t>£ m</w:t>
            </w:r>
          </w:p>
        </w:tc>
      </w:tr>
      <w:tr w:rsidR="00E51139" w:rsidRPr="0005794A" w:rsidTr="003620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vAlign w:val="center"/>
          </w:tcPr>
          <w:p w:rsidR="00E51139" w:rsidRPr="00B07474" w:rsidRDefault="00E51139" w:rsidP="0036203D">
            <w:pPr>
              <w:pStyle w:val="BodyTextIndent"/>
              <w:tabs>
                <w:tab w:val="left" w:pos="709"/>
              </w:tabs>
              <w:ind w:left="0"/>
              <w:jc w:val="center"/>
              <w:rPr>
                <w:b/>
                <w:color w:val="auto"/>
                <w:sz w:val="20"/>
                <w:szCs w:val="20"/>
              </w:rPr>
            </w:pPr>
          </w:p>
        </w:tc>
        <w:tc>
          <w:tcPr>
            <w:tcW w:w="4110" w:type="dxa"/>
            <w:vAlign w:val="center"/>
          </w:tcPr>
          <w:p w:rsidR="00E51139" w:rsidRPr="00B07474" w:rsidRDefault="00E51139" w:rsidP="0036203D">
            <w:pPr>
              <w:pStyle w:val="BodyTextIndent"/>
              <w:tabs>
                <w:tab w:val="left" w:pos="709"/>
              </w:tabs>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B07474">
              <w:rPr>
                <w:color w:val="auto"/>
                <w:sz w:val="20"/>
                <w:szCs w:val="20"/>
              </w:rPr>
              <w:t xml:space="preserve">Short Term Investments </w:t>
            </w:r>
            <w:r w:rsidR="00875EAB" w:rsidRPr="00B07474">
              <w:rPr>
                <w:color w:val="auto"/>
                <w:sz w:val="20"/>
                <w:szCs w:val="20"/>
              </w:rPr>
              <w:t>(</w:t>
            </w:r>
            <w:r w:rsidRPr="00B07474">
              <w:rPr>
                <w:color w:val="auto"/>
                <w:sz w:val="20"/>
                <w:szCs w:val="20"/>
              </w:rPr>
              <w:t>less than 1 year</w:t>
            </w:r>
            <w:r w:rsidR="00875EAB" w:rsidRPr="00B07474">
              <w:rPr>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E51139" w:rsidRPr="00C871F2" w:rsidRDefault="00E51139" w:rsidP="0036203D">
            <w:pPr>
              <w:pStyle w:val="BodyTextIndent"/>
              <w:tabs>
                <w:tab w:val="left" w:pos="709"/>
              </w:tabs>
              <w:ind w:left="0"/>
              <w:jc w:val="center"/>
              <w:rPr>
                <w:b/>
                <w:color w:val="auto"/>
                <w:sz w:val="20"/>
                <w:szCs w:val="20"/>
                <w:highlight w:val="yellow"/>
              </w:rPr>
            </w:pPr>
          </w:p>
        </w:tc>
      </w:tr>
      <w:tr w:rsidR="00B07474" w:rsidRPr="0005794A" w:rsidTr="009E2C3D">
        <w:trPr>
          <w:trHeight w:val="367"/>
        </w:trPr>
        <w:tc>
          <w:tcPr>
            <w:cnfStyle w:val="000010000000" w:firstRow="0" w:lastRow="0" w:firstColumn="0" w:lastColumn="0" w:oddVBand="1" w:evenVBand="0" w:oddHBand="0" w:evenHBand="0" w:firstRowFirstColumn="0" w:firstRowLastColumn="0" w:lastRowFirstColumn="0" w:lastRowLastColumn="0"/>
            <w:tcW w:w="2127" w:type="dxa"/>
            <w:vAlign w:val="center"/>
          </w:tcPr>
          <w:p w:rsidR="00B07474" w:rsidRPr="00B07474" w:rsidRDefault="00B07474" w:rsidP="00B07474">
            <w:pPr>
              <w:pStyle w:val="BodyTextIndent"/>
              <w:tabs>
                <w:tab w:val="left" w:pos="709"/>
              </w:tabs>
              <w:ind w:left="0"/>
              <w:jc w:val="center"/>
              <w:rPr>
                <w:b/>
                <w:color w:val="auto"/>
                <w:sz w:val="20"/>
                <w:szCs w:val="20"/>
              </w:rPr>
            </w:pPr>
            <w:r w:rsidRPr="00B07474">
              <w:rPr>
                <w:b/>
                <w:color w:val="auto"/>
                <w:sz w:val="20"/>
                <w:szCs w:val="20"/>
              </w:rPr>
              <w:t>10.1</w:t>
            </w:r>
          </w:p>
        </w:tc>
        <w:tc>
          <w:tcPr>
            <w:tcW w:w="4110" w:type="dxa"/>
            <w:vAlign w:val="center"/>
          </w:tcPr>
          <w:p w:rsidR="00B07474" w:rsidRPr="00B07474" w:rsidRDefault="00B07474" w:rsidP="0036203D">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B07474">
              <w:rPr>
                <w:color w:val="auto"/>
                <w:sz w:val="20"/>
                <w:szCs w:val="20"/>
              </w:rPr>
              <w:t>Deposits: fixed term &amp; structured</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B07474" w:rsidRPr="00251C04" w:rsidRDefault="00D860C5" w:rsidP="00926FBE">
            <w:pPr>
              <w:pStyle w:val="BodyTextIndent"/>
              <w:tabs>
                <w:tab w:val="left" w:pos="709"/>
              </w:tabs>
              <w:ind w:left="0"/>
              <w:jc w:val="center"/>
              <w:rPr>
                <w:b/>
                <w:color w:val="auto"/>
                <w:sz w:val="20"/>
                <w:szCs w:val="20"/>
              </w:rPr>
            </w:pPr>
            <w:r w:rsidRPr="00251C04">
              <w:rPr>
                <w:b/>
                <w:color w:val="auto"/>
                <w:sz w:val="20"/>
                <w:szCs w:val="20"/>
              </w:rPr>
              <w:t>22.0</w:t>
            </w:r>
          </w:p>
        </w:tc>
      </w:tr>
      <w:tr w:rsidR="00B07474" w:rsidRPr="0005794A" w:rsidTr="003620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vAlign w:val="center"/>
          </w:tcPr>
          <w:p w:rsidR="00B07474" w:rsidRPr="00B07474" w:rsidRDefault="00B07474" w:rsidP="00B07474">
            <w:pPr>
              <w:pStyle w:val="BodyTextIndent"/>
              <w:tabs>
                <w:tab w:val="left" w:pos="709"/>
              </w:tabs>
              <w:ind w:left="0"/>
              <w:jc w:val="center"/>
              <w:rPr>
                <w:b/>
                <w:color w:val="auto"/>
                <w:sz w:val="20"/>
                <w:szCs w:val="20"/>
              </w:rPr>
            </w:pPr>
            <w:r w:rsidRPr="00B07474">
              <w:rPr>
                <w:b/>
                <w:color w:val="auto"/>
                <w:sz w:val="20"/>
                <w:szCs w:val="20"/>
              </w:rPr>
              <w:t>5.2</w:t>
            </w:r>
          </w:p>
        </w:tc>
        <w:tc>
          <w:tcPr>
            <w:tcW w:w="4110" w:type="dxa"/>
            <w:vAlign w:val="center"/>
          </w:tcPr>
          <w:p w:rsidR="00B07474" w:rsidRPr="00B07474" w:rsidRDefault="00B07474" w:rsidP="0036203D">
            <w:pPr>
              <w:pStyle w:val="BodyTextIndent"/>
              <w:tabs>
                <w:tab w:val="left" w:pos="709"/>
              </w:tabs>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B07474">
              <w:rPr>
                <w:color w:val="auto"/>
                <w:sz w:val="20"/>
                <w:szCs w:val="20"/>
              </w:rPr>
              <w:t>Notice\Call Accounts</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B07474" w:rsidRPr="00251C04" w:rsidRDefault="00D860C5" w:rsidP="00D860C5">
            <w:pPr>
              <w:pStyle w:val="BodyTextIndent"/>
              <w:tabs>
                <w:tab w:val="left" w:pos="709"/>
              </w:tabs>
              <w:ind w:left="0"/>
              <w:jc w:val="center"/>
              <w:rPr>
                <w:b/>
                <w:color w:val="auto"/>
                <w:sz w:val="20"/>
                <w:szCs w:val="20"/>
              </w:rPr>
            </w:pPr>
            <w:r w:rsidRPr="00251C04">
              <w:rPr>
                <w:b/>
                <w:color w:val="auto"/>
                <w:sz w:val="20"/>
                <w:szCs w:val="20"/>
              </w:rPr>
              <w:t>20</w:t>
            </w:r>
            <w:r w:rsidR="00C871F2" w:rsidRPr="00251C04">
              <w:rPr>
                <w:b/>
                <w:color w:val="auto"/>
                <w:sz w:val="20"/>
                <w:szCs w:val="20"/>
              </w:rPr>
              <w:t>.3</w:t>
            </w:r>
          </w:p>
        </w:tc>
      </w:tr>
      <w:tr w:rsidR="00B07474" w:rsidRPr="0005794A" w:rsidTr="0036203D">
        <w:tc>
          <w:tcPr>
            <w:cnfStyle w:val="000010000000" w:firstRow="0" w:lastRow="0" w:firstColumn="0" w:lastColumn="0" w:oddVBand="1" w:evenVBand="0" w:oddHBand="0" w:evenHBand="0" w:firstRowFirstColumn="0" w:firstRowLastColumn="0" w:lastRowFirstColumn="0" w:lastRowLastColumn="0"/>
            <w:tcW w:w="2127" w:type="dxa"/>
            <w:vAlign w:val="center"/>
          </w:tcPr>
          <w:p w:rsidR="00B07474" w:rsidRPr="00B07474" w:rsidRDefault="00B07474" w:rsidP="00B07474">
            <w:pPr>
              <w:pStyle w:val="BodyTextIndent"/>
              <w:tabs>
                <w:tab w:val="left" w:pos="709"/>
              </w:tabs>
              <w:ind w:left="0"/>
              <w:jc w:val="center"/>
              <w:rPr>
                <w:b/>
                <w:color w:val="auto"/>
                <w:sz w:val="20"/>
                <w:szCs w:val="20"/>
              </w:rPr>
            </w:pPr>
            <w:r w:rsidRPr="00B07474">
              <w:rPr>
                <w:b/>
                <w:color w:val="auto"/>
                <w:sz w:val="20"/>
                <w:szCs w:val="20"/>
              </w:rPr>
              <w:t>11.1</w:t>
            </w:r>
          </w:p>
        </w:tc>
        <w:tc>
          <w:tcPr>
            <w:tcW w:w="4110" w:type="dxa"/>
            <w:vAlign w:val="center"/>
          </w:tcPr>
          <w:p w:rsidR="00B07474" w:rsidRPr="00B07474" w:rsidRDefault="00B07474" w:rsidP="0036203D">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B07474">
              <w:rPr>
                <w:color w:val="auto"/>
                <w:sz w:val="20"/>
                <w:szCs w:val="20"/>
              </w:rPr>
              <w:t>Enhanced Money Market Fund *</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B07474" w:rsidRPr="00251C04" w:rsidRDefault="003B265B" w:rsidP="00573448">
            <w:pPr>
              <w:pStyle w:val="BodyTextIndent"/>
              <w:tabs>
                <w:tab w:val="left" w:pos="709"/>
              </w:tabs>
              <w:ind w:left="0"/>
              <w:jc w:val="center"/>
              <w:rPr>
                <w:b/>
                <w:color w:val="auto"/>
                <w:sz w:val="20"/>
                <w:szCs w:val="20"/>
              </w:rPr>
            </w:pPr>
            <w:r w:rsidRPr="00251C04">
              <w:rPr>
                <w:b/>
                <w:color w:val="auto"/>
                <w:sz w:val="20"/>
                <w:szCs w:val="20"/>
              </w:rPr>
              <w:t>11.0</w:t>
            </w:r>
          </w:p>
        </w:tc>
      </w:tr>
      <w:tr w:rsidR="00B07474" w:rsidRPr="0005794A" w:rsidTr="003620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vAlign w:val="center"/>
          </w:tcPr>
          <w:p w:rsidR="00B07474" w:rsidRPr="00B07474" w:rsidRDefault="00B07474" w:rsidP="00B07474">
            <w:pPr>
              <w:pStyle w:val="BodyTextIndent"/>
              <w:tabs>
                <w:tab w:val="left" w:pos="709"/>
              </w:tabs>
              <w:ind w:left="0"/>
              <w:jc w:val="center"/>
              <w:rPr>
                <w:b/>
                <w:color w:val="auto"/>
                <w:sz w:val="20"/>
                <w:szCs w:val="20"/>
              </w:rPr>
            </w:pPr>
            <w:r w:rsidRPr="00B07474">
              <w:rPr>
                <w:b/>
                <w:color w:val="auto"/>
                <w:sz w:val="20"/>
                <w:szCs w:val="20"/>
              </w:rPr>
              <w:t>26.4</w:t>
            </w:r>
          </w:p>
        </w:tc>
        <w:tc>
          <w:tcPr>
            <w:tcW w:w="4110" w:type="dxa"/>
            <w:vAlign w:val="center"/>
          </w:tcPr>
          <w:p w:rsidR="00B07474" w:rsidRPr="00B07474" w:rsidRDefault="00B07474" w:rsidP="00022620">
            <w:pPr>
              <w:pStyle w:val="BodyTextIndent"/>
              <w:tabs>
                <w:tab w:val="left" w:pos="709"/>
              </w:tabs>
              <w:ind w:left="0"/>
              <w:cnfStyle w:val="000000100000" w:firstRow="0" w:lastRow="0" w:firstColumn="0" w:lastColumn="0" w:oddVBand="0" w:evenVBand="0" w:oddHBand="1" w:evenHBand="0" w:firstRowFirstColumn="0" w:firstRowLastColumn="0" w:lastRowFirstColumn="0" w:lastRowLastColumn="0"/>
              <w:rPr>
                <w:b/>
                <w:color w:val="auto"/>
                <w:sz w:val="20"/>
                <w:szCs w:val="20"/>
              </w:rPr>
            </w:pPr>
            <w:r w:rsidRPr="00B07474">
              <w:rPr>
                <w:b/>
                <w:color w:val="auto"/>
                <w:sz w:val="20"/>
                <w:szCs w:val="20"/>
              </w:rPr>
              <w:t>Total Short Term Investments</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B07474" w:rsidRPr="00251C04" w:rsidRDefault="009C34C8" w:rsidP="00C871F2">
            <w:pPr>
              <w:pStyle w:val="BodyTextIndent"/>
              <w:tabs>
                <w:tab w:val="left" w:pos="709"/>
              </w:tabs>
              <w:ind w:left="0"/>
              <w:jc w:val="center"/>
              <w:rPr>
                <w:b/>
                <w:color w:val="auto"/>
                <w:sz w:val="20"/>
                <w:szCs w:val="20"/>
              </w:rPr>
            </w:pPr>
            <w:r w:rsidRPr="00251C04">
              <w:rPr>
                <w:b/>
                <w:color w:val="auto"/>
                <w:sz w:val="20"/>
                <w:szCs w:val="20"/>
              </w:rPr>
              <w:t>5</w:t>
            </w:r>
            <w:r w:rsidR="00D860C5" w:rsidRPr="00251C04">
              <w:rPr>
                <w:b/>
                <w:color w:val="auto"/>
                <w:sz w:val="20"/>
                <w:szCs w:val="20"/>
              </w:rPr>
              <w:t>3.3</w:t>
            </w:r>
          </w:p>
        </w:tc>
      </w:tr>
      <w:tr w:rsidR="00B07474" w:rsidRPr="0005794A" w:rsidTr="0036203D">
        <w:trPr>
          <w:trHeight w:val="463"/>
        </w:trPr>
        <w:tc>
          <w:tcPr>
            <w:cnfStyle w:val="000010000000" w:firstRow="0" w:lastRow="0" w:firstColumn="0" w:lastColumn="0" w:oddVBand="1" w:evenVBand="0" w:oddHBand="0" w:evenHBand="0" w:firstRowFirstColumn="0" w:firstRowLastColumn="0" w:lastRowFirstColumn="0" w:lastRowLastColumn="0"/>
            <w:tcW w:w="2127" w:type="dxa"/>
            <w:vAlign w:val="center"/>
          </w:tcPr>
          <w:p w:rsidR="00B07474" w:rsidRPr="00B07474" w:rsidRDefault="00B07474" w:rsidP="00B07474">
            <w:pPr>
              <w:pStyle w:val="BodyTextIndent"/>
              <w:tabs>
                <w:tab w:val="left" w:pos="709"/>
              </w:tabs>
              <w:ind w:left="0"/>
              <w:jc w:val="center"/>
              <w:rPr>
                <w:i/>
                <w:color w:val="auto"/>
                <w:sz w:val="20"/>
                <w:szCs w:val="20"/>
              </w:rPr>
            </w:pPr>
            <w:r w:rsidRPr="00B07474">
              <w:rPr>
                <w:i/>
                <w:color w:val="auto"/>
                <w:sz w:val="20"/>
                <w:szCs w:val="20"/>
              </w:rPr>
              <w:t>26.6</w:t>
            </w:r>
          </w:p>
        </w:tc>
        <w:tc>
          <w:tcPr>
            <w:tcW w:w="4110" w:type="dxa"/>
            <w:vAlign w:val="center"/>
          </w:tcPr>
          <w:p w:rsidR="00B07474" w:rsidRPr="00B07474" w:rsidRDefault="00B07474" w:rsidP="0036203D">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i/>
                <w:color w:val="auto"/>
                <w:sz w:val="20"/>
                <w:szCs w:val="20"/>
              </w:rPr>
            </w:pPr>
            <w:r w:rsidRPr="00B07474">
              <w:rPr>
                <w:i/>
                <w:color w:val="auto"/>
                <w:sz w:val="20"/>
                <w:szCs w:val="20"/>
              </w:rPr>
              <w:t>Fair Value as at 31</w:t>
            </w:r>
            <w:r w:rsidRPr="00B07474">
              <w:rPr>
                <w:i/>
                <w:color w:val="auto"/>
                <w:sz w:val="20"/>
                <w:szCs w:val="20"/>
                <w:vertAlign w:val="superscript"/>
              </w:rPr>
              <w:t>st</w:t>
            </w:r>
            <w:r w:rsidRPr="00B07474">
              <w:rPr>
                <w:i/>
                <w:color w:val="auto"/>
                <w:sz w:val="20"/>
                <w:szCs w:val="20"/>
              </w:rPr>
              <w:t xml:space="preserve"> March - including interest due</w:t>
            </w:r>
          </w:p>
        </w:tc>
        <w:tc>
          <w:tcPr>
            <w:cnfStyle w:val="000010000000" w:firstRow="0" w:lastRow="0" w:firstColumn="0" w:lastColumn="0" w:oddVBand="1" w:evenVBand="0" w:oddHBand="0" w:evenHBand="0" w:firstRowFirstColumn="0" w:firstRowLastColumn="0" w:lastRowFirstColumn="0" w:lastRowLastColumn="0"/>
            <w:tcW w:w="2376" w:type="dxa"/>
            <w:vAlign w:val="center"/>
          </w:tcPr>
          <w:p w:rsidR="00B07474" w:rsidRPr="00251C04" w:rsidRDefault="00251C04" w:rsidP="0036203D">
            <w:pPr>
              <w:pStyle w:val="BodyTextIndent"/>
              <w:tabs>
                <w:tab w:val="left" w:pos="709"/>
              </w:tabs>
              <w:ind w:left="0"/>
              <w:jc w:val="center"/>
              <w:rPr>
                <w:i/>
                <w:color w:val="auto"/>
                <w:sz w:val="20"/>
                <w:szCs w:val="20"/>
              </w:rPr>
            </w:pPr>
            <w:r w:rsidRPr="00251C04">
              <w:rPr>
                <w:i/>
                <w:color w:val="auto"/>
                <w:sz w:val="20"/>
                <w:szCs w:val="20"/>
              </w:rPr>
              <w:t>53.8</w:t>
            </w:r>
          </w:p>
        </w:tc>
      </w:tr>
    </w:tbl>
    <w:p w:rsidR="003D1EA9" w:rsidRPr="0005794A" w:rsidRDefault="003D1EA9" w:rsidP="003D1EA9">
      <w:pPr>
        <w:pStyle w:val="BodyTextIndent"/>
        <w:ind w:left="0"/>
        <w:rPr>
          <w:rFonts w:cs="Arial"/>
          <w:bCs/>
          <w:color w:val="548DD4" w:themeColor="text2" w:themeTint="99"/>
          <w:sz w:val="20"/>
          <w:szCs w:val="20"/>
        </w:rPr>
      </w:pPr>
    </w:p>
    <w:p w:rsidR="00D56952" w:rsidRPr="003B265B" w:rsidRDefault="00E51139" w:rsidP="003D1EA9">
      <w:pPr>
        <w:pStyle w:val="BodyTextIndent"/>
        <w:ind w:left="567"/>
        <w:rPr>
          <w:rFonts w:cs="Arial"/>
          <w:bCs/>
          <w:color w:val="auto"/>
          <w:sz w:val="20"/>
          <w:szCs w:val="20"/>
        </w:rPr>
      </w:pPr>
      <w:r w:rsidRPr="003B265B">
        <w:rPr>
          <w:rFonts w:cs="Arial"/>
          <w:bCs/>
          <w:color w:val="auto"/>
          <w:sz w:val="20"/>
          <w:szCs w:val="20"/>
        </w:rPr>
        <w:t>Note * - The Council has designated its holding with</w:t>
      </w:r>
      <w:r w:rsidR="00F0173D" w:rsidRPr="003B265B">
        <w:rPr>
          <w:rFonts w:cs="Arial"/>
          <w:bCs/>
          <w:color w:val="auto"/>
          <w:sz w:val="20"/>
          <w:szCs w:val="20"/>
        </w:rPr>
        <w:t xml:space="preserve"> </w:t>
      </w:r>
      <w:proofErr w:type="spellStart"/>
      <w:r w:rsidR="00F0173D" w:rsidRPr="003B265B">
        <w:rPr>
          <w:rFonts w:cs="Arial"/>
          <w:bCs/>
          <w:color w:val="auto"/>
          <w:sz w:val="20"/>
          <w:szCs w:val="20"/>
        </w:rPr>
        <w:t>a</w:t>
      </w:r>
      <w:proofErr w:type="spellEnd"/>
      <w:r w:rsidR="00F0173D" w:rsidRPr="003B265B">
        <w:rPr>
          <w:rFonts w:cs="Arial"/>
          <w:bCs/>
          <w:color w:val="auto"/>
          <w:sz w:val="20"/>
          <w:szCs w:val="20"/>
        </w:rPr>
        <w:t xml:space="preserve"> Enhanced Money Market Fund </w:t>
      </w:r>
      <w:r w:rsidR="00061D71" w:rsidRPr="003B265B">
        <w:rPr>
          <w:rFonts w:cs="Arial"/>
          <w:bCs/>
          <w:color w:val="auto"/>
          <w:sz w:val="20"/>
          <w:szCs w:val="20"/>
        </w:rPr>
        <w:t>a</w:t>
      </w:r>
      <w:r w:rsidRPr="003B265B">
        <w:rPr>
          <w:rFonts w:cs="Arial"/>
          <w:bCs/>
          <w:color w:val="auto"/>
          <w:sz w:val="20"/>
          <w:szCs w:val="20"/>
        </w:rPr>
        <w:t>t Fair Value through Profit and Loss as, in substance, the Council’s holding is part of a portfolio of identified financial instruments that are managed together and there is evidence of short term profit makin</w:t>
      </w:r>
      <w:r w:rsidR="00875EAB" w:rsidRPr="003B265B">
        <w:rPr>
          <w:rFonts w:cs="Arial"/>
          <w:bCs/>
          <w:color w:val="auto"/>
          <w:sz w:val="20"/>
          <w:szCs w:val="20"/>
        </w:rPr>
        <w:t>g</w:t>
      </w:r>
      <w:r w:rsidR="00D77783" w:rsidRPr="003B265B">
        <w:rPr>
          <w:rFonts w:cs="Arial"/>
          <w:bCs/>
          <w:color w:val="auto"/>
          <w:sz w:val="20"/>
          <w:szCs w:val="20"/>
        </w:rPr>
        <w:t>.</w:t>
      </w:r>
    </w:p>
    <w:p w:rsidR="00256A0E" w:rsidRDefault="00256A0E" w:rsidP="003D1EA9">
      <w:pPr>
        <w:pStyle w:val="BodyTextIndent"/>
        <w:ind w:left="567"/>
        <w:rPr>
          <w:rFonts w:cs="Arial"/>
          <w:bCs/>
          <w:color w:val="548DD4" w:themeColor="text2" w:themeTint="99"/>
          <w:sz w:val="20"/>
          <w:szCs w:val="20"/>
        </w:rPr>
      </w:pPr>
    </w:p>
    <w:p w:rsidR="00262F42" w:rsidRPr="0005794A" w:rsidRDefault="00262F42" w:rsidP="003D1EA9">
      <w:pPr>
        <w:pStyle w:val="BodyTextIndent"/>
        <w:ind w:left="567"/>
        <w:rPr>
          <w:rFonts w:cs="Arial"/>
          <w:bCs/>
          <w:color w:val="548DD4" w:themeColor="text2" w:themeTint="99"/>
          <w:sz w:val="20"/>
          <w:szCs w:val="20"/>
        </w:rPr>
      </w:pPr>
    </w:p>
    <w:p w:rsidR="00E51139" w:rsidRPr="00B07474" w:rsidRDefault="007E33E1" w:rsidP="005C6E43">
      <w:pPr>
        <w:pStyle w:val="Subtitle"/>
        <w:ind w:left="567" w:hanging="567"/>
        <w:rPr>
          <w:b/>
          <w:color w:val="auto"/>
          <w:sz w:val="22"/>
          <w:szCs w:val="22"/>
        </w:rPr>
      </w:pPr>
      <w:r w:rsidRPr="00B07474">
        <w:rPr>
          <w:b/>
          <w:color w:val="auto"/>
          <w:sz w:val="22"/>
          <w:szCs w:val="22"/>
        </w:rPr>
        <w:lastRenderedPageBreak/>
        <w:t>1</w:t>
      </w:r>
      <w:r w:rsidR="00256A0E" w:rsidRPr="00B07474">
        <w:rPr>
          <w:b/>
          <w:color w:val="auto"/>
          <w:sz w:val="22"/>
          <w:szCs w:val="22"/>
        </w:rPr>
        <w:t>9</w:t>
      </w:r>
      <w:r w:rsidRPr="00B07474">
        <w:rPr>
          <w:b/>
          <w:color w:val="auto"/>
          <w:sz w:val="22"/>
          <w:szCs w:val="22"/>
        </w:rPr>
        <w:t>.</w:t>
      </w:r>
      <w:r w:rsidRPr="00B07474">
        <w:rPr>
          <w:b/>
          <w:color w:val="auto"/>
          <w:sz w:val="22"/>
          <w:szCs w:val="22"/>
        </w:rPr>
        <w:tab/>
      </w:r>
      <w:r w:rsidR="00E51139" w:rsidRPr="00B07474">
        <w:rPr>
          <w:b/>
          <w:color w:val="auto"/>
          <w:sz w:val="22"/>
          <w:szCs w:val="22"/>
        </w:rPr>
        <w:t>Debtors</w:t>
      </w:r>
    </w:p>
    <w:p w:rsidR="00E51139" w:rsidRPr="00B07474" w:rsidRDefault="00E51139" w:rsidP="005C6E43">
      <w:pPr>
        <w:ind w:left="567"/>
        <w:rPr>
          <w:rFonts w:cs="Arial"/>
          <w:bCs/>
          <w:color w:val="auto"/>
          <w:sz w:val="20"/>
          <w:szCs w:val="20"/>
        </w:rPr>
      </w:pPr>
      <w:r w:rsidRPr="00B07474">
        <w:rPr>
          <w:rFonts w:cs="Arial"/>
          <w:bCs/>
          <w:color w:val="auto"/>
          <w:sz w:val="20"/>
          <w:szCs w:val="20"/>
        </w:rPr>
        <w:t>Debtors represent monies owed to the Council and include deposits and payments in advance.</w:t>
      </w:r>
    </w:p>
    <w:p w:rsidR="00725001" w:rsidRPr="00B07474" w:rsidRDefault="00725001" w:rsidP="008D0906">
      <w:pPr>
        <w:spacing w:line="240" w:lineRule="auto"/>
        <w:ind w:left="567"/>
        <w:outlineLvl w:val="0"/>
        <w:rPr>
          <w:rFonts w:cs="Arial"/>
          <w:b/>
          <w:bCs/>
          <w:color w:val="auto"/>
          <w:sz w:val="20"/>
          <w:szCs w:val="20"/>
        </w:rPr>
      </w:pPr>
      <w:r w:rsidRPr="00B07474">
        <w:rPr>
          <w:rFonts w:cs="Arial"/>
          <w:b/>
          <w:bCs/>
          <w:color w:val="auto"/>
          <w:sz w:val="20"/>
          <w:szCs w:val="20"/>
        </w:rPr>
        <w:t xml:space="preserve">Long Term </w:t>
      </w:r>
      <w:r w:rsidR="007E33E1" w:rsidRPr="00B07474">
        <w:rPr>
          <w:rFonts w:cs="Arial"/>
          <w:b/>
          <w:bCs/>
          <w:color w:val="auto"/>
          <w:sz w:val="20"/>
          <w:szCs w:val="20"/>
        </w:rPr>
        <w:t>Debtors</w:t>
      </w:r>
      <w:r w:rsidRPr="00B07474">
        <w:rPr>
          <w:rFonts w:cs="Arial"/>
          <w:b/>
          <w:bCs/>
          <w:color w:val="auto"/>
          <w:sz w:val="20"/>
          <w:szCs w:val="20"/>
        </w:rPr>
        <w:t xml:space="preserve"> (due over one year) </w:t>
      </w:r>
    </w:p>
    <w:tbl>
      <w:tblPr>
        <w:tblStyle w:val="ListTable3-Accent51"/>
        <w:tblW w:w="7938" w:type="dxa"/>
        <w:tblInd w:w="675" w:type="dxa"/>
        <w:tblLayout w:type="fixed"/>
        <w:tblLook w:val="0000" w:firstRow="0" w:lastRow="0" w:firstColumn="0" w:lastColumn="0" w:noHBand="0" w:noVBand="0"/>
      </w:tblPr>
      <w:tblGrid>
        <w:gridCol w:w="1985"/>
        <w:gridCol w:w="3969"/>
        <w:gridCol w:w="1984"/>
      </w:tblGrid>
      <w:tr w:rsidR="00725001" w:rsidRPr="0005794A" w:rsidTr="00F80DF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shd w:val="clear" w:color="auto" w:fill="4BACC6" w:themeFill="accent5"/>
          </w:tcPr>
          <w:p w:rsidR="00725001" w:rsidRPr="00B07474" w:rsidRDefault="006B324D" w:rsidP="00F80DFF">
            <w:pPr>
              <w:pStyle w:val="TableRightBold"/>
              <w:ind w:right="142"/>
              <w:jc w:val="center"/>
              <w:rPr>
                <w:rStyle w:val="Bold"/>
                <w:rFonts w:ascii="Arial" w:hAnsi="Arial" w:cs="Arial"/>
                <w:bCs w:val="0"/>
                <w:color w:val="auto"/>
              </w:rPr>
            </w:pPr>
            <w:r w:rsidRPr="00B07474">
              <w:rPr>
                <w:rStyle w:val="Bold"/>
                <w:rFonts w:ascii="Arial" w:hAnsi="Arial" w:cs="Arial"/>
                <w:bCs w:val="0"/>
                <w:color w:val="auto"/>
              </w:rPr>
              <w:t>31 M</w:t>
            </w:r>
            <w:r w:rsidR="00B07474" w:rsidRPr="00B07474">
              <w:rPr>
                <w:rStyle w:val="Bold"/>
                <w:rFonts w:ascii="Arial" w:hAnsi="Arial" w:cs="Arial"/>
                <w:bCs w:val="0"/>
                <w:color w:val="auto"/>
              </w:rPr>
              <w:t>arch 2017</w:t>
            </w:r>
          </w:p>
          <w:p w:rsidR="00725001" w:rsidRPr="00B07474" w:rsidRDefault="00725001" w:rsidP="00F80DFF">
            <w:pPr>
              <w:pStyle w:val="TableRightBold"/>
              <w:ind w:right="142"/>
              <w:jc w:val="center"/>
              <w:rPr>
                <w:rStyle w:val="Bold"/>
                <w:rFonts w:ascii="Arial" w:hAnsi="Arial" w:cs="Arial"/>
                <w:b/>
                <w:bCs w:val="0"/>
                <w:color w:val="auto"/>
              </w:rPr>
            </w:pPr>
            <w:r w:rsidRPr="00B07474">
              <w:rPr>
                <w:rStyle w:val="Bold"/>
                <w:rFonts w:ascii="Arial" w:hAnsi="Arial" w:cs="Arial"/>
                <w:bCs w:val="0"/>
                <w:color w:val="auto"/>
              </w:rPr>
              <w:t>£m</w:t>
            </w:r>
          </w:p>
        </w:tc>
        <w:tc>
          <w:tcPr>
            <w:tcW w:w="3969" w:type="dxa"/>
            <w:shd w:val="clear" w:color="auto" w:fill="4BACC6" w:themeFill="accent5"/>
          </w:tcPr>
          <w:p w:rsidR="00725001" w:rsidRPr="00B07474" w:rsidRDefault="00725001" w:rsidP="00F80DFF">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4BACC6" w:themeFill="accent5"/>
          </w:tcPr>
          <w:p w:rsidR="00725001" w:rsidRPr="00B07474" w:rsidRDefault="00B07474" w:rsidP="00F80DFF">
            <w:pPr>
              <w:pStyle w:val="TableRightBold"/>
              <w:ind w:right="142"/>
              <w:jc w:val="center"/>
              <w:rPr>
                <w:rStyle w:val="Bold"/>
                <w:rFonts w:ascii="Arial" w:hAnsi="Arial" w:cs="Arial"/>
                <w:b/>
                <w:bCs w:val="0"/>
                <w:color w:val="auto"/>
              </w:rPr>
            </w:pPr>
            <w:r w:rsidRPr="00B07474">
              <w:rPr>
                <w:rStyle w:val="Bold"/>
                <w:rFonts w:ascii="Arial" w:hAnsi="Arial" w:cs="Arial"/>
                <w:b/>
                <w:bCs w:val="0"/>
                <w:color w:val="auto"/>
              </w:rPr>
              <w:t>31 March 2018</w:t>
            </w:r>
          </w:p>
          <w:p w:rsidR="00725001" w:rsidRPr="00B07474" w:rsidRDefault="00725001" w:rsidP="00F80DFF">
            <w:pPr>
              <w:pStyle w:val="TableRightBold"/>
              <w:ind w:right="142"/>
              <w:jc w:val="center"/>
              <w:rPr>
                <w:rStyle w:val="Bold"/>
                <w:rFonts w:ascii="Arial" w:hAnsi="Arial" w:cs="Arial"/>
                <w:color w:val="auto"/>
              </w:rPr>
            </w:pPr>
            <w:r w:rsidRPr="00B07474">
              <w:rPr>
                <w:rStyle w:val="Bold"/>
                <w:rFonts w:ascii="Arial" w:hAnsi="Arial" w:cs="Arial"/>
                <w:b/>
                <w:bCs w:val="0"/>
                <w:color w:val="auto"/>
              </w:rPr>
              <w:t>£m</w:t>
            </w:r>
          </w:p>
        </w:tc>
      </w:tr>
      <w:tr w:rsidR="00B07474" w:rsidRPr="0005794A" w:rsidTr="00F80DFF">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2.4</w:t>
            </w:r>
          </w:p>
        </w:tc>
        <w:tc>
          <w:tcPr>
            <w:tcW w:w="3969" w:type="dxa"/>
          </w:tcPr>
          <w:p w:rsidR="00B07474" w:rsidRPr="00B07474" w:rsidRDefault="00B07474" w:rsidP="00F80DFF">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474">
              <w:rPr>
                <w:rFonts w:ascii="Arial" w:hAnsi="Arial" w:cs="Arial"/>
                <w:color w:val="auto"/>
              </w:rPr>
              <w:t xml:space="preserve">Loans </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537465" w:rsidRDefault="00537465" w:rsidP="00F80DFF">
            <w:pPr>
              <w:pStyle w:val="TableRightBold"/>
              <w:ind w:right="142"/>
              <w:jc w:val="center"/>
              <w:rPr>
                <w:rStyle w:val="Bold"/>
                <w:rFonts w:ascii="Arial" w:hAnsi="Arial" w:cs="Arial"/>
                <w:b/>
                <w:color w:val="auto"/>
              </w:rPr>
            </w:pPr>
            <w:r w:rsidRPr="00537465">
              <w:rPr>
                <w:rStyle w:val="Bold"/>
                <w:rFonts w:ascii="Arial" w:hAnsi="Arial" w:cs="Arial"/>
                <w:b/>
                <w:color w:val="auto"/>
              </w:rPr>
              <w:t>7.6</w:t>
            </w:r>
          </w:p>
        </w:tc>
      </w:tr>
      <w:tr w:rsidR="00B07474" w:rsidRPr="0005794A" w:rsidTr="00F80DF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1.4</w:t>
            </w:r>
          </w:p>
        </w:tc>
        <w:tc>
          <w:tcPr>
            <w:tcW w:w="3969" w:type="dxa"/>
          </w:tcPr>
          <w:p w:rsidR="00B07474" w:rsidRPr="00B07474" w:rsidRDefault="00B07474" w:rsidP="00F80DFF">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07474">
              <w:rPr>
                <w:rFonts w:ascii="Arial" w:hAnsi="Arial" w:cs="Arial"/>
                <w:color w:val="auto"/>
              </w:rPr>
              <w:t xml:space="preserve">Social Services – Client Debt </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537465" w:rsidRDefault="00D23135" w:rsidP="00D81DF1">
            <w:pPr>
              <w:pStyle w:val="TableRightBold"/>
              <w:ind w:right="142"/>
              <w:jc w:val="center"/>
              <w:rPr>
                <w:rStyle w:val="Bold"/>
                <w:rFonts w:ascii="Arial" w:hAnsi="Arial" w:cs="Arial"/>
                <w:b/>
                <w:color w:val="auto"/>
              </w:rPr>
            </w:pPr>
            <w:r w:rsidRPr="00537465">
              <w:rPr>
                <w:rStyle w:val="Bold"/>
                <w:rFonts w:ascii="Arial" w:hAnsi="Arial" w:cs="Arial"/>
                <w:b/>
                <w:color w:val="auto"/>
              </w:rPr>
              <w:t>1.6</w:t>
            </w:r>
          </w:p>
        </w:tc>
      </w:tr>
      <w:tr w:rsidR="00B07474" w:rsidRPr="0005794A" w:rsidTr="00F80DFF">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(0.2)</w:t>
            </w:r>
          </w:p>
        </w:tc>
        <w:tc>
          <w:tcPr>
            <w:tcW w:w="3969" w:type="dxa"/>
          </w:tcPr>
          <w:p w:rsidR="00B07474" w:rsidRPr="00B07474" w:rsidRDefault="00B07474" w:rsidP="00F80DFF">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474">
              <w:rPr>
                <w:rFonts w:ascii="Arial" w:hAnsi="Arial" w:cs="Arial"/>
                <w:color w:val="auto"/>
              </w:rPr>
              <w:t>Impairment re Client Debt</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537465" w:rsidRDefault="005D7492" w:rsidP="00B659C5">
            <w:pPr>
              <w:pStyle w:val="TableRightBold"/>
              <w:ind w:right="142"/>
              <w:jc w:val="center"/>
              <w:rPr>
                <w:rStyle w:val="Bold"/>
                <w:rFonts w:ascii="Arial" w:hAnsi="Arial" w:cs="Arial"/>
                <w:b/>
                <w:color w:val="auto"/>
              </w:rPr>
            </w:pPr>
            <w:r w:rsidRPr="00537465">
              <w:rPr>
                <w:rStyle w:val="Bold"/>
                <w:rFonts w:ascii="Arial" w:hAnsi="Arial" w:cs="Arial"/>
                <w:b/>
                <w:color w:val="auto"/>
              </w:rPr>
              <w:t>(0.1)</w:t>
            </w:r>
          </w:p>
        </w:tc>
      </w:tr>
      <w:tr w:rsidR="00B07474" w:rsidRPr="0005794A" w:rsidTr="00F80DFF">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2.9</w:t>
            </w:r>
          </w:p>
        </w:tc>
        <w:tc>
          <w:tcPr>
            <w:tcW w:w="3969" w:type="dxa"/>
          </w:tcPr>
          <w:p w:rsidR="00B07474" w:rsidRPr="00B07474" w:rsidRDefault="00B07474" w:rsidP="00F80DFF">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07474">
              <w:rPr>
                <w:rFonts w:ascii="Arial" w:hAnsi="Arial" w:cs="Arial"/>
                <w:color w:val="auto"/>
              </w:rPr>
              <w:t>Asset Related (capital accounting)</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537465" w:rsidRDefault="00D23135" w:rsidP="00F80DFF">
            <w:pPr>
              <w:pStyle w:val="TableRightBold"/>
              <w:ind w:right="142"/>
              <w:jc w:val="center"/>
              <w:rPr>
                <w:rStyle w:val="Bold"/>
                <w:rFonts w:ascii="Arial" w:hAnsi="Arial" w:cs="Arial"/>
                <w:b/>
                <w:color w:val="auto"/>
              </w:rPr>
            </w:pPr>
            <w:r w:rsidRPr="00537465">
              <w:rPr>
                <w:rStyle w:val="Bold"/>
                <w:rFonts w:ascii="Arial" w:hAnsi="Arial" w:cs="Arial"/>
                <w:b/>
                <w:color w:val="auto"/>
              </w:rPr>
              <w:t>2.9</w:t>
            </w:r>
          </w:p>
        </w:tc>
      </w:tr>
      <w:tr w:rsidR="00B07474" w:rsidRPr="0005794A" w:rsidTr="00F80DFF">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6.5</w:t>
            </w:r>
          </w:p>
        </w:tc>
        <w:tc>
          <w:tcPr>
            <w:tcW w:w="3969" w:type="dxa"/>
          </w:tcPr>
          <w:p w:rsidR="00B07474" w:rsidRPr="00B07474" w:rsidRDefault="00B07474" w:rsidP="00F80DFF">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07474">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537465" w:rsidRDefault="00D23135" w:rsidP="005D7492">
            <w:pPr>
              <w:pStyle w:val="TableRightBold"/>
              <w:ind w:right="142"/>
              <w:jc w:val="center"/>
              <w:rPr>
                <w:rStyle w:val="Bold"/>
                <w:rFonts w:ascii="Arial" w:hAnsi="Arial" w:cs="Arial"/>
                <w:b/>
                <w:color w:val="auto"/>
              </w:rPr>
            </w:pPr>
            <w:r w:rsidRPr="00537465">
              <w:rPr>
                <w:rStyle w:val="Bold"/>
                <w:rFonts w:ascii="Arial" w:hAnsi="Arial" w:cs="Arial"/>
                <w:b/>
                <w:color w:val="auto"/>
              </w:rPr>
              <w:t>12.</w:t>
            </w:r>
            <w:r w:rsidR="00537465" w:rsidRPr="00537465">
              <w:rPr>
                <w:rStyle w:val="Bold"/>
                <w:rFonts w:ascii="Arial" w:hAnsi="Arial" w:cs="Arial"/>
                <w:b/>
                <w:color w:val="auto"/>
              </w:rPr>
              <w:t>0</w:t>
            </w:r>
          </w:p>
        </w:tc>
      </w:tr>
    </w:tbl>
    <w:p w:rsidR="00725001" w:rsidRPr="0005794A" w:rsidRDefault="00725001" w:rsidP="005C6E43">
      <w:pPr>
        <w:ind w:left="567"/>
        <w:rPr>
          <w:rFonts w:cs="Arial"/>
          <w:bCs/>
          <w:color w:val="548DD4" w:themeColor="text2" w:themeTint="99"/>
          <w:sz w:val="20"/>
          <w:szCs w:val="20"/>
        </w:rPr>
      </w:pPr>
    </w:p>
    <w:p w:rsidR="00FE47DF" w:rsidRPr="00B07474" w:rsidRDefault="00E51139" w:rsidP="008D0906">
      <w:pPr>
        <w:ind w:left="567"/>
        <w:outlineLvl w:val="0"/>
        <w:rPr>
          <w:rFonts w:cs="Arial"/>
          <w:b/>
          <w:bCs/>
          <w:color w:val="auto"/>
          <w:sz w:val="20"/>
          <w:szCs w:val="20"/>
        </w:rPr>
      </w:pPr>
      <w:r w:rsidRPr="00B07474">
        <w:rPr>
          <w:rFonts w:cs="Arial"/>
          <w:b/>
          <w:bCs/>
          <w:color w:val="auto"/>
          <w:sz w:val="20"/>
          <w:szCs w:val="20"/>
        </w:rPr>
        <w:t>Current Debtors (Due within one year including payments in advance)</w:t>
      </w:r>
    </w:p>
    <w:tbl>
      <w:tblPr>
        <w:tblStyle w:val="ListTable3-Accent51"/>
        <w:tblW w:w="7895" w:type="dxa"/>
        <w:tblInd w:w="718" w:type="dxa"/>
        <w:tblBorders>
          <w:insideH w:val="single" w:sz="4" w:space="0" w:color="4BACC6" w:themeColor="accent5"/>
          <w:insideV w:val="single" w:sz="4" w:space="0" w:color="4BACC6" w:themeColor="accent5"/>
        </w:tblBorders>
        <w:tblLayout w:type="fixed"/>
        <w:tblLook w:val="0000" w:firstRow="0" w:lastRow="0" w:firstColumn="0" w:lastColumn="0" w:noHBand="0" w:noVBand="0"/>
      </w:tblPr>
      <w:tblGrid>
        <w:gridCol w:w="1942"/>
        <w:gridCol w:w="3967"/>
        <w:gridCol w:w="1986"/>
      </w:tblGrid>
      <w:tr w:rsidR="00E51139" w:rsidRPr="0005794A" w:rsidTr="00AB1648">
        <w:trPr>
          <w:trHeight w:val="60"/>
          <w:tblHeader/>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shd w:val="clear" w:color="auto" w:fill="4BACC6" w:themeFill="accent5"/>
          </w:tcPr>
          <w:p w:rsidR="00E51139" w:rsidRPr="00B07474" w:rsidRDefault="00AA4FF1" w:rsidP="00AA4FF1">
            <w:pPr>
              <w:pStyle w:val="TableRightBold"/>
              <w:ind w:right="142"/>
              <w:jc w:val="center"/>
              <w:rPr>
                <w:rStyle w:val="Bold"/>
                <w:rFonts w:ascii="Arial" w:hAnsi="Arial" w:cs="Arial"/>
                <w:bCs w:val="0"/>
                <w:color w:val="auto"/>
              </w:rPr>
            </w:pPr>
            <w:r w:rsidRPr="00B07474">
              <w:rPr>
                <w:rStyle w:val="Bold"/>
                <w:rFonts w:ascii="Arial" w:hAnsi="Arial" w:cs="Arial"/>
                <w:bCs w:val="0"/>
                <w:color w:val="auto"/>
              </w:rPr>
              <w:t>31</w:t>
            </w:r>
            <w:r w:rsidRPr="00B07474">
              <w:rPr>
                <w:rStyle w:val="Bold"/>
                <w:rFonts w:ascii="Arial" w:hAnsi="Arial" w:cs="Arial"/>
                <w:bCs w:val="0"/>
                <w:color w:val="auto"/>
                <w:vertAlign w:val="superscript"/>
              </w:rPr>
              <w:t>st</w:t>
            </w:r>
            <w:r w:rsidRPr="00B07474">
              <w:rPr>
                <w:rStyle w:val="Bold"/>
                <w:rFonts w:ascii="Arial" w:hAnsi="Arial" w:cs="Arial"/>
                <w:bCs w:val="0"/>
                <w:color w:val="auto"/>
              </w:rPr>
              <w:t xml:space="preserve"> </w:t>
            </w:r>
            <w:r w:rsidR="00E51139" w:rsidRPr="00B07474">
              <w:rPr>
                <w:rStyle w:val="Bold"/>
                <w:rFonts w:ascii="Arial" w:hAnsi="Arial" w:cs="Arial"/>
                <w:bCs w:val="0"/>
                <w:color w:val="auto"/>
              </w:rPr>
              <w:t>March 201</w:t>
            </w:r>
            <w:r w:rsidR="00B07474" w:rsidRPr="00B07474">
              <w:rPr>
                <w:rStyle w:val="Bold"/>
                <w:rFonts w:ascii="Arial" w:hAnsi="Arial" w:cs="Arial"/>
                <w:bCs w:val="0"/>
                <w:color w:val="auto"/>
              </w:rPr>
              <w:t>7</w:t>
            </w:r>
          </w:p>
        </w:tc>
        <w:tc>
          <w:tcPr>
            <w:tcW w:w="3967" w:type="dxa"/>
            <w:shd w:val="clear" w:color="auto" w:fill="4BACC6" w:themeFill="accent5"/>
          </w:tcPr>
          <w:p w:rsidR="00E51139" w:rsidRPr="00B07474" w:rsidRDefault="00E51139" w:rsidP="003C5E34">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shd w:val="clear" w:color="auto" w:fill="4BACC6" w:themeFill="accent5"/>
          </w:tcPr>
          <w:p w:rsidR="00E51139" w:rsidRPr="00B07474" w:rsidRDefault="00E51139" w:rsidP="00E36894">
            <w:pPr>
              <w:pStyle w:val="TableRightBold"/>
              <w:ind w:right="142"/>
              <w:jc w:val="center"/>
              <w:rPr>
                <w:rStyle w:val="Bold"/>
                <w:rFonts w:ascii="Arial" w:hAnsi="Arial" w:cs="Arial"/>
                <w:b/>
                <w:bCs w:val="0"/>
                <w:color w:val="auto"/>
              </w:rPr>
            </w:pPr>
            <w:r w:rsidRPr="00B07474">
              <w:rPr>
                <w:rStyle w:val="Bold"/>
                <w:rFonts w:ascii="Arial" w:hAnsi="Arial" w:cs="Arial"/>
                <w:b/>
                <w:bCs w:val="0"/>
                <w:color w:val="auto"/>
              </w:rPr>
              <w:t>3</w:t>
            </w:r>
            <w:r w:rsidR="00AA4FF1" w:rsidRPr="00B07474">
              <w:rPr>
                <w:rStyle w:val="Bold"/>
                <w:rFonts w:ascii="Arial" w:hAnsi="Arial" w:cs="Arial"/>
                <w:b/>
                <w:bCs w:val="0"/>
                <w:color w:val="auto"/>
              </w:rPr>
              <w:t>1</w:t>
            </w:r>
            <w:r w:rsidR="00AA4FF1" w:rsidRPr="00B07474">
              <w:rPr>
                <w:rStyle w:val="Bold"/>
                <w:rFonts w:ascii="Arial" w:hAnsi="Arial" w:cs="Arial"/>
                <w:b/>
                <w:bCs w:val="0"/>
                <w:color w:val="auto"/>
                <w:vertAlign w:val="superscript"/>
              </w:rPr>
              <w:t>st</w:t>
            </w:r>
            <w:r w:rsidR="00AA4FF1" w:rsidRPr="00B07474">
              <w:rPr>
                <w:rStyle w:val="Bold"/>
                <w:rFonts w:ascii="Arial" w:hAnsi="Arial" w:cs="Arial"/>
                <w:b/>
                <w:bCs w:val="0"/>
                <w:color w:val="auto"/>
              </w:rPr>
              <w:t xml:space="preserve"> </w:t>
            </w:r>
            <w:r w:rsidRPr="00B07474">
              <w:rPr>
                <w:rStyle w:val="Bold"/>
                <w:rFonts w:ascii="Arial" w:hAnsi="Arial" w:cs="Arial"/>
                <w:b/>
                <w:bCs w:val="0"/>
                <w:color w:val="auto"/>
              </w:rPr>
              <w:t>March 201</w:t>
            </w:r>
            <w:r w:rsidR="00B07474" w:rsidRPr="00B07474">
              <w:rPr>
                <w:rStyle w:val="Bold"/>
                <w:rFonts w:ascii="Arial" w:hAnsi="Arial" w:cs="Arial"/>
                <w:b/>
                <w:bCs w:val="0"/>
                <w:color w:val="auto"/>
              </w:rPr>
              <w:t>8</w:t>
            </w:r>
          </w:p>
        </w:tc>
      </w:tr>
      <w:tr w:rsidR="00AA4FF1" w:rsidRPr="0005794A"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top w:val="none" w:sz="0" w:space="0" w:color="auto"/>
              <w:left w:val="none" w:sz="0" w:space="0" w:color="auto"/>
              <w:bottom w:val="none" w:sz="0" w:space="0" w:color="auto"/>
              <w:right w:val="none" w:sz="0" w:space="0" w:color="auto"/>
            </w:tcBorders>
            <w:shd w:val="clear" w:color="auto" w:fill="4BACC6" w:themeFill="accent5"/>
          </w:tcPr>
          <w:p w:rsidR="00AA4FF1" w:rsidRPr="00B07474" w:rsidRDefault="00AA4FF1" w:rsidP="008060CD">
            <w:pPr>
              <w:pStyle w:val="TableRightBold"/>
              <w:ind w:right="142"/>
              <w:jc w:val="center"/>
              <w:rPr>
                <w:rStyle w:val="Bold"/>
                <w:rFonts w:ascii="Arial" w:hAnsi="Arial" w:cs="Arial"/>
                <w:color w:val="auto"/>
              </w:rPr>
            </w:pPr>
            <w:r w:rsidRPr="00B07474">
              <w:rPr>
                <w:rStyle w:val="Bold"/>
                <w:rFonts w:ascii="Arial" w:hAnsi="Arial" w:cs="Arial"/>
                <w:color w:val="auto"/>
              </w:rPr>
              <w:t>£m</w:t>
            </w:r>
          </w:p>
        </w:tc>
        <w:tc>
          <w:tcPr>
            <w:tcW w:w="3967" w:type="dxa"/>
            <w:tcBorders>
              <w:top w:val="none" w:sz="0" w:space="0" w:color="auto"/>
              <w:bottom w:val="none" w:sz="0" w:space="0" w:color="auto"/>
            </w:tcBorders>
            <w:shd w:val="clear" w:color="auto" w:fill="4BACC6" w:themeFill="accent5"/>
          </w:tcPr>
          <w:p w:rsidR="00AA4FF1" w:rsidRPr="00B07474" w:rsidRDefault="00AA4FF1"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shd w:val="clear" w:color="auto" w:fill="4BACC6" w:themeFill="accent5"/>
          </w:tcPr>
          <w:p w:rsidR="00AA4FF1" w:rsidRPr="00B07474" w:rsidRDefault="00AA4FF1" w:rsidP="007C2CE3">
            <w:pPr>
              <w:pStyle w:val="TableRightBold"/>
              <w:ind w:right="142"/>
              <w:jc w:val="center"/>
              <w:rPr>
                <w:rStyle w:val="Bold"/>
                <w:rFonts w:ascii="Arial" w:hAnsi="Arial" w:cs="Arial"/>
                <w:color w:val="auto"/>
              </w:rPr>
            </w:pPr>
            <w:r w:rsidRPr="00B07474">
              <w:rPr>
                <w:rStyle w:val="Bold"/>
                <w:rFonts w:ascii="Arial" w:hAnsi="Arial" w:cs="Arial"/>
                <w:color w:val="auto"/>
              </w:rPr>
              <w:t>£m</w:t>
            </w:r>
          </w:p>
        </w:tc>
      </w:tr>
      <w:tr w:rsidR="00B07474" w:rsidRPr="0005794A" w:rsidTr="00AB1648">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3.9</w:t>
            </w:r>
          </w:p>
        </w:tc>
        <w:tc>
          <w:tcPr>
            <w:tcW w:w="3967" w:type="dxa"/>
          </w:tcPr>
          <w:p w:rsidR="00B07474" w:rsidRPr="00B07474"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474">
              <w:rPr>
                <w:rFonts w:ascii="Arial" w:hAnsi="Arial" w:cs="Arial"/>
                <w:color w:val="auto"/>
              </w:rPr>
              <w:t>Central government bodies (WGA)</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B07474" w:rsidRDefault="00386F65" w:rsidP="007C2CE3">
            <w:pPr>
              <w:pStyle w:val="TableRightBold"/>
              <w:ind w:right="142"/>
              <w:jc w:val="center"/>
              <w:rPr>
                <w:rStyle w:val="Bold"/>
                <w:rFonts w:ascii="Arial" w:hAnsi="Arial" w:cs="Arial"/>
                <w:b/>
                <w:color w:val="auto"/>
              </w:rPr>
            </w:pPr>
            <w:r>
              <w:rPr>
                <w:rStyle w:val="Bold"/>
                <w:rFonts w:ascii="Arial" w:hAnsi="Arial" w:cs="Arial"/>
                <w:b/>
                <w:color w:val="auto"/>
              </w:rPr>
              <w:t>4.3</w:t>
            </w:r>
          </w:p>
        </w:tc>
      </w:tr>
      <w:tr w:rsidR="00B07474" w:rsidRPr="0005794A"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top w:val="none" w:sz="0" w:space="0" w:color="auto"/>
              <w:left w:val="none" w:sz="0" w:space="0" w:color="auto"/>
              <w:bottom w:val="none" w:sz="0" w:space="0" w:color="auto"/>
              <w:right w:val="none" w:sz="0" w:space="0" w:color="auto"/>
            </w:tcBorders>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3.8</w:t>
            </w:r>
          </w:p>
        </w:tc>
        <w:tc>
          <w:tcPr>
            <w:tcW w:w="3967" w:type="dxa"/>
            <w:tcBorders>
              <w:top w:val="none" w:sz="0" w:space="0" w:color="auto"/>
              <w:bottom w:val="none" w:sz="0" w:space="0" w:color="auto"/>
            </w:tcBorders>
          </w:tcPr>
          <w:p w:rsidR="00B07474" w:rsidRPr="00B07474" w:rsidRDefault="00B07474"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07474">
              <w:rPr>
                <w:rFonts w:ascii="Arial" w:hAnsi="Arial" w:cs="Arial"/>
                <w:color w:val="auto"/>
              </w:rPr>
              <w:t>Other local authorities and public bodies</w:t>
            </w:r>
          </w:p>
        </w:tc>
        <w:tc>
          <w:tcPr>
            <w:cnfStyle w:val="000010000000" w:firstRow="0" w:lastRow="0" w:firstColumn="0" w:lastColumn="0" w:oddVBand="1"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tcPr>
          <w:p w:rsidR="00B07474" w:rsidRPr="00B07474" w:rsidRDefault="00386F65" w:rsidP="006E290F">
            <w:pPr>
              <w:pStyle w:val="TableRightBold"/>
              <w:ind w:right="142"/>
              <w:jc w:val="center"/>
              <w:rPr>
                <w:rStyle w:val="Bold"/>
                <w:rFonts w:ascii="Arial" w:hAnsi="Arial" w:cs="Arial"/>
                <w:b/>
                <w:color w:val="auto"/>
              </w:rPr>
            </w:pPr>
            <w:r>
              <w:rPr>
                <w:rStyle w:val="Bold"/>
                <w:rFonts w:ascii="Arial" w:hAnsi="Arial" w:cs="Arial"/>
                <w:b/>
                <w:color w:val="auto"/>
              </w:rPr>
              <w:t>3.4</w:t>
            </w:r>
          </w:p>
        </w:tc>
      </w:tr>
      <w:tr w:rsidR="00B07474" w:rsidRPr="0005794A" w:rsidTr="00AB1648">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0.3</w:t>
            </w:r>
          </w:p>
        </w:tc>
        <w:tc>
          <w:tcPr>
            <w:tcW w:w="3967" w:type="dxa"/>
          </w:tcPr>
          <w:p w:rsidR="00B07474" w:rsidRPr="00B07474"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474">
              <w:rPr>
                <w:rFonts w:ascii="Arial" w:hAnsi="Arial" w:cs="Arial"/>
                <w:color w:val="auto"/>
              </w:rPr>
              <w:t>NHS bodies</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B07474" w:rsidRDefault="00386F65" w:rsidP="006E290F">
            <w:pPr>
              <w:pStyle w:val="TableRightBold"/>
              <w:ind w:right="142"/>
              <w:jc w:val="center"/>
              <w:rPr>
                <w:rStyle w:val="Bold"/>
                <w:rFonts w:ascii="Arial" w:hAnsi="Arial" w:cs="Arial"/>
                <w:b/>
                <w:color w:val="auto"/>
              </w:rPr>
            </w:pPr>
            <w:r>
              <w:rPr>
                <w:rStyle w:val="Bold"/>
                <w:rFonts w:ascii="Arial" w:hAnsi="Arial" w:cs="Arial"/>
                <w:b/>
                <w:color w:val="auto"/>
              </w:rPr>
              <w:t>0.2</w:t>
            </w:r>
          </w:p>
        </w:tc>
      </w:tr>
      <w:tr w:rsidR="00B07474" w:rsidRPr="0005794A"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top w:val="none" w:sz="0" w:space="0" w:color="auto"/>
              <w:left w:val="none" w:sz="0" w:space="0" w:color="auto"/>
              <w:bottom w:val="none" w:sz="0" w:space="0" w:color="auto"/>
              <w:right w:val="none" w:sz="0" w:space="0" w:color="auto"/>
            </w:tcBorders>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5.6</w:t>
            </w:r>
          </w:p>
        </w:tc>
        <w:tc>
          <w:tcPr>
            <w:tcW w:w="3967" w:type="dxa"/>
            <w:tcBorders>
              <w:top w:val="none" w:sz="0" w:space="0" w:color="auto"/>
              <w:bottom w:val="none" w:sz="0" w:space="0" w:color="auto"/>
            </w:tcBorders>
          </w:tcPr>
          <w:p w:rsidR="00B07474" w:rsidRPr="00B07474" w:rsidRDefault="00B07474"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07474">
              <w:rPr>
                <w:rFonts w:ascii="Arial" w:hAnsi="Arial" w:cs="Arial"/>
                <w:color w:val="auto"/>
              </w:rPr>
              <w:t>Council Tax (</w:t>
            </w:r>
            <w:proofErr w:type="spellStart"/>
            <w:r w:rsidRPr="00B07474">
              <w:rPr>
                <w:rFonts w:ascii="Arial" w:hAnsi="Arial" w:cs="Arial"/>
                <w:color w:val="auto"/>
              </w:rPr>
              <w:t>inc.</w:t>
            </w:r>
            <w:proofErr w:type="spellEnd"/>
            <w:r w:rsidRPr="00B07474">
              <w:rPr>
                <w:rFonts w:ascii="Arial" w:hAnsi="Arial" w:cs="Arial"/>
                <w:color w:val="auto"/>
              </w:rPr>
              <w:t xml:space="preserve"> liability orders) </w:t>
            </w:r>
          </w:p>
        </w:tc>
        <w:tc>
          <w:tcPr>
            <w:cnfStyle w:val="000010000000" w:firstRow="0" w:lastRow="0" w:firstColumn="0" w:lastColumn="0" w:oddVBand="1"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tcPr>
          <w:p w:rsidR="00B07474" w:rsidRPr="00B07474" w:rsidRDefault="00386F65" w:rsidP="006E290F">
            <w:pPr>
              <w:pStyle w:val="TableRightBold"/>
              <w:ind w:right="142"/>
              <w:jc w:val="center"/>
              <w:rPr>
                <w:rStyle w:val="Bold"/>
                <w:rFonts w:ascii="Arial" w:hAnsi="Arial" w:cs="Arial"/>
                <w:b/>
                <w:color w:val="auto"/>
              </w:rPr>
            </w:pPr>
            <w:r>
              <w:rPr>
                <w:rStyle w:val="Bold"/>
                <w:rFonts w:ascii="Arial" w:hAnsi="Arial" w:cs="Arial"/>
                <w:b/>
                <w:color w:val="auto"/>
              </w:rPr>
              <w:t>6.1</w:t>
            </w:r>
          </w:p>
        </w:tc>
      </w:tr>
      <w:tr w:rsidR="00B07474" w:rsidRPr="0005794A" w:rsidTr="00AB1648">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0.9</w:t>
            </w:r>
          </w:p>
        </w:tc>
        <w:tc>
          <w:tcPr>
            <w:tcW w:w="3967" w:type="dxa"/>
          </w:tcPr>
          <w:p w:rsidR="00B07474" w:rsidRPr="00B07474"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474">
              <w:rPr>
                <w:rFonts w:ascii="Arial" w:hAnsi="Arial" w:cs="Arial"/>
                <w:color w:val="auto"/>
              </w:rPr>
              <w:t>NNDR (</w:t>
            </w:r>
            <w:proofErr w:type="spellStart"/>
            <w:r w:rsidRPr="00B07474">
              <w:rPr>
                <w:rFonts w:ascii="Arial" w:hAnsi="Arial" w:cs="Arial"/>
                <w:color w:val="auto"/>
              </w:rPr>
              <w:t>inc</w:t>
            </w:r>
            <w:proofErr w:type="spellEnd"/>
            <w:r w:rsidRPr="00B07474">
              <w:rPr>
                <w:rFonts w:ascii="Arial" w:hAnsi="Arial" w:cs="Arial"/>
                <w:color w:val="auto"/>
              </w:rPr>
              <w:t xml:space="preserve"> liability orders)</w:t>
            </w:r>
          </w:p>
          <w:p w:rsidR="00B07474" w:rsidRPr="00B07474"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B07474" w:rsidRDefault="00386F65" w:rsidP="006E290F">
            <w:pPr>
              <w:pStyle w:val="TableRightBold"/>
              <w:ind w:right="142"/>
              <w:jc w:val="center"/>
              <w:rPr>
                <w:rStyle w:val="Bold"/>
                <w:rFonts w:ascii="Arial" w:hAnsi="Arial" w:cs="Arial"/>
                <w:b/>
                <w:color w:val="auto"/>
              </w:rPr>
            </w:pPr>
            <w:r>
              <w:rPr>
                <w:rStyle w:val="Bold"/>
                <w:rFonts w:ascii="Arial" w:hAnsi="Arial" w:cs="Arial"/>
                <w:b/>
                <w:color w:val="auto"/>
              </w:rPr>
              <w:t>0.9</w:t>
            </w:r>
          </w:p>
        </w:tc>
      </w:tr>
      <w:tr w:rsidR="00B07474" w:rsidRPr="0005794A"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top w:val="none" w:sz="0" w:space="0" w:color="auto"/>
              <w:left w:val="none" w:sz="0" w:space="0" w:color="auto"/>
              <w:bottom w:val="none" w:sz="0" w:space="0" w:color="auto"/>
              <w:right w:val="none" w:sz="0" w:space="0" w:color="auto"/>
            </w:tcBorders>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3.8</w:t>
            </w:r>
          </w:p>
        </w:tc>
        <w:tc>
          <w:tcPr>
            <w:tcW w:w="3967" w:type="dxa"/>
            <w:tcBorders>
              <w:top w:val="none" w:sz="0" w:space="0" w:color="auto"/>
              <w:bottom w:val="none" w:sz="0" w:space="0" w:color="auto"/>
            </w:tcBorders>
          </w:tcPr>
          <w:p w:rsidR="00B07474" w:rsidRPr="00B07474" w:rsidRDefault="00B07474"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07474">
              <w:rPr>
                <w:rFonts w:ascii="Arial" w:hAnsi="Arial" w:cs="Arial"/>
                <w:color w:val="auto"/>
              </w:rPr>
              <w:t xml:space="preserve">Housing Benefit </w:t>
            </w:r>
            <w:r w:rsidR="00386F65">
              <w:rPr>
                <w:rFonts w:ascii="Arial" w:hAnsi="Arial" w:cs="Arial"/>
                <w:color w:val="auto"/>
              </w:rPr>
              <w:t>Overpayments</w:t>
            </w:r>
          </w:p>
        </w:tc>
        <w:tc>
          <w:tcPr>
            <w:cnfStyle w:val="000010000000" w:firstRow="0" w:lastRow="0" w:firstColumn="0" w:lastColumn="0" w:oddVBand="1"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tcPr>
          <w:p w:rsidR="00B07474" w:rsidRPr="00C85E62" w:rsidRDefault="00C85E62" w:rsidP="006E290F">
            <w:pPr>
              <w:pStyle w:val="TableRightBold"/>
              <w:ind w:right="142"/>
              <w:jc w:val="center"/>
              <w:rPr>
                <w:rStyle w:val="Bold"/>
                <w:rFonts w:ascii="Arial" w:hAnsi="Arial" w:cs="Arial"/>
                <w:b/>
                <w:color w:val="auto"/>
              </w:rPr>
            </w:pPr>
            <w:r w:rsidRPr="00C85E62">
              <w:rPr>
                <w:rStyle w:val="Bold"/>
                <w:rFonts w:ascii="Arial" w:hAnsi="Arial" w:cs="Arial"/>
                <w:b/>
                <w:color w:val="auto"/>
              </w:rPr>
              <w:t>4.2</w:t>
            </w:r>
          </w:p>
        </w:tc>
      </w:tr>
      <w:tr w:rsidR="00B07474" w:rsidRPr="0005794A" w:rsidTr="00AB1648">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7.5</w:t>
            </w:r>
          </w:p>
        </w:tc>
        <w:tc>
          <w:tcPr>
            <w:tcW w:w="3967" w:type="dxa"/>
          </w:tcPr>
          <w:p w:rsidR="00B07474" w:rsidRPr="00B07474"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474">
              <w:rPr>
                <w:rFonts w:ascii="Arial" w:hAnsi="Arial" w:cs="Arial"/>
                <w:color w:val="auto"/>
              </w:rPr>
              <w:t>TOR2 – payment in advance</w:t>
            </w:r>
          </w:p>
        </w:tc>
        <w:tc>
          <w:tcPr>
            <w:cnfStyle w:val="000010000000" w:firstRow="0" w:lastRow="0" w:firstColumn="0" w:lastColumn="0" w:oddVBand="1" w:evenVBand="0" w:oddHBand="0" w:evenHBand="0" w:firstRowFirstColumn="0" w:firstRowLastColumn="0" w:lastRowFirstColumn="0" w:lastRowLastColumn="0"/>
            <w:tcW w:w="1986" w:type="dxa"/>
          </w:tcPr>
          <w:p w:rsidR="00B07474" w:rsidRPr="00C85E62" w:rsidRDefault="00386F65" w:rsidP="006E290F">
            <w:pPr>
              <w:pStyle w:val="TableRightBold"/>
              <w:ind w:right="142"/>
              <w:jc w:val="center"/>
              <w:rPr>
                <w:rStyle w:val="Bold"/>
                <w:rFonts w:ascii="Arial" w:hAnsi="Arial" w:cs="Arial"/>
                <w:b/>
                <w:color w:val="auto"/>
              </w:rPr>
            </w:pPr>
            <w:r w:rsidRPr="00C85E62">
              <w:rPr>
                <w:rStyle w:val="Bold"/>
                <w:rFonts w:ascii="Arial" w:hAnsi="Arial" w:cs="Arial"/>
                <w:b/>
                <w:color w:val="auto"/>
              </w:rPr>
              <w:t>7.5</w:t>
            </w:r>
          </w:p>
        </w:tc>
      </w:tr>
      <w:tr w:rsidR="00B07474" w:rsidRPr="0005794A"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7.3</w:t>
            </w:r>
          </w:p>
        </w:tc>
        <w:tc>
          <w:tcPr>
            <w:tcW w:w="3967" w:type="dxa"/>
          </w:tcPr>
          <w:p w:rsidR="00B07474" w:rsidRPr="00B07474" w:rsidRDefault="00B07474"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07474">
              <w:rPr>
                <w:rFonts w:ascii="Arial" w:hAnsi="Arial" w:cs="Arial"/>
                <w:color w:val="auto"/>
              </w:rPr>
              <w:t>Other entities and individuals</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C85E62" w:rsidRDefault="00650528" w:rsidP="00650528">
            <w:pPr>
              <w:pStyle w:val="TableRightBold"/>
              <w:ind w:right="142"/>
              <w:jc w:val="center"/>
              <w:rPr>
                <w:rStyle w:val="Bold"/>
                <w:rFonts w:ascii="Arial" w:hAnsi="Arial" w:cs="Arial"/>
                <w:b/>
                <w:color w:val="auto"/>
              </w:rPr>
            </w:pPr>
            <w:r>
              <w:rPr>
                <w:rStyle w:val="Bold"/>
                <w:rFonts w:ascii="Arial" w:hAnsi="Arial" w:cs="Arial"/>
                <w:b/>
                <w:color w:val="auto"/>
              </w:rPr>
              <w:t>7.8</w:t>
            </w:r>
          </w:p>
        </w:tc>
      </w:tr>
      <w:tr w:rsidR="00B07474" w:rsidRPr="0005794A" w:rsidTr="00AB1648">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33.1</w:t>
            </w:r>
          </w:p>
        </w:tc>
        <w:tc>
          <w:tcPr>
            <w:tcW w:w="3967" w:type="dxa"/>
          </w:tcPr>
          <w:p w:rsidR="00B07474" w:rsidRPr="00B07474"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07474">
              <w:rPr>
                <w:rFonts w:ascii="Arial" w:hAnsi="Arial" w:cs="Arial"/>
                <w:b/>
                <w:color w:val="auto"/>
              </w:rPr>
              <w:t>Sub Total</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C85E62" w:rsidRDefault="00C85E62" w:rsidP="00650528">
            <w:pPr>
              <w:pStyle w:val="TableRightBold"/>
              <w:ind w:right="142"/>
              <w:jc w:val="center"/>
              <w:rPr>
                <w:rStyle w:val="Bold"/>
                <w:rFonts w:ascii="Arial" w:hAnsi="Arial" w:cs="Arial"/>
                <w:b/>
                <w:color w:val="auto"/>
              </w:rPr>
            </w:pPr>
            <w:r w:rsidRPr="00C85E62">
              <w:rPr>
                <w:rStyle w:val="Bold"/>
                <w:rFonts w:ascii="Arial" w:hAnsi="Arial" w:cs="Arial"/>
                <w:b/>
                <w:color w:val="auto"/>
              </w:rPr>
              <w:t>34.</w:t>
            </w:r>
            <w:r w:rsidR="00650528">
              <w:rPr>
                <w:rStyle w:val="Bold"/>
                <w:rFonts w:ascii="Arial" w:hAnsi="Arial" w:cs="Arial"/>
                <w:b/>
                <w:color w:val="auto"/>
              </w:rPr>
              <w:t>4</w:t>
            </w:r>
          </w:p>
        </w:tc>
      </w:tr>
      <w:tr w:rsidR="00B07474" w:rsidRPr="0005794A" w:rsidTr="00AB1648">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(9.2)</w:t>
            </w:r>
          </w:p>
        </w:tc>
        <w:tc>
          <w:tcPr>
            <w:tcW w:w="3967" w:type="dxa"/>
          </w:tcPr>
          <w:p w:rsidR="00B07474" w:rsidRPr="00B07474" w:rsidRDefault="00B07474" w:rsidP="003C5E3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07474">
              <w:rPr>
                <w:rFonts w:ascii="Arial" w:hAnsi="Arial" w:cs="Arial"/>
                <w:color w:val="auto"/>
              </w:rPr>
              <w:t>Impairment (</w:t>
            </w:r>
            <w:proofErr w:type="spellStart"/>
            <w:r w:rsidRPr="00B07474">
              <w:rPr>
                <w:rFonts w:ascii="Arial" w:hAnsi="Arial" w:cs="Arial"/>
                <w:color w:val="auto"/>
              </w:rPr>
              <w:t>uncollectibility</w:t>
            </w:r>
            <w:proofErr w:type="spellEnd"/>
            <w:r w:rsidRPr="00B07474">
              <w:rPr>
                <w:rFonts w:ascii="Arial" w:hAnsi="Arial" w:cs="Arial"/>
                <w:color w:val="auto"/>
              </w:rPr>
              <w:t xml:space="preserve"> of debt)</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tcPr>
          <w:p w:rsidR="00B07474" w:rsidRPr="00C85E62" w:rsidRDefault="00C85E62" w:rsidP="00650528">
            <w:pPr>
              <w:pStyle w:val="TableRightBold"/>
              <w:ind w:right="142"/>
              <w:jc w:val="center"/>
              <w:rPr>
                <w:rStyle w:val="Bold"/>
                <w:rFonts w:ascii="Arial" w:hAnsi="Arial" w:cs="Arial"/>
                <w:b/>
                <w:color w:val="auto"/>
              </w:rPr>
            </w:pPr>
            <w:r w:rsidRPr="00C85E62">
              <w:rPr>
                <w:rStyle w:val="Bold"/>
                <w:rFonts w:ascii="Arial" w:hAnsi="Arial" w:cs="Arial"/>
                <w:b/>
                <w:color w:val="auto"/>
              </w:rPr>
              <w:t>(9.</w:t>
            </w:r>
            <w:r w:rsidR="00650528">
              <w:rPr>
                <w:rStyle w:val="Bold"/>
                <w:rFonts w:ascii="Arial" w:hAnsi="Arial" w:cs="Arial"/>
                <w:b/>
                <w:color w:val="auto"/>
              </w:rPr>
              <w:t>6</w:t>
            </w:r>
            <w:r w:rsidRPr="00C85E62">
              <w:rPr>
                <w:rStyle w:val="Bold"/>
                <w:rFonts w:ascii="Arial" w:hAnsi="Arial" w:cs="Arial"/>
                <w:b/>
                <w:color w:val="auto"/>
              </w:rPr>
              <w:t>)</w:t>
            </w:r>
          </w:p>
        </w:tc>
      </w:tr>
      <w:tr w:rsidR="00B07474" w:rsidRPr="0005794A" w:rsidTr="00495123">
        <w:trPr>
          <w:trHeight w:hRule="exact" w:val="397"/>
        </w:trPr>
        <w:tc>
          <w:tcPr>
            <w:cnfStyle w:val="000010000000" w:firstRow="0" w:lastRow="0" w:firstColumn="0" w:lastColumn="0" w:oddVBand="1" w:evenVBand="0" w:oddHBand="0" w:evenHBand="0" w:firstRowFirstColumn="0" w:firstRowLastColumn="0" w:lastRowFirstColumn="0" w:lastRowLastColumn="0"/>
            <w:tcW w:w="1942" w:type="dxa"/>
            <w:tcBorders>
              <w:left w:val="none" w:sz="0" w:space="0" w:color="auto"/>
              <w:right w:val="none" w:sz="0" w:space="0" w:color="auto"/>
            </w:tcBorders>
          </w:tcPr>
          <w:p w:rsidR="00B07474" w:rsidRPr="00C85E62" w:rsidRDefault="00B07474" w:rsidP="00B07474">
            <w:pPr>
              <w:pStyle w:val="TableRightBold"/>
              <w:ind w:right="142"/>
              <w:jc w:val="center"/>
              <w:rPr>
                <w:rStyle w:val="Bold"/>
                <w:rFonts w:ascii="Arial" w:hAnsi="Arial" w:cs="Arial"/>
                <w:color w:val="auto"/>
              </w:rPr>
            </w:pPr>
            <w:r w:rsidRPr="00C85E62">
              <w:rPr>
                <w:rStyle w:val="Bold"/>
                <w:rFonts w:ascii="Arial" w:hAnsi="Arial" w:cs="Arial"/>
                <w:color w:val="auto"/>
              </w:rPr>
              <w:t>23.9</w:t>
            </w:r>
          </w:p>
        </w:tc>
        <w:tc>
          <w:tcPr>
            <w:tcW w:w="3967" w:type="dxa"/>
          </w:tcPr>
          <w:p w:rsidR="00B07474" w:rsidRPr="00B07474" w:rsidRDefault="00B07474" w:rsidP="003C5E3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07474">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986" w:type="dxa"/>
            <w:tcBorders>
              <w:left w:val="none" w:sz="0" w:space="0" w:color="auto"/>
              <w:right w:val="none" w:sz="0" w:space="0" w:color="auto"/>
            </w:tcBorders>
            <w:shd w:val="clear" w:color="auto" w:fill="auto"/>
          </w:tcPr>
          <w:p w:rsidR="00B07474" w:rsidRPr="00C85E62" w:rsidRDefault="00C85E62" w:rsidP="00650528">
            <w:pPr>
              <w:pStyle w:val="TableRightBold"/>
              <w:ind w:right="142"/>
              <w:jc w:val="center"/>
              <w:rPr>
                <w:rStyle w:val="Bold"/>
                <w:rFonts w:ascii="Arial" w:hAnsi="Arial" w:cs="Arial"/>
                <w:b/>
                <w:color w:val="auto"/>
              </w:rPr>
            </w:pPr>
            <w:r w:rsidRPr="00C85E62">
              <w:rPr>
                <w:rStyle w:val="Bold"/>
                <w:rFonts w:ascii="Arial" w:hAnsi="Arial" w:cs="Arial"/>
                <w:b/>
                <w:color w:val="auto"/>
              </w:rPr>
              <w:t>24.</w:t>
            </w:r>
            <w:r w:rsidR="00650528">
              <w:rPr>
                <w:rStyle w:val="Bold"/>
                <w:rFonts w:ascii="Arial" w:hAnsi="Arial" w:cs="Arial"/>
                <w:b/>
                <w:color w:val="auto"/>
              </w:rPr>
              <w:t>8</w:t>
            </w:r>
          </w:p>
        </w:tc>
      </w:tr>
    </w:tbl>
    <w:p w:rsidR="00E51139" w:rsidRPr="0005794A" w:rsidRDefault="00E51139" w:rsidP="00260271">
      <w:pPr>
        <w:pStyle w:val="TableRightBold"/>
        <w:ind w:right="34"/>
        <w:jc w:val="center"/>
        <w:rPr>
          <w:rFonts w:cs="Arial"/>
          <w:color w:val="548DD4" w:themeColor="text2" w:themeTint="99"/>
        </w:rPr>
      </w:pPr>
    </w:p>
    <w:p w:rsidR="004437B0" w:rsidRPr="00EA0E50" w:rsidRDefault="004437B0" w:rsidP="004437B0">
      <w:pPr>
        <w:pStyle w:val="BodyTextIndent"/>
        <w:ind w:left="567"/>
        <w:outlineLvl w:val="0"/>
        <w:rPr>
          <w:rFonts w:cs="Arial"/>
          <w:b/>
          <w:color w:val="auto"/>
          <w:sz w:val="20"/>
          <w:szCs w:val="20"/>
        </w:rPr>
      </w:pPr>
      <w:r w:rsidRPr="00EA0E50">
        <w:rPr>
          <w:rFonts w:cs="Arial"/>
          <w:b/>
          <w:color w:val="auto"/>
          <w:sz w:val="20"/>
          <w:szCs w:val="20"/>
        </w:rPr>
        <w:t>Loans</w:t>
      </w:r>
    </w:p>
    <w:p w:rsidR="004437B0" w:rsidRDefault="004437B0" w:rsidP="004437B0">
      <w:pPr>
        <w:pStyle w:val="BodyTextIndent"/>
        <w:ind w:left="567"/>
        <w:rPr>
          <w:rFonts w:cs="Arial"/>
          <w:color w:val="auto"/>
          <w:sz w:val="20"/>
          <w:szCs w:val="20"/>
        </w:rPr>
      </w:pPr>
      <w:r w:rsidRPr="00EA0E50">
        <w:rPr>
          <w:rFonts w:cs="Arial"/>
          <w:color w:val="auto"/>
          <w:sz w:val="20"/>
          <w:szCs w:val="20"/>
        </w:rPr>
        <w:t xml:space="preserve">The Council has provided the following loan or loan facility to the following organisations. These loans are included in the Council’s long and short term debtor balances on (and notes to) the balance sheet as at 31st March 2018. </w:t>
      </w:r>
    </w:p>
    <w:p w:rsidR="00262F42" w:rsidRDefault="00262F42" w:rsidP="004437B0">
      <w:pPr>
        <w:pStyle w:val="BodyTextIndent"/>
        <w:ind w:left="567"/>
        <w:rPr>
          <w:rFonts w:cs="Arial"/>
          <w:color w:val="auto"/>
          <w:sz w:val="20"/>
          <w:szCs w:val="20"/>
        </w:rPr>
      </w:pPr>
    </w:p>
    <w:p w:rsidR="00262F42" w:rsidRPr="00EA0E50" w:rsidRDefault="00262F42" w:rsidP="004437B0">
      <w:pPr>
        <w:pStyle w:val="BodyTextIndent"/>
        <w:ind w:left="567"/>
        <w:rPr>
          <w:rFonts w:cs="Arial"/>
          <w:b/>
          <w:bCs/>
          <w:color w:val="auto"/>
          <w:sz w:val="20"/>
          <w:szCs w:val="20"/>
        </w:rPr>
      </w:pPr>
    </w:p>
    <w:tbl>
      <w:tblPr>
        <w:tblStyle w:val="ListTable3-Accent51"/>
        <w:tblW w:w="0" w:type="auto"/>
        <w:tblInd w:w="421" w:type="dxa"/>
        <w:tblBorders>
          <w:insideH w:val="single" w:sz="4" w:space="0" w:color="4BACC6" w:themeColor="accent5"/>
          <w:insideV w:val="single" w:sz="4" w:space="0" w:color="4BACC6" w:themeColor="accent5"/>
        </w:tblBorders>
        <w:tblLook w:val="01E0" w:firstRow="1" w:lastRow="1" w:firstColumn="1" w:lastColumn="1" w:noHBand="0" w:noVBand="0"/>
      </w:tblPr>
      <w:tblGrid>
        <w:gridCol w:w="1367"/>
        <w:gridCol w:w="3452"/>
        <w:gridCol w:w="1229"/>
        <w:gridCol w:w="849"/>
        <w:gridCol w:w="850"/>
      </w:tblGrid>
      <w:tr w:rsidR="00C817A0" w:rsidRPr="0005794A" w:rsidTr="00262F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67" w:type="dxa"/>
          </w:tcPr>
          <w:p w:rsidR="00C817A0" w:rsidRDefault="00C817A0" w:rsidP="00E33B81">
            <w:pPr>
              <w:pStyle w:val="BodyTextIndent"/>
              <w:ind w:left="0"/>
              <w:jc w:val="center"/>
              <w:rPr>
                <w:b w:val="0"/>
                <w:color w:val="auto"/>
                <w:sz w:val="20"/>
                <w:szCs w:val="20"/>
              </w:rPr>
            </w:pPr>
            <w:r w:rsidRPr="00A545A5">
              <w:rPr>
                <w:b w:val="0"/>
                <w:color w:val="auto"/>
                <w:sz w:val="20"/>
                <w:szCs w:val="20"/>
              </w:rPr>
              <w:lastRenderedPageBreak/>
              <w:t>Value of loan</w:t>
            </w:r>
            <w:r>
              <w:rPr>
                <w:b w:val="0"/>
                <w:color w:val="auto"/>
                <w:sz w:val="20"/>
                <w:szCs w:val="20"/>
              </w:rPr>
              <w:t xml:space="preserve"> -</w:t>
            </w:r>
            <w:r w:rsidRPr="00A545A5">
              <w:rPr>
                <w:b w:val="0"/>
                <w:color w:val="auto"/>
                <w:sz w:val="20"/>
                <w:szCs w:val="20"/>
              </w:rPr>
              <w:t>31</w:t>
            </w:r>
            <w:r w:rsidRPr="00A545A5">
              <w:rPr>
                <w:b w:val="0"/>
                <w:color w:val="auto"/>
                <w:sz w:val="20"/>
                <w:szCs w:val="20"/>
                <w:vertAlign w:val="superscript"/>
              </w:rPr>
              <w:t>st</w:t>
            </w:r>
            <w:r w:rsidRPr="00A545A5">
              <w:rPr>
                <w:b w:val="0"/>
                <w:color w:val="auto"/>
                <w:sz w:val="20"/>
                <w:szCs w:val="20"/>
              </w:rPr>
              <w:t xml:space="preserve"> March 2017</w:t>
            </w:r>
          </w:p>
          <w:p w:rsidR="00C817A0" w:rsidRPr="00A545A5" w:rsidRDefault="00C817A0" w:rsidP="00E33B81">
            <w:pPr>
              <w:pStyle w:val="BodyTextIndent"/>
              <w:ind w:left="0"/>
              <w:jc w:val="center"/>
              <w:rPr>
                <w:b w:val="0"/>
                <w:color w:val="auto"/>
                <w:sz w:val="20"/>
                <w:szCs w:val="20"/>
              </w:rPr>
            </w:pPr>
            <w:r w:rsidRPr="00A545A5">
              <w:rPr>
                <w:b w:val="0"/>
                <w:color w:val="auto"/>
                <w:sz w:val="20"/>
                <w:szCs w:val="20"/>
              </w:rPr>
              <w:t xml:space="preserve"> £000s</w:t>
            </w:r>
          </w:p>
        </w:tc>
        <w:tc>
          <w:tcPr>
            <w:cnfStyle w:val="000010000000" w:firstRow="0" w:lastRow="0" w:firstColumn="0" w:lastColumn="0" w:oddVBand="1" w:evenVBand="0" w:oddHBand="0" w:evenHBand="0" w:firstRowFirstColumn="0" w:firstRowLastColumn="0" w:lastRowFirstColumn="0" w:lastRowLastColumn="0"/>
            <w:tcW w:w="3452" w:type="dxa"/>
          </w:tcPr>
          <w:p w:rsidR="00C817A0" w:rsidRPr="00A545A5" w:rsidRDefault="00C817A0" w:rsidP="00E33B81">
            <w:pPr>
              <w:pStyle w:val="BodyTextIndent"/>
              <w:ind w:left="0"/>
              <w:jc w:val="center"/>
              <w:rPr>
                <w:b w:val="0"/>
                <w:color w:val="auto"/>
                <w:sz w:val="20"/>
                <w:szCs w:val="20"/>
              </w:rPr>
            </w:pPr>
            <w:r w:rsidRPr="00A545A5">
              <w:rPr>
                <w:b w:val="0"/>
                <w:color w:val="auto"/>
                <w:sz w:val="20"/>
                <w:szCs w:val="20"/>
              </w:rPr>
              <w:t>Organisation</w:t>
            </w:r>
          </w:p>
        </w:tc>
        <w:tc>
          <w:tcPr>
            <w:tcW w:w="1229" w:type="dxa"/>
          </w:tcPr>
          <w:p w:rsidR="00C817A0" w:rsidRDefault="00C817A0" w:rsidP="00E33B81">
            <w:pPr>
              <w:pStyle w:val="BodyTextIndent"/>
              <w:ind w:left="0"/>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545A5">
              <w:rPr>
                <w:b w:val="0"/>
                <w:color w:val="auto"/>
                <w:sz w:val="20"/>
                <w:szCs w:val="20"/>
              </w:rPr>
              <w:t>Value of loan</w:t>
            </w:r>
            <w:r>
              <w:rPr>
                <w:b w:val="0"/>
                <w:color w:val="auto"/>
                <w:sz w:val="20"/>
                <w:szCs w:val="20"/>
              </w:rPr>
              <w:t xml:space="preserve"> -</w:t>
            </w:r>
            <w:r w:rsidRPr="00A545A5">
              <w:rPr>
                <w:b w:val="0"/>
                <w:color w:val="auto"/>
                <w:sz w:val="20"/>
                <w:szCs w:val="20"/>
              </w:rPr>
              <w:t>31</w:t>
            </w:r>
            <w:r w:rsidRPr="00A545A5">
              <w:rPr>
                <w:b w:val="0"/>
                <w:color w:val="auto"/>
                <w:sz w:val="20"/>
                <w:szCs w:val="20"/>
                <w:vertAlign w:val="superscript"/>
              </w:rPr>
              <w:t>st</w:t>
            </w:r>
            <w:r w:rsidRPr="00A545A5">
              <w:rPr>
                <w:b w:val="0"/>
                <w:color w:val="auto"/>
                <w:sz w:val="20"/>
                <w:szCs w:val="20"/>
              </w:rPr>
              <w:t xml:space="preserve"> March 2018 </w:t>
            </w:r>
          </w:p>
          <w:p w:rsidR="00C817A0" w:rsidRPr="00A545A5" w:rsidRDefault="00C817A0" w:rsidP="00E33B81">
            <w:pPr>
              <w:pStyle w:val="BodyTextIndent"/>
              <w:ind w:left="0"/>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A545A5">
              <w:rPr>
                <w:b w:val="0"/>
                <w:color w:val="auto"/>
                <w:sz w:val="20"/>
                <w:szCs w:val="20"/>
              </w:rPr>
              <w:t>£000’s</w:t>
            </w:r>
          </w:p>
        </w:tc>
        <w:tc>
          <w:tcPr>
            <w:cnfStyle w:val="000010000000" w:firstRow="0" w:lastRow="0" w:firstColumn="0" w:lastColumn="0" w:oddVBand="1" w:evenVBand="0" w:oddHBand="0" w:evenHBand="0" w:firstRowFirstColumn="0" w:firstRowLastColumn="0" w:lastRowFirstColumn="0" w:lastRowLastColumn="0"/>
            <w:tcW w:w="849" w:type="dxa"/>
          </w:tcPr>
          <w:p w:rsidR="00C817A0" w:rsidRDefault="00C817A0" w:rsidP="00E33B81">
            <w:pPr>
              <w:pStyle w:val="BodyTextIndent"/>
              <w:ind w:left="0"/>
              <w:jc w:val="center"/>
              <w:rPr>
                <w:b w:val="0"/>
                <w:color w:val="auto"/>
                <w:sz w:val="20"/>
                <w:szCs w:val="20"/>
              </w:rPr>
            </w:pPr>
            <w:r>
              <w:rPr>
                <w:b w:val="0"/>
                <w:color w:val="auto"/>
                <w:sz w:val="20"/>
                <w:szCs w:val="20"/>
              </w:rPr>
              <w:t>Due within one year</w:t>
            </w:r>
          </w:p>
          <w:p w:rsidR="00C817A0" w:rsidRPr="00A545A5" w:rsidRDefault="00C817A0" w:rsidP="00E33B81">
            <w:pPr>
              <w:pStyle w:val="BodyTextIndent"/>
              <w:ind w:left="0"/>
              <w:jc w:val="center"/>
              <w:rPr>
                <w:b w:val="0"/>
                <w:color w:val="auto"/>
                <w:sz w:val="20"/>
                <w:szCs w:val="20"/>
              </w:rPr>
            </w:pPr>
            <w:r>
              <w:rPr>
                <w:b w:val="0"/>
                <w:color w:val="auto"/>
                <w:sz w:val="20"/>
                <w:szCs w:val="20"/>
              </w:rPr>
              <w:t>£000’s</w:t>
            </w:r>
          </w:p>
        </w:tc>
        <w:tc>
          <w:tcPr>
            <w:cnfStyle w:val="000100001000" w:firstRow="0" w:lastRow="0" w:firstColumn="0" w:lastColumn="1" w:oddVBand="0" w:evenVBand="0" w:oddHBand="0" w:evenHBand="0" w:firstRowFirstColumn="0" w:firstRowLastColumn="1" w:lastRowFirstColumn="0" w:lastRowLastColumn="0"/>
            <w:tcW w:w="850" w:type="dxa"/>
          </w:tcPr>
          <w:p w:rsidR="00C817A0" w:rsidRDefault="00C817A0" w:rsidP="00E33B81">
            <w:pPr>
              <w:pStyle w:val="BodyTextIndent"/>
              <w:ind w:left="0"/>
              <w:jc w:val="center"/>
              <w:rPr>
                <w:b w:val="0"/>
                <w:color w:val="auto"/>
                <w:sz w:val="20"/>
                <w:szCs w:val="20"/>
              </w:rPr>
            </w:pPr>
            <w:r>
              <w:rPr>
                <w:b w:val="0"/>
                <w:color w:val="auto"/>
                <w:sz w:val="20"/>
                <w:szCs w:val="20"/>
              </w:rPr>
              <w:t>Due in excess of one year</w:t>
            </w:r>
          </w:p>
          <w:p w:rsidR="00C817A0" w:rsidRPr="00A545A5" w:rsidRDefault="00C817A0" w:rsidP="00E33B81">
            <w:pPr>
              <w:pStyle w:val="BodyTextIndent"/>
              <w:ind w:left="0"/>
              <w:jc w:val="center"/>
              <w:rPr>
                <w:b w:val="0"/>
                <w:color w:val="auto"/>
                <w:sz w:val="20"/>
                <w:szCs w:val="20"/>
              </w:rPr>
            </w:pPr>
            <w:r>
              <w:rPr>
                <w:b w:val="0"/>
                <w:color w:val="auto"/>
                <w:sz w:val="20"/>
                <w:szCs w:val="20"/>
              </w:rPr>
              <w:t>£000’s</w:t>
            </w:r>
          </w:p>
        </w:tc>
      </w:tr>
      <w:tr w:rsidR="00C817A0" w:rsidRPr="0005794A" w:rsidTr="0026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rsidR="00C817A0" w:rsidRPr="00ED4A1D" w:rsidRDefault="00C817A0" w:rsidP="00E33B81">
            <w:pPr>
              <w:pStyle w:val="BodyTextIndent"/>
              <w:ind w:left="0"/>
              <w:jc w:val="center"/>
              <w:rPr>
                <w:b w:val="0"/>
                <w:color w:val="auto"/>
                <w:sz w:val="20"/>
                <w:szCs w:val="20"/>
              </w:rPr>
            </w:pPr>
            <w:r w:rsidRPr="00ED4A1D">
              <w:rPr>
                <w:b w:val="0"/>
                <w:color w:val="auto"/>
                <w:sz w:val="20"/>
                <w:szCs w:val="20"/>
              </w:rPr>
              <w:t>1,464</w:t>
            </w:r>
          </w:p>
        </w:tc>
        <w:tc>
          <w:tcPr>
            <w:cnfStyle w:val="000010000000" w:firstRow="0" w:lastRow="0" w:firstColumn="0" w:lastColumn="0" w:oddVBand="1" w:evenVBand="0" w:oddHBand="0" w:evenHBand="0" w:firstRowFirstColumn="0" w:firstRowLastColumn="0" w:lastRowFirstColumn="0" w:lastRowLastColumn="0"/>
            <w:tcW w:w="3452" w:type="dxa"/>
          </w:tcPr>
          <w:p w:rsidR="00C817A0" w:rsidRPr="00ED4A1D" w:rsidRDefault="00C817A0" w:rsidP="00E33B81">
            <w:pPr>
              <w:pStyle w:val="BodyTextIndent"/>
              <w:ind w:left="0"/>
              <w:rPr>
                <w:color w:val="auto"/>
                <w:sz w:val="20"/>
                <w:szCs w:val="20"/>
              </w:rPr>
            </w:pPr>
            <w:r w:rsidRPr="00ED4A1D">
              <w:rPr>
                <w:color w:val="auto"/>
                <w:sz w:val="20"/>
                <w:szCs w:val="20"/>
              </w:rPr>
              <w:t>Torbay Economic Development Company</w:t>
            </w:r>
          </w:p>
        </w:tc>
        <w:tc>
          <w:tcPr>
            <w:tcW w:w="1229" w:type="dxa"/>
          </w:tcPr>
          <w:p w:rsidR="00C817A0" w:rsidRPr="00A545A5" w:rsidRDefault="00C817A0" w:rsidP="00E33B81">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1,445</w:t>
            </w:r>
          </w:p>
        </w:tc>
        <w:tc>
          <w:tcPr>
            <w:cnfStyle w:val="000010000000" w:firstRow="0" w:lastRow="0" w:firstColumn="0" w:lastColumn="0" w:oddVBand="1" w:evenVBand="0" w:oddHBand="0" w:evenHBand="0" w:firstRowFirstColumn="0" w:firstRowLastColumn="0" w:lastRowFirstColumn="0" w:lastRowLastColumn="0"/>
            <w:tcW w:w="849" w:type="dxa"/>
          </w:tcPr>
          <w:p w:rsidR="00C817A0" w:rsidRPr="00A545A5" w:rsidRDefault="00C817A0" w:rsidP="00E33B81">
            <w:pPr>
              <w:pStyle w:val="BodyTextIndent"/>
              <w:ind w:left="0"/>
              <w:jc w:val="center"/>
              <w:rPr>
                <w:color w:val="auto"/>
                <w:sz w:val="20"/>
                <w:szCs w:val="20"/>
              </w:rPr>
            </w:pPr>
            <w:r>
              <w:rPr>
                <w:color w:val="auto"/>
                <w:sz w:val="20"/>
                <w:szCs w:val="20"/>
              </w:rPr>
              <w:t>51</w:t>
            </w:r>
          </w:p>
        </w:tc>
        <w:tc>
          <w:tcPr>
            <w:cnfStyle w:val="000100000000" w:firstRow="0" w:lastRow="0" w:firstColumn="0" w:lastColumn="1" w:oddVBand="0" w:evenVBand="0" w:oddHBand="0" w:evenHBand="0" w:firstRowFirstColumn="0" w:firstRowLastColumn="0" w:lastRowFirstColumn="0" w:lastRowLastColumn="0"/>
            <w:tcW w:w="850" w:type="dxa"/>
          </w:tcPr>
          <w:p w:rsidR="00C817A0" w:rsidRPr="00A545A5" w:rsidRDefault="00C817A0" w:rsidP="00E33B81">
            <w:pPr>
              <w:pStyle w:val="BodyTextIndent"/>
              <w:ind w:left="0"/>
              <w:jc w:val="center"/>
              <w:rPr>
                <w:color w:val="auto"/>
                <w:sz w:val="20"/>
                <w:szCs w:val="20"/>
              </w:rPr>
            </w:pPr>
            <w:r>
              <w:rPr>
                <w:color w:val="auto"/>
                <w:sz w:val="20"/>
                <w:szCs w:val="20"/>
              </w:rPr>
              <w:t>1,394</w:t>
            </w:r>
          </w:p>
        </w:tc>
      </w:tr>
      <w:tr w:rsidR="00C817A0" w:rsidRPr="0005794A" w:rsidTr="00262F42">
        <w:tc>
          <w:tcPr>
            <w:cnfStyle w:val="001000000000" w:firstRow="0" w:lastRow="0" w:firstColumn="1" w:lastColumn="0" w:oddVBand="0" w:evenVBand="0" w:oddHBand="0" w:evenHBand="0" w:firstRowFirstColumn="0" w:firstRowLastColumn="0" w:lastRowFirstColumn="0" w:lastRowLastColumn="0"/>
            <w:tcW w:w="1367" w:type="dxa"/>
          </w:tcPr>
          <w:p w:rsidR="00C817A0" w:rsidRPr="00ED4A1D" w:rsidRDefault="00C817A0" w:rsidP="00E33B81">
            <w:pPr>
              <w:pStyle w:val="BodyTextIndent"/>
              <w:ind w:left="0"/>
              <w:jc w:val="center"/>
              <w:rPr>
                <w:b w:val="0"/>
                <w:color w:val="auto"/>
                <w:sz w:val="20"/>
                <w:szCs w:val="20"/>
              </w:rPr>
            </w:pPr>
            <w:r w:rsidRPr="00ED4A1D">
              <w:rPr>
                <w:b w:val="0"/>
                <w:color w:val="auto"/>
                <w:sz w:val="20"/>
                <w:szCs w:val="20"/>
              </w:rPr>
              <w:t>945</w:t>
            </w:r>
          </w:p>
        </w:tc>
        <w:tc>
          <w:tcPr>
            <w:cnfStyle w:val="000010000000" w:firstRow="0" w:lastRow="0" w:firstColumn="0" w:lastColumn="0" w:oddVBand="1" w:evenVBand="0" w:oddHBand="0" w:evenHBand="0" w:firstRowFirstColumn="0" w:firstRowLastColumn="0" w:lastRowFirstColumn="0" w:lastRowLastColumn="0"/>
            <w:tcW w:w="3452" w:type="dxa"/>
          </w:tcPr>
          <w:p w:rsidR="00C817A0" w:rsidRPr="00ED4A1D" w:rsidRDefault="00C817A0" w:rsidP="00E33B81">
            <w:pPr>
              <w:pStyle w:val="BodyTextIndent"/>
              <w:ind w:left="0"/>
              <w:rPr>
                <w:color w:val="auto"/>
                <w:sz w:val="20"/>
                <w:szCs w:val="20"/>
              </w:rPr>
            </w:pPr>
            <w:r w:rsidRPr="00ED4A1D">
              <w:rPr>
                <w:color w:val="auto"/>
                <w:sz w:val="20"/>
                <w:szCs w:val="20"/>
              </w:rPr>
              <w:t>Torbay Coast &amp; Countryside Trust</w:t>
            </w:r>
          </w:p>
        </w:tc>
        <w:tc>
          <w:tcPr>
            <w:tcW w:w="1229" w:type="dxa"/>
          </w:tcPr>
          <w:p w:rsidR="00C817A0" w:rsidRPr="00A545A5" w:rsidRDefault="00C817A0" w:rsidP="00E33B81">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916</w:t>
            </w:r>
          </w:p>
        </w:tc>
        <w:tc>
          <w:tcPr>
            <w:cnfStyle w:val="000010000000" w:firstRow="0" w:lastRow="0" w:firstColumn="0" w:lastColumn="0" w:oddVBand="1" w:evenVBand="0" w:oddHBand="0" w:evenHBand="0" w:firstRowFirstColumn="0" w:firstRowLastColumn="0" w:lastRowFirstColumn="0" w:lastRowLastColumn="0"/>
            <w:tcW w:w="849" w:type="dxa"/>
          </w:tcPr>
          <w:p w:rsidR="00C817A0" w:rsidRPr="00A545A5" w:rsidRDefault="00C817A0" w:rsidP="00E33B81">
            <w:pPr>
              <w:pStyle w:val="BodyTextIndent"/>
              <w:ind w:left="0"/>
              <w:jc w:val="center"/>
              <w:rPr>
                <w:color w:val="auto"/>
                <w:sz w:val="20"/>
                <w:szCs w:val="20"/>
              </w:rPr>
            </w:pPr>
            <w:r>
              <w:rPr>
                <w:color w:val="auto"/>
                <w:sz w:val="20"/>
                <w:szCs w:val="20"/>
              </w:rPr>
              <w:t>17</w:t>
            </w:r>
          </w:p>
        </w:tc>
        <w:tc>
          <w:tcPr>
            <w:cnfStyle w:val="000100000000" w:firstRow="0" w:lastRow="0" w:firstColumn="0" w:lastColumn="1" w:oddVBand="0" w:evenVBand="0" w:oddHBand="0" w:evenHBand="0" w:firstRowFirstColumn="0" w:firstRowLastColumn="0" w:lastRowFirstColumn="0" w:lastRowLastColumn="0"/>
            <w:tcW w:w="850" w:type="dxa"/>
          </w:tcPr>
          <w:p w:rsidR="00C817A0" w:rsidRPr="00A545A5" w:rsidRDefault="00C817A0" w:rsidP="00E33B81">
            <w:pPr>
              <w:pStyle w:val="BodyTextIndent"/>
              <w:ind w:left="0"/>
              <w:jc w:val="center"/>
              <w:rPr>
                <w:color w:val="auto"/>
                <w:sz w:val="20"/>
                <w:szCs w:val="20"/>
              </w:rPr>
            </w:pPr>
            <w:r>
              <w:rPr>
                <w:color w:val="auto"/>
                <w:sz w:val="20"/>
                <w:szCs w:val="20"/>
              </w:rPr>
              <w:t>899</w:t>
            </w:r>
          </w:p>
        </w:tc>
      </w:tr>
      <w:tr w:rsidR="00C817A0" w:rsidRPr="0005794A" w:rsidTr="0026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rsidR="00C817A0" w:rsidRPr="00ED4A1D" w:rsidRDefault="00C817A0" w:rsidP="00E33B81">
            <w:pPr>
              <w:pStyle w:val="BodyTextIndent"/>
              <w:ind w:left="0"/>
              <w:jc w:val="center"/>
              <w:rPr>
                <w:b w:val="0"/>
                <w:color w:val="auto"/>
                <w:sz w:val="20"/>
                <w:szCs w:val="20"/>
              </w:rPr>
            </w:pPr>
            <w:r w:rsidRPr="00ED4A1D">
              <w:rPr>
                <w:b w:val="0"/>
                <w:color w:val="auto"/>
                <w:sz w:val="20"/>
                <w:szCs w:val="20"/>
              </w:rPr>
              <w:t>67</w:t>
            </w:r>
          </w:p>
        </w:tc>
        <w:tc>
          <w:tcPr>
            <w:cnfStyle w:val="000010000000" w:firstRow="0" w:lastRow="0" w:firstColumn="0" w:lastColumn="0" w:oddVBand="1" w:evenVBand="0" w:oddHBand="0" w:evenHBand="0" w:firstRowFirstColumn="0" w:firstRowLastColumn="0" w:lastRowFirstColumn="0" w:lastRowLastColumn="0"/>
            <w:tcW w:w="3452" w:type="dxa"/>
          </w:tcPr>
          <w:p w:rsidR="00C817A0" w:rsidRPr="00ED4A1D" w:rsidRDefault="00C817A0" w:rsidP="00E33B81">
            <w:pPr>
              <w:pStyle w:val="BodyTextIndent"/>
              <w:ind w:left="0"/>
              <w:rPr>
                <w:color w:val="auto"/>
                <w:sz w:val="20"/>
                <w:szCs w:val="20"/>
              </w:rPr>
            </w:pPr>
            <w:r w:rsidRPr="00ED4A1D">
              <w:rPr>
                <w:color w:val="auto"/>
                <w:sz w:val="20"/>
                <w:szCs w:val="20"/>
              </w:rPr>
              <w:t>Academy Schools</w:t>
            </w:r>
          </w:p>
        </w:tc>
        <w:tc>
          <w:tcPr>
            <w:tcW w:w="1229" w:type="dxa"/>
          </w:tcPr>
          <w:p w:rsidR="00C817A0" w:rsidRPr="00A545A5" w:rsidRDefault="00C817A0" w:rsidP="00E33B81">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49" w:type="dxa"/>
          </w:tcPr>
          <w:p w:rsidR="00C817A0" w:rsidRPr="00A545A5" w:rsidRDefault="00C817A0" w:rsidP="00E33B81">
            <w:pPr>
              <w:pStyle w:val="BodyTextIndent"/>
              <w:ind w:left="0"/>
              <w:jc w:val="center"/>
              <w:rPr>
                <w:color w:val="auto"/>
                <w:sz w:val="20"/>
                <w:szCs w:val="20"/>
              </w:rPr>
            </w:pPr>
            <w:r>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850" w:type="dxa"/>
          </w:tcPr>
          <w:p w:rsidR="00C817A0" w:rsidRPr="00A545A5" w:rsidRDefault="00C817A0" w:rsidP="00E33B81">
            <w:pPr>
              <w:pStyle w:val="BodyTextIndent"/>
              <w:ind w:left="0"/>
              <w:jc w:val="center"/>
              <w:rPr>
                <w:color w:val="auto"/>
                <w:sz w:val="20"/>
                <w:szCs w:val="20"/>
              </w:rPr>
            </w:pPr>
            <w:r>
              <w:rPr>
                <w:color w:val="auto"/>
                <w:sz w:val="20"/>
                <w:szCs w:val="20"/>
              </w:rPr>
              <w:t>0</w:t>
            </w:r>
          </w:p>
        </w:tc>
      </w:tr>
      <w:tr w:rsidR="00C817A0" w:rsidRPr="0005794A" w:rsidTr="00262F42">
        <w:tc>
          <w:tcPr>
            <w:cnfStyle w:val="001000000000" w:firstRow="0" w:lastRow="0" w:firstColumn="1" w:lastColumn="0" w:oddVBand="0" w:evenVBand="0" w:oddHBand="0" w:evenHBand="0" w:firstRowFirstColumn="0" w:firstRowLastColumn="0" w:lastRowFirstColumn="0" w:lastRowLastColumn="0"/>
            <w:tcW w:w="1367" w:type="dxa"/>
          </w:tcPr>
          <w:p w:rsidR="00C817A0" w:rsidRPr="00ED4A1D" w:rsidRDefault="00C817A0" w:rsidP="00E33B81">
            <w:pPr>
              <w:pStyle w:val="BodyTextIndent"/>
              <w:ind w:left="0"/>
              <w:jc w:val="center"/>
              <w:rPr>
                <w:b w:val="0"/>
                <w:color w:val="auto"/>
                <w:sz w:val="20"/>
                <w:szCs w:val="20"/>
              </w:rPr>
            </w:pPr>
            <w:r w:rsidRPr="00ED4A1D">
              <w:rPr>
                <w:b w:val="0"/>
                <w:color w:val="auto"/>
                <w:sz w:val="20"/>
                <w:szCs w:val="20"/>
              </w:rPr>
              <w:t>7</w:t>
            </w:r>
          </w:p>
        </w:tc>
        <w:tc>
          <w:tcPr>
            <w:cnfStyle w:val="000010000000" w:firstRow="0" w:lastRow="0" w:firstColumn="0" w:lastColumn="0" w:oddVBand="1" w:evenVBand="0" w:oddHBand="0" w:evenHBand="0" w:firstRowFirstColumn="0" w:firstRowLastColumn="0" w:lastRowFirstColumn="0" w:lastRowLastColumn="0"/>
            <w:tcW w:w="3452" w:type="dxa"/>
          </w:tcPr>
          <w:p w:rsidR="00C817A0" w:rsidRPr="00ED4A1D" w:rsidRDefault="00C817A0" w:rsidP="00E33B81">
            <w:pPr>
              <w:pStyle w:val="BodyTextIndent"/>
              <w:ind w:left="0"/>
              <w:rPr>
                <w:color w:val="auto"/>
                <w:sz w:val="20"/>
                <w:szCs w:val="20"/>
              </w:rPr>
            </w:pPr>
            <w:proofErr w:type="spellStart"/>
            <w:r w:rsidRPr="00ED4A1D">
              <w:rPr>
                <w:color w:val="auto"/>
                <w:sz w:val="20"/>
                <w:szCs w:val="20"/>
              </w:rPr>
              <w:t>Babbacombe</w:t>
            </w:r>
            <w:proofErr w:type="spellEnd"/>
            <w:r w:rsidRPr="00ED4A1D">
              <w:rPr>
                <w:color w:val="auto"/>
                <w:sz w:val="20"/>
                <w:szCs w:val="20"/>
              </w:rPr>
              <w:t xml:space="preserve"> Cliff Railway</w:t>
            </w:r>
          </w:p>
        </w:tc>
        <w:tc>
          <w:tcPr>
            <w:tcW w:w="1229" w:type="dxa"/>
          </w:tcPr>
          <w:p w:rsidR="00C817A0" w:rsidRPr="00A545A5" w:rsidRDefault="00C817A0" w:rsidP="00E33B81">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849" w:type="dxa"/>
          </w:tcPr>
          <w:p w:rsidR="00C817A0" w:rsidRPr="00A545A5" w:rsidRDefault="00C817A0" w:rsidP="00E33B81">
            <w:pPr>
              <w:pStyle w:val="BodyTextIndent"/>
              <w:ind w:left="0"/>
              <w:jc w:val="center"/>
              <w:rPr>
                <w:color w:val="auto"/>
                <w:sz w:val="20"/>
                <w:szCs w:val="20"/>
              </w:rPr>
            </w:pPr>
            <w:r>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850" w:type="dxa"/>
          </w:tcPr>
          <w:p w:rsidR="00C817A0" w:rsidRPr="00A545A5" w:rsidRDefault="00C817A0" w:rsidP="00E33B81">
            <w:pPr>
              <w:pStyle w:val="BodyTextIndent"/>
              <w:ind w:left="0"/>
              <w:jc w:val="center"/>
              <w:rPr>
                <w:color w:val="auto"/>
                <w:sz w:val="20"/>
                <w:szCs w:val="20"/>
              </w:rPr>
            </w:pPr>
            <w:r>
              <w:rPr>
                <w:color w:val="auto"/>
                <w:sz w:val="20"/>
                <w:szCs w:val="20"/>
              </w:rPr>
              <w:t>0</w:t>
            </w:r>
          </w:p>
        </w:tc>
      </w:tr>
      <w:tr w:rsidR="00C817A0" w:rsidRPr="0005794A" w:rsidTr="0026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rsidR="00C817A0" w:rsidRPr="00ED4A1D" w:rsidRDefault="00C817A0" w:rsidP="00E33B81">
            <w:pPr>
              <w:pStyle w:val="BodyTextIndent"/>
              <w:ind w:left="0"/>
              <w:jc w:val="center"/>
              <w:rPr>
                <w:b w:val="0"/>
                <w:color w:val="auto"/>
                <w:sz w:val="20"/>
                <w:szCs w:val="20"/>
              </w:rPr>
            </w:pPr>
            <w:r w:rsidRPr="00ED4A1D">
              <w:rPr>
                <w:b w:val="0"/>
                <w:color w:val="auto"/>
                <w:sz w:val="20"/>
                <w:szCs w:val="20"/>
              </w:rPr>
              <w:t>32</w:t>
            </w:r>
          </w:p>
        </w:tc>
        <w:tc>
          <w:tcPr>
            <w:cnfStyle w:val="000010000000" w:firstRow="0" w:lastRow="0" w:firstColumn="0" w:lastColumn="0" w:oddVBand="1" w:evenVBand="0" w:oddHBand="0" w:evenHBand="0" w:firstRowFirstColumn="0" w:firstRowLastColumn="0" w:lastRowFirstColumn="0" w:lastRowLastColumn="0"/>
            <w:tcW w:w="3452" w:type="dxa"/>
          </w:tcPr>
          <w:p w:rsidR="00C817A0" w:rsidRPr="00ED4A1D" w:rsidRDefault="00C817A0" w:rsidP="00E33B81">
            <w:pPr>
              <w:pStyle w:val="BodyTextIndent"/>
              <w:ind w:left="0"/>
              <w:rPr>
                <w:color w:val="auto"/>
                <w:sz w:val="20"/>
                <w:szCs w:val="20"/>
              </w:rPr>
            </w:pPr>
            <w:r w:rsidRPr="00ED4A1D">
              <w:rPr>
                <w:color w:val="auto"/>
                <w:sz w:val="20"/>
                <w:szCs w:val="20"/>
              </w:rPr>
              <w:t>Sports Clubs</w:t>
            </w:r>
          </w:p>
        </w:tc>
        <w:tc>
          <w:tcPr>
            <w:tcW w:w="1229" w:type="dxa"/>
          </w:tcPr>
          <w:p w:rsidR="00C817A0" w:rsidRPr="00A545A5" w:rsidRDefault="00C817A0" w:rsidP="00E33B81">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849" w:type="dxa"/>
          </w:tcPr>
          <w:p w:rsidR="00C817A0" w:rsidRPr="00A545A5" w:rsidRDefault="00C817A0" w:rsidP="00E33B81">
            <w:pPr>
              <w:pStyle w:val="BodyTextIndent"/>
              <w:ind w:left="0"/>
              <w:jc w:val="center"/>
              <w:rPr>
                <w:color w:val="auto"/>
                <w:sz w:val="20"/>
                <w:szCs w:val="20"/>
              </w:rPr>
            </w:pPr>
            <w:r>
              <w:rPr>
                <w:color w:val="auto"/>
                <w:sz w:val="20"/>
                <w:szCs w:val="20"/>
              </w:rPr>
              <w:t>2</w:t>
            </w:r>
          </w:p>
        </w:tc>
        <w:tc>
          <w:tcPr>
            <w:cnfStyle w:val="000100000000" w:firstRow="0" w:lastRow="0" w:firstColumn="0" w:lastColumn="1" w:oddVBand="0" w:evenVBand="0" w:oddHBand="0" w:evenHBand="0" w:firstRowFirstColumn="0" w:firstRowLastColumn="0" w:lastRowFirstColumn="0" w:lastRowLastColumn="0"/>
            <w:tcW w:w="850" w:type="dxa"/>
          </w:tcPr>
          <w:p w:rsidR="00C817A0" w:rsidRPr="00A545A5" w:rsidRDefault="00C817A0" w:rsidP="00E33B81">
            <w:pPr>
              <w:pStyle w:val="BodyTextIndent"/>
              <w:ind w:left="0"/>
              <w:jc w:val="center"/>
              <w:rPr>
                <w:color w:val="auto"/>
                <w:sz w:val="20"/>
                <w:szCs w:val="20"/>
              </w:rPr>
            </w:pPr>
            <w:r>
              <w:rPr>
                <w:color w:val="auto"/>
                <w:sz w:val="20"/>
                <w:szCs w:val="20"/>
              </w:rPr>
              <w:t>28</w:t>
            </w:r>
          </w:p>
        </w:tc>
      </w:tr>
      <w:tr w:rsidR="00C817A0" w:rsidRPr="0005794A" w:rsidTr="00262F42">
        <w:tc>
          <w:tcPr>
            <w:cnfStyle w:val="001000000000" w:firstRow="0" w:lastRow="0" w:firstColumn="1" w:lastColumn="0" w:oddVBand="0" w:evenVBand="0" w:oddHBand="0" w:evenHBand="0" w:firstRowFirstColumn="0" w:firstRowLastColumn="0" w:lastRowFirstColumn="0" w:lastRowLastColumn="0"/>
            <w:tcW w:w="1367" w:type="dxa"/>
            <w:tcBorders>
              <w:bottom w:val="nil"/>
            </w:tcBorders>
          </w:tcPr>
          <w:p w:rsidR="00C817A0" w:rsidRPr="00ED4A1D" w:rsidRDefault="00C817A0" w:rsidP="00E33B81">
            <w:pPr>
              <w:pStyle w:val="BodyTextIndent"/>
              <w:ind w:left="0"/>
              <w:jc w:val="center"/>
              <w:rPr>
                <w:b w:val="0"/>
                <w:color w:val="auto"/>
                <w:sz w:val="20"/>
                <w:szCs w:val="20"/>
              </w:rPr>
            </w:pPr>
            <w:r>
              <w:rPr>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3452" w:type="dxa"/>
            <w:tcBorders>
              <w:bottom w:val="nil"/>
            </w:tcBorders>
          </w:tcPr>
          <w:p w:rsidR="00C817A0" w:rsidRPr="00A545A5" w:rsidRDefault="00C817A0" w:rsidP="00E33B81">
            <w:pPr>
              <w:pStyle w:val="BodyTextIndent"/>
              <w:ind w:left="0"/>
              <w:rPr>
                <w:color w:val="auto"/>
                <w:sz w:val="20"/>
                <w:szCs w:val="20"/>
              </w:rPr>
            </w:pPr>
            <w:r>
              <w:rPr>
                <w:color w:val="auto"/>
                <w:sz w:val="20"/>
                <w:szCs w:val="20"/>
              </w:rPr>
              <w:t>Care Home Provider</w:t>
            </w:r>
          </w:p>
        </w:tc>
        <w:tc>
          <w:tcPr>
            <w:tcW w:w="1229" w:type="dxa"/>
            <w:tcBorders>
              <w:bottom w:val="nil"/>
            </w:tcBorders>
          </w:tcPr>
          <w:p w:rsidR="00C817A0" w:rsidRPr="00A545A5" w:rsidRDefault="00C817A0" w:rsidP="00E33B81">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1,217</w:t>
            </w:r>
          </w:p>
        </w:tc>
        <w:tc>
          <w:tcPr>
            <w:cnfStyle w:val="000010000000" w:firstRow="0" w:lastRow="0" w:firstColumn="0" w:lastColumn="0" w:oddVBand="1" w:evenVBand="0" w:oddHBand="0" w:evenHBand="0" w:firstRowFirstColumn="0" w:firstRowLastColumn="0" w:lastRowFirstColumn="0" w:lastRowLastColumn="0"/>
            <w:tcW w:w="849" w:type="dxa"/>
            <w:tcBorders>
              <w:bottom w:val="nil"/>
            </w:tcBorders>
          </w:tcPr>
          <w:p w:rsidR="00C817A0" w:rsidRPr="00A545A5" w:rsidRDefault="00C817A0" w:rsidP="00E33B81">
            <w:pPr>
              <w:pStyle w:val="BodyTextIndent"/>
              <w:ind w:left="0"/>
              <w:jc w:val="center"/>
              <w:rPr>
                <w:color w:val="auto"/>
                <w:sz w:val="20"/>
                <w:szCs w:val="20"/>
              </w:rPr>
            </w:pPr>
            <w:r>
              <w:rPr>
                <w:color w:val="auto"/>
                <w:sz w:val="20"/>
                <w:szCs w:val="20"/>
              </w:rPr>
              <w:t>101</w:t>
            </w:r>
          </w:p>
        </w:tc>
        <w:tc>
          <w:tcPr>
            <w:cnfStyle w:val="000100000000" w:firstRow="0" w:lastRow="0" w:firstColumn="0" w:lastColumn="1" w:oddVBand="0" w:evenVBand="0" w:oddHBand="0" w:evenHBand="0" w:firstRowFirstColumn="0" w:firstRowLastColumn="0" w:lastRowFirstColumn="0" w:lastRowLastColumn="0"/>
            <w:tcW w:w="850" w:type="dxa"/>
            <w:tcBorders>
              <w:bottom w:val="nil"/>
            </w:tcBorders>
          </w:tcPr>
          <w:p w:rsidR="00C817A0" w:rsidRPr="00A545A5" w:rsidRDefault="00C817A0" w:rsidP="00E33B81">
            <w:pPr>
              <w:pStyle w:val="BodyTextIndent"/>
              <w:ind w:left="0"/>
              <w:jc w:val="center"/>
              <w:rPr>
                <w:color w:val="auto"/>
                <w:sz w:val="20"/>
                <w:szCs w:val="20"/>
              </w:rPr>
            </w:pPr>
            <w:r>
              <w:rPr>
                <w:color w:val="auto"/>
                <w:sz w:val="20"/>
                <w:szCs w:val="20"/>
              </w:rPr>
              <w:t>1,116</w:t>
            </w:r>
          </w:p>
        </w:tc>
      </w:tr>
      <w:tr w:rsidR="00C817A0" w:rsidRPr="0005794A" w:rsidTr="0026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Borders>
              <w:bottom w:val="nil"/>
            </w:tcBorders>
          </w:tcPr>
          <w:p w:rsidR="00C817A0" w:rsidRPr="00ED4A1D" w:rsidRDefault="00C817A0" w:rsidP="00E33B81">
            <w:pPr>
              <w:pStyle w:val="BodyTextIndent"/>
              <w:ind w:left="0"/>
              <w:jc w:val="center"/>
              <w:rPr>
                <w:b w:val="0"/>
                <w:color w:val="auto"/>
                <w:sz w:val="20"/>
                <w:szCs w:val="20"/>
              </w:rPr>
            </w:pPr>
            <w:r w:rsidRPr="00ED4A1D">
              <w:rPr>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3452" w:type="dxa"/>
            <w:tcBorders>
              <w:bottom w:val="nil"/>
            </w:tcBorders>
          </w:tcPr>
          <w:p w:rsidR="00C817A0" w:rsidRDefault="00C817A0" w:rsidP="00E33B81">
            <w:pPr>
              <w:pStyle w:val="BodyTextIndent"/>
              <w:ind w:left="0"/>
              <w:rPr>
                <w:color w:val="auto"/>
                <w:sz w:val="20"/>
                <w:szCs w:val="20"/>
              </w:rPr>
            </w:pPr>
            <w:r>
              <w:rPr>
                <w:color w:val="auto"/>
                <w:sz w:val="20"/>
                <w:szCs w:val="20"/>
              </w:rPr>
              <w:t>South Devon College</w:t>
            </w:r>
          </w:p>
        </w:tc>
        <w:tc>
          <w:tcPr>
            <w:tcW w:w="1229" w:type="dxa"/>
            <w:tcBorders>
              <w:bottom w:val="nil"/>
            </w:tcBorders>
          </w:tcPr>
          <w:p w:rsidR="00C817A0" w:rsidRPr="00A545A5" w:rsidRDefault="00C817A0" w:rsidP="00E33B81">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3,880</w:t>
            </w:r>
          </w:p>
        </w:tc>
        <w:tc>
          <w:tcPr>
            <w:cnfStyle w:val="000010000000" w:firstRow="0" w:lastRow="0" w:firstColumn="0" w:lastColumn="0" w:oddVBand="1" w:evenVBand="0" w:oddHBand="0" w:evenHBand="0" w:firstRowFirstColumn="0" w:firstRowLastColumn="0" w:lastRowFirstColumn="0" w:lastRowLastColumn="0"/>
            <w:tcW w:w="849" w:type="dxa"/>
            <w:tcBorders>
              <w:bottom w:val="nil"/>
            </w:tcBorders>
          </w:tcPr>
          <w:p w:rsidR="00C817A0" w:rsidRPr="00A545A5" w:rsidRDefault="00C817A0" w:rsidP="00E33B81">
            <w:pPr>
              <w:pStyle w:val="BodyTextIndent"/>
              <w:ind w:left="0"/>
              <w:jc w:val="center"/>
              <w:rPr>
                <w:color w:val="auto"/>
                <w:sz w:val="20"/>
                <w:szCs w:val="20"/>
              </w:rPr>
            </w:pPr>
            <w:r>
              <w:rPr>
                <w:color w:val="auto"/>
                <w:sz w:val="20"/>
                <w:szCs w:val="20"/>
              </w:rPr>
              <w:t>160</w:t>
            </w:r>
          </w:p>
        </w:tc>
        <w:tc>
          <w:tcPr>
            <w:cnfStyle w:val="000100000000" w:firstRow="0" w:lastRow="0" w:firstColumn="0" w:lastColumn="1" w:oddVBand="0" w:evenVBand="0" w:oddHBand="0" w:evenHBand="0" w:firstRowFirstColumn="0" w:firstRowLastColumn="0" w:lastRowFirstColumn="0" w:lastRowLastColumn="0"/>
            <w:tcW w:w="850" w:type="dxa"/>
            <w:tcBorders>
              <w:bottom w:val="nil"/>
            </w:tcBorders>
          </w:tcPr>
          <w:p w:rsidR="00C817A0" w:rsidRDefault="00C817A0" w:rsidP="00E33B81">
            <w:pPr>
              <w:pStyle w:val="BodyTextIndent"/>
              <w:ind w:left="0"/>
              <w:jc w:val="center"/>
              <w:rPr>
                <w:color w:val="auto"/>
                <w:sz w:val="20"/>
                <w:szCs w:val="20"/>
              </w:rPr>
            </w:pPr>
            <w:r>
              <w:rPr>
                <w:color w:val="auto"/>
                <w:sz w:val="20"/>
                <w:szCs w:val="20"/>
              </w:rPr>
              <w:t>3,720</w:t>
            </w:r>
          </w:p>
        </w:tc>
      </w:tr>
      <w:tr w:rsidR="00C817A0" w:rsidRPr="0005794A" w:rsidTr="00262F42">
        <w:tc>
          <w:tcPr>
            <w:cnfStyle w:val="001000000000" w:firstRow="0" w:lastRow="0" w:firstColumn="1" w:lastColumn="0" w:oddVBand="0" w:evenVBand="0" w:oddHBand="0" w:evenHBand="0" w:firstRowFirstColumn="0" w:firstRowLastColumn="0" w:lastRowFirstColumn="0" w:lastRowLastColumn="0"/>
            <w:tcW w:w="1367" w:type="dxa"/>
            <w:tcBorders>
              <w:bottom w:val="double" w:sz="4" w:space="0" w:color="4BACC6" w:themeColor="accent5"/>
            </w:tcBorders>
          </w:tcPr>
          <w:p w:rsidR="00C817A0" w:rsidRPr="00ED4A1D" w:rsidRDefault="00C817A0" w:rsidP="00E33B81">
            <w:pPr>
              <w:pStyle w:val="BodyTextIndent"/>
              <w:ind w:left="0"/>
              <w:jc w:val="center"/>
              <w:rPr>
                <w:b w:val="0"/>
                <w:color w:val="auto"/>
                <w:sz w:val="20"/>
                <w:szCs w:val="20"/>
              </w:rPr>
            </w:pPr>
            <w:r w:rsidRPr="00ED4A1D">
              <w:rPr>
                <w:b w:val="0"/>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3452" w:type="dxa"/>
            <w:tcBorders>
              <w:bottom w:val="double" w:sz="4" w:space="0" w:color="4BACC6" w:themeColor="accent5"/>
            </w:tcBorders>
          </w:tcPr>
          <w:p w:rsidR="00C817A0" w:rsidRDefault="00C817A0" w:rsidP="00E33B81">
            <w:pPr>
              <w:pStyle w:val="BodyTextIndent"/>
              <w:ind w:left="0"/>
              <w:rPr>
                <w:color w:val="auto"/>
                <w:sz w:val="20"/>
                <w:szCs w:val="20"/>
              </w:rPr>
            </w:pPr>
            <w:r>
              <w:rPr>
                <w:color w:val="auto"/>
                <w:sz w:val="20"/>
                <w:szCs w:val="20"/>
              </w:rPr>
              <w:t>Parkwood Leisure</w:t>
            </w:r>
          </w:p>
        </w:tc>
        <w:tc>
          <w:tcPr>
            <w:tcW w:w="1229" w:type="dxa"/>
            <w:tcBorders>
              <w:bottom w:val="double" w:sz="4" w:space="0" w:color="4BACC6" w:themeColor="accent5"/>
            </w:tcBorders>
          </w:tcPr>
          <w:p w:rsidR="00C817A0" w:rsidRPr="00A545A5" w:rsidRDefault="00C817A0" w:rsidP="00E33B81">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515</w:t>
            </w:r>
          </w:p>
        </w:tc>
        <w:tc>
          <w:tcPr>
            <w:cnfStyle w:val="000010000000" w:firstRow="0" w:lastRow="0" w:firstColumn="0" w:lastColumn="0" w:oddVBand="1" w:evenVBand="0" w:oddHBand="0" w:evenHBand="0" w:firstRowFirstColumn="0" w:firstRowLastColumn="0" w:lastRowFirstColumn="0" w:lastRowLastColumn="0"/>
            <w:tcW w:w="849" w:type="dxa"/>
            <w:tcBorders>
              <w:bottom w:val="double" w:sz="4" w:space="0" w:color="4BACC6" w:themeColor="accent5"/>
            </w:tcBorders>
          </w:tcPr>
          <w:p w:rsidR="00C817A0" w:rsidRPr="00A545A5" w:rsidRDefault="00C817A0" w:rsidP="00E33B81">
            <w:pPr>
              <w:pStyle w:val="BodyTextIndent"/>
              <w:ind w:left="0"/>
              <w:jc w:val="center"/>
              <w:rPr>
                <w:color w:val="auto"/>
                <w:sz w:val="20"/>
                <w:szCs w:val="20"/>
              </w:rPr>
            </w:pPr>
            <w:r>
              <w:rPr>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850" w:type="dxa"/>
            <w:tcBorders>
              <w:bottom w:val="double" w:sz="4" w:space="0" w:color="4BACC6" w:themeColor="accent5"/>
            </w:tcBorders>
          </w:tcPr>
          <w:p w:rsidR="00C817A0" w:rsidRDefault="00C817A0" w:rsidP="00E33B81">
            <w:pPr>
              <w:pStyle w:val="BodyTextIndent"/>
              <w:ind w:left="0"/>
              <w:jc w:val="center"/>
              <w:rPr>
                <w:color w:val="auto"/>
                <w:sz w:val="20"/>
                <w:szCs w:val="20"/>
              </w:rPr>
            </w:pPr>
            <w:r>
              <w:rPr>
                <w:color w:val="auto"/>
                <w:sz w:val="20"/>
                <w:szCs w:val="20"/>
              </w:rPr>
              <w:t>515</w:t>
            </w:r>
          </w:p>
        </w:tc>
      </w:tr>
      <w:tr w:rsidR="00C817A0" w:rsidRPr="0005794A" w:rsidTr="00262F4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67" w:type="dxa"/>
            <w:tcBorders>
              <w:bottom w:val="single" w:sz="4" w:space="0" w:color="auto"/>
            </w:tcBorders>
          </w:tcPr>
          <w:p w:rsidR="00C817A0" w:rsidRDefault="00C817A0" w:rsidP="00E33B81">
            <w:pPr>
              <w:pStyle w:val="BodyTextIndent"/>
              <w:ind w:left="0"/>
              <w:jc w:val="center"/>
              <w:rPr>
                <w:color w:val="auto"/>
                <w:sz w:val="20"/>
                <w:szCs w:val="20"/>
              </w:rPr>
            </w:pPr>
            <w:r>
              <w:rPr>
                <w:color w:val="auto"/>
                <w:sz w:val="20"/>
                <w:szCs w:val="20"/>
              </w:rPr>
              <w:t>2,515</w:t>
            </w:r>
          </w:p>
        </w:tc>
        <w:tc>
          <w:tcPr>
            <w:cnfStyle w:val="000010000000" w:firstRow="0" w:lastRow="0" w:firstColumn="0" w:lastColumn="0" w:oddVBand="1" w:evenVBand="0" w:oddHBand="0" w:evenHBand="0" w:firstRowFirstColumn="0" w:firstRowLastColumn="0" w:lastRowFirstColumn="0" w:lastRowLastColumn="0"/>
            <w:tcW w:w="3452" w:type="dxa"/>
            <w:tcBorders>
              <w:bottom w:val="single" w:sz="4" w:space="0" w:color="auto"/>
            </w:tcBorders>
          </w:tcPr>
          <w:p w:rsidR="00C817A0" w:rsidRDefault="00C817A0" w:rsidP="00E33B81">
            <w:pPr>
              <w:pStyle w:val="BodyTextIndent"/>
              <w:ind w:left="0"/>
              <w:rPr>
                <w:color w:val="auto"/>
                <w:sz w:val="20"/>
                <w:szCs w:val="20"/>
              </w:rPr>
            </w:pPr>
          </w:p>
        </w:tc>
        <w:tc>
          <w:tcPr>
            <w:tcW w:w="1229" w:type="dxa"/>
            <w:tcBorders>
              <w:bottom w:val="single" w:sz="4" w:space="0" w:color="auto"/>
            </w:tcBorders>
          </w:tcPr>
          <w:p w:rsidR="00C817A0" w:rsidRPr="00A545A5" w:rsidRDefault="00C817A0" w:rsidP="00E33B81">
            <w:pPr>
              <w:pStyle w:val="BodyTextIndent"/>
              <w:ind w:left="0"/>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Pr>
                <w:color w:val="auto"/>
                <w:sz w:val="20"/>
                <w:szCs w:val="20"/>
              </w:rPr>
              <w:t>8,003</w:t>
            </w:r>
          </w:p>
        </w:tc>
        <w:tc>
          <w:tcPr>
            <w:cnfStyle w:val="000010000000" w:firstRow="0" w:lastRow="0" w:firstColumn="0" w:lastColumn="0" w:oddVBand="1" w:evenVBand="0" w:oddHBand="0" w:evenHBand="0" w:firstRowFirstColumn="0" w:firstRowLastColumn="0" w:lastRowFirstColumn="0" w:lastRowLastColumn="0"/>
            <w:tcW w:w="849" w:type="dxa"/>
            <w:tcBorders>
              <w:bottom w:val="single" w:sz="4" w:space="0" w:color="auto"/>
            </w:tcBorders>
          </w:tcPr>
          <w:p w:rsidR="00C817A0" w:rsidRPr="00A545A5" w:rsidRDefault="00C817A0" w:rsidP="00E33B81">
            <w:pPr>
              <w:pStyle w:val="BodyTextIndent"/>
              <w:ind w:left="0"/>
              <w:jc w:val="center"/>
              <w:rPr>
                <w:color w:val="auto"/>
                <w:sz w:val="20"/>
                <w:szCs w:val="20"/>
              </w:rPr>
            </w:pPr>
            <w:r>
              <w:rPr>
                <w:color w:val="auto"/>
                <w:sz w:val="20"/>
                <w:szCs w:val="20"/>
              </w:rPr>
              <w:t>331</w:t>
            </w:r>
          </w:p>
        </w:tc>
        <w:tc>
          <w:tcPr>
            <w:cnfStyle w:val="000100000010" w:firstRow="0" w:lastRow="0" w:firstColumn="0" w:lastColumn="1" w:oddVBand="0" w:evenVBand="0" w:oddHBand="0" w:evenHBand="0" w:firstRowFirstColumn="0" w:firstRowLastColumn="0" w:lastRowFirstColumn="0" w:lastRowLastColumn="1"/>
            <w:tcW w:w="850" w:type="dxa"/>
            <w:tcBorders>
              <w:bottom w:val="single" w:sz="4" w:space="0" w:color="auto"/>
            </w:tcBorders>
          </w:tcPr>
          <w:p w:rsidR="00C817A0" w:rsidRDefault="00C817A0" w:rsidP="00E33B81">
            <w:pPr>
              <w:pStyle w:val="BodyTextIndent"/>
              <w:ind w:left="0"/>
              <w:jc w:val="center"/>
              <w:rPr>
                <w:color w:val="auto"/>
                <w:sz w:val="20"/>
                <w:szCs w:val="20"/>
              </w:rPr>
            </w:pPr>
            <w:r>
              <w:rPr>
                <w:color w:val="auto"/>
                <w:sz w:val="20"/>
                <w:szCs w:val="20"/>
              </w:rPr>
              <w:t>7,672</w:t>
            </w:r>
          </w:p>
        </w:tc>
      </w:tr>
    </w:tbl>
    <w:p w:rsidR="004437B0" w:rsidRDefault="004437B0" w:rsidP="00AB1648">
      <w:pPr>
        <w:pStyle w:val="Subtitle"/>
        <w:ind w:left="567" w:hanging="567"/>
        <w:rPr>
          <w:b/>
          <w:color w:val="auto"/>
          <w:sz w:val="22"/>
          <w:szCs w:val="22"/>
        </w:rPr>
      </w:pPr>
    </w:p>
    <w:p w:rsidR="00E51139" w:rsidRPr="00B07474" w:rsidRDefault="00256A0E" w:rsidP="00AB1648">
      <w:pPr>
        <w:pStyle w:val="Subtitle"/>
        <w:ind w:left="567" w:hanging="567"/>
        <w:rPr>
          <w:b/>
          <w:color w:val="auto"/>
          <w:sz w:val="22"/>
          <w:szCs w:val="22"/>
        </w:rPr>
      </w:pPr>
      <w:r w:rsidRPr="00B07474">
        <w:rPr>
          <w:b/>
          <w:color w:val="auto"/>
          <w:sz w:val="22"/>
          <w:szCs w:val="22"/>
        </w:rPr>
        <w:t>20</w:t>
      </w:r>
      <w:r w:rsidR="00E51139" w:rsidRPr="00B07474">
        <w:rPr>
          <w:b/>
          <w:color w:val="auto"/>
          <w:sz w:val="22"/>
          <w:szCs w:val="22"/>
        </w:rPr>
        <w:t>.</w:t>
      </w:r>
      <w:r w:rsidR="00E51139" w:rsidRPr="00B07474">
        <w:rPr>
          <w:b/>
          <w:color w:val="auto"/>
          <w:sz w:val="22"/>
          <w:szCs w:val="22"/>
        </w:rPr>
        <w:tab/>
        <w:t>Cash and Cash Equivalents</w:t>
      </w:r>
    </w:p>
    <w:p w:rsidR="004D4940" w:rsidRPr="00B07474" w:rsidRDefault="00E51139" w:rsidP="004D4940">
      <w:pPr>
        <w:pStyle w:val="ExampleSub"/>
        <w:keepNext w:val="0"/>
        <w:keepLines w:val="0"/>
        <w:rPr>
          <w:rFonts w:ascii="Arial" w:hAnsi="Arial" w:cs="Arial"/>
          <w:b w:val="0"/>
          <w:bCs w:val="0"/>
          <w:color w:val="auto"/>
          <w:sz w:val="20"/>
          <w:szCs w:val="20"/>
        </w:rPr>
      </w:pPr>
      <w:r w:rsidRPr="00B07474">
        <w:rPr>
          <w:rFonts w:ascii="Arial" w:hAnsi="Arial" w:cs="Arial"/>
          <w:b w:val="0"/>
          <w:bCs w:val="0"/>
          <w:color w:val="auto"/>
          <w:sz w:val="20"/>
          <w:szCs w:val="20"/>
        </w:rPr>
        <w:t>The balance of Cash and Cash Equivalents</w:t>
      </w:r>
      <w:r w:rsidR="002558A7" w:rsidRPr="00B07474">
        <w:rPr>
          <w:rFonts w:ascii="Arial" w:hAnsi="Arial" w:cs="Arial"/>
          <w:b w:val="0"/>
          <w:bCs w:val="0"/>
          <w:color w:val="auto"/>
          <w:sz w:val="20"/>
          <w:szCs w:val="20"/>
        </w:rPr>
        <w:t xml:space="preserve">, including use of bank </w:t>
      </w:r>
      <w:r w:rsidR="007E33E1" w:rsidRPr="00B07474">
        <w:rPr>
          <w:rFonts w:ascii="Arial" w:hAnsi="Arial" w:cs="Arial"/>
          <w:b w:val="0"/>
          <w:bCs w:val="0"/>
          <w:color w:val="auto"/>
          <w:sz w:val="20"/>
          <w:szCs w:val="20"/>
        </w:rPr>
        <w:t>overdrafts</w:t>
      </w:r>
      <w:r w:rsidR="002558A7" w:rsidRPr="00B07474">
        <w:rPr>
          <w:rFonts w:ascii="Arial" w:hAnsi="Arial" w:cs="Arial"/>
          <w:b w:val="0"/>
          <w:bCs w:val="0"/>
          <w:color w:val="auto"/>
          <w:sz w:val="20"/>
          <w:szCs w:val="20"/>
        </w:rPr>
        <w:t>,</w:t>
      </w:r>
      <w:r w:rsidRPr="00B07474">
        <w:rPr>
          <w:rFonts w:ascii="Arial" w:hAnsi="Arial" w:cs="Arial"/>
          <w:b w:val="0"/>
          <w:bCs w:val="0"/>
          <w:color w:val="auto"/>
          <w:sz w:val="20"/>
          <w:szCs w:val="20"/>
        </w:rPr>
        <w:t xml:space="preserve"> is made up of the following elements:</w:t>
      </w:r>
    </w:p>
    <w:p w:rsidR="004D4940" w:rsidRPr="0005794A" w:rsidRDefault="004D4940" w:rsidP="004D4940">
      <w:pPr>
        <w:pStyle w:val="ExampleSub"/>
        <w:keepNext w:val="0"/>
        <w:keepLines w:val="0"/>
        <w:rPr>
          <w:rFonts w:ascii="Arial" w:hAnsi="Arial" w:cs="Arial"/>
          <w:b w:val="0"/>
          <w:bCs w:val="0"/>
          <w:color w:val="548DD4" w:themeColor="text2" w:themeTint="99"/>
          <w:sz w:val="20"/>
          <w:szCs w:val="20"/>
        </w:rPr>
      </w:pPr>
    </w:p>
    <w:tbl>
      <w:tblPr>
        <w:tblStyle w:val="ListTable3-Accent51"/>
        <w:tblW w:w="0" w:type="auto"/>
        <w:tblInd w:w="675" w:type="dxa"/>
        <w:tblLook w:val="00A0" w:firstRow="1" w:lastRow="0" w:firstColumn="1" w:lastColumn="0" w:noHBand="0" w:noVBand="0"/>
      </w:tblPr>
      <w:tblGrid>
        <w:gridCol w:w="1985"/>
        <w:gridCol w:w="3969"/>
        <w:gridCol w:w="1984"/>
      </w:tblGrid>
      <w:tr w:rsidR="00E51139" w:rsidRPr="0005794A" w:rsidTr="004D4940">
        <w:trPr>
          <w:cnfStyle w:val="100000000000" w:firstRow="1" w:lastRow="0" w:firstColumn="0" w:lastColumn="0" w:oddVBand="0" w:evenVBand="0" w:oddHBand="0" w:evenHBand="0" w:firstRowFirstColumn="0" w:firstRowLastColumn="0" w:lastRowFirstColumn="0" w:lastRowLastColumn="0"/>
          <w:trHeight w:val="447"/>
          <w:tblHeader/>
        </w:trPr>
        <w:tc>
          <w:tcPr>
            <w:cnfStyle w:val="001000000100" w:firstRow="0" w:lastRow="0" w:firstColumn="1" w:lastColumn="0" w:oddVBand="0" w:evenVBand="0" w:oddHBand="0" w:evenHBand="0" w:firstRowFirstColumn="1" w:firstRowLastColumn="0" w:lastRowFirstColumn="0" w:lastRowLastColumn="0"/>
            <w:tcW w:w="1985" w:type="dxa"/>
          </w:tcPr>
          <w:p w:rsidR="00E51139" w:rsidRPr="00B07474" w:rsidRDefault="00E51139" w:rsidP="00026B55">
            <w:pPr>
              <w:pStyle w:val="ExampleSub"/>
              <w:keepNext w:val="0"/>
              <w:keepLines w:val="0"/>
              <w:ind w:left="0"/>
              <w:jc w:val="center"/>
              <w:rPr>
                <w:rFonts w:ascii="Arial" w:hAnsi="Arial" w:cs="Arial"/>
                <w:color w:val="auto"/>
                <w:sz w:val="20"/>
                <w:szCs w:val="20"/>
              </w:rPr>
            </w:pPr>
            <w:r w:rsidRPr="00B07474">
              <w:rPr>
                <w:rFonts w:ascii="Arial" w:hAnsi="Arial" w:cs="Arial"/>
                <w:color w:val="auto"/>
                <w:sz w:val="20"/>
                <w:szCs w:val="20"/>
              </w:rPr>
              <w:t>31 March 201</w:t>
            </w:r>
            <w:r w:rsidR="00B07474" w:rsidRPr="00B07474">
              <w:rPr>
                <w:rFonts w:ascii="Arial" w:hAnsi="Arial" w:cs="Arial"/>
                <w:color w:val="auto"/>
                <w:sz w:val="20"/>
                <w:szCs w:val="20"/>
              </w:rPr>
              <w:t>7</w:t>
            </w:r>
          </w:p>
        </w:tc>
        <w:tc>
          <w:tcPr>
            <w:cnfStyle w:val="000010000000" w:firstRow="0" w:lastRow="0" w:firstColumn="0" w:lastColumn="0" w:oddVBand="1" w:evenVBand="0" w:oddHBand="0" w:evenHBand="0" w:firstRowFirstColumn="0" w:firstRowLastColumn="0" w:lastRowFirstColumn="0" w:lastRowLastColumn="0"/>
            <w:tcW w:w="3969" w:type="dxa"/>
          </w:tcPr>
          <w:p w:rsidR="00E51139" w:rsidRPr="00B07474" w:rsidRDefault="00E51139" w:rsidP="003C5E34">
            <w:pPr>
              <w:pStyle w:val="ExampleSub"/>
              <w:keepNext w:val="0"/>
              <w:keepLines w:val="0"/>
              <w:ind w:left="0"/>
              <w:rPr>
                <w:rFonts w:ascii="Arial" w:hAnsi="Arial" w:cs="Arial"/>
                <w:color w:val="auto"/>
                <w:sz w:val="20"/>
                <w:szCs w:val="20"/>
              </w:rPr>
            </w:pPr>
          </w:p>
        </w:tc>
        <w:tc>
          <w:tcPr>
            <w:tcW w:w="1984" w:type="dxa"/>
          </w:tcPr>
          <w:p w:rsidR="00E51139" w:rsidRPr="00B07474" w:rsidRDefault="00E51139" w:rsidP="004D4940">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B07474">
              <w:rPr>
                <w:rFonts w:ascii="Arial" w:hAnsi="Arial" w:cs="Arial"/>
                <w:color w:val="auto"/>
                <w:sz w:val="20"/>
                <w:szCs w:val="20"/>
              </w:rPr>
              <w:t>31 March 201</w:t>
            </w:r>
            <w:r w:rsidR="00B07474" w:rsidRPr="00B07474">
              <w:rPr>
                <w:rFonts w:ascii="Arial" w:hAnsi="Arial" w:cs="Arial"/>
                <w:color w:val="auto"/>
                <w:sz w:val="20"/>
                <w:szCs w:val="20"/>
              </w:rPr>
              <w:t>8</w:t>
            </w:r>
          </w:p>
        </w:tc>
      </w:tr>
      <w:tr w:rsidR="004D4940" w:rsidRPr="0005794A" w:rsidTr="004D494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985" w:type="dxa"/>
            <w:shd w:val="clear" w:color="auto" w:fill="4BACC6" w:themeFill="accent5"/>
          </w:tcPr>
          <w:p w:rsidR="004D4940" w:rsidRPr="00B07474" w:rsidRDefault="004D4940" w:rsidP="004D4940">
            <w:pPr>
              <w:pStyle w:val="ExampleSub"/>
              <w:keepNext w:val="0"/>
              <w:keepLines w:val="0"/>
              <w:ind w:left="0"/>
              <w:jc w:val="center"/>
              <w:rPr>
                <w:rFonts w:ascii="Arial" w:hAnsi="Arial" w:cs="Arial"/>
                <w:color w:val="auto"/>
                <w:sz w:val="20"/>
                <w:szCs w:val="20"/>
              </w:rPr>
            </w:pPr>
            <w:r w:rsidRPr="00B07474">
              <w:rPr>
                <w:rFonts w:ascii="Arial" w:hAnsi="Arial"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3969" w:type="dxa"/>
            <w:shd w:val="clear" w:color="auto" w:fill="4BACC6" w:themeFill="accent5"/>
          </w:tcPr>
          <w:p w:rsidR="004D4940" w:rsidRPr="00B07474" w:rsidRDefault="004D4940" w:rsidP="004D4940">
            <w:pPr>
              <w:pStyle w:val="CodeNotesbody"/>
              <w:widowControl w:val="0"/>
              <w:numPr>
                <w:ilvl w:val="0"/>
                <w:numId w:val="0"/>
              </w:numPr>
              <w:spacing w:before="60" w:after="60" w:line="240" w:lineRule="auto"/>
              <w:jc w:val="center"/>
              <w:rPr>
                <w:rFonts w:cs="Arial"/>
                <w:color w:val="auto"/>
                <w:sz w:val="20"/>
                <w:szCs w:val="20"/>
              </w:rPr>
            </w:pPr>
          </w:p>
        </w:tc>
        <w:tc>
          <w:tcPr>
            <w:tcW w:w="1984" w:type="dxa"/>
            <w:shd w:val="clear" w:color="auto" w:fill="4BACC6" w:themeFill="accent5"/>
          </w:tcPr>
          <w:p w:rsidR="004D4940" w:rsidRPr="00B07474" w:rsidRDefault="004D4940" w:rsidP="004D494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rPr>
            </w:pPr>
            <w:r w:rsidRPr="00B07474">
              <w:rPr>
                <w:rFonts w:ascii="Arial" w:hAnsi="Arial" w:cs="Arial"/>
                <w:b w:val="0"/>
                <w:bCs w:val="0"/>
                <w:color w:val="auto"/>
                <w:sz w:val="20"/>
                <w:szCs w:val="20"/>
              </w:rPr>
              <w:t>£m</w:t>
            </w:r>
          </w:p>
        </w:tc>
      </w:tr>
      <w:tr w:rsidR="00B07474" w:rsidRPr="0005794A" w:rsidTr="004D4940">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B07474" w:rsidRDefault="00B07474" w:rsidP="00B07474">
            <w:pPr>
              <w:pStyle w:val="ExampleSub"/>
              <w:keepNext w:val="0"/>
              <w:keepLines w:val="0"/>
              <w:ind w:left="0"/>
              <w:jc w:val="center"/>
              <w:rPr>
                <w:rFonts w:ascii="Arial" w:hAnsi="Arial" w:cs="Arial"/>
                <w:color w:val="auto"/>
                <w:sz w:val="20"/>
                <w:szCs w:val="20"/>
              </w:rPr>
            </w:pPr>
            <w:r w:rsidRPr="00B07474">
              <w:rPr>
                <w:rFonts w:ascii="Arial" w:hAnsi="Arial" w:cs="Arial"/>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B07474" w:rsidRDefault="00B07474" w:rsidP="004D4940">
            <w:pPr>
              <w:pStyle w:val="CodeNotesbody"/>
              <w:widowControl w:val="0"/>
              <w:numPr>
                <w:ilvl w:val="0"/>
                <w:numId w:val="0"/>
              </w:numPr>
              <w:spacing w:before="60" w:after="60" w:line="240" w:lineRule="auto"/>
              <w:rPr>
                <w:rFonts w:cs="Arial"/>
                <w:color w:val="auto"/>
                <w:sz w:val="20"/>
                <w:szCs w:val="20"/>
              </w:rPr>
            </w:pPr>
            <w:r w:rsidRPr="00B07474">
              <w:rPr>
                <w:rFonts w:cs="Arial"/>
                <w:color w:val="auto"/>
                <w:sz w:val="20"/>
                <w:szCs w:val="20"/>
              </w:rPr>
              <w:t>Bank current accounts</w:t>
            </w:r>
          </w:p>
        </w:tc>
        <w:tc>
          <w:tcPr>
            <w:tcW w:w="1984" w:type="dxa"/>
            <w:vAlign w:val="center"/>
          </w:tcPr>
          <w:p w:rsidR="00B07474" w:rsidRPr="00B07474" w:rsidRDefault="00965E26" w:rsidP="00965E26">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0.2</w:t>
            </w:r>
          </w:p>
        </w:tc>
      </w:tr>
      <w:tr w:rsidR="00B07474" w:rsidRPr="0005794A" w:rsidTr="004D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B07474" w:rsidRDefault="00B07474" w:rsidP="00B07474">
            <w:pPr>
              <w:pStyle w:val="ExampleSub"/>
              <w:keepNext w:val="0"/>
              <w:keepLines w:val="0"/>
              <w:ind w:left="0"/>
              <w:jc w:val="center"/>
              <w:rPr>
                <w:rFonts w:ascii="Arial" w:hAnsi="Arial" w:cs="Arial"/>
                <w:color w:val="auto"/>
                <w:sz w:val="20"/>
                <w:szCs w:val="20"/>
              </w:rPr>
            </w:pPr>
            <w:r w:rsidRPr="00B07474">
              <w:rPr>
                <w:rFonts w:ascii="Arial" w:hAnsi="Arial" w:cs="Arial"/>
                <w:color w:val="auto"/>
                <w:sz w:val="20"/>
                <w:szCs w:val="20"/>
              </w:rPr>
              <w:t>0.3</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B07474" w:rsidRDefault="00B07474" w:rsidP="004D4940">
            <w:pPr>
              <w:pStyle w:val="CodeNotesbody"/>
              <w:widowControl w:val="0"/>
              <w:numPr>
                <w:ilvl w:val="0"/>
                <w:numId w:val="0"/>
              </w:numPr>
              <w:spacing w:before="60" w:after="60" w:line="240" w:lineRule="auto"/>
              <w:rPr>
                <w:rFonts w:cs="Arial"/>
                <w:color w:val="auto"/>
                <w:sz w:val="20"/>
                <w:szCs w:val="20"/>
              </w:rPr>
            </w:pPr>
            <w:r w:rsidRPr="00B07474">
              <w:rPr>
                <w:rFonts w:cs="Arial"/>
                <w:color w:val="auto"/>
                <w:sz w:val="20"/>
                <w:szCs w:val="20"/>
              </w:rPr>
              <w:t>Short-term deposits with Money Market Funds and Liquidity Accounts</w:t>
            </w:r>
          </w:p>
        </w:tc>
        <w:tc>
          <w:tcPr>
            <w:tcW w:w="1984" w:type="dxa"/>
            <w:vAlign w:val="center"/>
          </w:tcPr>
          <w:p w:rsidR="00B07474" w:rsidRPr="00B07474" w:rsidRDefault="009D6804" w:rsidP="009D680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965E26">
              <w:rPr>
                <w:rFonts w:ascii="Arial" w:hAnsi="Arial" w:cs="Arial"/>
                <w:bCs w:val="0"/>
                <w:color w:val="auto"/>
                <w:sz w:val="20"/>
                <w:szCs w:val="20"/>
              </w:rPr>
              <w:t>6</w:t>
            </w:r>
            <w:r w:rsidR="00386F65" w:rsidRPr="00965E26">
              <w:rPr>
                <w:rFonts w:ascii="Arial" w:hAnsi="Arial" w:cs="Arial"/>
                <w:bCs w:val="0"/>
                <w:color w:val="auto"/>
                <w:sz w:val="20"/>
                <w:szCs w:val="20"/>
              </w:rPr>
              <w:t>.2</w:t>
            </w:r>
          </w:p>
        </w:tc>
      </w:tr>
      <w:tr w:rsidR="00B07474" w:rsidRPr="0005794A" w:rsidTr="004D4940">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B07474" w:rsidRDefault="00B07474" w:rsidP="00B07474">
            <w:pPr>
              <w:pStyle w:val="ExampleSub"/>
              <w:keepNext w:val="0"/>
              <w:keepLines w:val="0"/>
              <w:ind w:left="0"/>
              <w:jc w:val="center"/>
              <w:rPr>
                <w:rFonts w:ascii="Arial" w:hAnsi="Arial" w:cs="Arial"/>
                <w:color w:val="auto"/>
                <w:sz w:val="20"/>
                <w:szCs w:val="20"/>
              </w:rPr>
            </w:pPr>
            <w:r w:rsidRPr="00B07474">
              <w:rPr>
                <w:rFonts w:ascii="Arial" w:hAnsi="Arial" w:cs="Arial"/>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B07474" w:rsidRDefault="00B07474" w:rsidP="004D4940">
            <w:pPr>
              <w:pStyle w:val="CodeNotesbody"/>
              <w:widowControl w:val="0"/>
              <w:numPr>
                <w:ilvl w:val="0"/>
                <w:numId w:val="0"/>
              </w:numPr>
              <w:spacing w:before="60" w:after="60" w:line="240" w:lineRule="auto"/>
              <w:rPr>
                <w:rFonts w:cs="Arial"/>
                <w:b/>
                <w:color w:val="auto"/>
                <w:sz w:val="20"/>
                <w:szCs w:val="20"/>
              </w:rPr>
            </w:pPr>
            <w:r w:rsidRPr="00B07474">
              <w:rPr>
                <w:rFonts w:cs="Arial"/>
                <w:b/>
                <w:color w:val="auto"/>
                <w:sz w:val="20"/>
                <w:szCs w:val="20"/>
              </w:rPr>
              <w:t>Total Cash and Cash Equivalents</w:t>
            </w:r>
          </w:p>
        </w:tc>
        <w:tc>
          <w:tcPr>
            <w:tcW w:w="1984" w:type="dxa"/>
            <w:vAlign w:val="center"/>
          </w:tcPr>
          <w:p w:rsidR="00B07474" w:rsidRPr="00B07474" w:rsidRDefault="00965E26" w:rsidP="009D6804">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6.4</w:t>
            </w:r>
          </w:p>
        </w:tc>
      </w:tr>
      <w:tr w:rsidR="00B07474" w:rsidRPr="0005794A" w:rsidTr="004D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B07474" w:rsidRDefault="00B07474" w:rsidP="00B07474">
            <w:pPr>
              <w:pStyle w:val="ExampleSub"/>
              <w:keepNext w:val="0"/>
              <w:keepLines w:val="0"/>
              <w:ind w:left="0"/>
              <w:jc w:val="center"/>
              <w:rPr>
                <w:rFonts w:ascii="Arial" w:hAnsi="Arial" w:cs="Arial"/>
                <w:i/>
                <w:color w:val="auto"/>
                <w:sz w:val="20"/>
                <w:szCs w:val="20"/>
              </w:rPr>
            </w:pPr>
            <w:r w:rsidRPr="00B07474">
              <w:rPr>
                <w:rFonts w:ascii="Arial" w:hAnsi="Arial" w:cs="Arial"/>
                <w:i/>
                <w:color w:val="auto"/>
                <w:sz w:val="20"/>
                <w:szCs w:val="20"/>
              </w:rPr>
              <w:t>1.0</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B07474" w:rsidRDefault="00B07474" w:rsidP="004D4940">
            <w:pPr>
              <w:pStyle w:val="CodeNotesbody"/>
              <w:widowControl w:val="0"/>
              <w:numPr>
                <w:ilvl w:val="0"/>
                <w:numId w:val="0"/>
              </w:numPr>
              <w:spacing w:before="60" w:after="60" w:line="240" w:lineRule="auto"/>
              <w:rPr>
                <w:rFonts w:cs="Arial"/>
                <w:i/>
                <w:color w:val="auto"/>
                <w:sz w:val="20"/>
                <w:szCs w:val="20"/>
              </w:rPr>
            </w:pPr>
            <w:r w:rsidRPr="00B07474">
              <w:rPr>
                <w:rFonts w:cs="Arial"/>
                <w:i/>
                <w:color w:val="auto"/>
                <w:sz w:val="20"/>
                <w:szCs w:val="20"/>
              </w:rPr>
              <w:t>Current Assets</w:t>
            </w:r>
          </w:p>
        </w:tc>
        <w:tc>
          <w:tcPr>
            <w:tcW w:w="1984" w:type="dxa"/>
            <w:vAlign w:val="center"/>
          </w:tcPr>
          <w:p w:rsidR="00B07474" w:rsidRPr="00B07474" w:rsidRDefault="00965E26" w:rsidP="0027124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Pr>
                <w:rFonts w:ascii="Arial" w:hAnsi="Arial" w:cs="Arial"/>
                <w:bCs w:val="0"/>
                <w:i/>
                <w:color w:val="auto"/>
                <w:sz w:val="20"/>
                <w:szCs w:val="20"/>
              </w:rPr>
              <w:t>7.</w:t>
            </w:r>
            <w:r w:rsidR="00271248">
              <w:rPr>
                <w:rFonts w:ascii="Arial" w:hAnsi="Arial" w:cs="Arial"/>
                <w:bCs w:val="0"/>
                <w:i/>
                <w:color w:val="auto"/>
                <w:sz w:val="20"/>
                <w:szCs w:val="20"/>
              </w:rPr>
              <w:t>3</w:t>
            </w:r>
          </w:p>
        </w:tc>
      </w:tr>
      <w:tr w:rsidR="00B07474" w:rsidRPr="0005794A" w:rsidTr="004D4940">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B07474" w:rsidRDefault="00B07474" w:rsidP="00B07474">
            <w:pPr>
              <w:pStyle w:val="ExampleSub"/>
              <w:keepNext w:val="0"/>
              <w:keepLines w:val="0"/>
              <w:ind w:left="0"/>
              <w:jc w:val="center"/>
              <w:rPr>
                <w:rFonts w:ascii="Arial" w:hAnsi="Arial" w:cs="Arial"/>
                <w:i/>
                <w:color w:val="auto"/>
                <w:sz w:val="20"/>
                <w:szCs w:val="20"/>
              </w:rPr>
            </w:pPr>
            <w:r w:rsidRPr="00B07474">
              <w:rPr>
                <w:rFonts w:ascii="Arial" w:hAnsi="Arial" w:cs="Arial"/>
                <w:i/>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B07474" w:rsidRDefault="00B07474" w:rsidP="004D4940">
            <w:pPr>
              <w:pStyle w:val="CodeNotesbody"/>
              <w:widowControl w:val="0"/>
              <w:numPr>
                <w:ilvl w:val="0"/>
                <w:numId w:val="0"/>
              </w:numPr>
              <w:spacing w:before="60" w:after="60" w:line="240" w:lineRule="auto"/>
              <w:rPr>
                <w:rFonts w:cs="Arial"/>
                <w:i/>
                <w:color w:val="auto"/>
                <w:sz w:val="20"/>
                <w:szCs w:val="20"/>
              </w:rPr>
            </w:pPr>
            <w:r w:rsidRPr="00B07474">
              <w:rPr>
                <w:rFonts w:cs="Arial"/>
                <w:i/>
                <w:color w:val="auto"/>
                <w:sz w:val="20"/>
                <w:szCs w:val="20"/>
              </w:rPr>
              <w:t>Current Liabilities</w:t>
            </w:r>
          </w:p>
        </w:tc>
        <w:tc>
          <w:tcPr>
            <w:tcW w:w="1984" w:type="dxa"/>
            <w:vAlign w:val="center"/>
          </w:tcPr>
          <w:p w:rsidR="00B07474" w:rsidRPr="00B07474" w:rsidRDefault="00271248" w:rsidP="00E455A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i/>
                <w:color w:val="auto"/>
                <w:sz w:val="20"/>
                <w:szCs w:val="20"/>
              </w:rPr>
            </w:pPr>
            <w:r>
              <w:rPr>
                <w:rFonts w:ascii="Arial" w:hAnsi="Arial" w:cs="Arial"/>
                <w:bCs w:val="0"/>
                <w:i/>
                <w:color w:val="auto"/>
                <w:sz w:val="20"/>
                <w:szCs w:val="20"/>
              </w:rPr>
              <w:t>(0.9</w:t>
            </w:r>
            <w:r w:rsidR="00386F65">
              <w:rPr>
                <w:rFonts w:ascii="Arial" w:hAnsi="Arial" w:cs="Arial"/>
                <w:bCs w:val="0"/>
                <w:i/>
                <w:color w:val="auto"/>
                <w:sz w:val="20"/>
                <w:szCs w:val="20"/>
              </w:rPr>
              <w:t>)</w:t>
            </w:r>
          </w:p>
        </w:tc>
      </w:tr>
      <w:tr w:rsidR="00B07474" w:rsidRPr="0005794A" w:rsidTr="004D4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B07474" w:rsidRPr="00B07474" w:rsidRDefault="00B07474" w:rsidP="00B07474">
            <w:pPr>
              <w:pStyle w:val="ExampleSub"/>
              <w:keepNext w:val="0"/>
              <w:keepLines w:val="0"/>
              <w:ind w:left="0"/>
              <w:jc w:val="center"/>
              <w:rPr>
                <w:rFonts w:ascii="Arial" w:hAnsi="Arial" w:cs="Arial"/>
                <w:i/>
                <w:color w:val="auto"/>
                <w:sz w:val="20"/>
                <w:szCs w:val="20"/>
              </w:rPr>
            </w:pPr>
            <w:r w:rsidRPr="00B07474">
              <w:rPr>
                <w:rFonts w:ascii="Arial" w:hAnsi="Arial" w:cs="Arial"/>
                <w:i/>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3969" w:type="dxa"/>
            <w:vAlign w:val="center"/>
          </w:tcPr>
          <w:p w:rsidR="00B07474" w:rsidRPr="00B07474" w:rsidRDefault="00B07474" w:rsidP="004D4940">
            <w:pPr>
              <w:pStyle w:val="CodeNotesbody"/>
              <w:widowControl w:val="0"/>
              <w:numPr>
                <w:ilvl w:val="0"/>
                <w:numId w:val="0"/>
              </w:numPr>
              <w:spacing w:before="60" w:after="60" w:line="240" w:lineRule="auto"/>
              <w:rPr>
                <w:rFonts w:cs="Arial"/>
                <w:b/>
                <w:i/>
                <w:color w:val="auto"/>
                <w:sz w:val="20"/>
                <w:szCs w:val="20"/>
              </w:rPr>
            </w:pPr>
            <w:r w:rsidRPr="00B07474">
              <w:rPr>
                <w:rFonts w:cs="Arial"/>
                <w:b/>
                <w:i/>
                <w:color w:val="auto"/>
                <w:sz w:val="20"/>
                <w:szCs w:val="20"/>
              </w:rPr>
              <w:t>Total Cash and Cash Equivalents</w:t>
            </w:r>
          </w:p>
        </w:tc>
        <w:tc>
          <w:tcPr>
            <w:tcW w:w="1984" w:type="dxa"/>
            <w:vAlign w:val="center"/>
          </w:tcPr>
          <w:p w:rsidR="00B07474" w:rsidRPr="00B07474" w:rsidRDefault="00965E26" w:rsidP="009D680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i/>
                <w:color w:val="auto"/>
                <w:sz w:val="20"/>
                <w:szCs w:val="20"/>
              </w:rPr>
            </w:pPr>
            <w:r>
              <w:rPr>
                <w:rFonts w:ascii="Arial" w:hAnsi="Arial" w:cs="Arial"/>
                <w:bCs w:val="0"/>
                <w:i/>
                <w:color w:val="auto"/>
                <w:sz w:val="20"/>
                <w:szCs w:val="20"/>
              </w:rPr>
              <w:t>6.4</w:t>
            </w:r>
          </w:p>
        </w:tc>
      </w:tr>
    </w:tbl>
    <w:p w:rsidR="00D25D2C" w:rsidRPr="0005794A" w:rsidRDefault="00D25D2C" w:rsidP="003C5E34">
      <w:pPr>
        <w:widowControl w:val="0"/>
        <w:rPr>
          <w:rFonts w:cs="Arial"/>
          <w:color w:val="548DD4" w:themeColor="text2" w:themeTint="99"/>
          <w:sz w:val="20"/>
          <w:szCs w:val="20"/>
        </w:rPr>
      </w:pPr>
    </w:p>
    <w:p w:rsidR="00E51139" w:rsidRPr="00B413B8" w:rsidRDefault="00256A0E" w:rsidP="00E957E1">
      <w:pPr>
        <w:pStyle w:val="Subtitle"/>
        <w:ind w:left="567" w:hanging="567"/>
        <w:rPr>
          <w:b/>
          <w:color w:val="auto"/>
          <w:sz w:val="22"/>
          <w:szCs w:val="22"/>
        </w:rPr>
      </w:pPr>
      <w:r w:rsidRPr="00B413B8">
        <w:rPr>
          <w:b/>
          <w:color w:val="auto"/>
          <w:sz w:val="22"/>
          <w:szCs w:val="22"/>
        </w:rPr>
        <w:t>2</w:t>
      </w:r>
      <w:r w:rsidR="00636D69" w:rsidRPr="00B413B8">
        <w:rPr>
          <w:b/>
          <w:color w:val="auto"/>
          <w:sz w:val="22"/>
          <w:szCs w:val="22"/>
        </w:rPr>
        <w:t>1</w:t>
      </w:r>
      <w:r w:rsidR="00E957E1" w:rsidRPr="00B413B8">
        <w:rPr>
          <w:b/>
          <w:color w:val="auto"/>
          <w:sz w:val="22"/>
          <w:szCs w:val="22"/>
        </w:rPr>
        <w:t>.</w:t>
      </w:r>
      <w:r w:rsidR="00E51139" w:rsidRPr="00B413B8">
        <w:rPr>
          <w:b/>
          <w:color w:val="auto"/>
          <w:sz w:val="22"/>
          <w:szCs w:val="22"/>
        </w:rPr>
        <w:tab/>
        <w:t>Creditors</w:t>
      </w:r>
    </w:p>
    <w:p w:rsidR="00E957E1" w:rsidRPr="00B413B8" w:rsidRDefault="00E51139" w:rsidP="00E957E1">
      <w:pPr>
        <w:pStyle w:val="ExampleSub"/>
        <w:keepNext w:val="0"/>
        <w:keepLines w:val="0"/>
        <w:spacing w:line="240" w:lineRule="auto"/>
        <w:rPr>
          <w:rFonts w:ascii="Arial" w:hAnsi="Arial" w:cs="Arial"/>
          <w:b w:val="0"/>
          <w:bCs w:val="0"/>
          <w:color w:val="auto"/>
          <w:sz w:val="20"/>
          <w:szCs w:val="20"/>
        </w:rPr>
      </w:pPr>
      <w:r w:rsidRPr="00B413B8">
        <w:rPr>
          <w:rFonts w:ascii="Arial" w:hAnsi="Arial" w:cs="Arial"/>
          <w:b w:val="0"/>
          <w:bCs w:val="0"/>
          <w:color w:val="auto"/>
          <w:sz w:val="20"/>
          <w:szCs w:val="20"/>
        </w:rPr>
        <w:t>Represents monies owed by the Council</w:t>
      </w:r>
    </w:p>
    <w:p w:rsidR="00BC1C90" w:rsidRDefault="00BC1C90" w:rsidP="00E957E1">
      <w:pPr>
        <w:pStyle w:val="ExampleSub"/>
        <w:keepNext w:val="0"/>
        <w:keepLines w:val="0"/>
        <w:spacing w:line="240" w:lineRule="auto"/>
        <w:rPr>
          <w:rFonts w:ascii="Arial" w:hAnsi="Arial" w:cs="Arial"/>
          <w:b w:val="0"/>
          <w:bCs w:val="0"/>
          <w:color w:val="548DD4" w:themeColor="text2" w:themeTint="99"/>
          <w:sz w:val="20"/>
          <w:szCs w:val="20"/>
        </w:rPr>
      </w:pPr>
    </w:p>
    <w:p w:rsidR="0050394E" w:rsidRDefault="0050394E" w:rsidP="00E957E1">
      <w:pPr>
        <w:pStyle w:val="ExampleSub"/>
        <w:keepNext w:val="0"/>
        <w:keepLines w:val="0"/>
        <w:spacing w:line="240" w:lineRule="auto"/>
        <w:rPr>
          <w:rFonts w:ascii="Arial" w:hAnsi="Arial" w:cs="Arial"/>
          <w:b w:val="0"/>
          <w:bCs w:val="0"/>
          <w:color w:val="548DD4" w:themeColor="text2" w:themeTint="99"/>
          <w:sz w:val="20"/>
          <w:szCs w:val="20"/>
        </w:rPr>
      </w:pPr>
    </w:p>
    <w:p w:rsidR="0050394E" w:rsidRDefault="0050394E" w:rsidP="00E957E1">
      <w:pPr>
        <w:pStyle w:val="ExampleSub"/>
        <w:keepNext w:val="0"/>
        <w:keepLines w:val="0"/>
        <w:spacing w:line="240" w:lineRule="auto"/>
        <w:rPr>
          <w:rFonts w:ascii="Arial" w:hAnsi="Arial" w:cs="Arial"/>
          <w:b w:val="0"/>
          <w:bCs w:val="0"/>
          <w:color w:val="548DD4" w:themeColor="text2" w:themeTint="99"/>
          <w:sz w:val="20"/>
          <w:szCs w:val="20"/>
        </w:rPr>
      </w:pPr>
    </w:p>
    <w:p w:rsidR="0050394E" w:rsidRPr="0005794A" w:rsidRDefault="0050394E" w:rsidP="00E957E1">
      <w:pPr>
        <w:pStyle w:val="ExampleSub"/>
        <w:keepNext w:val="0"/>
        <w:keepLines w:val="0"/>
        <w:spacing w:line="240" w:lineRule="auto"/>
        <w:rPr>
          <w:rFonts w:ascii="Arial" w:hAnsi="Arial" w:cs="Arial"/>
          <w:b w:val="0"/>
          <w:bCs w:val="0"/>
          <w:color w:val="548DD4" w:themeColor="text2" w:themeTint="99"/>
          <w:sz w:val="20"/>
          <w:szCs w:val="20"/>
        </w:rPr>
      </w:pPr>
    </w:p>
    <w:p w:rsidR="00BC1C90" w:rsidRPr="00B07474" w:rsidRDefault="00BC1C90" w:rsidP="00BC1C90">
      <w:pPr>
        <w:spacing w:line="240" w:lineRule="auto"/>
        <w:ind w:left="567"/>
        <w:outlineLvl w:val="0"/>
        <w:rPr>
          <w:rFonts w:cs="Arial"/>
          <w:b/>
          <w:bCs/>
          <w:color w:val="auto"/>
          <w:sz w:val="20"/>
          <w:szCs w:val="20"/>
        </w:rPr>
      </w:pPr>
      <w:r w:rsidRPr="00B07474">
        <w:rPr>
          <w:rFonts w:cs="Arial"/>
          <w:b/>
          <w:bCs/>
          <w:color w:val="auto"/>
          <w:sz w:val="20"/>
          <w:szCs w:val="20"/>
        </w:rPr>
        <w:lastRenderedPageBreak/>
        <w:t xml:space="preserve">Long Term </w:t>
      </w:r>
      <w:r>
        <w:rPr>
          <w:rFonts w:cs="Arial"/>
          <w:b/>
          <w:bCs/>
          <w:color w:val="auto"/>
          <w:sz w:val="20"/>
          <w:szCs w:val="20"/>
        </w:rPr>
        <w:t>Creditors</w:t>
      </w:r>
      <w:r w:rsidRPr="00B07474">
        <w:rPr>
          <w:rFonts w:cs="Arial"/>
          <w:b/>
          <w:bCs/>
          <w:color w:val="auto"/>
          <w:sz w:val="20"/>
          <w:szCs w:val="20"/>
        </w:rPr>
        <w:t xml:space="preserve"> (due over one year) </w:t>
      </w:r>
    </w:p>
    <w:tbl>
      <w:tblPr>
        <w:tblStyle w:val="ListTable3-Accent51"/>
        <w:tblW w:w="7938" w:type="dxa"/>
        <w:tblInd w:w="675" w:type="dxa"/>
        <w:tblLayout w:type="fixed"/>
        <w:tblLook w:val="0000" w:firstRow="0" w:lastRow="0" w:firstColumn="0" w:lastColumn="0" w:noHBand="0" w:noVBand="0"/>
      </w:tblPr>
      <w:tblGrid>
        <w:gridCol w:w="1985"/>
        <w:gridCol w:w="3969"/>
        <w:gridCol w:w="1984"/>
      </w:tblGrid>
      <w:tr w:rsidR="00BC1C90" w:rsidRPr="0005794A" w:rsidTr="00DC0AE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shd w:val="clear" w:color="auto" w:fill="4BACC6" w:themeFill="accent5"/>
          </w:tcPr>
          <w:p w:rsidR="00BC1C90" w:rsidRPr="00B07474" w:rsidRDefault="00BC1C90" w:rsidP="00DC0AE4">
            <w:pPr>
              <w:pStyle w:val="TableRightBold"/>
              <w:ind w:right="142"/>
              <w:jc w:val="center"/>
              <w:rPr>
                <w:rStyle w:val="Bold"/>
                <w:rFonts w:ascii="Arial" w:hAnsi="Arial" w:cs="Arial"/>
                <w:bCs w:val="0"/>
                <w:color w:val="auto"/>
              </w:rPr>
            </w:pPr>
            <w:r w:rsidRPr="00B07474">
              <w:rPr>
                <w:rStyle w:val="Bold"/>
                <w:rFonts w:ascii="Arial" w:hAnsi="Arial" w:cs="Arial"/>
                <w:bCs w:val="0"/>
                <w:color w:val="auto"/>
              </w:rPr>
              <w:t>31 March 2017</w:t>
            </w:r>
          </w:p>
          <w:p w:rsidR="00BC1C90" w:rsidRPr="00B07474" w:rsidRDefault="00BC1C90" w:rsidP="00DC0AE4">
            <w:pPr>
              <w:pStyle w:val="TableRightBold"/>
              <w:ind w:right="142"/>
              <w:jc w:val="center"/>
              <w:rPr>
                <w:rStyle w:val="Bold"/>
                <w:rFonts w:ascii="Arial" w:hAnsi="Arial" w:cs="Arial"/>
                <w:b/>
                <w:bCs w:val="0"/>
                <w:color w:val="auto"/>
              </w:rPr>
            </w:pPr>
            <w:r w:rsidRPr="00B07474">
              <w:rPr>
                <w:rStyle w:val="Bold"/>
                <w:rFonts w:ascii="Arial" w:hAnsi="Arial" w:cs="Arial"/>
                <w:bCs w:val="0"/>
                <w:color w:val="auto"/>
              </w:rPr>
              <w:t>£m</w:t>
            </w:r>
          </w:p>
        </w:tc>
        <w:tc>
          <w:tcPr>
            <w:tcW w:w="3969" w:type="dxa"/>
            <w:shd w:val="clear" w:color="auto" w:fill="4BACC6" w:themeFill="accent5"/>
          </w:tcPr>
          <w:p w:rsidR="00BC1C90" w:rsidRPr="00B07474" w:rsidRDefault="00BC1C90" w:rsidP="00DC0AE4">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4BACC6" w:themeFill="accent5"/>
          </w:tcPr>
          <w:p w:rsidR="00BC1C90" w:rsidRPr="00B07474" w:rsidRDefault="00BC1C90" w:rsidP="00DC0AE4">
            <w:pPr>
              <w:pStyle w:val="TableRightBold"/>
              <w:ind w:right="142"/>
              <w:jc w:val="center"/>
              <w:rPr>
                <w:rStyle w:val="Bold"/>
                <w:rFonts w:ascii="Arial" w:hAnsi="Arial" w:cs="Arial"/>
                <w:b/>
                <w:bCs w:val="0"/>
                <w:color w:val="auto"/>
              </w:rPr>
            </w:pPr>
            <w:r w:rsidRPr="00B07474">
              <w:rPr>
                <w:rStyle w:val="Bold"/>
                <w:rFonts w:ascii="Arial" w:hAnsi="Arial" w:cs="Arial"/>
                <w:b/>
                <w:bCs w:val="0"/>
                <w:color w:val="auto"/>
              </w:rPr>
              <w:t>31 March 2018</w:t>
            </w:r>
          </w:p>
          <w:p w:rsidR="00BC1C90" w:rsidRPr="00B07474" w:rsidRDefault="00BC1C90" w:rsidP="00DC0AE4">
            <w:pPr>
              <w:pStyle w:val="TableRightBold"/>
              <w:ind w:right="142"/>
              <w:jc w:val="center"/>
              <w:rPr>
                <w:rStyle w:val="Bold"/>
                <w:rFonts w:ascii="Arial" w:hAnsi="Arial" w:cs="Arial"/>
                <w:color w:val="auto"/>
              </w:rPr>
            </w:pPr>
            <w:r w:rsidRPr="00B07474">
              <w:rPr>
                <w:rStyle w:val="Bold"/>
                <w:rFonts w:ascii="Arial" w:hAnsi="Arial" w:cs="Arial"/>
                <w:b/>
                <w:bCs w:val="0"/>
                <w:color w:val="auto"/>
              </w:rPr>
              <w:t>£m</w:t>
            </w:r>
          </w:p>
        </w:tc>
      </w:tr>
      <w:tr w:rsidR="00BC1C90" w:rsidRPr="0005794A" w:rsidTr="00DC0AE4">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C1C90" w:rsidRPr="00C85E62" w:rsidRDefault="00B413B8" w:rsidP="00DC0AE4">
            <w:pPr>
              <w:pStyle w:val="TableRightBold"/>
              <w:ind w:right="142"/>
              <w:jc w:val="center"/>
              <w:rPr>
                <w:rStyle w:val="Bold"/>
                <w:rFonts w:ascii="Arial" w:hAnsi="Arial" w:cs="Arial"/>
                <w:color w:val="auto"/>
              </w:rPr>
            </w:pPr>
            <w:r>
              <w:rPr>
                <w:rStyle w:val="Bold"/>
                <w:rFonts w:ascii="Arial" w:hAnsi="Arial" w:cs="Arial"/>
                <w:color w:val="auto"/>
              </w:rPr>
              <w:t>2.3</w:t>
            </w:r>
          </w:p>
        </w:tc>
        <w:tc>
          <w:tcPr>
            <w:tcW w:w="3969" w:type="dxa"/>
          </w:tcPr>
          <w:p w:rsidR="00BC1C90" w:rsidRPr="00B07474" w:rsidRDefault="00B413B8" w:rsidP="00DC0AE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Section 106 agreements</w:t>
            </w:r>
          </w:p>
        </w:tc>
        <w:tc>
          <w:tcPr>
            <w:cnfStyle w:val="000010000000" w:firstRow="0" w:lastRow="0" w:firstColumn="0" w:lastColumn="0" w:oddVBand="1" w:evenVBand="0" w:oddHBand="0" w:evenHBand="0" w:firstRowFirstColumn="0" w:firstRowLastColumn="0" w:lastRowFirstColumn="0" w:lastRowLastColumn="0"/>
            <w:tcW w:w="1984" w:type="dxa"/>
          </w:tcPr>
          <w:p w:rsidR="00BC1C90" w:rsidRPr="006949D2" w:rsidRDefault="00B413B8" w:rsidP="00A42670">
            <w:pPr>
              <w:pStyle w:val="TableRightBold"/>
              <w:ind w:right="142"/>
              <w:jc w:val="center"/>
              <w:rPr>
                <w:rStyle w:val="Bold"/>
                <w:rFonts w:ascii="Arial" w:hAnsi="Arial" w:cs="Arial"/>
                <w:b/>
                <w:color w:val="auto"/>
              </w:rPr>
            </w:pPr>
            <w:r w:rsidRPr="006949D2">
              <w:rPr>
                <w:rStyle w:val="Bold"/>
                <w:rFonts w:ascii="Arial" w:hAnsi="Arial" w:cs="Arial"/>
                <w:b/>
                <w:color w:val="auto"/>
              </w:rPr>
              <w:t>2.</w:t>
            </w:r>
            <w:r w:rsidR="00A42670">
              <w:rPr>
                <w:rStyle w:val="Bold"/>
                <w:rFonts w:ascii="Arial" w:hAnsi="Arial" w:cs="Arial"/>
                <w:b/>
                <w:color w:val="auto"/>
              </w:rPr>
              <w:t>4</w:t>
            </w:r>
          </w:p>
        </w:tc>
      </w:tr>
      <w:tr w:rsidR="00BC1C90" w:rsidRPr="0005794A" w:rsidTr="00DC0AE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C1C90" w:rsidRPr="00C85E62" w:rsidRDefault="00B413B8" w:rsidP="00DC0AE4">
            <w:pPr>
              <w:pStyle w:val="TableRightBold"/>
              <w:ind w:right="142"/>
              <w:jc w:val="center"/>
              <w:rPr>
                <w:rStyle w:val="Bold"/>
                <w:rFonts w:ascii="Arial" w:hAnsi="Arial" w:cs="Arial"/>
                <w:color w:val="auto"/>
              </w:rPr>
            </w:pPr>
            <w:r>
              <w:rPr>
                <w:rStyle w:val="Bold"/>
                <w:rFonts w:ascii="Arial" w:hAnsi="Arial" w:cs="Arial"/>
                <w:color w:val="auto"/>
              </w:rPr>
              <w:t>0.9</w:t>
            </w:r>
          </w:p>
        </w:tc>
        <w:tc>
          <w:tcPr>
            <w:tcW w:w="3969" w:type="dxa"/>
          </w:tcPr>
          <w:p w:rsidR="00BC1C90" w:rsidRPr="00B07474" w:rsidRDefault="00B413B8" w:rsidP="00DC0AE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Salix Finance</w:t>
            </w:r>
          </w:p>
        </w:tc>
        <w:tc>
          <w:tcPr>
            <w:cnfStyle w:val="000010000000" w:firstRow="0" w:lastRow="0" w:firstColumn="0" w:lastColumn="0" w:oddVBand="1" w:evenVBand="0" w:oddHBand="0" w:evenHBand="0" w:firstRowFirstColumn="0" w:firstRowLastColumn="0" w:lastRowFirstColumn="0" w:lastRowLastColumn="0"/>
            <w:tcW w:w="1984" w:type="dxa"/>
          </w:tcPr>
          <w:p w:rsidR="00BC1C90" w:rsidRPr="006949D2" w:rsidRDefault="00B413B8" w:rsidP="00DC0AE4">
            <w:pPr>
              <w:pStyle w:val="TableRightBold"/>
              <w:ind w:right="142"/>
              <w:jc w:val="center"/>
              <w:rPr>
                <w:rStyle w:val="Bold"/>
                <w:rFonts w:ascii="Arial" w:hAnsi="Arial" w:cs="Arial"/>
                <w:b/>
                <w:color w:val="auto"/>
              </w:rPr>
            </w:pPr>
            <w:r w:rsidRPr="006949D2">
              <w:rPr>
                <w:rStyle w:val="Bold"/>
                <w:rFonts w:ascii="Arial" w:hAnsi="Arial" w:cs="Arial"/>
                <w:b/>
                <w:color w:val="auto"/>
              </w:rPr>
              <w:t>0.7</w:t>
            </w:r>
          </w:p>
        </w:tc>
      </w:tr>
      <w:tr w:rsidR="00BC1C90" w:rsidRPr="0005794A" w:rsidTr="00DC0AE4">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C1C90" w:rsidRPr="00C85E62" w:rsidRDefault="00B413B8" w:rsidP="00DC0AE4">
            <w:pPr>
              <w:pStyle w:val="TableRightBold"/>
              <w:ind w:right="142"/>
              <w:jc w:val="center"/>
              <w:rPr>
                <w:rStyle w:val="Bold"/>
                <w:rFonts w:ascii="Arial" w:hAnsi="Arial" w:cs="Arial"/>
                <w:color w:val="auto"/>
              </w:rPr>
            </w:pPr>
            <w:r>
              <w:rPr>
                <w:rStyle w:val="Bold"/>
                <w:rFonts w:ascii="Arial" w:hAnsi="Arial" w:cs="Arial"/>
                <w:color w:val="auto"/>
              </w:rPr>
              <w:t>1.5</w:t>
            </w:r>
          </w:p>
        </w:tc>
        <w:tc>
          <w:tcPr>
            <w:tcW w:w="3969" w:type="dxa"/>
          </w:tcPr>
          <w:p w:rsidR="00BC1C90" w:rsidRPr="00B07474" w:rsidRDefault="00B413B8" w:rsidP="00DC0AE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PFI Sinking Fund - Contractor</w:t>
            </w:r>
          </w:p>
        </w:tc>
        <w:tc>
          <w:tcPr>
            <w:cnfStyle w:val="000010000000" w:firstRow="0" w:lastRow="0" w:firstColumn="0" w:lastColumn="0" w:oddVBand="1" w:evenVBand="0" w:oddHBand="0" w:evenHBand="0" w:firstRowFirstColumn="0" w:firstRowLastColumn="0" w:lastRowFirstColumn="0" w:lastRowLastColumn="0"/>
            <w:tcW w:w="1984" w:type="dxa"/>
          </w:tcPr>
          <w:p w:rsidR="00BC1C90" w:rsidRPr="006949D2" w:rsidRDefault="00B413B8" w:rsidP="00DC0AE4">
            <w:pPr>
              <w:pStyle w:val="TableRightBold"/>
              <w:ind w:right="142"/>
              <w:jc w:val="center"/>
              <w:rPr>
                <w:rStyle w:val="Bold"/>
                <w:rFonts w:ascii="Arial" w:hAnsi="Arial" w:cs="Arial"/>
                <w:b/>
                <w:color w:val="auto"/>
              </w:rPr>
            </w:pPr>
            <w:r w:rsidRPr="006949D2">
              <w:rPr>
                <w:rStyle w:val="Bold"/>
                <w:rFonts w:ascii="Arial" w:hAnsi="Arial" w:cs="Arial"/>
                <w:b/>
                <w:color w:val="auto"/>
              </w:rPr>
              <w:t>1.4</w:t>
            </w:r>
          </w:p>
        </w:tc>
      </w:tr>
      <w:tr w:rsidR="00B413B8" w:rsidRPr="0005794A" w:rsidTr="00DC0AE4">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413B8" w:rsidRPr="00C85E62" w:rsidRDefault="00B413B8" w:rsidP="00DC0AE4">
            <w:pPr>
              <w:pStyle w:val="TableRightBold"/>
              <w:ind w:right="142"/>
              <w:jc w:val="center"/>
              <w:rPr>
                <w:rStyle w:val="Bold"/>
                <w:rFonts w:ascii="Arial" w:hAnsi="Arial" w:cs="Arial"/>
                <w:color w:val="auto"/>
              </w:rPr>
            </w:pPr>
            <w:r>
              <w:rPr>
                <w:rStyle w:val="Bold"/>
                <w:rFonts w:ascii="Arial" w:hAnsi="Arial" w:cs="Arial"/>
                <w:color w:val="auto"/>
              </w:rPr>
              <w:t>0.2</w:t>
            </w:r>
          </w:p>
        </w:tc>
        <w:tc>
          <w:tcPr>
            <w:tcW w:w="3969" w:type="dxa"/>
          </w:tcPr>
          <w:p w:rsidR="00B413B8" w:rsidRPr="00B07474" w:rsidRDefault="00B413B8" w:rsidP="00DC0AE4">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Other</w:t>
            </w:r>
          </w:p>
        </w:tc>
        <w:tc>
          <w:tcPr>
            <w:cnfStyle w:val="000010000000" w:firstRow="0" w:lastRow="0" w:firstColumn="0" w:lastColumn="0" w:oddVBand="1" w:evenVBand="0" w:oddHBand="0" w:evenHBand="0" w:firstRowFirstColumn="0" w:firstRowLastColumn="0" w:lastRowFirstColumn="0" w:lastRowLastColumn="0"/>
            <w:tcW w:w="1984" w:type="dxa"/>
          </w:tcPr>
          <w:p w:rsidR="00B413B8" w:rsidRPr="006949D2" w:rsidRDefault="00B413B8" w:rsidP="00DC0AE4">
            <w:pPr>
              <w:pStyle w:val="TableRightBold"/>
              <w:ind w:right="142"/>
              <w:jc w:val="center"/>
              <w:rPr>
                <w:rStyle w:val="Bold"/>
                <w:rFonts w:ascii="Arial" w:hAnsi="Arial" w:cs="Arial"/>
                <w:b/>
                <w:color w:val="auto"/>
              </w:rPr>
            </w:pPr>
            <w:r w:rsidRPr="006949D2">
              <w:rPr>
                <w:rStyle w:val="Bold"/>
                <w:rFonts w:ascii="Arial" w:hAnsi="Arial" w:cs="Arial"/>
                <w:b/>
                <w:color w:val="auto"/>
              </w:rPr>
              <w:t>0.1</w:t>
            </w:r>
          </w:p>
        </w:tc>
      </w:tr>
      <w:tr w:rsidR="00BC1C90" w:rsidRPr="0005794A" w:rsidTr="00DC0AE4">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C1C90" w:rsidRPr="00802ABC" w:rsidRDefault="00B413B8" w:rsidP="00DC0AE4">
            <w:pPr>
              <w:pStyle w:val="TableRightBold"/>
              <w:ind w:right="142"/>
              <w:jc w:val="center"/>
              <w:rPr>
                <w:rStyle w:val="Bold"/>
                <w:rFonts w:ascii="Arial" w:hAnsi="Arial" w:cs="Arial"/>
                <w:color w:val="auto"/>
              </w:rPr>
            </w:pPr>
            <w:r w:rsidRPr="00802ABC">
              <w:rPr>
                <w:rStyle w:val="Bold"/>
                <w:rFonts w:ascii="Arial" w:hAnsi="Arial" w:cs="Arial"/>
                <w:color w:val="auto"/>
              </w:rPr>
              <w:t>4.9</w:t>
            </w:r>
          </w:p>
        </w:tc>
        <w:tc>
          <w:tcPr>
            <w:tcW w:w="3969" w:type="dxa"/>
          </w:tcPr>
          <w:p w:rsidR="00BC1C90" w:rsidRPr="00802ABC" w:rsidRDefault="00C172A2" w:rsidP="00DC0AE4">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02ABC">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984" w:type="dxa"/>
          </w:tcPr>
          <w:p w:rsidR="00BC1C90" w:rsidRPr="006949D2" w:rsidRDefault="006949D2" w:rsidP="006949D2">
            <w:pPr>
              <w:pStyle w:val="TableRightBold"/>
              <w:ind w:right="142"/>
              <w:jc w:val="center"/>
              <w:rPr>
                <w:rStyle w:val="Bold"/>
                <w:rFonts w:ascii="Arial" w:hAnsi="Arial" w:cs="Arial"/>
                <w:b/>
                <w:color w:val="auto"/>
              </w:rPr>
            </w:pPr>
            <w:r w:rsidRPr="006949D2">
              <w:rPr>
                <w:rStyle w:val="Bold"/>
                <w:rFonts w:ascii="Arial" w:hAnsi="Arial" w:cs="Arial"/>
                <w:b/>
                <w:color w:val="auto"/>
              </w:rPr>
              <w:t>4</w:t>
            </w:r>
            <w:r w:rsidR="00A42670">
              <w:rPr>
                <w:rStyle w:val="Bold"/>
                <w:rFonts w:ascii="Arial" w:hAnsi="Arial" w:cs="Arial"/>
                <w:b/>
                <w:color w:val="auto"/>
              </w:rPr>
              <w:t>.6</w:t>
            </w:r>
          </w:p>
        </w:tc>
      </w:tr>
    </w:tbl>
    <w:p w:rsidR="00F95FF9" w:rsidRPr="0005794A" w:rsidRDefault="00F95FF9" w:rsidP="00E957E1">
      <w:pPr>
        <w:pStyle w:val="ExampleSub"/>
        <w:keepNext w:val="0"/>
        <w:keepLines w:val="0"/>
        <w:spacing w:line="240" w:lineRule="auto"/>
        <w:rPr>
          <w:rFonts w:ascii="Arial" w:hAnsi="Arial" w:cs="Arial"/>
          <w:b w:val="0"/>
          <w:bCs w:val="0"/>
          <w:color w:val="548DD4" w:themeColor="text2" w:themeTint="99"/>
          <w:sz w:val="20"/>
          <w:szCs w:val="20"/>
        </w:rPr>
      </w:pPr>
    </w:p>
    <w:p w:rsidR="00E51139" w:rsidRPr="00B413B8" w:rsidRDefault="00E51139" w:rsidP="008D0906">
      <w:pPr>
        <w:spacing w:line="240" w:lineRule="auto"/>
        <w:ind w:left="567"/>
        <w:outlineLvl w:val="0"/>
        <w:rPr>
          <w:rFonts w:cs="Arial"/>
          <w:b/>
          <w:bCs/>
          <w:color w:val="auto"/>
          <w:sz w:val="20"/>
          <w:szCs w:val="20"/>
        </w:rPr>
      </w:pPr>
      <w:r w:rsidRPr="00B413B8">
        <w:rPr>
          <w:rFonts w:cs="Arial"/>
          <w:b/>
          <w:bCs/>
          <w:color w:val="auto"/>
          <w:sz w:val="20"/>
          <w:szCs w:val="20"/>
        </w:rPr>
        <w:t xml:space="preserve">Current Creditors (due within one year including revenue receipts in advance) </w:t>
      </w:r>
    </w:p>
    <w:tbl>
      <w:tblPr>
        <w:tblStyle w:val="ListTable3-Accent51"/>
        <w:tblW w:w="7938" w:type="dxa"/>
        <w:tblInd w:w="675" w:type="dxa"/>
        <w:tblLayout w:type="fixed"/>
        <w:tblLook w:val="0000" w:firstRow="0" w:lastRow="0" w:firstColumn="0" w:lastColumn="0" w:noHBand="0" w:noVBand="0"/>
      </w:tblPr>
      <w:tblGrid>
        <w:gridCol w:w="1985"/>
        <w:gridCol w:w="3969"/>
        <w:gridCol w:w="1984"/>
      </w:tblGrid>
      <w:tr w:rsidR="00E51139" w:rsidRPr="0005794A" w:rsidTr="00E957E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shd w:val="clear" w:color="auto" w:fill="4BACC6" w:themeFill="accent5"/>
          </w:tcPr>
          <w:p w:rsidR="00E51139" w:rsidRPr="00B07474" w:rsidRDefault="00E51139" w:rsidP="00EB757A">
            <w:pPr>
              <w:pStyle w:val="TableRightBold"/>
              <w:ind w:right="142"/>
              <w:jc w:val="center"/>
              <w:rPr>
                <w:rStyle w:val="Bold"/>
                <w:rFonts w:ascii="Arial" w:hAnsi="Arial" w:cs="Arial"/>
                <w:bCs w:val="0"/>
                <w:color w:val="auto"/>
              </w:rPr>
            </w:pPr>
            <w:r w:rsidRPr="00B07474">
              <w:rPr>
                <w:rStyle w:val="Bold"/>
                <w:rFonts w:ascii="Arial" w:hAnsi="Arial" w:cs="Arial"/>
                <w:bCs w:val="0"/>
                <w:color w:val="auto"/>
              </w:rPr>
              <w:t>31 March 201</w:t>
            </w:r>
            <w:r w:rsidR="00B07474" w:rsidRPr="00B07474">
              <w:rPr>
                <w:rStyle w:val="Bold"/>
                <w:rFonts w:ascii="Arial" w:hAnsi="Arial" w:cs="Arial"/>
                <w:bCs w:val="0"/>
                <w:color w:val="auto"/>
              </w:rPr>
              <w:t>7</w:t>
            </w:r>
          </w:p>
          <w:p w:rsidR="000111A6" w:rsidRPr="00B07474" w:rsidRDefault="00E51139" w:rsidP="00E957E1">
            <w:pPr>
              <w:pStyle w:val="TableRightBold"/>
              <w:ind w:right="142"/>
              <w:jc w:val="center"/>
              <w:rPr>
                <w:rStyle w:val="Bold"/>
                <w:rFonts w:ascii="Arial" w:hAnsi="Arial" w:cs="Arial"/>
                <w:b/>
                <w:bCs w:val="0"/>
                <w:color w:val="auto"/>
              </w:rPr>
            </w:pPr>
            <w:r w:rsidRPr="00B07474">
              <w:rPr>
                <w:rStyle w:val="Bold"/>
                <w:rFonts w:ascii="Arial" w:hAnsi="Arial" w:cs="Arial"/>
                <w:bCs w:val="0"/>
                <w:color w:val="auto"/>
              </w:rPr>
              <w:t>£m</w:t>
            </w:r>
          </w:p>
        </w:tc>
        <w:tc>
          <w:tcPr>
            <w:tcW w:w="3969" w:type="dxa"/>
            <w:shd w:val="clear" w:color="auto" w:fill="4BACC6" w:themeFill="accent5"/>
          </w:tcPr>
          <w:p w:rsidR="00E51139" w:rsidRPr="00B07474" w:rsidRDefault="00E51139" w:rsidP="00EB757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4BACC6" w:themeFill="accent5"/>
          </w:tcPr>
          <w:p w:rsidR="00E51139" w:rsidRPr="00B07474" w:rsidRDefault="00E51139" w:rsidP="00EB757A">
            <w:pPr>
              <w:pStyle w:val="TableRightBold"/>
              <w:ind w:right="142"/>
              <w:jc w:val="center"/>
              <w:rPr>
                <w:rStyle w:val="Bold"/>
                <w:rFonts w:ascii="Arial" w:hAnsi="Arial" w:cs="Arial"/>
                <w:b/>
                <w:bCs w:val="0"/>
                <w:color w:val="auto"/>
              </w:rPr>
            </w:pPr>
            <w:r w:rsidRPr="00B07474">
              <w:rPr>
                <w:rStyle w:val="Bold"/>
                <w:rFonts w:ascii="Arial" w:hAnsi="Arial" w:cs="Arial"/>
                <w:b/>
                <w:bCs w:val="0"/>
                <w:color w:val="auto"/>
              </w:rPr>
              <w:t>31 March 201</w:t>
            </w:r>
            <w:r w:rsidR="00B07474" w:rsidRPr="00B07474">
              <w:rPr>
                <w:rStyle w:val="Bold"/>
                <w:rFonts w:ascii="Arial" w:hAnsi="Arial" w:cs="Arial"/>
                <w:b/>
                <w:bCs w:val="0"/>
                <w:color w:val="auto"/>
              </w:rPr>
              <w:t>8</w:t>
            </w:r>
          </w:p>
          <w:p w:rsidR="00E51139" w:rsidRPr="00B07474" w:rsidRDefault="00E51139" w:rsidP="00EB757A">
            <w:pPr>
              <w:pStyle w:val="TableRightBold"/>
              <w:ind w:right="142"/>
              <w:jc w:val="center"/>
              <w:rPr>
                <w:rStyle w:val="Bold"/>
                <w:rFonts w:ascii="Arial" w:hAnsi="Arial" w:cs="Arial"/>
                <w:color w:val="auto"/>
              </w:rPr>
            </w:pPr>
            <w:r w:rsidRPr="00B07474">
              <w:rPr>
                <w:rStyle w:val="Bold"/>
                <w:rFonts w:ascii="Arial" w:hAnsi="Arial" w:cs="Arial"/>
                <w:b/>
                <w:bCs w:val="0"/>
                <w:color w:val="auto"/>
              </w:rPr>
              <w:t>£m</w:t>
            </w:r>
          </w:p>
        </w:tc>
      </w:tr>
      <w:tr w:rsidR="00B07474" w:rsidRPr="0005794A" w:rsidTr="00E957E1">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6949D2" w:rsidRDefault="00B07474" w:rsidP="00B07474">
            <w:pPr>
              <w:pStyle w:val="TableRightBold"/>
              <w:ind w:right="142"/>
              <w:jc w:val="center"/>
              <w:rPr>
                <w:rStyle w:val="Bold"/>
                <w:rFonts w:ascii="Arial" w:hAnsi="Arial" w:cs="Arial"/>
                <w:color w:val="auto"/>
              </w:rPr>
            </w:pPr>
            <w:r w:rsidRPr="006949D2">
              <w:rPr>
                <w:rStyle w:val="Bold"/>
                <w:rFonts w:ascii="Arial" w:hAnsi="Arial" w:cs="Arial"/>
                <w:color w:val="auto"/>
              </w:rPr>
              <w:t>4.3</w:t>
            </w:r>
          </w:p>
        </w:tc>
        <w:tc>
          <w:tcPr>
            <w:tcW w:w="3969" w:type="dxa"/>
          </w:tcPr>
          <w:p w:rsidR="00B07474" w:rsidRPr="00B07474" w:rsidRDefault="00B07474" w:rsidP="00EB757A">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474">
              <w:rPr>
                <w:rFonts w:ascii="Arial" w:hAnsi="Arial" w:cs="Arial"/>
                <w:color w:val="auto"/>
              </w:rPr>
              <w:t>Central government bodies (WGA)</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6949D2" w:rsidRDefault="00DC0AE4" w:rsidP="00E73E6F">
            <w:pPr>
              <w:pStyle w:val="TableRightBold"/>
              <w:ind w:right="142"/>
              <w:jc w:val="center"/>
              <w:rPr>
                <w:rStyle w:val="Bold"/>
                <w:rFonts w:ascii="Arial" w:hAnsi="Arial" w:cs="Arial"/>
                <w:b/>
                <w:color w:val="auto"/>
              </w:rPr>
            </w:pPr>
            <w:r w:rsidRPr="006949D2">
              <w:rPr>
                <w:rStyle w:val="Bold"/>
                <w:rFonts w:ascii="Arial" w:hAnsi="Arial" w:cs="Arial"/>
                <w:b/>
                <w:color w:val="auto"/>
              </w:rPr>
              <w:t>4.3</w:t>
            </w:r>
          </w:p>
        </w:tc>
      </w:tr>
      <w:tr w:rsidR="00B07474" w:rsidRPr="0005794A" w:rsidTr="00E957E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6949D2" w:rsidRDefault="00B07474" w:rsidP="00B07474">
            <w:pPr>
              <w:pStyle w:val="TableRightBold"/>
              <w:ind w:right="142"/>
              <w:jc w:val="center"/>
              <w:rPr>
                <w:rStyle w:val="Bold"/>
                <w:rFonts w:ascii="Arial" w:hAnsi="Arial" w:cs="Arial"/>
                <w:color w:val="auto"/>
              </w:rPr>
            </w:pPr>
            <w:r w:rsidRPr="006949D2">
              <w:rPr>
                <w:rStyle w:val="Bold"/>
                <w:rFonts w:ascii="Arial" w:hAnsi="Arial" w:cs="Arial"/>
                <w:color w:val="auto"/>
              </w:rPr>
              <w:t>2.3</w:t>
            </w:r>
          </w:p>
        </w:tc>
        <w:tc>
          <w:tcPr>
            <w:tcW w:w="3969" w:type="dxa"/>
          </w:tcPr>
          <w:p w:rsidR="00B07474" w:rsidRPr="00B07474" w:rsidRDefault="00B07474" w:rsidP="00EB757A">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07474">
              <w:rPr>
                <w:rFonts w:ascii="Arial" w:hAnsi="Arial" w:cs="Arial"/>
                <w:color w:val="auto"/>
              </w:rPr>
              <w:t>Other local authorities and public bodies</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6949D2" w:rsidRDefault="00DC0AE4" w:rsidP="006949D2">
            <w:pPr>
              <w:pStyle w:val="TableRightBold"/>
              <w:ind w:right="142"/>
              <w:jc w:val="center"/>
              <w:rPr>
                <w:rStyle w:val="Bold"/>
                <w:rFonts w:ascii="Arial" w:hAnsi="Arial" w:cs="Arial"/>
                <w:b/>
                <w:color w:val="auto"/>
              </w:rPr>
            </w:pPr>
            <w:r w:rsidRPr="006949D2">
              <w:rPr>
                <w:rStyle w:val="Bold"/>
                <w:rFonts w:ascii="Arial" w:hAnsi="Arial" w:cs="Arial"/>
                <w:b/>
                <w:color w:val="auto"/>
              </w:rPr>
              <w:t>3.</w:t>
            </w:r>
            <w:r w:rsidR="006949D2" w:rsidRPr="006949D2">
              <w:rPr>
                <w:rStyle w:val="Bold"/>
                <w:rFonts w:ascii="Arial" w:hAnsi="Arial" w:cs="Arial"/>
                <w:b/>
                <w:color w:val="auto"/>
              </w:rPr>
              <w:t>5</w:t>
            </w:r>
          </w:p>
        </w:tc>
      </w:tr>
      <w:tr w:rsidR="00B07474" w:rsidRPr="0005794A" w:rsidTr="00E957E1">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6949D2" w:rsidRDefault="00B07474" w:rsidP="00B07474">
            <w:pPr>
              <w:pStyle w:val="TableRightBold"/>
              <w:ind w:right="142"/>
              <w:jc w:val="center"/>
              <w:rPr>
                <w:rStyle w:val="Bold"/>
                <w:rFonts w:ascii="Arial" w:hAnsi="Arial" w:cs="Arial"/>
                <w:color w:val="auto"/>
              </w:rPr>
            </w:pPr>
            <w:r w:rsidRPr="006949D2">
              <w:rPr>
                <w:rStyle w:val="Bold"/>
                <w:rFonts w:ascii="Arial" w:hAnsi="Arial" w:cs="Arial"/>
                <w:color w:val="auto"/>
              </w:rPr>
              <w:t>2.1</w:t>
            </w:r>
          </w:p>
        </w:tc>
        <w:tc>
          <w:tcPr>
            <w:tcW w:w="3969" w:type="dxa"/>
          </w:tcPr>
          <w:p w:rsidR="00B07474" w:rsidRPr="00B07474" w:rsidRDefault="00B07474" w:rsidP="00EB757A">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474">
              <w:rPr>
                <w:rFonts w:ascii="Arial" w:hAnsi="Arial" w:cs="Arial"/>
                <w:color w:val="auto"/>
              </w:rPr>
              <w:t>NHS bodies</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6949D2" w:rsidRDefault="00DC0AE4" w:rsidP="00E87E7B">
            <w:pPr>
              <w:pStyle w:val="TableRightBold"/>
              <w:ind w:right="142"/>
              <w:jc w:val="center"/>
              <w:rPr>
                <w:rStyle w:val="Bold"/>
                <w:rFonts w:ascii="Arial" w:hAnsi="Arial" w:cs="Arial"/>
                <w:b/>
                <w:color w:val="auto"/>
              </w:rPr>
            </w:pPr>
            <w:r w:rsidRPr="006949D2">
              <w:rPr>
                <w:rStyle w:val="Bold"/>
                <w:rFonts w:ascii="Arial" w:hAnsi="Arial" w:cs="Arial"/>
                <w:b/>
                <w:color w:val="auto"/>
              </w:rPr>
              <w:t>0.8</w:t>
            </w:r>
          </w:p>
        </w:tc>
      </w:tr>
      <w:tr w:rsidR="00B07474" w:rsidRPr="0005794A" w:rsidTr="00E957E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6949D2" w:rsidRDefault="00B07474" w:rsidP="00B07474">
            <w:pPr>
              <w:pStyle w:val="TableRightBold"/>
              <w:ind w:right="142"/>
              <w:jc w:val="center"/>
              <w:rPr>
                <w:rStyle w:val="Bold"/>
                <w:rFonts w:ascii="Arial" w:hAnsi="Arial" w:cs="Arial"/>
                <w:color w:val="auto"/>
              </w:rPr>
            </w:pPr>
            <w:r w:rsidRPr="006949D2">
              <w:rPr>
                <w:rStyle w:val="Bold"/>
                <w:rFonts w:ascii="Arial" w:hAnsi="Arial" w:cs="Arial"/>
                <w:color w:val="auto"/>
              </w:rPr>
              <w:t>14.2</w:t>
            </w:r>
          </w:p>
        </w:tc>
        <w:tc>
          <w:tcPr>
            <w:tcW w:w="3969" w:type="dxa"/>
          </w:tcPr>
          <w:p w:rsidR="00B07474" w:rsidRPr="00B07474" w:rsidRDefault="00B07474" w:rsidP="00EB757A">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07474">
              <w:rPr>
                <w:rFonts w:ascii="Arial" w:hAnsi="Arial" w:cs="Arial"/>
                <w:color w:val="auto"/>
              </w:rPr>
              <w:t>Other entities and individuals</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6949D2" w:rsidRDefault="00DC0AE4" w:rsidP="00C6647E">
            <w:pPr>
              <w:pStyle w:val="TableRightBold"/>
              <w:ind w:right="142"/>
              <w:jc w:val="center"/>
              <w:rPr>
                <w:rStyle w:val="Bold"/>
                <w:rFonts w:ascii="Arial" w:hAnsi="Arial" w:cs="Arial"/>
                <w:b/>
                <w:color w:val="auto"/>
              </w:rPr>
            </w:pPr>
            <w:r w:rsidRPr="006949D2">
              <w:rPr>
                <w:rStyle w:val="Bold"/>
                <w:rFonts w:ascii="Arial" w:hAnsi="Arial" w:cs="Arial"/>
                <w:b/>
                <w:color w:val="auto"/>
              </w:rPr>
              <w:t>19.</w:t>
            </w:r>
            <w:r w:rsidR="00C6647E">
              <w:rPr>
                <w:rStyle w:val="Bold"/>
                <w:rFonts w:ascii="Arial" w:hAnsi="Arial" w:cs="Arial"/>
                <w:b/>
                <w:color w:val="auto"/>
              </w:rPr>
              <w:t>0</w:t>
            </w:r>
          </w:p>
        </w:tc>
      </w:tr>
      <w:tr w:rsidR="00B07474" w:rsidRPr="0005794A" w:rsidTr="00E957E1">
        <w:trPr>
          <w:trHeight w:val="60"/>
        </w:trPr>
        <w:tc>
          <w:tcPr>
            <w:cnfStyle w:val="000010000000" w:firstRow="0" w:lastRow="0" w:firstColumn="0" w:lastColumn="0" w:oddVBand="1" w:evenVBand="0" w:oddHBand="0" w:evenHBand="0" w:firstRowFirstColumn="0" w:firstRowLastColumn="0" w:lastRowFirstColumn="0" w:lastRowLastColumn="0"/>
            <w:tcW w:w="1985" w:type="dxa"/>
          </w:tcPr>
          <w:p w:rsidR="00B07474" w:rsidRPr="006949D2" w:rsidRDefault="00B07474" w:rsidP="00B07474">
            <w:pPr>
              <w:pStyle w:val="TableRightBold"/>
              <w:ind w:right="142"/>
              <w:jc w:val="center"/>
              <w:rPr>
                <w:rStyle w:val="Bold"/>
                <w:rFonts w:ascii="Arial" w:hAnsi="Arial" w:cs="Arial"/>
                <w:color w:val="auto"/>
              </w:rPr>
            </w:pPr>
            <w:r w:rsidRPr="006949D2">
              <w:rPr>
                <w:rStyle w:val="Bold"/>
                <w:rFonts w:ascii="Arial" w:hAnsi="Arial" w:cs="Arial"/>
                <w:color w:val="auto"/>
              </w:rPr>
              <w:t>22.9</w:t>
            </w:r>
          </w:p>
        </w:tc>
        <w:tc>
          <w:tcPr>
            <w:tcW w:w="3969" w:type="dxa"/>
          </w:tcPr>
          <w:p w:rsidR="00B07474" w:rsidRPr="00B07474" w:rsidRDefault="00B07474" w:rsidP="00EB757A">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07474">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984" w:type="dxa"/>
          </w:tcPr>
          <w:p w:rsidR="00B07474" w:rsidRPr="006949D2" w:rsidRDefault="00DC0AE4" w:rsidP="00C6647E">
            <w:pPr>
              <w:pStyle w:val="TableRightBold"/>
              <w:ind w:right="142"/>
              <w:jc w:val="center"/>
              <w:rPr>
                <w:rStyle w:val="Bold"/>
                <w:rFonts w:ascii="Arial" w:hAnsi="Arial" w:cs="Arial"/>
                <w:b/>
                <w:color w:val="auto"/>
              </w:rPr>
            </w:pPr>
            <w:r w:rsidRPr="006949D2">
              <w:rPr>
                <w:rStyle w:val="Bold"/>
                <w:rFonts w:ascii="Arial" w:hAnsi="Arial" w:cs="Arial"/>
                <w:b/>
                <w:color w:val="auto"/>
              </w:rPr>
              <w:t>2</w:t>
            </w:r>
            <w:r w:rsidR="006949D2" w:rsidRPr="006949D2">
              <w:rPr>
                <w:rStyle w:val="Bold"/>
                <w:rFonts w:ascii="Arial" w:hAnsi="Arial" w:cs="Arial"/>
                <w:b/>
                <w:color w:val="auto"/>
              </w:rPr>
              <w:t>7.</w:t>
            </w:r>
            <w:r w:rsidR="00C6647E">
              <w:rPr>
                <w:rStyle w:val="Bold"/>
                <w:rFonts w:ascii="Arial" w:hAnsi="Arial" w:cs="Arial"/>
                <w:b/>
                <w:color w:val="auto"/>
              </w:rPr>
              <w:t>6</w:t>
            </w:r>
          </w:p>
        </w:tc>
      </w:tr>
    </w:tbl>
    <w:p w:rsidR="00595B6E" w:rsidRPr="0005794A" w:rsidRDefault="00595B6E" w:rsidP="000F3312">
      <w:pPr>
        <w:pStyle w:val="Subtitle"/>
        <w:rPr>
          <w:b/>
          <w:color w:val="548DD4" w:themeColor="text2" w:themeTint="99"/>
          <w:sz w:val="22"/>
          <w:szCs w:val="22"/>
        </w:rPr>
      </w:pPr>
    </w:p>
    <w:p w:rsidR="00E51139" w:rsidRPr="00B07474" w:rsidRDefault="00256A0E" w:rsidP="000F3312">
      <w:pPr>
        <w:pStyle w:val="Subtitle"/>
        <w:rPr>
          <w:b/>
          <w:color w:val="auto"/>
          <w:sz w:val="22"/>
          <w:szCs w:val="22"/>
        </w:rPr>
      </w:pPr>
      <w:r w:rsidRPr="00B07474">
        <w:rPr>
          <w:b/>
          <w:color w:val="auto"/>
          <w:sz w:val="22"/>
          <w:szCs w:val="22"/>
        </w:rPr>
        <w:t>22</w:t>
      </w:r>
      <w:r w:rsidR="00E51139" w:rsidRPr="00B07474">
        <w:rPr>
          <w:b/>
          <w:color w:val="auto"/>
          <w:sz w:val="22"/>
          <w:szCs w:val="22"/>
        </w:rPr>
        <w:t>.</w:t>
      </w:r>
      <w:r w:rsidR="00E51139" w:rsidRPr="00B07474">
        <w:rPr>
          <w:b/>
          <w:color w:val="auto"/>
          <w:sz w:val="22"/>
          <w:szCs w:val="22"/>
        </w:rPr>
        <w:tab/>
        <w:t>Provisions</w:t>
      </w:r>
    </w:p>
    <w:p w:rsidR="0033177E" w:rsidRDefault="00E51139" w:rsidP="00E957E1">
      <w:pPr>
        <w:pStyle w:val="ExampleSub"/>
        <w:keepNext w:val="0"/>
        <w:keepLines w:val="0"/>
        <w:outlineLvl w:val="0"/>
        <w:rPr>
          <w:rFonts w:ascii="Arial" w:hAnsi="Arial" w:cs="Arial"/>
          <w:b w:val="0"/>
          <w:bCs w:val="0"/>
          <w:color w:val="auto"/>
          <w:sz w:val="20"/>
          <w:szCs w:val="20"/>
        </w:rPr>
      </w:pPr>
      <w:r w:rsidRPr="00B07474">
        <w:rPr>
          <w:rFonts w:ascii="Arial" w:hAnsi="Arial" w:cs="Arial"/>
          <w:b w:val="0"/>
          <w:bCs w:val="0"/>
          <w:color w:val="auto"/>
          <w:sz w:val="20"/>
          <w:szCs w:val="20"/>
        </w:rPr>
        <w:t xml:space="preserve">Represents monies potentially owed by the Council but the timing and value of the payment is uncertain. </w:t>
      </w:r>
    </w:p>
    <w:p w:rsidR="0050394E" w:rsidRPr="0005794A" w:rsidRDefault="0050394E" w:rsidP="00E957E1">
      <w:pPr>
        <w:pStyle w:val="ExampleSub"/>
        <w:keepNext w:val="0"/>
        <w:keepLines w:val="0"/>
        <w:outlineLvl w:val="0"/>
        <w:rPr>
          <w:rFonts w:ascii="Arial" w:hAnsi="Arial" w:cs="Arial"/>
          <w:b w:val="0"/>
          <w:bCs w:val="0"/>
          <w:color w:val="548DD4" w:themeColor="text2" w:themeTint="99"/>
          <w:sz w:val="20"/>
          <w:szCs w:val="20"/>
        </w:rPr>
      </w:pPr>
    </w:p>
    <w:tbl>
      <w:tblPr>
        <w:tblW w:w="7008" w:type="dxa"/>
        <w:tblInd w:w="613" w:type="dxa"/>
        <w:tblLook w:val="04A0" w:firstRow="1" w:lastRow="0" w:firstColumn="1" w:lastColumn="0" w:noHBand="0" w:noVBand="1"/>
      </w:tblPr>
      <w:tblGrid>
        <w:gridCol w:w="2897"/>
        <w:gridCol w:w="1418"/>
        <w:gridCol w:w="1276"/>
        <w:gridCol w:w="1417"/>
      </w:tblGrid>
      <w:tr w:rsidR="001B41DD" w:rsidRPr="0005794A" w:rsidTr="001B41DD">
        <w:trPr>
          <w:trHeight w:val="295"/>
        </w:trPr>
        <w:tc>
          <w:tcPr>
            <w:tcW w:w="2897" w:type="dxa"/>
            <w:vMerge w:val="restart"/>
            <w:tcBorders>
              <w:top w:val="single" w:sz="8" w:space="0" w:color="4BACC6"/>
              <w:left w:val="single" w:sz="4" w:space="0" w:color="00B0F0"/>
              <w:bottom w:val="single" w:sz="4" w:space="0" w:color="00B0F0"/>
              <w:right w:val="single" w:sz="8" w:space="0" w:color="4BACC6"/>
            </w:tcBorders>
            <w:shd w:val="clear" w:color="000000" w:fill="4BACC6"/>
            <w:hideMark/>
          </w:tcPr>
          <w:p w:rsidR="001B41DD" w:rsidRPr="0005794A" w:rsidRDefault="001B41DD" w:rsidP="00D03F26">
            <w:pPr>
              <w:spacing w:after="0" w:line="240" w:lineRule="auto"/>
              <w:jc w:val="center"/>
              <w:rPr>
                <w:rFonts w:eastAsia="Times New Roman" w:cs="Arial"/>
                <w:color w:val="548DD4" w:themeColor="text2" w:themeTint="99"/>
                <w:sz w:val="20"/>
                <w:szCs w:val="20"/>
                <w:lang w:eastAsia="en-GB"/>
              </w:rPr>
            </w:pPr>
            <w:r w:rsidRPr="0005794A">
              <w:rPr>
                <w:rFonts w:eastAsia="Times New Roman" w:cs="Arial"/>
                <w:color w:val="548DD4" w:themeColor="text2" w:themeTint="99"/>
                <w:sz w:val="20"/>
                <w:szCs w:val="20"/>
                <w:lang w:eastAsia="en-GB"/>
              </w:rPr>
              <w:t> </w:t>
            </w:r>
          </w:p>
        </w:tc>
        <w:tc>
          <w:tcPr>
            <w:tcW w:w="1418" w:type="dxa"/>
            <w:vMerge w:val="restart"/>
            <w:tcBorders>
              <w:top w:val="single" w:sz="8" w:space="0" w:color="4BACC6"/>
              <w:left w:val="single" w:sz="8" w:space="0" w:color="4BACC6"/>
              <w:bottom w:val="single" w:sz="4" w:space="0" w:color="00B0F0"/>
              <w:right w:val="single" w:sz="8" w:space="0" w:color="4BACC6"/>
            </w:tcBorders>
            <w:shd w:val="clear" w:color="000000" w:fill="4BACC6"/>
            <w:hideMark/>
          </w:tcPr>
          <w:p w:rsidR="001B41DD" w:rsidRPr="001D0A8D" w:rsidRDefault="001B41DD" w:rsidP="00D03F26">
            <w:pPr>
              <w:spacing w:after="0" w:line="240" w:lineRule="auto"/>
              <w:jc w:val="center"/>
              <w:rPr>
                <w:rFonts w:eastAsia="Times New Roman" w:cs="Arial"/>
                <w:color w:val="auto"/>
                <w:sz w:val="20"/>
                <w:szCs w:val="20"/>
                <w:lang w:eastAsia="en-GB"/>
              </w:rPr>
            </w:pPr>
            <w:r w:rsidRPr="001D0A8D">
              <w:rPr>
                <w:rFonts w:eastAsia="Times New Roman" w:cs="Arial"/>
                <w:color w:val="auto"/>
                <w:sz w:val="20"/>
                <w:szCs w:val="20"/>
                <w:lang w:eastAsia="en-GB"/>
              </w:rPr>
              <w:t>Insurance</w:t>
            </w:r>
          </w:p>
        </w:tc>
        <w:tc>
          <w:tcPr>
            <w:tcW w:w="1276" w:type="dxa"/>
            <w:vMerge w:val="restart"/>
            <w:tcBorders>
              <w:top w:val="single" w:sz="8" w:space="0" w:color="4BACC6"/>
              <w:left w:val="single" w:sz="8" w:space="0" w:color="4BACC6"/>
              <w:bottom w:val="single" w:sz="4" w:space="0" w:color="00B0F0"/>
              <w:right w:val="single" w:sz="8" w:space="0" w:color="4BACC6"/>
            </w:tcBorders>
            <w:shd w:val="clear" w:color="000000" w:fill="4BACC6"/>
            <w:hideMark/>
          </w:tcPr>
          <w:p w:rsidR="001B41DD" w:rsidRPr="001D0A8D" w:rsidRDefault="001B41DD" w:rsidP="00D03F26">
            <w:pPr>
              <w:spacing w:after="0" w:line="240" w:lineRule="auto"/>
              <w:jc w:val="center"/>
              <w:rPr>
                <w:rFonts w:eastAsia="Times New Roman" w:cs="Arial"/>
                <w:color w:val="auto"/>
                <w:sz w:val="20"/>
                <w:szCs w:val="20"/>
                <w:lang w:eastAsia="en-GB"/>
              </w:rPr>
            </w:pPr>
            <w:r w:rsidRPr="001D0A8D">
              <w:rPr>
                <w:rFonts w:eastAsia="Times New Roman" w:cs="Arial"/>
                <w:color w:val="auto"/>
                <w:sz w:val="20"/>
                <w:szCs w:val="20"/>
                <w:lang w:eastAsia="en-GB"/>
              </w:rPr>
              <w:t>NNDR Appeals *</w:t>
            </w:r>
          </w:p>
        </w:tc>
        <w:tc>
          <w:tcPr>
            <w:tcW w:w="1417" w:type="dxa"/>
            <w:vMerge w:val="restart"/>
            <w:tcBorders>
              <w:top w:val="single" w:sz="8" w:space="0" w:color="4BACC6"/>
              <w:left w:val="single" w:sz="8" w:space="0" w:color="4BACC6"/>
              <w:bottom w:val="single" w:sz="4" w:space="0" w:color="00B0F0"/>
              <w:right w:val="single" w:sz="4" w:space="0" w:color="00B0F0"/>
            </w:tcBorders>
            <w:shd w:val="clear" w:color="000000" w:fill="4BACC6"/>
            <w:hideMark/>
          </w:tcPr>
          <w:p w:rsidR="001B41DD" w:rsidRPr="001D0A8D" w:rsidRDefault="001B41DD" w:rsidP="00D03F26">
            <w:pPr>
              <w:spacing w:after="0" w:line="240" w:lineRule="auto"/>
              <w:jc w:val="center"/>
              <w:rPr>
                <w:rFonts w:eastAsia="Times New Roman" w:cs="Arial"/>
                <w:color w:val="auto"/>
                <w:sz w:val="20"/>
                <w:szCs w:val="20"/>
                <w:lang w:eastAsia="en-GB"/>
              </w:rPr>
            </w:pPr>
            <w:r w:rsidRPr="001D0A8D">
              <w:rPr>
                <w:rFonts w:eastAsia="Times New Roman" w:cs="Arial"/>
                <w:color w:val="auto"/>
                <w:sz w:val="20"/>
                <w:szCs w:val="20"/>
                <w:lang w:eastAsia="en-GB"/>
              </w:rPr>
              <w:t>Total</w:t>
            </w:r>
          </w:p>
        </w:tc>
      </w:tr>
      <w:tr w:rsidR="001B41DD" w:rsidRPr="0005794A" w:rsidTr="001B41DD">
        <w:trPr>
          <w:trHeight w:val="517"/>
        </w:trPr>
        <w:tc>
          <w:tcPr>
            <w:tcW w:w="2897" w:type="dxa"/>
            <w:vMerge/>
            <w:tcBorders>
              <w:top w:val="single" w:sz="4" w:space="0" w:color="00B0F0"/>
              <w:left w:val="single" w:sz="4" w:space="0" w:color="00B0F0"/>
              <w:bottom w:val="single" w:sz="4" w:space="0" w:color="00B0F0"/>
              <w:right w:val="single" w:sz="8" w:space="0" w:color="4BACC6"/>
            </w:tcBorders>
            <w:vAlign w:val="center"/>
            <w:hideMark/>
          </w:tcPr>
          <w:p w:rsidR="001B41DD" w:rsidRPr="0005794A" w:rsidRDefault="001B41DD" w:rsidP="00D03F26">
            <w:pPr>
              <w:spacing w:after="0" w:line="240" w:lineRule="auto"/>
              <w:rPr>
                <w:rFonts w:eastAsia="Times New Roman" w:cs="Arial"/>
                <w:color w:val="548DD4" w:themeColor="text2" w:themeTint="99"/>
                <w:sz w:val="20"/>
                <w:szCs w:val="20"/>
                <w:lang w:eastAsia="en-GB"/>
              </w:rPr>
            </w:pPr>
          </w:p>
        </w:tc>
        <w:tc>
          <w:tcPr>
            <w:tcW w:w="1418" w:type="dxa"/>
            <w:vMerge/>
            <w:tcBorders>
              <w:top w:val="single" w:sz="4" w:space="0" w:color="00B0F0"/>
              <w:left w:val="single" w:sz="8" w:space="0" w:color="4BACC6"/>
              <w:bottom w:val="single" w:sz="4" w:space="0" w:color="00B0F0"/>
              <w:right w:val="single" w:sz="8" w:space="0" w:color="4BACC6"/>
            </w:tcBorders>
            <w:vAlign w:val="center"/>
            <w:hideMark/>
          </w:tcPr>
          <w:p w:rsidR="001B41DD" w:rsidRPr="001D0A8D" w:rsidRDefault="001B41DD" w:rsidP="00D03F26">
            <w:pPr>
              <w:spacing w:after="0" w:line="240" w:lineRule="auto"/>
              <w:rPr>
                <w:rFonts w:eastAsia="Times New Roman" w:cs="Arial"/>
                <w:color w:val="auto"/>
                <w:sz w:val="20"/>
                <w:szCs w:val="20"/>
                <w:lang w:eastAsia="en-GB"/>
              </w:rPr>
            </w:pPr>
          </w:p>
        </w:tc>
        <w:tc>
          <w:tcPr>
            <w:tcW w:w="1276" w:type="dxa"/>
            <w:vMerge/>
            <w:tcBorders>
              <w:top w:val="single" w:sz="4" w:space="0" w:color="00B0F0"/>
              <w:left w:val="single" w:sz="8" w:space="0" w:color="4BACC6"/>
              <w:bottom w:val="single" w:sz="4" w:space="0" w:color="00B0F0"/>
              <w:right w:val="single" w:sz="8" w:space="0" w:color="4BACC6"/>
            </w:tcBorders>
            <w:vAlign w:val="center"/>
            <w:hideMark/>
          </w:tcPr>
          <w:p w:rsidR="001B41DD" w:rsidRPr="001D0A8D" w:rsidRDefault="001B41DD" w:rsidP="00D03F26">
            <w:pPr>
              <w:spacing w:after="0" w:line="240" w:lineRule="auto"/>
              <w:rPr>
                <w:rFonts w:eastAsia="Times New Roman" w:cs="Arial"/>
                <w:color w:val="auto"/>
                <w:sz w:val="20"/>
                <w:szCs w:val="20"/>
                <w:lang w:eastAsia="en-GB"/>
              </w:rPr>
            </w:pPr>
          </w:p>
        </w:tc>
        <w:tc>
          <w:tcPr>
            <w:tcW w:w="1417" w:type="dxa"/>
            <w:vMerge/>
            <w:tcBorders>
              <w:top w:val="single" w:sz="4" w:space="0" w:color="00B0F0"/>
              <w:left w:val="single" w:sz="8" w:space="0" w:color="4BACC6"/>
              <w:bottom w:val="single" w:sz="4" w:space="0" w:color="00B0F0"/>
              <w:right w:val="single" w:sz="4" w:space="0" w:color="00B0F0"/>
            </w:tcBorders>
            <w:vAlign w:val="center"/>
            <w:hideMark/>
          </w:tcPr>
          <w:p w:rsidR="001B41DD" w:rsidRPr="001D0A8D" w:rsidRDefault="001B41DD" w:rsidP="00D03F26">
            <w:pPr>
              <w:spacing w:after="0" w:line="240" w:lineRule="auto"/>
              <w:rPr>
                <w:rFonts w:eastAsia="Times New Roman" w:cs="Arial"/>
                <w:color w:val="auto"/>
                <w:sz w:val="20"/>
                <w:szCs w:val="20"/>
                <w:lang w:eastAsia="en-GB"/>
              </w:rPr>
            </w:pPr>
          </w:p>
        </w:tc>
      </w:tr>
      <w:tr w:rsidR="001B41DD" w:rsidRPr="0005794A" w:rsidTr="001B41DD">
        <w:trPr>
          <w:trHeight w:val="310"/>
        </w:trPr>
        <w:tc>
          <w:tcPr>
            <w:tcW w:w="2897" w:type="dxa"/>
            <w:tcBorders>
              <w:top w:val="single" w:sz="4" w:space="0" w:color="00B0F0"/>
              <w:left w:val="single" w:sz="4" w:space="0" w:color="00B0F0"/>
              <w:bottom w:val="single" w:sz="4" w:space="0" w:color="00B0F0"/>
              <w:right w:val="single" w:sz="8" w:space="0" w:color="4BACC6"/>
            </w:tcBorders>
            <w:shd w:val="clear" w:color="000000" w:fill="4BACC6"/>
            <w:hideMark/>
          </w:tcPr>
          <w:p w:rsidR="001B41DD" w:rsidRPr="0005794A" w:rsidRDefault="001B41DD" w:rsidP="00D03F26">
            <w:pPr>
              <w:spacing w:after="0" w:line="240" w:lineRule="auto"/>
              <w:rPr>
                <w:rFonts w:eastAsia="Times New Roman" w:cs="Arial"/>
                <w:b/>
                <w:bCs/>
                <w:color w:val="548DD4" w:themeColor="text2" w:themeTint="99"/>
                <w:sz w:val="20"/>
                <w:szCs w:val="20"/>
                <w:lang w:eastAsia="en-GB"/>
              </w:rPr>
            </w:pPr>
            <w:r w:rsidRPr="0005794A">
              <w:rPr>
                <w:rFonts w:eastAsia="Times New Roman" w:cs="Arial"/>
                <w:b/>
                <w:bCs/>
                <w:color w:val="548DD4" w:themeColor="text2" w:themeTint="99"/>
                <w:sz w:val="20"/>
                <w:szCs w:val="20"/>
                <w:lang w:eastAsia="en-GB"/>
              </w:rPr>
              <w:t> </w:t>
            </w:r>
          </w:p>
        </w:tc>
        <w:tc>
          <w:tcPr>
            <w:tcW w:w="1418" w:type="dxa"/>
            <w:tcBorders>
              <w:top w:val="single" w:sz="4" w:space="0" w:color="00B0F0"/>
              <w:left w:val="nil"/>
              <w:bottom w:val="single" w:sz="4" w:space="0" w:color="00B0F0"/>
              <w:right w:val="nil"/>
            </w:tcBorders>
            <w:shd w:val="clear" w:color="000000" w:fill="4BACC6"/>
            <w:hideMark/>
          </w:tcPr>
          <w:p w:rsidR="001B41DD" w:rsidRPr="001D0A8D" w:rsidRDefault="001B41DD" w:rsidP="00D03F26">
            <w:pPr>
              <w:spacing w:after="0" w:line="240" w:lineRule="auto"/>
              <w:jc w:val="center"/>
              <w:rPr>
                <w:rFonts w:eastAsia="Times New Roman" w:cs="Arial"/>
                <w:i/>
                <w:iCs/>
                <w:color w:val="auto"/>
                <w:sz w:val="20"/>
                <w:szCs w:val="20"/>
                <w:lang w:eastAsia="en-GB"/>
              </w:rPr>
            </w:pPr>
            <w:r w:rsidRPr="001D0A8D">
              <w:rPr>
                <w:rFonts w:eastAsia="Times New Roman" w:cs="Arial"/>
                <w:i/>
                <w:iCs/>
                <w:color w:val="auto"/>
                <w:sz w:val="20"/>
                <w:szCs w:val="20"/>
                <w:lang w:eastAsia="en-GB"/>
              </w:rPr>
              <w:t>£m</w:t>
            </w:r>
          </w:p>
        </w:tc>
        <w:tc>
          <w:tcPr>
            <w:tcW w:w="1276" w:type="dxa"/>
            <w:tcBorders>
              <w:top w:val="single" w:sz="4" w:space="0" w:color="00B0F0"/>
              <w:left w:val="single" w:sz="8" w:space="0" w:color="4BACC6"/>
              <w:bottom w:val="single" w:sz="4" w:space="0" w:color="00B0F0"/>
              <w:right w:val="single" w:sz="8" w:space="0" w:color="4BACC6"/>
            </w:tcBorders>
            <w:shd w:val="clear" w:color="000000" w:fill="4BACC6"/>
            <w:hideMark/>
          </w:tcPr>
          <w:p w:rsidR="001B41DD" w:rsidRPr="001D0A8D" w:rsidRDefault="001B41DD" w:rsidP="00D03F26">
            <w:pPr>
              <w:spacing w:after="0" w:line="240" w:lineRule="auto"/>
              <w:jc w:val="center"/>
              <w:rPr>
                <w:rFonts w:eastAsia="Times New Roman" w:cs="Arial"/>
                <w:i/>
                <w:iCs/>
                <w:color w:val="auto"/>
                <w:sz w:val="20"/>
                <w:szCs w:val="20"/>
                <w:lang w:eastAsia="en-GB"/>
              </w:rPr>
            </w:pPr>
            <w:r w:rsidRPr="001D0A8D">
              <w:rPr>
                <w:rFonts w:eastAsia="Times New Roman" w:cs="Arial"/>
                <w:i/>
                <w:iCs/>
                <w:color w:val="auto"/>
                <w:sz w:val="20"/>
                <w:szCs w:val="20"/>
                <w:lang w:eastAsia="en-GB"/>
              </w:rPr>
              <w:t>£m</w:t>
            </w:r>
          </w:p>
        </w:tc>
        <w:tc>
          <w:tcPr>
            <w:tcW w:w="1417" w:type="dxa"/>
            <w:tcBorders>
              <w:top w:val="single" w:sz="4" w:space="0" w:color="00B0F0"/>
              <w:left w:val="nil"/>
              <w:bottom w:val="single" w:sz="4" w:space="0" w:color="00B0F0"/>
              <w:right w:val="single" w:sz="4" w:space="0" w:color="00B0F0"/>
            </w:tcBorders>
            <w:shd w:val="clear" w:color="000000" w:fill="4BACC6"/>
            <w:hideMark/>
          </w:tcPr>
          <w:p w:rsidR="001B41DD" w:rsidRPr="001D0A8D" w:rsidRDefault="001B41DD" w:rsidP="00D03F26">
            <w:pPr>
              <w:spacing w:after="0" w:line="240" w:lineRule="auto"/>
              <w:jc w:val="center"/>
              <w:rPr>
                <w:rFonts w:eastAsia="Times New Roman" w:cs="Arial"/>
                <w:i/>
                <w:iCs/>
                <w:color w:val="auto"/>
                <w:sz w:val="20"/>
                <w:szCs w:val="20"/>
                <w:lang w:eastAsia="en-GB"/>
              </w:rPr>
            </w:pPr>
            <w:r w:rsidRPr="001D0A8D">
              <w:rPr>
                <w:rFonts w:eastAsia="Times New Roman" w:cs="Arial"/>
                <w:i/>
                <w:iCs/>
                <w:color w:val="auto"/>
                <w:sz w:val="20"/>
                <w:szCs w:val="20"/>
                <w:lang w:eastAsia="en-GB"/>
              </w:rPr>
              <w:t>£m</w:t>
            </w:r>
          </w:p>
        </w:tc>
      </w:tr>
      <w:tr w:rsidR="001B41DD" w:rsidRPr="0005794A"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D0A8D" w:rsidRDefault="001B41DD" w:rsidP="00D03F26">
            <w:pPr>
              <w:spacing w:after="0" w:line="240" w:lineRule="auto"/>
              <w:rPr>
                <w:rFonts w:eastAsia="Times New Roman" w:cs="Arial"/>
                <w:b/>
                <w:bCs/>
                <w:color w:val="auto"/>
                <w:sz w:val="20"/>
                <w:szCs w:val="20"/>
                <w:lang w:eastAsia="en-GB"/>
              </w:rPr>
            </w:pPr>
            <w:r w:rsidRPr="001D0A8D">
              <w:rPr>
                <w:rFonts w:eastAsia="Times New Roman" w:cs="Arial"/>
                <w:b/>
                <w:bCs/>
                <w:color w:val="auto"/>
                <w:sz w:val="20"/>
                <w:szCs w:val="20"/>
                <w:lang w:eastAsia="en-GB"/>
              </w:rPr>
              <w:t>Balance at 31 March 2017</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1B41DD" w:rsidP="00D03F26">
            <w:pPr>
              <w:spacing w:after="0" w:line="240" w:lineRule="auto"/>
              <w:jc w:val="center"/>
              <w:rPr>
                <w:rFonts w:eastAsia="Times New Roman" w:cs="Arial"/>
                <w:iCs/>
                <w:color w:val="auto"/>
                <w:sz w:val="20"/>
                <w:szCs w:val="20"/>
                <w:lang w:eastAsia="en-GB"/>
              </w:rPr>
            </w:pPr>
            <w:r w:rsidRPr="00DC0AE4">
              <w:rPr>
                <w:rFonts w:eastAsia="Times New Roman" w:cs="Arial"/>
                <w:iCs/>
                <w:color w:val="auto"/>
                <w:sz w:val="20"/>
                <w:szCs w:val="20"/>
                <w:lang w:eastAsia="en-GB"/>
              </w:rPr>
              <w:t>0.4</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1B41DD" w:rsidP="001B41DD">
            <w:pPr>
              <w:spacing w:after="0" w:line="240" w:lineRule="auto"/>
              <w:jc w:val="center"/>
              <w:rPr>
                <w:rFonts w:eastAsia="Times New Roman" w:cs="Arial"/>
                <w:iCs/>
                <w:color w:val="auto"/>
                <w:sz w:val="20"/>
                <w:szCs w:val="20"/>
                <w:lang w:eastAsia="en-GB"/>
              </w:rPr>
            </w:pPr>
            <w:r>
              <w:rPr>
                <w:rFonts w:eastAsia="Times New Roman" w:cs="Arial"/>
                <w:iCs/>
                <w:color w:val="auto"/>
                <w:sz w:val="20"/>
                <w:szCs w:val="20"/>
                <w:lang w:eastAsia="en-GB"/>
              </w:rPr>
              <w:t>1.5</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1B41DD" w:rsidP="00D03F26">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1.9</w:t>
            </w:r>
          </w:p>
        </w:tc>
      </w:tr>
      <w:tr w:rsidR="001B41DD" w:rsidRPr="0005794A"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D0A8D" w:rsidRDefault="001B41DD" w:rsidP="00D03F26">
            <w:pPr>
              <w:spacing w:after="0" w:line="240" w:lineRule="auto"/>
              <w:rPr>
                <w:rFonts w:eastAsia="Times New Roman" w:cs="Arial"/>
                <w:color w:val="auto"/>
                <w:sz w:val="20"/>
                <w:szCs w:val="20"/>
                <w:lang w:eastAsia="en-GB"/>
              </w:rPr>
            </w:pPr>
            <w:r w:rsidRPr="001D0A8D">
              <w:rPr>
                <w:rFonts w:eastAsia="Times New Roman" w:cs="Arial"/>
                <w:color w:val="auto"/>
                <w:sz w:val="20"/>
                <w:szCs w:val="20"/>
                <w:lang w:eastAsia="en-GB"/>
              </w:rPr>
              <w:t>Provisions made in year</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1B41DD" w:rsidP="00D03F26">
            <w:pPr>
              <w:spacing w:after="0" w:line="240" w:lineRule="auto"/>
              <w:jc w:val="center"/>
              <w:rPr>
                <w:rFonts w:eastAsia="Times New Roman" w:cs="Arial"/>
                <w:color w:val="auto"/>
                <w:sz w:val="20"/>
                <w:szCs w:val="20"/>
                <w:lang w:eastAsia="en-GB"/>
              </w:rPr>
            </w:pPr>
            <w:r w:rsidRPr="00DC0AE4">
              <w:rPr>
                <w:rFonts w:eastAsia="Times New Roman" w:cs="Arial"/>
                <w:color w:val="auto"/>
                <w:sz w:val="20"/>
                <w:szCs w:val="20"/>
                <w:lang w:eastAsia="en-GB"/>
              </w:rPr>
              <w:t>0.1</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426C82" w:rsidP="00D03F26">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 0.3</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426C82" w:rsidP="00426C82">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0.4</w:t>
            </w:r>
          </w:p>
        </w:tc>
      </w:tr>
      <w:tr w:rsidR="001B41DD" w:rsidRPr="0005794A"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D0A8D" w:rsidRDefault="001B41DD" w:rsidP="00D03F26">
            <w:pPr>
              <w:spacing w:after="0" w:line="240" w:lineRule="auto"/>
              <w:rPr>
                <w:rFonts w:eastAsia="Times New Roman" w:cs="Arial"/>
                <w:color w:val="auto"/>
                <w:sz w:val="20"/>
                <w:szCs w:val="20"/>
                <w:lang w:eastAsia="en-GB"/>
              </w:rPr>
            </w:pPr>
            <w:r w:rsidRPr="001D0A8D">
              <w:rPr>
                <w:rFonts w:eastAsia="Times New Roman" w:cs="Arial"/>
                <w:color w:val="auto"/>
                <w:sz w:val="20"/>
                <w:szCs w:val="20"/>
                <w:lang w:eastAsia="en-GB"/>
              </w:rPr>
              <w:t>Provisions reversed in year</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1B41DD" w:rsidP="00D03F26">
            <w:pPr>
              <w:spacing w:after="0" w:line="240" w:lineRule="auto"/>
              <w:jc w:val="center"/>
              <w:rPr>
                <w:rFonts w:eastAsia="Times New Roman" w:cs="Arial"/>
                <w:color w:val="auto"/>
                <w:sz w:val="20"/>
                <w:szCs w:val="20"/>
                <w:lang w:eastAsia="en-GB"/>
              </w:rPr>
            </w:pPr>
            <w:r w:rsidRPr="00DC0AE4">
              <w:rPr>
                <w:rFonts w:eastAsia="Times New Roman" w:cs="Arial"/>
                <w:color w:val="auto"/>
                <w:sz w:val="20"/>
                <w:szCs w:val="20"/>
                <w:lang w:eastAsia="en-GB"/>
              </w:rPr>
              <w:t>0</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426C82" w:rsidP="00D03F26">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 0</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426C82" w:rsidP="00AD7366">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0</w:t>
            </w:r>
          </w:p>
        </w:tc>
      </w:tr>
      <w:tr w:rsidR="001B41DD" w:rsidRPr="0005794A"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D0A8D" w:rsidRDefault="001B41DD" w:rsidP="00D03F26">
            <w:pPr>
              <w:spacing w:after="0" w:line="240" w:lineRule="auto"/>
              <w:rPr>
                <w:rFonts w:eastAsia="Times New Roman" w:cs="Arial"/>
                <w:color w:val="auto"/>
                <w:sz w:val="20"/>
                <w:szCs w:val="20"/>
                <w:lang w:eastAsia="en-GB"/>
              </w:rPr>
            </w:pPr>
            <w:r w:rsidRPr="001D0A8D">
              <w:rPr>
                <w:rFonts w:eastAsia="Times New Roman" w:cs="Arial"/>
                <w:color w:val="auto"/>
                <w:sz w:val="20"/>
                <w:szCs w:val="20"/>
                <w:lang w:eastAsia="en-GB"/>
              </w:rPr>
              <w:t>Amounts used in year</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1B41DD" w:rsidP="001B41DD">
            <w:pPr>
              <w:spacing w:after="0" w:line="240" w:lineRule="auto"/>
              <w:jc w:val="center"/>
              <w:rPr>
                <w:rFonts w:eastAsia="Times New Roman" w:cs="Arial"/>
                <w:color w:val="auto"/>
                <w:sz w:val="20"/>
                <w:szCs w:val="20"/>
                <w:lang w:eastAsia="en-GB"/>
              </w:rPr>
            </w:pPr>
            <w:r w:rsidRPr="00DC0AE4">
              <w:rPr>
                <w:rFonts w:eastAsia="Times New Roman" w:cs="Arial"/>
                <w:color w:val="auto"/>
                <w:sz w:val="20"/>
                <w:szCs w:val="20"/>
                <w:lang w:eastAsia="en-GB"/>
              </w:rPr>
              <w:t>(0.</w:t>
            </w:r>
            <w:r>
              <w:rPr>
                <w:rFonts w:eastAsia="Times New Roman" w:cs="Arial"/>
                <w:color w:val="auto"/>
                <w:sz w:val="20"/>
                <w:szCs w:val="20"/>
                <w:lang w:eastAsia="en-GB"/>
              </w:rPr>
              <w:t>2</w:t>
            </w:r>
            <w:r w:rsidRPr="00DC0AE4">
              <w:rPr>
                <w:rFonts w:eastAsia="Times New Roman" w:cs="Arial"/>
                <w:color w:val="auto"/>
                <w:sz w:val="20"/>
                <w:szCs w:val="20"/>
                <w:lang w:eastAsia="en-GB"/>
              </w:rPr>
              <w:t>)</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426C82" w:rsidP="00D03F26">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 0</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AA7422" w:rsidP="00D03F26">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(0.2)</w:t>
            </w:r>
          </w:p>
        </w:tc>
      </w:tr>
      <w:tr w:rsidR="001B41DD" w:rsidRPr="0005794A"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D0A8D" w:rsidRDefault="001B41DD" w:rsidP="00D03F26">
            <w:pPr>
              <w:spacing w:after="0" w:line="240" w:lineRule="auto"/>
              <w:rPr>
                <w:rFonts w:eastAsia="Times New Roman" w:cs="Arial"/>
                <w:b/>
                <w:bCs/>
                <w:color w:val="auto"/>
                <w:sz w:val="20"/>
                <w:szCs w:val="20"/>
                <w:lang w:eastAsia="en-GB"/>
              </w:rPr>
            </w:pPr>
            <w:r w:rsidRPr="001D0A8D">
              <w:rPr>
                <w:rFonts w:eastAsia="Times New Roman" w:cs="Arial"/>
                <w:b/>
                <w:bCs/>
                <w:color w:val="auto"/>
                <w:sz w:val="20"/>
                <w:szCs w:val="20"/>
                <w:lang w:eastAsia="en-GB"/>
              </w:rPr>
              <w:t>Balance at 31 March 2018</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1B41DD" w:rsidP="001B41DD">
            <w:pPr>
              <w:spacing w:after="0" w:line="240" w:lineRule="auto"/>
              <w:jc w:val="center"/>
              <w:rPr>
                <w:rFonts w:eastAsia="Times New Roman" w:cs="Arial"/>
                <w:b/>
                <w:bCs/>
                <w:color w:val="auto"/>
                <w:sz w:val="20"/>
                <w:szCs w:val="20"/>
                <w:lang w:eastAsia="en-GB"/>
              </w:rPr>
            </w:pPr>
            <w:r w:rsidRPr="00DC0AE4">
              <w:rPr>
                <w:rFonts w:eastAsia="Times New Roman" w:cs="Arial"/>
                <w:b/>
                <w:bCs/>
                <w:color w:val="auto"/>
                <w:sz w:val="20"/>
                <w:szCs w:val="20"/>
                <w:lang w:eastAsia="en-GB"/>
              </w:rPr>
              <w:t>0.</w:t>
            </w:r>
            <w:r>
              <w:rPr>
                <w:rFonts w:eastAsia="Times New Roman" w:cs="Arial"/>
                <w:b/>
                <w:bCs/>
                <w:color w:val="auto"/>
                <w:sz w:val="20"/>
                <w:szCs w:val="20"/>
                <w:lang w:eastAsia="en-GB"/>
              </w:rPr>
              <w:t>3</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1B41DD" w:rsidP="001B41DD">
            <w:pPr>
              <w:spacing w:after="0" w:line="240" w:lineRule="auto"/>
              <w:jc w:val="center"/>
              <w:rPr>
                <w:rFonts w:eastAsia="Times New Roman" w:cs="Arial"/>
                <w:b/>
                <w:bCs/>
                <w:color w:val="auto"/>
                <w:sz w:val="20"/>
                <w:szCs w:val="20"/>
                <w:lang w:eastAsia="en-GB"/>
              </w:rPr>
            </w:pPr>
            <w:r w:rsidRPr="00DC0AE4">
              <w:rPr>
                <w:rFonts w:eastAsia="Times New Roman" w:cs="Arial"/>
                <w:b/>
                <w:bCs/>
                <w:color w:val="auto"/>
                <w:sz w:val="20"/>
                <w:szCs w:val="20"/>
                <w:lang w:eastAsia="en-GB"/>
              </w:rPr>
              <w:t>1.</w:t>
            </w:r>
            <w:r>
              <w:rPr>
                <w:rFonts w:eastAsia="Times New Roman" w:cs="Arial"/>
                <w:b/>
                <w:bCs/>
                <w:color w:val="auto"/>
                <w:sz w:val="20"/>
                <w:szCs w:val="20"/>
                <w:lang w:eastAsia="en-GB"/>
              </w:rPr>
              <w:t>8</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DC0AE4" w:rsidRDefault="001B41DD" w:rsidP="00D03F26">
            <w:pPr>
              <w:spacing w:after="0" w:line="240" w:lineRule="auto"/>
              <w:jc w:val="center"/>
              <w:rPr>
                <w:rFonts w:eastAsia="Times New Roman" w:cs="Arial"/>
                <w:b/>
                <w:color w:val="auto"/>
                <w:sz w:val="20"/>
                <w:szCs w:val="20"/>
                <w:lang w:eastAsia="en-GB"/>
              </w:rPr>
            </w:pPr>
            <w:r>
              <w:rPr>
                <w:rFonts w:eastAsia="Times New Roman" w:cs="Arial"/>
                <w:b/>
                <w:color w:val="auto"/>
                <w:sz w:val="20"/>
                <w:szCs w:val="20"/>
                <w:lang w:eastAsia="en-GB"/>
              </w:rPr>
              <w:t>2.1</w:t>
            </w:r>
          </w:p>
        </w:tc>
      </w:tr>
      <w:tr w:rsidR="001B41DD" w:rsidRPr="0005794A"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D0A8D" w:rsidRDefault="001B41DD" w:rsidP="00D03F26">
            <w:pPr>
              <w:spacing w:after="0" w:line="240" w:lineRule="auto"/>
              <w:rPr>
                <w:rFonts w:eastAsia="Times New Roman" w:cs="Arial"/>
                <w:i/>
                <w:iCs/>
                <w:color w:val="auto"/>
                <w:sz w:val="20"/>
                <w:szCs w:val="20"/>
                <w:lang w:eastAsia="en-GB"/>
              </w:rPr>
            </w:pPr>
            <w:r w:rsidRPr="001D0A8D">
              <w:rPr>
                <w:rFonts w:eastAsia="Times New Roman" w:cs="Arial"/>
                <w:i/>
                <w:iCs/>
                <w:color w:val="auto"/>
                <w:sz w:val="20"/>
                <w:szCs w:val="20"/>
                <w:lang w:eastAsia="en-GB"/>
              </w:rPr>
              <w:t>Short term</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B41DD" w:rsidRDefault="001B41DD" w:rsidP="001B41DD">
            <w:pPr>
              <w:spacing w:after="0" w:line="240" w:lineRule="auto"/>
              <w:jc w:val="center"/>
              <w:rPr>
                <w:rFonts w:eastAsia="Times New Roman" w:cs="Arial"/>
                <w:i/>
                <w:iCs/>
                <w:color w:val="auto"/>
                <w:sz w:val="20"/>
                <w:szCs w:val="20"/>
                <w:lang w:eastAsia="en-GB"/>
              </w:rPr>
            </w:pPr>
            <w:r w:rsidRPr="001B41DD">
              <w:rPr>
                <w:rFonts w:eastAsia="Times New Roman" w:cs="Arial"/>
                <w:i/>
                <w:iCs/>
                <w:color w:val="auto"/>
                <w:sz w:val="20"/>
                <w:szCs w:val="20"/>
                <w:lang w:eastAsia="en-GB"/>
              </w:rPr>
              <w:t>0.2</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B41DD" w:rsidRDefault="001B41DD" w:rsidP="001B41DD">
            <w:pPr>
              <w:spacing w:after="0" w:line="240" w:lineRule="auto"/>
              <w:jc w:val="center"/>
              <w:rPr>
                <w:rFonts w:eastAsia="Times New Roman" w:cs="Arial"/>
                <w:i/>
                <w:iCs/>
                <w:color w:val="auto"/>
                <w:sz w:val="20"/>
                <w:szCs w:val="20"/>
                <w:lang w:eastAsia="en-GB"/>
              </w:rPr>
            </w:pPr>
            <w:r w:rsidRPr="001B41DD">
              <w:rPr>
                <w:rFonts w:eastAsia="Times New Roman" w:cs="Arial"/>
                <w:i/>
                <w:iCs/>
                <w:color w:val="auto"/>
                <w:sz w:val="20"/>
                <w:szCs w:val="20"/>
                <w:lang w:eastAsia="en-GB"/>
              </w:rPr>
              <w:t>1.8</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B41DD" w:rsidRDefault="001B41DD" w:rsidP="00D03F26">
            <w:pPr>
              <w:spacing w:after="0" w:line="240" w:lineRule="auto"/>
              <w:jc w:val="center"/>
              <w:rPr>
                <w:rFonts w:eastAsia="Times New Roman" w:cs="Arial"/>
                <w:i/>
                <w:color w:val="auto"/>
                <w:sz w:val="20"/>
                <w:szCs w:val="20"/>
                <w:lang w:eastAsia="en-GB"/>
              </w:rPr>
            </w:pPr>
            <w:r w:rsidRPr="001B41DD">
              <w:rPr>
                <w:rFonts w:eastAsia="Times New Roman" w:cs="Arial"/>
                <w:i/>
                <w:color w:val="auto"/>
                <w:sz w:val="20"/>
                <w:szCs w:val="20"/>
                <w:lang w:eastAsia="en-GB"/>
              </w:rPr>
              <w:t>2.0</w:t>
            </w:r>
          </w:p>
        </w:tc>
      </w:tr>
      <w:tr w:rsidR="001B41DD" w:rsidRPr="0005794A"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D0A8D" w:rsidRDefault="001B41DD" w:rsidP="00D03F26">
            <w:pPr>
              <w:spacing w:after="0" w:line="240" w:lineRule="auto"/>
              <w:rPr>
                <w:rFonts w:eastAsia="Times New Roman" w:cs="Arial"/>
                <w:i/>
                <w:iCs/>
                <w:color w:val="auto"/>
                <w:sz w:val="20"/>
                <w:szCs w:val="20"/>
                <w:lang w:eastAsia="en-GB"/>
              </w:rPr>
            </w:pPr>
            <w:r w:rsidRPr="001D0A8D">
              <w:rPr>
                <w:rFonts w:eastAsia="Times New Roman" w:cs="Arial"/>
                <w:i/>
                <w:iCs/>
                <w:color w:val="auto"/>
                <w:sz w:val="20"/>
                <w:szCs w:val="20"/>
                <w:lang w:eastAsia="en-GB"/>
              </w:rPr>
              <w:t>Long term</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B41DD" w:rsidRDefault="001B41DD" w:rsidP="00D03F26">
            <w:pPr>
              <w:spacing w:after="0" w:line="240" w:lineRule="auto"/>
              <w:jc w:val="center"/>
              <w:rPr>
                <w:rFonts w:eastAsia="Times New Roman" w:cs="Arial"/>
                <w:i/>
                <w:iCs/>
                <w:color w:val="auto"/>
                <w:sz w:val="20"/>
                <w:szCs w:val="20"/>
                <w:lang w:eastAsia="en-GB"/>
              </w:rPr>
            </w:pPr>
            <w:r w:rsidRPr="001B41DD">
              <w:rPr>
                <w:rFonts w:eastAsia="Times New Roman" w:cs="Arial"/>
                <w:i/>
                <w:iCs/>
                <w:color w:val="auto"/>
                <w:sz w:val="20"/>
                <w:szCs w:val="20"/>
                <w:lang w:eastAsia="en-GB"/>
              </w:rPr>
              <w:t>0.1</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B41DD" w:rsidRDefault="001B41DD" w:rsidP="00D03F26">
            <w:pPr>
              <w:spacing w:after="0" w:line="240" w:lineRule="auto"/>
              <w:jc w:val="center"/>
              <w:rPr>
                <w:rFonts w:eastAsia="Times New Roman" w:cs="Arial"/>
                <w:i/>
                <w:iCs/>
                <w:color w:val="auto"/>
                <w:sz w:val="20"/>
                <w:szCs w:val="20"/>
                <w:lang w:eastAsia="en-GB"/>
              </w:rPr>
            </w:pPr>
            <w:r w:rsidRPr="001B41DD">
              <w:rPr>
                <w:rFonts w:eastAsia="Times New Roman" w:cs="Arial"/>
                <w:i/>
                <w:iCs/>
                <w:color w:val="auto"/>
                <w:sz w:val="20"/>
                <w:szCs w:val="20"/>
                <w:lang w:eastAsia="en-GB"/>
              </w:rPr>
              <w:t>0</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B41DD" w:rsidRDefault="001B41DD" w:rsidP="00D03F26">
            <w:pPr>
              <w:spacing w:after="0" w:line="240" w:lineRule="auto"/>
              <w:jc w:val="center"/>
              <w:rPr>
                <w:rFonts w:eastAsia="Times New Roman" w:cs="Arial"/>
                <w:i/>
                <w:color w:val="auto"/>
                <w:sz w:val="20"/>
                <w:szCs w:val="20"/>
                <w:lang w:eastAsia="en-GB"/>
              </w:rPr>
            </w:pPr>
            <w:r w:rsidRPr="001B41DD">
              <w:rPr>
                <w:rFonts w:eastAsia="Times New Roman" w:cs="Arial"/>
                <w:i/>
                <w:color w:val="auto"/>
                <w:sz w:val="20"/>
                <w:szCs w:val="20"/>
                <w:lang w:eastAsia="en-GB"/>
              </w:rPr>
              <w:t>0.1</w:t>
            </w:r>
          </w:p>
        </w:tc>
      </w:tr>
      <w:tr w:rsidR="001B41DD" w:rsidRPr="0005794A" w:rsidTr="001B41DD">
        <w:trPr>
          <w:trHeight w:val="310"/>
        </w:trPr>
        <w:tc>
          <w:tcPr>
            <w:tcW w:w="289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D0A8D" w:rsidRDefault="001B41DD" w:rsidP="00D03F26">
            <w:pPr>
              <w:spacing w:after="0" w:line="240" w:lineRule="auto"/>
              <w:rPr>
                <w:rFonts w:eastAsia="Times New Roman" w:cs="Arial"/>
                <w:i/>
                <w:iCs/>
                <w:color w:val="auto"/>
                <w:sz w:val="20"/>
                <w:szCs w:val="20"/>
                <w:lang w:eastAsia="en-GB"/>
              </w:rPr>
            </w:pPr>
            <w:r>
              <w:rPr>
                <w:rFonts w:eastAsia="Times New Roman" w:cs="Arial"/>
                <w:i/>
                <w:iCs/>
                <w:color w:val="auto"/>
                <w:sz w:val="20"/>
                <w:szCs w:val="20"/>
                <w:lang w:eastAsia="en-GB"/>
              </w:rPr>
              <w:t>Balance at 31 March 2018</w:t>
            </w:r>
          </w:p>
        </w:tc>
        <w:tc>
          <w:tcPr>
            <w:tcW w:w="1418"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B41DD" w:rsidRDefault="001B41DD" w:rsidP="001B41DD">
            <w:pPr>
              <w:spacing w:after="0" w:line="240" w:lineRule="auto"/>
              <w:jc w:val="center"/>
              <w:rPr>
                <w:rFonts w:eastAsia="Times New Roman" w:cs="Arial"/>
                <w:i/>
                <w:iCs/>
                <w:color w:val="auto"/>
                <w:sz w:val="20"/>
                <w:szCs w:val="20"/>
                <w:lang w:eastAsia="en-GB"/>
              </w:rPr>
            </w:pPr>
            <w:r w:rsidRPr="001B41DD">
              <w:rPr>
                <w:rFonts w:eastAsia="Times New Roman" w:cs="Arial"/>
                <w:i/>
                <w:iCs/>
                <w:color w:val="auto"/>
                <w:sz w:val="20"/>
                <w:szCs w:val="20"/>
                <w:lang w:eastAsia="en-GB"/>
              </w:rPr>
              <w:t>0.3</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B41DD" w:rsidRDefault="001B41DD" w:rsidP="001B41DD">
            <w:pPr>
              <w:spacing w:after="0" w:line="240" w:lineRule="auto"/>
              <w:jc w:val="center"/>
              <w:rPr>
                <w:rFonts w:eastAsia="Times New Roman" w:cs="Arial"/>
                <w:i/>
                <w:iCs/>
                <w:color w:val="auto"/>
                <w:sz w:val="20"/>
                <w:szCs w:val="20"/>
                <w:lang w:eastAsia="en-GB"/>
              </w:rPr>
            </w:pPr>
            <w:r w:rsidRPr="001B41DD">
              <w:rPr>
                <w:rFonts w:eastAsia="Times New Roman" w:cs="Arial"/>
                <w:i/>
                <w:iCs/>
                <w:color w:val="auto"/>
                <w:sz w:val="20"/>
                <w:szCs w:val="20"/>
                <w:lang w:eastAsia="en-GB"/>
              </w:rPr>
              <w:t>1.8</w:t>
            </w:r>
          </w:p>
        </w:tc>
        <w:tc>
          <w:tcPr>
            <w:tcW w:w="1417" w:type="dxa"/>
            <w:tcBorders>
              <w:top w:val="single" w:sz="4" w:space="0" w:color="00B0F0"/>
              <w:left w:val="single" w:sz="4" w:space="0" w:color="00B0F0"/>
              <w:bottom w:val="single" w:sz="4" w:space="0" w:color="00B0F0"/>
              <w:right w:val="single" w:sz="4" w:space="0" w:color="00B0F0"/>
            </w:tcBorders>
            <w:shd w:val="clear" w:color="auto" w:fill="auto"/>
            <w:hideMark/>
          </w:tcPr>
          <w:p w:rsidR="001B41DD" w:rsidRPr="001B41DD" w:rsidRDefault="001B41DD" w:rsidP="00D03F26">
            <w:pPr>
              <w:spacing w:after="0" w:line="240" w:lineRule="auto"/>
              <w:jc w:val="center"/>
              <w:rPr>
                <w:rFonts w:eastAsia="Times New Roman" w:cs="Arial"/>
                <w:i/>
                <w:color w:val="auto"/>
                <w:sz w:val="20"/>
                <w:szCs w:val="20"/>
                <w:lang w:eastAsia="en-GB"/>
              </w:rPr>
            </w:pPr>
            <w:r w:rsidRPr="001B41DD">
              <w:rPr>
                <w:rFonts w:eastAsia="Times New Roman" w:cs="Arial"/>
                <w:i/>
                <w:color w:val="auto"/>
                <w:sz w:val="20"/>
                <w:szCs w:val="20"/>
                <w:lang w:eastAsia="en-GB"/>
              </w:rPr>
              <w:t>2.1</w:t>
            </w:r>
          </w:p>
        </w:tc>
      </w:tr>
    </w:tbl>
    <w:p w:rsidR="00A138D8" w:rsidRPr="00DC0AE4" w:rsidRDefault="00D84891" w:rsidP="00954FA1">
      <w:pPr>
        <w:ind w:left="567"/>
        <w:rPr>
          <w:rFonts w:eastAsia="Times New Roman" w:cs="Arial"/>
          <w:i/>
          <w:iCs/>
          <w:color w:val="auto"/>
          <w:sz w:val="16"/>
          <w:szCs w:val="16"/>
          <w:lang w:eastAsia="en-GB"/>
        </w:rPr>
      </w:pPr>
      <w:r w:rsidRPr="00DC0AE4">
        <w:rPr>
          <w:rFonts w:eastAsia="Times New Roman" w:cs="Arial"/>
          <w:i/>
          <w:iCs/>
          <w:color w:val="auto"/>
          <w:sz w:val="16"/>
          <w:szCs w:val="16"/>
          <w:lang w:eastAsia="en-GB"/>
        </w:rPr>
        <w:t>*</w:t>
      </w:r>
      <w:r w:rsidR="00D77783" w:rsidRPr="00DC0AE4">
        <w:rPr>
          <w:rFonts w:eastAsia="Times New Roman" w:cs="Arial"/>
          <w:i/>
          <w:iCs/>
          <w:color w:val="auto"/>
          <w:sz w:val="16"/>
          <w:szCs w:val="16"/>
          <w:lang w:eastAsia="en-GB"/>
        </w:rPr>
        <w:t>An analysis of NNDR movements i</w:t>
      </w:r>
      <w:r w:rsidR="00A138D8" w:rsidRPr="00DC0AE4">
        <w:rPr>
          <w:rFonts w:eastAsia="Times New Roman" w:cs="Arial"/>
          <w:i/>
          <w:iCs/>
          <w:color w:val="auto"/>
          <w:sz w:val="16"/>
          <w:szCs w:val="16"/>
          <w:lang w:eastAsia="en-GB"/>
        </w:rPr>
        <w:t xml:space="preserve">n year not </w:t>
      </w:r>
      <w:r w:rsidR="00B44843" w:rsidRPr="00DC0AE4">
        <w:rPr>
          <w:rFonts w:eastAsia="Times New Roman" w:cs="Arial"/>
          <w:i/>
          <w:iCs/>
          <w:color w:val="auto"/>
          <w:sz w:val="16"/>
          <w:szCs w:val="16"/>
          <w:lang w:eastAsia="en-GB"/>
        </w:rPr>
        <w:t xml:space="preserve">separately identifiable as </w:t>
      </w:r>
      <w:r w:rsidR="00A138D8" w:rsidRPr="00DC0AE4">
        <w:rPr>
          <w:rFonts w:eastAsia="Times New Roman" w:cs="Arial"/>
          <w:i/>
          <w:iCs/>
          <w:color w:val="auto"/>
          <w:sz w:val="16"/>
          <w:szCs w:val="16"/>
          <w:lang w:eastAsia="en-GB"/>
        </w:rPr>
        <w:t xml:space="preserve">appeals </w:t>
      </w:r>
      <w:r w:rsidR="00F4439F" w:rsidRPr="00DC0AE4">
        <w:rPr>
          <w:rFonts w:eastAsia="Times New Roman" w:cs="Arial"/>
          <w:i/>
          <w:iCs/>
          <w:color w:val="auto"/>
          <w:sz w:val="16"/>
          <w:szCs w:val="16"/>
          <w:lang w:eastAsia="en-GB"/>
        </w:rPr>
        <w:t xml:space="preserve">are </w:t>
      </w:r>
      <w:r w:rsidR="00A138D8" w:rsidRPr="00DC0AE4">
        <w:rPr>
          <w:rFonts w:eastAsia="Times New Roman" w:cs="Arial"/>
          <w:i/>
          <w:iCs/>
          <w:color w:val="auto"/>
          <w:sz w:val="16"/>
          <w:szCs w:val="16"/>
          <w:lang w:eastAsia="en-GB"/>
        </w:rPr>
        <w:t>reflected within a premises’ overall NNDR liability in Collection Fund</w:t>
      </w:r>
    </w:p>
    <w:p w:rsidR="00E51139" w:rsidRPr="00DC0AE4" w:rsidRDefault="00E51139" w:rsidP="00DD4F0D">
      <w:pPr>
        <w:spacing w:line="240" w:lineRule="auto"/>
        <w:ind w:left="567"/>
        <w:rPr>
          <w:rFonts w:cs="Arial"/>
          <w:b/>
          <w:bCs/>
          <w:color w:val="auto"/>
          <w:sz w:val="20"/>
          <w:szCs w:val="20"/>
        </w:rPr>
      </w:pPr>
      <w:r w:rsidRPr="00DC0AE4">
        <w:rPr>
          <w:rFonts w:cs="Arial"/>
          <w:b/>
          <w:bCs/>
          <w:color w:val="auto"/>
          <w:sz w:val="20"/>
          <w:szCs w:val="20"/>
        </w:rPr>
        <w:t>Name of Provision</w:t>
      </w:r>
      <w:r w:rsidRPr="00DC0AE4">
        <w:rPr>
          <w:rFonts w:cs="Arial"/>
          <w:b/>
          <w:bCs/>
          <w:color w:val="auto"/>
          <w:sz w:val="20"/>
          <w:szCs w:val="20"/>
        </w:rPr>
        <w:tab/>
      </w:r>
      <w:r w:rsidRPr="00DC0AE4">
        <w:rPr>
          <w:rFonts w:cs="Arial"/>
          <w:b/>
          <w:bCs/>
          <w:color w:val="auto"/>
          <w:sz w:val="20"/>
          <w:szCs w:val="20"/>
        </w:rPr>
        <w:tab/>
      </w:r>
      <w:r w:rsidRPr="00DC0AE4">
        <w:rPr>
          <w:rFonts w:cs="Arial"/>
          <w:b/>
          <w:bCs/>
          <w:color w:val="auto"/>
          <w:sz w:val="20"/>
          <w:szCs w:val="20"/>
        </w:rPr>
        <w:tab/>
        <w:t>Description of Provision</w:t>
      </w:r>
    </w:p>
    <w:p w:rsidR="00E51139" w:rsidRPr="00DC0AE4" w:rsidRDefault="00E51139" w:rsidP="00F43B00">
      <w:pPr>
        <w:pStyle w:val="BodyTextIndent"/>
        <w:ind w:left="4317" w:hanging="3750"/>
        <w:rPr>
          <w:color w:val="auto"/>
          <w:sz w:val="20"/>
          <w:szCs w:val="20"/>
        </w:rPr>
      </w:pPr>
      <w:r w:rsidRPr="00DC0AE4">
        <w:rPr>
          <w:color w:val="auto"/>
          <w:sz w:val="20"/>
          <w:szCs w:val="20"/>
        </w:rPr>
        <w:t>Insurance</w:t>
      </w:r>
      <w:r w:rsidRPr="00DC0AE4">
        <w:rPr>
          <w:color w:val="auto"/>
          <w:sz w:val="20"/>
          <w:szCs w:val="20"/>
        </w:rPr>
        <w:tab/>
      </w:r>
      <w:r w:rsidR="00F43B00" w:rsidRPr="00DC0AE4">
        <w:rPr>
          <w:color w:val="auto"/>
          <w:sz w:val="20"/>
          <w:szCs w:val="20"/>
        </w:rPr>
        <w:tab/>
      </w:r>
      <w:r w:rsidRPr="00DC0AE4">
        <w:rPr>
          <w:color w:val="auto"/>
          <w:sz w:val="20"/>
          <w:szCs w:val="20"/>
        </w:rPr>
        <w:t>Reflects a reliable estimate of Council liability on all known claims outstanding as at 31</w:t>
      </w:r>
      <w:r w:rsidRPr="00DC0AE4">
        <w:rPr>
          <w:color w:val="auto"/>
          <w:sz w:val="20"/>
          <w:szCs w:val="20"/>
          <w:vertAlign w:val="superscript"/>
        </w:rPr>
        <w:t>st</w:t>
      </w:r>
      <w:r w:rsidRPr="00DC0AE4">
        <w:rPr>
          <w:color w:val="auto"/>
          <w:sz w:val="20"/>
          <w:szCs w:val="20"/>
        </w:rPr>
        <w:t xml:space="preserve"> March, which </w:t>
      </w:r>
      <w:r w:rsidRPr="00DC0AE4">
        <w:rPr>
          <w:color w:val="auto"/>
          <w:sz w:val="20"/>
          <w:szCs w:val="20"/>
        </w:rPr>
        <w:lastRenderedPageBreak/>
        <w:t>have yet to be settled. The timing of spend will be up to three years depending on claim type.</w:t>
      </w:r>
      <w:r w:rsidRPr="00DC0AE4">
        <w:rPr>
          <w:color w:val="auto"/>
          <w:sz w:val="20"/>
          <w:szCs w:val="20"/>
        </w:rPr>
        <w:tab/>
      </w:r>
    </w:p>
    <w:p w:rsidR="00547199" w:rsidRPr="00DC0AE4" w:rsidRDefault="00547199" w:rsidP="00F43B00">
      <w:pPr>
        <w:pStyle w:val="BodyTextIndent"/>
        <w:ind w:left="4317" w:hanging="3750"/>
        <w:rPr>
          <w:color w:val="auto"/>
          <w:sz w:val="20"/>
          <w:szCs w:val="20"/>
        </w:rPr>
      </w:pPr>
      <w:r w:rsidRPr="00DC0AE4">
        <w:rPr>
          <w:color w:val="auto"/>
          <w:sz w:val="20"/>
          <w:szCs w:val="20"/>
        </w:rPr>
        <w:t>NNDR Appeals</w:t>
      </w:r>
      <w:r w:rsidRPr="00DC0AE4">
        <w:rPr>
          <w:color w:val="auto"/>
          <w:sz w:val="20"/>
          <w:szCs w:val="20"/>
        </w:rPr>
        <w:tab/>
      </w:r>
      <w:r w:rsidR="00F43B00" w:rsidRPr="00DC0AE4">
        <w:rPr>
          <w:color w:val="auto"/>
          <w:sz w:val="20"/>
          <w:szCs w:val="20"/>
        </w:rPr>
        <w:tab/>
      </w:r>
      <w:r w:rsidRPr="00DC0AE4">
        <w:rPr>
          <w:color w:val="auto"/>
          <w:sz w:val="20"/>
          <w:szCs w:val="20"/>
        </w:rPr>
        <w:t xml:space="preserve">Reflects </w:t>
      </w:r>
      <w:r w:rsidRPr="00802ABC">
        <w:rPr>
          <w:color w:val="auto"/>
          <w:sz w:val="20"/>
          <w:szCs w:val="20"/>
        </w:rPr>
        <w:t>the Council</w:t>
      </w:r>
      <w:r w:rsidR="00C172A2" w:rsidRPr="00802ABC">
        <w:rPr>
          <w:color w:val="auto"/>
          <w:sz w:val="20"/>
          <w:szCs w:val="20"/>
        </w:rPr>
        <w:t>’</w:t>
      </w:r>
      <w:r w:rsidRPr="00802ABC">
        <w:rPr>
          <w:color w:val="auto"/>
          <w:sz w:val="20"/>
          <w:szCs w:val="20"/>
        </w:rPr>
        <w:t>s 49</w:t>
      </w:r>
      <w:r w:rsidRPr="00DC0AE4">
        <w:rPr>
          <w:color w:val="auto"/>
          <w:sz w:val="20"/>
          <w:szCs w:val="20"/>
        </w:rPr>
        <w:t>% share of the estimated value of outstanding NNDR appeals submitted to the Valuation Office by 31st March.</w:t>
      </w:r>
    </w:p>
    <w:p w:rsidR="00E51139" w:rsidRPr="001D0A8D" w:rsidRDefault="00E51139" w:rsidP="00F43B00">
      <w:pPr>
        <w:pStyle w:val="Subtitle"/>
        <w:ind w:left="567" w:hanging="567"/>
        <w:rPr>
          <w:b/>
          <w:color w:val="auto"/>
          <w:sz w:val="22"/>
          <w:szCs w:val="22"/>
        </w:rPr>
      </w:pPr>
      <w:r w:rsidRPr="001D0A8D">
        <w:rPr>
          <w:b/>
          <w:color w:val="auto"/>
          <w:sz w:val="22"/>
          <w:szCs w:val="22"/>
        </w:rPr>
        <w:t>2</w:t>
      </w:r>
      <w:r w:rsidR="00636D69" w:rsidRPr="001D0A8D">
        <w:rPr>
          <w:b/>
          <w:color w:val="auto"/>
          <w:sz w:val="22"/>
          <w:szCs w:val="22"/>
        </w:rPr>
        <w:t>3</w:t>
      </w:r>
      <w:r w:rsidR="00F43B00" w:rsidRPr="001D0A8D">
        <w:rPr>
          <w:b/>
          <w:color w:val="auto"/>
          <w:sz w:val="22"/>
          <w:szCs w:val="22"/>
        </w:rPr>
        <w:t>.</w:t>
      </w:r>
      <w:r w:rsidRPr="001D0A8D">
        <w:rPr>
          <w:b/>
          <w:color w:val="auto"/>
          <w:sz w:val="22"/>
          <w:szCs w:val="22"/>
        </w:rPr>
        <w:t xml:space="preserve"> </w:t>
      </w:r>
      <w:r w:rsidRPr="001D0A8D">
        <w:rPr>
          <w:b/>
          <w:color w:val="auto"/>
          <w:sz w:val="22"/>
          <w:szCs w:val="22"/>
        </w:rPr>
        <w:tab/>
        <w:t xml:space="preserve">Borrowing </w:t>
      </w:r>
    </w:p>
    <w:p w:rsidR="00E51139" w:rsidRPr="001D0A8D" w:rsidRDefault="00E51139" w:rsidP="00F43B00">
      <w:pPr>
        <w:pStyle w:val="BodyTextIndent"/>
        <w:ind w:left="567"/>
        <w:rPr>
          <w:color w:val="auto"/>
          <w:sz w:val="20"/>
          <w:szCs w:val="20"/>
        </w:rPr>
      </w:pPr>
      <w:r w:rsidRPr="001D0A8D">
        <w:rPr>
          <w:color w:val="auto"/>
          <w:sz w:val="20"/>
          <w:szCs w:val="20"/>
        </w:rPr>
        <w:t xml:space="preserve">This heading reflects the borrowing undertaken by the Council to fund its approved capital programme. Any costs of borrowing are reflected in the Comprehensive Income and Expenditure Statement for interest charges and the Minimum Revenue Provision for the repayment of debt. </w:t>
      </w:r>
      <w:r w:rsidR="007E33E1" w:rsidRPr="001D0A8D">
        <w:rPr>
          <w:color w:val="auto"/>
          <w:sz w:val="20"/>
          <w:szCs w:val="20"/>
        </w:rPr>
        <w:t xml:space="preserve">Any “unsupported” borrowing undertaken using the Prudential Code will have to be funded from within Council resources, savings or additional income. </w:t>
      </w:r>
    </w:p>
    <w:tbl>
      <w:tblPr>
        <w:tblStyle w:val="ListTable3-Accent51"/>
        <w:tblW w:w="8788" w:type="dxa"/>
        <w:tblInd w:w="534" w:type="dxa"/>
        <w:tblLayout w:type="fixed"/>
        <w:tblLook w:val="0000" w:firstRow="0" w:lastRow="0" w:firstColumn="0" w:lastColumn="0" w:noHBand="0" w:noVBand="0"/>
      </w:tblPr>
      <w:tblGrid>
        <w:gridCol w:w="1701"/>
        <w:gridCol w:w="5386"/>
        <w:gridCol w:w="1701"/>
      </w:tblGrid>
      <w:tr w:rsidR="00DD4F0D" w:rsidRPr="001D0A8D" w:rsidTr="009247F3">
        <w:trPr>
          <w:cnfStyle w:val="000000100000" w:firstRow="0" w:lastRow="0" w:firstColumn="0" w:lastColumn="0" w:oddVBand="0" w:evenVBand="0" w:oddHBand="1" w:evenHBand="0" w:firstRowFirstColumn="0" w:firstRowLastColumn="0" w:lastRowFirstColumn="0" w:lastRowLastColumn="0"/>
          <w:trHeight w:val="922"/>
        </w:trPr>
        <w:tc>
          <w:tcPr>
            <w:cnfStyle w:val="000010000000" w:firstRow="0" w:lastRow="0" w:firstColumn="0" w:lastColumn="0" w:oddVBand="1" w:evenVBand="0" w:oddHBand="0" w:evenHBand="0" w:firstRowFirstColumn="0" w:firstRowLastColumn="0" w:lastRowFirstColumn="0" w:lastRowLastColumn="0"/>
            <w:tcW w:w="1701" w:type="dxa"/>
            <w:shd w:val="clear" w:color="auto" w:fill="4BACC6" w:themeFill="accent5"/>
          </w:tcPr>
          <w:p w:rsidR="00DD4F0D" w:rsidRPr="001D0A8D" w:rsidRDefault="00DD4F0D" w:rsidP="00235C9A">
            <w:pPr>
              <w:pStyle w:val="BodyTextIndent"/>
              <w:spacing w:line="240" w:lineRule="auto"/>
              <w:ind w:left="0"/>
              <w:jc w:val="center"/>
              <w:rPr>
                <w:color w:val="auto"/>
                <w:sz w:val="20"/>
                <w:szCs w:val="20"/>
              </w:rPr>
            </w:pPr>
            <w:r w:rsidRPr="001D0A8D">
              <w:rPr>
                <w:color w:val="auto"/>
                <w:sz w:val="20"/>
                <w:szCs w:val="20"/>
              </w:rPr>
              <w:t>31</w:t>
            </w:r>
            <w:r w:rsidRPr="001D0A8D">
              <w:rPr>
                <w:color w:val="auto"/>
                <w:sz w:val="20"/>
                <w:szCs w:val="20"/>
                <w:vertAlign w:val="superscript"/>
              </w:rPr>
              <w:t>st</w:t>
            </w:r>
            <w:r w:rsidR="00026B55" w:rsidRPr="001D0A8D">
              <w:rPr>
                <w:color w:val="auto"/>
                <w:sz w:val="20"/>
                <w:szCs w:val="20"/>
              </w:rPr>
              <w:t xml:space="preserve"> March 201</w:t>
            </w:r>
            <w:r w:rsidR="001D0A8D" w:rsidRPr="001D0A8D">
              <w:rPr>
                <w:color w:val="auto"/>
                <w:sz w:val="20"/>
                <w:szCs w:val="20"/>
              </w:rPr>
              <w:t>7</w:t>
            </w:r>
          </w:p>
          <w:p w:rsidR="00DD4F0D" w:rsidRPr="001D0A8D" w:rsidRDefault="00DD4F0D" w:rsidP="00235C9A">
            <w:pPr>
              <w:pStyle w:val="BodyTextIndent"/>
              <w:spacing w:line="240" w:lineRule="auto"/>
              <w:ind w:left="0"/>
              <w:jc w:val="center"/>
              <w:rPr>
                <w:color w:val="auto"/>
                <w:sz w:val="20"/>
                <w:szCs w:val="20"/>
              </w:rPr>
            </w:pPr>
            <w:r w:rsidRPr="001D0A8D">
              <w:rPr>
                <w:color w:val="auto"/>
                <w:sz w:val="20"/>
                <w:szCs w:val="20"/>
              </w:rPr>
              <w:t>Principal</w:t>
            </w:r>
          </w:p>
          <w:p w:rsidR="00DD4F0D" w:rsidRPr="001D0A8D" w:rsidRDefault="00DD4F0D" w:rsidP="00235C9A">
            <w:pPr>
              <w:pStyle w:val="BodyTextIndent"/>
              <w:spacing w:line="240" w:lineRule="auto"/>
              <w:ind w:left="0"/>
              <w:jc w:val="center"/>
              <w:rPr>
                <w:color w:val="auto"/>
                <w:sz w:val="20"/>
                <w:szCs w:val="20"/>
              </w:rPr>
            </w:pPr>
            <w:r w:rsidRPr="001D0A8D">
              <w:rPr>
                <w:color w:val="auto"/>
                <w:sz w:val="20"/>
                <w:szCs w:val="20"/>
              </w:rPr>
              <w:t>£ m</w:t>
            </w:r>
          </w:p>
        </w:tc>
        <w:tc>
          <w:tcPr>
            <w:tcW w:w="5386" w:type="dxa"/>
            <w:shd w:val="clear" w:color="auto" w:fill="4BACC6" w:themeFill="accent5"/>
          </w:tcPr>
          <w:p w:rsidR="00DD4F0D" w:rsidRPr="001D0A8D" w:rsidRDefault="00DD4F0D" w:rsidP="00235C9A">
            <w:pPr>
              <w:pStyle w:val="BodyTextIndent"/>
              <w:spacing w:line="240" w:lineRule="auto"/>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p w:rsidR="00DD4F0D" w:rsidRPr="001D0A8D" w:rsidRDefault="00DD4F0D" w:rsidP="00235C9A">
            <w:pPr>
              <w:pStyle w:val="BodyTextIndent"/>
              <w:spacing w:line="240" w:lineRule="auto"/>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1D0A8D">
              <w:rPr>
                <w:color w:val="auto"/>
                <w:sz w:val="20"/>
                <w:szCs w:val="20"/>
              </w:rPr>
              <w:t>Borrowing Repayable</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4BACC6" w:themeFill="accent5"/>
          </w:tcPr>
          <w:p w:rsidR="00DD4F0D" w:rsidRPr="001D0A8D" w:rsidRDefault="00DD4F0D" w:rsidP="00235C9A">
            <w:pPr>
              <w:pStyle w:val="BodyTextIndent"/>
              <w:spacing w:line="240" w:lineRule="auto"/>
              <w:ind w:left="0"/>
              <w:jc w:val="center"/>
              <w:rPr>
                <w:b/>
                <w:color w:val="auto"/>
                <w:sz w:val="20"/>
                <w:szCs w:val="20"/>
              </w:rPr>
            </w:pPr>
            <w:r w:rsidRPr="001D0A8D">
              <w:rPr>
                <w:b/>
                <w:color w:val="auto"/>
                <w:sz w:val="20"/>
                <w:szCs w:val="20"/>
              </w:rPr>
              <w:t>31</w:t>
            </w:r>
            <w:r w:rsidRPr="001D0A8D">
              <w:rPr>
                <w:b/>
                <w:color w:val="auto"/>
                <w:sz w:val="20"/>
                <w:szCs w:val="20"/>
                <w:vertAlign w:val="superscript"/>
              </w:rPr>
              <w:t>st</w:t>
            </w:r>
            <w:r w:rsidR="00026B55" w:rsidRPr="001D0A8D">
              <w:rPr>
                <w:b/>
                <w:color w:val="auto"/>
                <w:sz w:val="20"/>
                <w:szCs w:val="20"/>
              </w:rPr>
              <w:t xml:space="preserve"> March 201</w:t>
            </w:r>
            <w:r w:rsidR="001D0A8D" w:rsidRPr="001D0A8D">
              <w:rPr>
                <w:b/>
                <w:color w:val="auto"/>
                <w:sz w:val="20"/>
                <w:szCs w:val="20"/>
              </w:rPr>
              <w:t>8</w:t>
            </w:r>
          </w:p>
          <w:p w:rsidR="00DD4F0D" w:rsidRPr="001D0A8D" w:rsidRDefault="00DD4F0D" w:rsidP="00235C9A">
            <w:pPr>
              <w:pStyle w:val="BodyTextIndent"/>
              <w:spacing w:line="240" w:lineRule="auto"/>
              <w:ind w:left="0"/>
              <w:jc w:val="center"/>
              <w:rPr>
                <w:b/>
                <w:color w:val="auto"/>
                <w:sz w:val="20"/>
                <w:szCs w:val="20"/>
              </w:rPr>
            </w:pPr>
            <w:r w:rsidRPr="001D0A8D">
              <w:rPr>
                <w:b/>
                <w:color w:val="auto"/>
                <w:sz w:val="20"/>
                <w:szCs w:val="20"/>
              </w:rPr>
              <w:t>Principal</w:t>
            </w:r>
          </w:p>
          <w:p w:rsidR="00DD4F0D" w:rsidRPr="001D0A8D" w:rsidRDefault="00DD4F0D" w:rsidP="00235C9A">
            <w:pPr>
              <w:pStyle w:val="BodyTextIndent"/>
              <w:spacing w:line="240" w:lineRule="auto"/>
              <w:ind w:left="0"/>
              <w:jc w:val="center"/>
              <w:rPr>
                <w:color w:val="auto"/>
                <w:sz w:val="20"/>
                <w:szCs w:val="20"/>
              </w:rPr>
            </w:pPr>
            <w:r w:rsidRPr="001D0A8D">
              <w:rPr>
                <w:color w:val="auto"/>
                <w:sz w:val="20"/>
                <w:szCs w:val="20"/>
              </w:rPr>
              <w:t>£ m</w:t>
            </w:r>
          </w:p>
        </w:tc>
      </w:tr>
      <w:tr w:rsidR="00AA7422" w:rsidRPr="001D0A8D" w:rsidTr="009247F3">
        <w:tc>
          <w:tcPr>
            <w:cnfStyle w:val="000010000000" w:firstRow="0" w:lastRow="0" w:firstColumn="0" w:lastColumn="0" w:oddVBand="1" w:evenVBand="0" w:oddHBand="0" w:evenHBand="0" w:firstRowFirstColumn="0" w:firstRowLastColumn="0" w:lastRowFirstColumn="0" w:lastRowLastColumn="0"/>
            <w:tcW w:w="1701" w:type="dxa"/>
          </w:tcPr>
          <w:p w:rsidR="00AA7422" w:rsidRPr="001D0A8D" w:rsidRDefault="00AA7422" w:rsidP="00DD4F0D">
            <w:pPr>
              <w:pStyle w:val="BodyTextIndent"/>
              <w:ind w:left="0"/>
              <w:jc w:val="center"/>
              <w:rPr>
                <w:color w:val="auto"/>
                <w:sz w:val="20"/>
                <w:szCs w:val="20"/>
              </w:rPr>
            </w:pPr>
          </w:p>
        </w:tc>
        <w:tc>
          <w:tcPr>
            <w:tcW w:w="5386" w:type="dxa"/>
          </w:tcPr>
          <w:p w:rsidR="00AA7422" w:rsidRPr="001D0A8D" w:rsidRDefault="00AA7422" w:rsidP="00AA742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1D0A8D">
              <w:rPr>
                <w:color w:val="auto"/>
                <w:sz w:val="20"/>
                <w:szCs w:val="20"/>
              </w:rPr>
              <w:t xml:space="preserve">Amounts falling due </w:t>
            </w:r>
            <w:r>
              <w:rPr>
                <w:color w:val="auto"/>
                <w:sz w:val="20"/>
                <w:szCs w:val="20"/>
              </w:rPr>
              <w:t xml:space="preserve">within one </w:t>
            </w:r>
            <w:r w:rsidRPr="001D0A8D">
              <w:rPr>
                <w:color w:val="auto"/>
                <w:sz w:val="20"/>
                <w:szCs w:val="20"/>
              </w:rPr>
              <w:t>year</w:t>
            </w:r>
          </w:p>
        </w:tc>
        <w:tc>
          <w:tcPr>
            <w:cnfStyle w:val="000010000000" w:firstRow="0" w:lastRow="0" w:firstColumn="0" w:lastColumn="0" w:oddVBand="1" w:evenVBand="0" w:oddHBand="0" w:evenHBand="0" w:firstRowFirstColumn="0" w:firstRowLastColumn="0" w:lastRowFirstColumn="0" w:lastRowLastColumn="0"/>
            <w:tcW w:w="1701" w:type="dxa"/>
          </w:tcPr>
          <w:p w:rsidR="00AA7422" w:rsidRPr="001D0A8D" w:rsidRDefault="00AA7422" w:rsidP="00DD4F0D">
            <w:pPr>
              <w:pStyle w:val="BodyTextIndent"/>
              <w:ind w:left="0"/>
              <w:jc w:val="center"/>
              <w:rPr>
                <w:color w:val="auto"/>
                <w:sz w:val="20"/>
                <w:szCs w:val="20"/>
              </w:rPr>
            </w:pPr>
          </w:p>
        </w:tc>
      </w:tr>
      <w:tr w:rsidR="00AA7422" w:rsidRPr="001D0A8D" w:rsidTr="009247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tcPr>
          <w:p w:rsidR="00AA7422" w:rsidRPr="001D0A8D" w:rsidRDefault="00D8259F" w:rsidP="00DD4F0D">
            <w:pPr>
              <w:pStyle w:val="BodyTextIndent"/>
              <w:ind w:left="0"/>
              <w:jc w:val="center"/>
              <w:rPr>
                <w:color w:val="auto"/>
                <w:sz w:val="20"/>
                <w:szCs w:val="20"/>
              </w:rPr>
            </w:pPr>
            <w:r>
              <w:rPr>
                <w:color w:val="auto"/>
                <w:sz w:val="20"/>
                <w:szCs w:val="20"/>
              </w:rPr>
              <w:t>4.5</w:t>
            </w:r>
          </w:p>
        </w:tc>
        <w:tc>
          <w:tcPr>
            <w:tcW w:w="5386" w:type="dxa"/>
          </w:tcPr>
          <w:p w:rsidR="00AA7422" w:rsidRPr="001D0A8D" w:rsidRDefault="00D8259F" w:rsidP="00DD4F0D">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1D0A8D">
              <w:rPr>
                <w:color w:val="auto"/>
                <w:sz w:val="20"/>
                <w:szCs w:val="20"/>
              </w:rPr>
              <w:t>Public Works Loans Board loans</w:t>
            </w:r>
          </w:p>
        </w:tc>
        <w:tc>
          <w:tcPr>
            <w:cnfStyle w:val="000010000000" w:firstRow="0" w:lastRow="0" w:firstColumn="0" w:lastColumn="0" w:oddVBand="1" w:evenVBand="0" w:oddHBand="0" w:evenHBand="0" w:firstRowFirstColumn="0" w:firstRowLastColumn="0" w:lastRowFirstColumn="0" w:lastRowLastColumn="0"/>
            <w:tcW w:w="1701" w:type="dxa"/>
          </w:tcPr>
          <w:p w:rsidR="00AA7422" w:rsidRPr="007775C4" w:rsidRDefault="00D8259F" w:rsidP="003B35C3">
            <w:pPr>
              <w:pStyle w:val="BodyTextIndent"/>
              <w:ind w:left="0"/>
              <w:jc w:val="center"/>
              <w:rPr>
                <w:color w:val="auto"/>
                <w:sz w:val="20"/>
                <w:szCs w:val="20"/>
              </w:rPr>
            </w:pPr>
            <w:r w:rsidRPr="007775C4">
              <w:rPr>
                <w:color w:val="auto"/>
                <w:sz w:val="20"/>
                <w:szCs w:val="20"/>
              </w:rPr>
              <w:t>2.</w:t>
            </w:r>
            <w:r w:rsidR="003B35C3">
              <w:rPr>
                <w:color w:val="auto"/>
                <w:sz w:val="20"/>
                <w:szCs w:val="20"/>
              </w:rPr>
              <w:t>6</w:t>
            </w:r>
          </w:p>
        </w:tc>
      </w:tr>
      <w:tr w:rsidR="00DD4F0D" w:rsidRPr="001D0A8D" w:rsidTr="009247F3">
        <w:tc>
          <w:tcPr>
            <w:cnfStyle w:val="000010000000" w:firstRow="0" w:lastRow="0" w:firstColumn="0" w:lastColumn="0" w:oddVBand="1" w:evenVBand="0" w:oddHBand="0" w:evenHBand="0" w:firstRowFirstColumn="0" w:firstRowLastColumn="0" w:lastRowFirstColumn="0" w:lastRowLastColumn="0"/>
            <w:tcW w:w="1701" w:type="dxa"/>
          </w:tcPr>
          <w:p w:rsidR="00DD4F0D" w:rsidRPr="001D0A8D" w:rsidRDefault="00DD4F0D" w:rsidP="00DD4F0D">
            <w:pPr>
              <w:pStyle w:val="BodyTextIndent"/>
              <w:ind w:left="0"/>
              <w:jc w:val="center"/>
              <w:rPr>
                <w:color w:val="auto"/>
                <w:sz w:val="20"/>
                <w:szCs w:val="20"/>
              </w:rPr>
            </w:pPr>
          </w:p>
        </w:tc>
        <w:tc>
          <w:tcPr>
            <w:tcW w:w="5386" w:type="dxa"/>
          </w:tcPr>
          <w:p w:rsidR="00DD4F0D" w:rsidRPr="001D0A8D" w:rsidRDefault="00DD4F0D" w:rsidP="00DD4F0D">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1D0A8D">
              <w:rPr>
                <w:color w:val="auto"/>
                <w:sz w:val="20"/>
                <w:szCs w:val="20"/>
              </w:rPr>
              <w:t>Amounts falling due in excess of one year</w:t>
            </w:r>
          </w:p>
        </w:tc>
        <w:tc>
          <w:tcPr>
            <w:cnfStyle w:val="000010000000" w:firstRow="0" w:lastRow="0" w:firstColumn="0" w:lastColumn="0" w:oddVBand="1" w:evenVBand="0" w:oddHBand="0" w:evenHBand="0" w:firstRowFirstColumn="0" w:firstRowLastColumn="0" w:lastRowFirstColumn="0" w:lastRowLastColumn="0"/>
            <w:tcW w:w="1701" w:type="dxa"/>
          </w:tcPr>
          <w:p w:rsidR="00DD4F0D" w:rsidRPr="007775C4" w:rsidRDefault="00DD4F0D" w:rsidP="00DD4F0D">
            <w:pPr>
              <w:pStyle w:val="BodyTextIndent"/>
              <w:ind w:left="0"/>
              <w:jc w:val="center"/>
              <w:rPr>
                <w:color w:val="auto"/>
                <w:sz w:val="20"/>
                <w:szCs w:val="20"/>
              </w:rPr>
            </w:pPr>
          </w:p>
        </w:tc>
      </w:tr>
      <w:tr w:rsidR="001D0A8D" w:rsidRPr="001D0A8D" w:rsidTr="009247F3">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1701" w:type="dxa"/>
          </w:tcPr>
          <w:p w:rsidR="001D0A8D" w:rsidRPr="001D0A8D" w:rsidRDefault="001D0A8D" w:rsidP="001D0A8D">
            <w:pPr>
              <w:pStyle w:val="BodyTextIndent"/>
              <w:ind w:left="0"/>
              <w:jc w:val="center"/>
              <w:rPr>
                <w:color w:val="auto"/>
                <w:sz w:val="20"/>
                <w:szCs w:val="20"/>
              </w:rPr>
            </w:pPr>
            <w:r w:rsidRPr="001D0A8D">
              <w:rPr>
                <w:color w:val="auto"/>
                <w:sz w:val="20"/>
                <w:szCs w:val="20"/>
              </w:rPr>
              <w:t>10.0</w:t>
            </w:r>
          </w:p>
        </w:tc>
        <w:tc>
          <w:tcPr>
            <w:tcW w:w="5386" w:type="dxa"/>
          </w:tcPr>
          <w:p w:rsidR="001D0A8D" w:rsidRPr="001D0A8D" w:rsidRDefault="001D0A8D" w:rsidP="00DD4F0D">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1D0A8D">
              <w:rPr>
                <w:color w:val="auto"/>
                <w:sz w:val="20"/>
                <w:szCs w:val="20"/>
              </w:rPr>
              <w:t>Money Market loans</w:t>
            </w:r>
          </w:p>
        </w:tc>
        <w:tc>
          <w:tcPr>
            <w:cnfStyle w:val="000010000000" w:firstRow="0" w:lastRow="0" w:firstColumn="0" w:lastColumn="0" w:oddVBand="1" w:evenVBand="0" w:oddHBand="0" w:evenHBand="0" w:firstRowFirstColumn="0" w:firstRowLastColumn="0" w:lastRowFirstColumn="0" w:lastRowLastColumn="0"/>
            <w:tcW w:w="1701" w:type="dxa"/>
          </w:tcPr>
          <w:p w:rsidR="001D0A8D" w:rsidRPr="007775C4" w:rsidRDefault="00AA7422" w:rsidP="00DD4F0D">
            <w:pPr>
              <w:pStyle w:val="BodyTextIndent"/>
              <w:ind w:left="0"/>
              <w:jc w:val="center"/>
              <w:rPr>
                <w:color w:val="auto"/>
                <w:sz w:val="20"/>
                <w:szCs w:val="20"/>
              </w:rPr>
            </w:pPr>
            <w:r w:rsidRPr="007775C4">
              <w:rPr>
                <w:color w:val="auto"/>
                <w:sz w:val="20"/>
                <w:szCs w:val="20"/>
              </w:rPr>
              <w:t>10.0</w:t>
            </w:r>
          </w:p>
        </w:tc>
      </w:tr>
      <w:tr w:rsidR="001D0A8D" w:rsidRPr="001D0A8D" w:rsidTr="009247F3">
        <w:trPr>
          <w:trHeight w:val="252"/>
        </w:trPr>
        <w:tc>
          <w:tcPr>
            <w:cnfStyle w:val="000010000000" w:firstRow="0" w:lastRow="0" w:firstColumn="0" w:lastColumn="0" w:oddVBand="1" w:evenVBand="0" w:oddHBand="0" w:evenHBand="0" w:firstRowFirstColumn="0" w:firstRowLastColumn="0" w:lastRowFirstColumn="0" w:lastRowLastColumn="0"/>
            <w:tcW w:w="1701" w:type="dxa"/>
          </w:tcPr>
          <w:p w:rsidR="001D0A8D" w:rsidRPr="001D0A8D" w:rsidRDefault="001D0A8D" w:rsidP="001D0A8D">
            <w:pPr>
              <w:pStyle w:val="BodyTextIndent"/>
              <w:ind w:left="0"/>
              <w:jc w:val="center"/>
              <w:rPr>
                <w:color w:val="auto"/>
                <w:sz w:val="20"/>
                <w:szCs w:val="20"/>
              </w:rPr>
            </w:pPr>
            <w:r w:rsidRPr="001D0A8D">
              <w:rPr>
                <w:color w:val="auto"/>
                <w:sz w:val="20"/>
                <w:szCs w:val="20"/>
              </w:rPr>
              <w:t>138.6</w:t>
            </w:r>
          </w:p>
        </w:tc>
        <w:tc>
          <w:tcPr>
            <w:tcW w:w="5386" w:type="dxa"/>
          </w:tcPr>
          <w:p w:rsidR="001D0A8D" w:rsidRPr="001D0A8D" w:rsidRDefault="001D0A8D" w:rsidP="00DD4F0D">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1D0A8D">
              <w:rPr>
                <w:color w:val="auto"/>
                <w:sz w:val="20"/>
                <w:szCs w:val="20"/>
              </w:rPr>
              <w:t>Public Works Loans Board loans</w:t>
            </w:r>
          </w:p>
        </w:tc>
        <w:tc>
          <w:tcPr>
            <w:cnfStyle w:val="000010000000" w:firstRow="0" w:lastRow="0" w:firstColumn="0" w:lastColumn="0" w:oddVBand="1" w:evenVBand="0" w:oddHBand="0" w:evenHBand="0" w:firstRowFirstColumn="0" w:firstRowLastColumn="0" w:lastRowFirstColumn="0" w:lastRowLastColumn="0"/>
            <w:tcW w:w="1701" w:type="dxa"/>
          </w:tcPr>
          <w:p w:rsidR="001D0A8D" w:rsidRPr="007775C4" w:rsidRDefault="00D8259F" w:rsidP="003B35C3">
            <w:pPr>
              <w:pStyle w:val="BodyTextIndent"/>
              <w:ind w:left="0"/>
              <w:jc w:val="center"/>
              <w:rPr>
                <w:color w:val="auto"/>
                <w:sz w:val="20"/>
                <w:szCs w:val="20"/>
              </w:rPr>
            </w:pPr>
            <w:r w:rsidRPr="007775C4">
              <w:rPr>
                <w:color w:val="auto"/>
                <w:sz w:val="20"/>
                <w:szCs w:val="20"/>
              </w:rPr>
              <w:t>259.</w:t>
            </w:r>
            <w:r w:rsidR="003B35C3">
              <w:rPr>
                <w:color w:val="auto"/>
                <w:sz w:val="20"/>
                <w:szCs w:val="20"/>
              </w:rPr>
              <w:t>8</w:t>
            </w:r>
          </w:p>
        </w:tc>
      </w:tr>
      <w:tr w:rsidR="001D0A8D" w:rsidRPr="001D0A8D" w:rsidTr="009247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tcPr>
          <w:p w:rsidR="001D0A8D" w:rsidRPr="00D8259F" w:rsidRDefault="00D8259F" w:rsidP="001D0A8D">
            <w:pPr>
              <w:pStyle w:val="BodyTextIndent"/>
              <w:ind w:left="0"/>
              <w:jc w:val="center"/>
              <w:rPr>
                <w:color w:val="auto"/>
                <w:sz w:val="20"/>
                <w:szCs w:val="20"/>
              </w:rPr>
            </w:pPr>
            <w:r w:rsidRPr="00D8259F">
              <w:rPr>
                <w:color w:val="auto"/>
                <w:sz w:val="20"/>
                <w:szCs w:val="20"/>
              </w:rPr>
              <w:t>153.1</w:t>
            </w:r>
          </w:p>
        </w:tc>
        <w:tc>
          <w:tcPr>
            <w:tcW w:w="5386" w:type="dxa"/>
          </w:tcPr>
          <w:p w:rsidR="001D0A8D" w:rsidRPr="001D0A8D" w:rsidRDefault="001D0A8D" w:rsidP="00DD4F0D">
            <w:pPr>
              <w:pStyle w:val="BodyTextIndent"/>
              <w:ind w:left="0"/>
              <w:cnfStyle w:val="000000100000" w:firstRow="0" w:lastRow="0" w:firstColumn="0" w:lastColumn="0" w:oddVBand="0" w:evenVBand="0" w:oddHBand="1" w:evenHBand="0" w:firstRowFirstColumn="0" w:firstRowLastColumn="0" w:lastRowFirstColumn="0" w:lastRowLastColumn="0"/>
              <w:rPr>
                <w:b/>
                <w:color w:val="auto"/>
                <w:sz w:val="20"/>
                <w:szCs w:val="20"/>
              </w:rPr>
            </w:pPr>
            <w:r w:rsidRPr="001D0A8D">
              <w:rPr>
                <w:b/>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701" w:type="dxa"/>
          </w:tcPr>
          <w:p w:rsidR="001D0A8D" w:rsidRPr="007775C4" w:rsidRDefault="00AA7422" w:rsidP="00CD3A5B">
            <w:pPr>
              <w:pStyle w:val="BodyTextIndent"/>
              <w:ind w:left="0"/>
              <w:jc w:val="center"/>
              <w:rPr>
                <w:b/>
                <w:color w:val="auto"/>
                <w:sz w:val="20"/>
                <w:szCs w:val="20"/>
              </w:rPr>
            </w:pPr>
            <w:r w:rsidRPr="007775C4">
              <w:rPr>
                <w:b/>
                <w:color w:val="auto"/>
                <w:sz w:val="20"/>
                <w:szCs w:val="20"/>
              </w:rPr>
              <w:t>272.4</w:t>
            </w:r>
          </w:p>
        </w:tc>
      </w:tr>
      <w:tr w:rsidR="001D0A8D" w:rsidRPr="001D0A8D" w:rsidTr="009247F3">
        <w:trPr>
          <w:trHeight w:val="255"/>
        </w:trPr>
        <w:tc>
          <w:tcPr>
            <w:cnfStyle w:val="000010000000" w:firstRow="0" w:lastRow="0" w:firstColumn="0" w:lastColumn="0" w:oddVBand="1" w:evenVBand="0" w:oddHBand="0" w:evenHBand="0" w:firstRowFirstColumn="0" w:firstRowLastColumn="0" w:lastRowFirstColumn="0" w:lastRowLastColumn="0"/>
            <w:tcW w:w="1701" w:type="dxa"/>
          </w:tcPr>
          <w:p w:rsidR="001D0A8D" w:rsidRPr="001D0A8D" w:rsidRDefault="00D8259F" w:rsidP="001D0A8D">
            <w:pPr>
              <w:pStyle w:val="BodyTextIndent"/>
              <w:tabs>
                <w:tab w:val="left" w:pos="709"/>
              </w:tabs>
              <w:ind w:left="0"/>
              <w:jc w:val="center"/>
              <w:rPr>
                <w:i/>
                <w:color w:val="auto"/>
                <w:sz w:val="20"/>
                <w:szCs w:val="20"/>
              </w:rPr>
            </w:pPr>
            <w:r>
              <w:rPr>
                <w:i/>
                <w:color w:val="auto"/>
                <w:sz w:val="20"/>
                <w:szCs w:val="20"/>
              </w:rPr>
              <w:t>154.4</w:t>
            </w:r>
          </w:p>
        </w:tc>
        <w:tc>
          <w:tcPr>
            <w:tcW w:w="5386" w:type="dxa"/>
          </w:tcPr>
          <w:p w:rsidR="001D0A8D" w:rsidRPr="001D0A8D" w:rsidRDefault="001D0A8D" w:rsidP="002505FF">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i/>
                <w:color w:val="auto"/>
                <w:sz w:val="20"/>
                <w:szCs w:val="20"/>
              </w:rPr>
            </w:pPr>
            <w:r w:rsidRPr="001D0A8D">
              <w:rPr>
                <w:i/>
                <w:color w:val="auto"/>
                <w:sz w:val="20"/>
                <w:szCs w:val="20"/>
              </w:rPr>
              <w:t>Carrying Amount as at 31</w:t>
            </w:r>
            <w:r w:rsidRPr="001D0A8D">
              <w:rPr>
                <w:i/>
                <w:color w:val="auto"/>
                <w:sz w:val="20"/>
                <w:szCs w:val="20"/>
                <w:vertAlign w:val="superscript"/>
              </w:rPr>
              <w:t>st</w:t>
            </w:r>
            <w:r w:rsidRPr="001D0A8D">
              <w:rPr>
                <w:i/>
                <w:color w:val="auto"/>
                <w:sz w:val="20"/>
                <w:szCs w:val="20"/>
              </w:rPr>
              <w:t xml:space="preserve"> March  - including interest due</w:t>
            </w:r>
          </w:p>
        </w:tc>
        <w:tc>
          <w:tcPr>
            <w:cnfStyle w:val="000010000000" w:firstRow="0" w:lastRow="0" w:firstColumn="0" w:lastColumn="0" w:oddVBand="1" w:evenVBand="0" w:oddHBand="0" w:evenHBand="0" w:firstRowFirstColumn="0" w:firstRowLastColumn="0" w:lastRowFirstColumn="0" w:lastRowLastColumn="0"/>
            <w:tcW w:w="1701" w:type="dxa"/>
          </w:tcPr>
          <w:p w:rsidR="001D0A8D" w:rsidRPr="007775C4" w:rsidRDefault="007775C4" w:rsidP="007775C4">
            <w:pPr>
              <w:pStyle w:val="BodyTextIndent"/>
              <w:tabs>
                <w:tab w:val="left" w:pos="709"/>
              </w:tabs>
              <w:ind w:left="0"/>
              <w:jc w:val="center"/>
              <w:rPr>
                <w:i/>
                <w:color w:val="auto"/>
                <w:sz w:val="20"/>
                <w:szCs w:val="20"/>
              </w:rPr>
            </w:pPr>
            <w:r w:rsidRPr="007775C4">
              <w:rPr>
                <w:i/>
                <w:color w:val="auto"/>
                <w:sz w:val="20"/>
                <w:szCs w:val="20"/>
              </w:rPr>
              <w:t>275.</w:t>
            </w:r>
            <w:r>
              <w:rPr>
                <w:i/>
                <w:color w:val="auto"/>
                <w:sz w:val="20"/>
                <w:szCs w:val="20"/>
              </w:rPr>
              <w:t>4</w:t>
            </w:r>
          </w:p>
        </w:tc>
      </w:tr>
    </w:tbl>
    <w:p w:rsidR="00DD4F0D" w:rsidRPr="001D0A8D" w:rsidRDefault="00DD4F0D" w:rsidP="009A167A">
      <w:pPr>
        <w:pStyle w:val="BodyTextIndent"/>
        <w:ind w:left="0"/>
        <w:rPr>
          <w:color w:val="auto"/>
          <w:sz w:val="20"/>
          <w:szCs w:val="20"/>
        </w:rPr>
      </w:pPr>
    </w:p>
    <w:p w:rsidR="0099618A" w:rsidRPr="001D0A8D" w:rsidRDefault="00E51139" w:rsidP="009A167A">
      <w:pPr>
        <w:pStyle w:val="BodyTextIndent"/>
        <w:ind w:left="426"/>
        <w:rPr>
          <w:color w:val="auto"/>
          <w:sz w:val="20"/>
          <w:szCs w:val="20"/>
        </w:rPr>
      </w:pPr>
      <w:r w:rsidRPr="001D0A8D">
        <w:rPr>
          <w:color w:val="auto"/>
          <w:sz w:val="20"/>
          <w:szCs w:val="20"/>
        </w:rPr>
        <w:t>The table below shows an analysis of the maturity of</w:t>
      </w:r>
      <w:r w:rsidR="00627D51" w:rsidRPr="001D0A8D">
        <w:rPr>
          <w:color w:val="auto"/>
          <w:sz w:val="20"/>
          <w:szCs w:val="20"/>
        </w:rPr>
        <w:t xml:space="preserve"> (all</w:t>
      </w:r>
      <w:proofErr w:type="gramStart"/>
      <w:r w:rsidR="00627D51" w:rsidRPr="001D0A8D">
        <w:rPr>
          <w:color w:val="auto"/>
          <w:sz w:val="20"/>
          <w:szCs w:val="20"/>
        </w:rPr>
        <w:t xml:space="preserve">) </w:t>
      </w:r>
      <w:r w:rsidRPr="001D0A8D">
        <w:rPr>
          <w:color w:val="auto"/>
          <w:sz w:val="20"/>
          <w:szCs w:val="20"/>
        </w:rPr>
        <w:t xml:space="preserve"> loans</w:t>
      </w:r>
      <w:proofErr w:type="gramEnd"/>
      <w:r w:rsidRPr="001D0A8D">
        <w:rPr>
          <w:color w:val="auto"/>
          <w:sz w:val="20"/>
          <w:szCs w:val="20"/>
        </w:rPr>
        <w:t xml:space="preserve"> repayable</w:t>
      </w:r>
      <w:r w:rsidR="00DD4F0D" w:rsidRPr="001D0A8D">
        <w:rPr>
          <w:color w:val="auto"/>
          <w:sz w:val="20"/>
          <w:szCs w:val="20"/>
        </w:rPr>
        <w:t xml:space="preserve"> (by principal outstanding):-</w:t>
      </w:r>
    </w:p>
    <w:tbl>
      <w:tblPr>
        <w:tblStyle w:val="ListTable3-Accent51"/>
        <w:tblW w:w="8930" w:type="dxa"/>
        <w:tblInd w:w="534" w:type="dxa"/>
        <w:tblLayout w:type="fixed"/>
        <w:tblLook w:val="0000" w:firstRow="0" w:lastRow="0" w:firstColumn="0" w:lastColumn="0" w:noHBand="0" w:noVBand="0"/>
      </w:tblPr>
      <w:tblGrid>
        <w:gridCol w:w="1842"/>
        <w:gridCol w:w="4395"/>
        <w:gridCol w:w="992"/>
        <w:gridCol w:w="1701"/>
      </w:tblGrid>
      <w:tr w:rsidR="00E51139" w:rsidRPr="0005794A" w:rsidTr="009A167A">
        <w:trPr>
          <w:tblHeader/>
        </w:trPr>
        <w:tc>
          <w:tcPr>
            <w:cnfStyle w:val="000010000000" w:firstRow="0" w:lastRow="0" w:firstColumn="0" w:lastColumn="0" w:oddVBand="1" w:evenVBand="0" w:oddHBand="0" w:evenHBand="0" w:firstRowFirstColumn="0" w:firstRowLastColumn="0" w:lastRowFirstColumn="0" w:lastRowLastColumn="0"/>
            <w:tcW w:w="1842" w:type="dxa"/>
            <w:shd w:val="clear" w:color="auto" w:fill="4BACC6" w:themeFill="accent5"/>
          </w:tcPr>
          <w:p w:rsidR="00E51139" w:rsidRPr="001D0A8D" w:rsidRDefault="00E51139" w:rsidP="00235C9A">
            <w:pPr>
              <w:pStyle w:val="BodyTextIndent"/>
              <w:spacing w:line="240" w:lineRule="auto"/>
              <w:ind w:left="0"/>
              <w:jc w:val="center"/>
              <w:rPr>
                <w:color w:val="auto"/>
                <w:sz w:val="20"/>
                <w:szCs w:val="20"/>
              </w:rPr>
            </w:pPr>
            <w:r w:rsidRPr="001D0A8D">
              <w:rPr>
                <w:color w:val="auto"/>
                <w:sz w:val="20"/>
                <w:szCs w:val="20"/>
              </w:rPr>
              <w:t xml:space="preserve">Total Principal </w:t>
            </w:r>
          </w:p>
          <w:p w:rsidR="00E51139" w:rsidRPr="001D0A8D" w:rsidRDefault="00E51139" w:rsidP="00235C9A">
            <w:pPr>
              <w:pStyle w:val="BodyTextIndent"/>
              <w:spacing w:line="240" w:lineRule="auto"/>
              <w:ind w:left="0"/>
              <w:jc w:val="center"/>
              <w:rPr>
                <w:color w:val="auto"/>
                <w:sz w:val="20"/>
                <w:szCs w:val="20"/>
              </w:rPr>
            </w:pPr>
            <w:r w:rsidRPr="001D0A8D">
              <w:rPr>
                <w:color w:val="auto"/>
                <w:sz w:val="20"/>
                <w:szCs w:val="20"/>
              </w:rPr>
              <w:t>Outstanding</w:t>
            </w:r>
          </w:p>
          <w:p w:rsidR="00E51139" w:rsidRPr="001D0A8D" w:rsidRDefault="00E51139" w:rsidP="00235C9A">
            <w:pPr>
              <w:pStyle w:val="BodyTextIndent"/>
              <w:spacing w:line="240" w:lineRule="auto"/>
              <w:ind w:left="0"/>
              <w:jc w:val="center"/>
              <w:rPr>
                <w:color w:val="auto"/>
                <w:sz w:val="18"/>
                <w:szCs w:val="18"/>
              </w:rPr>
            </w:pPr>
            <w:r w:rsidRPr="001D0A8D">
              <w:rPr>
                <w:color w:val="auto"/>
                <w:sz w:val="18"/>
                <w:szCs w:val="18"/>
              </w:rPr>
              <w:t>31st March 201</w:t>
            </w:r>
            <w:r w:rsidR="001D0A8D" w:rsidRPr="001D0A8D">
              <w:rPr>
                <w:color w:val="auto"/>
                <w:sz w:val="18"/>
                <w:szCs w:val="18"/>
              </w:rPr>
              <w:t>7</w:t>
            </w:r>
          </w:p>
          <w:p w:rsidR="0035151A" w:rsidRPr="001D0A8D" w:rsidRDefault="0035151A" w:rsidP="00235C9A">
            <w:pPr>
              <w:pStyle w:val="BodyTextIndent"/>
              <w:spacing w:line="240" w:lineRule="auto"/>
              <w:ind w:left="0"/>
              <w:jc w:val="center"/>
              <w:rPr>
                <w:color w:val="auto"/>
                <w:sz w:val="18"/>
                <w:szCs w:val="18"/>
              </w:rPr>
            </w:pPr>
            <w:r w:rsidRPr="001D0A8D">
              <w:rPr>
                <w:color w:val="auto"/>
                <w:sz w:val="18"/>
                <w:szCs w:val="18"/>
              </w:rPr>
              <w:t>Re-stated</w:t>
            </w:r>
          </w:p>
          <w:p w:rsidR="00E51139" w:rsidRPr="001D0A8D" w:rsidRDefault="00E51139" w:rsidP="00235C9A">
            <w:pPr>
              <w:pStyle w:val="BodyTextIndent"/>
              <w:spacing w:line="240" w:lineRule="auto"/>
              <w:ind w:left="0"/>
              <w:jc w:val="center"/>
              <w:rPr>
                <w:color w:val="auto"/>
                <w:sz w:val="20"/>
                <w:szCs w:val="20"/>
              </w:rPr>
            </w:pPr>
            <w:r w:rsidRPr="001D0A8D">
              <w:rPr>
                <w:color w:val="auto"/>
                <w:sz w:val="18"/>
                <w:szCs w:val="18"/>
              </w:rPr>
              <w:t>£ m</w:t>
            </w:r>
          </w:p>
        </w:tc>
        <w:tc>
          <w:tcPr>
            <w:tcW w:w="4395" w:type="dxa"/>
            <w:shd w:val="clear" w:color="auto" w:fill="4BACC6" w:themeFill="accent5"/>
          </w:tcPr>
          <w:p w:rsidR="00F43B00" w:rsidRPr="001D0A8D" w:rsidRDefault="00F43B00"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0"/>
                <w:szCs w:val="20"/>
                <w:u w:val="single"/>
              </w:rPr>
            </w:pPr>
            <w:r w:rsidRPr="001D0A8D">
              <w:rPr>
                <w:color w:val="auto"/>
                <w:sz w:val="20"/>
                <w:szCs w:val="20"/>
              </w:rPr>
              <w:t>Analysis of Loans by Maturity</w:t>
            </w:r>
          </w:p>
          <w:p w:rsidR="00E51139" w:rsidRPr="001D0A8D"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0"/>
                <w:szCs w:val="20"/>
                <w:u w:val="single"/>
              </w:rPr>
            </w:pPr>
          </w:p>
          <w:p w:rsidR="00E51139" w:rsidRPr="001D0A8D"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E51139" w:rsidRPr="001D0A8D" w:rsidRDefault="00F43B00" w:rsidP="00235C9A">
            <w:pPr>
              <w:pStyle w:val="BodyTextIndent"/>
              <w:spacing w:line="240" w:lineRule="auto"/>
              <w:ind w:left="0"/>
              <w:jc w:val="center"/>
              <w:rPr>
                <w:color w:val="auto"/>
                <w:sz w:val="20"/>
                <w:szCs w:val="20"/>
              </w:rPr>
            </w:pPr>
            <w:r w:rsidRPr="001D0A8D">
              <w:rPr>
                <w:color w:val="auto"/>
                <w:sz w:val="20"/>
                <w:szCs w:val="20"/>
              </w:rPr>
              <w:t>Average Interest Rate</w:t>
            </w:r>
          </w:p>
          <w:p w:rsidR="00E51139" w:rsidRPr="001D0A8D" w:rsidRDefault="00E51139" w:rsidP="00235C9A">
            <w:pPr>
              <w:pStyle w:val="BodyTextIndent"/>
              <w:spacing w:line="240" w:lineRule="auto"/>
              <w:ind w:left="0"/>
              <w:jc w:val="center"/>
              <w:rPr>
                <w:color w:val="auto"/>
                <w:sz w:val="20"/>
                <w:szCs w:val="20"/>
              </w:rPr>
            </w:pPr>
          </w:p>
          <w:p w:rsidR="00E51139" w:rsidRPr="001D0A8D" w:rsidRDefault="00E51139" w:rsidP="00235C9A">
            <w:pPr>
              <w:pStyle w:val="BodyTextIndent"/>
              <w:spacing w:line="240" w:lineRule="auto"/>
              <w:ind w:left="0"/>
              <w:jc w:val="center"/>
              <w:rPr>
                <w:color w:val="auto"/>
                <w:sz w:val="20"/>
                <w:szCs w:val="20"/>
              </w:rPr>
            </w:pPr>
          </w:p>
        </w:tc>
        <w:tc>
          <w:tcPr>
            <w:tcW w:w="1701" w:type="dxa"/>
            <w:shd w:val="clear" w:color="auto" w:fill="4BACC6" w:themeFill="accent5"/>
          </w:tcPr>
          <w:p w:rsidR="00E51139" w:rsidRPr="001D0A8D"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1D0A8D">
              <w:rPr>
                <w:b/>
                <w:color w:val="auto"/>
                <w:sz w:val="20"/>
                <w:szCs w:val="20"/>
              </w:rPr>
              <w:t xml:space="preserve">Total Principal </w:t>
            </w:r>
          </w:p>
          <w:p w:rsidR="00E51139" w:rsidRPr="001D0A8D"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1D0A8D">
              <w:rPr>
                <w:b/>
                <w:color w:val="auto"/>
                <w:sz w:val="20"/>
                <w:szCs w:val="20"/>
              </w:rPr>
              <w:t>Outstanding</w:t>
            </w:r>
          </w:p>
          <w:p w:rsidR="00E51139" w:rsidRPr="001D0A8D"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1D0A8D">
              <w:rPr>
                <w:b/>
                <w:color w:val="auto"/>
                <w:sz w:val="20"/>
                <w:szCs w:val="20"/>
              </w:rPr>
              <w:t>31st March 201</w:t>
            </w:r>
            <w:r w:rsidR="001D0A8D" w:rsidRPr="001D0A8D">
              <w:rPr>
                <w:b/>
                <w:color w:val="auto"/>
                <w:sz w:val="20"/>
                <w:szCs w:val="20"/>
              </w:rPr>
              <w:t>8</w:t>
            </w:r>
          </w:p>
          <w:p w:rsidR="00E51139" w:rsidRPr="001D0A8D" w:rsidRDefault="00E51139" w:rsidP="00235C9A">
            <w:pPr>
              <w:pStyle w:val="BodyTextIndent"/>
              <w:spacing w:line="240" w:lineRule="auto"/>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D0A8D">
              <w:rPr>
                <w:color w:val="auto"/>
                <w:sz w:val="20"/>
                <w:szCs w:val="20"/>
              </w:rPr>
              <w:t>£ m</w:t>
            </w:r>
          </w:p>
        </w:tc>
      </w:tr>
      <w:tr w:rsidR="00AF3792" w:rsidRPr="0005794A"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color w:val="auto"/>
                <w:sz w:val="20"/>
                <w:szCs w:val="20"/>
              </w:rPr>
            </w:pPr>
            <w:r w:rsidRPr="001D0A8D">
              <w:rPr>
                <w:color w:val="auto"/>
                <w:sz w:val="20"/>
                <w:szCs w:val="20"/>
              </w:rPr>
              <w:t>4.5</w:t>
            </w:r>
          </w:p>
        </w:tc>
        <w:tc>
          <w:tcPr>
            <w:tcW w:w="4395" w:type="dxa"/>
            <w:vAlign w:val="center"/>
          </w:tcPr>
          <w:p w:rsidR="00AF3792" w:rsidRPr="001D0A8D"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1D0A8D">
              <w:rPr>
                <w:color w:val="auto"/>
                <w:sz w:val="20"/>
                <w:szCs w:val="20"/>
              </w:rPr>
              <w:t>Within 1 year - (short term)</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375D40" w:rsidRDefault="00AF3792" w:rsidP="00AF3792">
            <w:pPr>
              <w:pStyle w:val="BodyTextIndent"/>
              <w:ind w:left="0"/>
              <w:jc w:val="center"/>
              <w:rPr>
                <w:color w:val="auto"/>
                <w:sz w:val="20"/>
                <w:szCs w:val="20"/>
              </w:rPr>
            </w:pPr>
            <w:r w:rsidRPr="00375D40">
              <w:rPr>
                <w:color w:val="auto"/>
                <w:sz w:val="20"/>
                <w:szCs w:val="20"/>
              </w:rPr>
              <w:t>2.15%</w:t>
            </w:r>
          </w:p>
        </w:tc>
        <w:tc>
          <w:tcPr>
            <w:tcW w:w="1701" w:type="dxa"/>
          </w:tcPr>
          <w:p w:rsidR="00AF3792" w:rsidRPr="001D0A8D" w:rsidRDefault="00AF3792" w:rsidP="00AF3792">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2.6</w:t>
            </w:r>
          </w:p>
        </w:tc>
      </w:tr>
      <w:tr w:rsidR="00AF3792" w:rsidRPr="0005794A" w:rsidTr="009A167A">
        <w:trPr>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color w:val="auto"/>
                <w:sz w:val="20"/>
                <w:szCs w:val="20"/>
              </w:rPr>
            </w:pPr>
            <w:r w:rsidRPr="001D0A8D">
              <w:rPr>
                <w:color w:val="auto"/>
                <w:sz w:val="20"/>
                <w:szCs w:val="20"/>
              </w:rPr>
              <w:t>2.5</w:t>
            </w:r>
          </w:p>
        </w:tc>
        <w:tc>
          <w:tcPr>
            <w:tcW w:w="4395" w:type="dxa"/>
            <w:vAlign w:val="center"/>
          </w:tcPr>
          <w:p w:rsidR="00AF3792" w:rsidRPr="001D0A8D" w:rsidRDefault="00AF3792" w:rsidP="00AF379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1D0A8D">
              <w:rPr>
                <w:color w:val="auto"/>
                <w:sz w:val="20"/>
                <w:szCs w:val="20"/>
              </w:rPr>
              <w:t>1 up to 2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375D40" w:rsidRDefault="00AF3792" w:rsidP="00AF3792">
            <w:pPr>
              <w:pStyle w:val="BodyTextIndent"/>
              <w:ind w:left="0"/>
              <w:jc w:val="center"/>
              <w:rPr>
                <w:color w:val="auto"/>
                <w:sz w:val="20"/>
                <w:szCs w:val="20"/>
              </w:rPr>
            </w:pPr>
            <w:r w:rsidRPr="00375D40">
              <w:rPr>
                <w:color w:val="auto"/>
                <w:sz w:val="20"/>
                <w:szCs w:val="20"/>
              </w:rPr>
              <w:t>1.89%</w:t>
            </w:r>
          </w:p>
        </w:tc>
        <w:tc>
          <w:tcPr>
            <w:tcW w:w="1701" w:type="dxa"/>
          </w:tcPr>
          <w:p w:rsidR="00AF3792" w:rsidRPr="00AF3792" w:rsidRDefault="00AF3792" w:rsidP="00AF3792">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F3792">
              <w:rPr>
                <w:color w:val="auto"/>
                <w:sz w:val="20"/>
                <w:szCs w:val="20"/>
              </w:rPr>
              <w:t>0.6</w:t>
            </w:r>
          </w:p>
        </w:tc>
      </w:tr>
      <w:tr w:rsidR="00AF3792" w:rsidRPr="0005794A"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color w:val="auto"/>
                <w:sz w:val="20"/>
                <w:szCs w:val="20"/>
              </w:rPr>
            </w:pPr>
            <w:r w:rsidRPr="001D0A8D">
              <w:rPr>
                <w:color w:val="auto"/>
                <w:sz w:val="20"/>
                <w:szCs w:val="20"/>
              </w:rPr>
              <w:t>0.5</w:t>
            </w:r>
          </w:p>
        </w:tc>
        <w:tc>
          <w:tcPr>
            <w:tcW w:w="4395" w:type="dxa"/>
            <w:vAlign w:val="center"/>
          </w:tcPr>
          <w:p w:rsidR="00AF3792" w:rsidRPr="001D0A8D"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1D0A8D">
              <w:rPr>
                <w:color w:val="auto"/>
                <w:sz w:val="20"/>
                <w:szCs w:val="20"/>
              </w:rPr>
              <w:t>2 up to 3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375D40" w:rsidRDefault="00AF3792" w:rsidP="00AF3792">
            <w:pPr>
              <w:pStyle w:val="BodyTextIndent"/>
              <w:ind w:left="0"/>
              <w:jc w:val="center"/>
              <w:rPr>
                <w:color w:val="auto"/>
                <w:sz w:val="20"/>
                <w:szCs w:val="20"/>
              </w:rPr>
            </w:pPr>
            <w:r w:rsidRPr="00375D40">
              <w:rPr>
                <w:color w:val="auto"/>
                <w:sz w:val="20"/>
                <w:szCs w:val="20"/>
              </w:rPr>
              <w:t>2.23</w:t>
            </w:r>
          </w:p>
        </w:tc>
        <w:tc>
          <w:tcPr>
            <w:tcW w:w="1701" w:type="dxa"/>
          </w:tcPr>
          <w:p w:rsidR="00AF3792" w:rsidRPr="00AF3792" w:rsidRDefault="00AF3792" w:rsidP="00AF3792">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F3792">
              <w:rPr>
                <w:color w:val="auto"/>
                <w:sz w:val="20"/>
                <w:szCs w:val="20"/>
              </w:rPr>
              <w:t>3.6</w:t>
            </w:r>
          </w:p>
        </w:tc>
      </w:tr>
      <w:tr w:rsidR="00AF3792" w:rsidRPr="0005794A" w:rsidTr="009A167A">
        <w:trPr>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color w:val="auto"/>
                <w:sz w:val="20"/>
                <w:szCs w:val="20"/>
              </w:rPr>
            </w:pPr>
            <w:r w:rsidRPr="001D0A8D">
              <w:rPr>
                <w:color w:val="auto"/>
                <w:sz w:val="20"/>
                <w:szCs w:val="20"/>
              </w:rPr>
              <w:t>3.5</w:t>
            </w:r>
          </w:p>
        </w:tc>
        <w:tc>
          <w:tcPr>
            <w:tcW w:w="4395" w:type="dxa"/>
            <w:vAlign w:val="center"/>
          </w:tcPr>
          <w:p w:rsidR="00AF3792" w:rsidRPr="001D0A8D" w:rsidRDefault="00AF3792" w:rsidP="00AF379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1D0A8D">
              <w:rPr>
                <w:color w:val="auto"/>
                <w:sz w:val="20"/>
                <w:szCs w:val="20"/>
              </w:rPr>
              <w:t>3 up to 4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375D40" w:rsidRDefault="00AF3792" w:rsidP="00AF3792">
            <w:pPr>
              <w:pStyle w:val="BodyTextIndent"/>
              <w:ind w:left="0"/>
              <w:jc w:val="center"/>
              <w:rPr>
                <w:color w:val="auto"/>
                <w:sz w:val="20"/>
                <w:szCs w:val="20"/>
              </w:rPr>
            </w:pPr>
            <w:r w:rsidRPr="00375D40">
              <w:rPr>
                <w:color w:val="auto"/>
                <w:sz w:val="20"/>
                <w:szCs w:val="20"/>
              </w:rPr>
              <w:t>2.27%</w:t>
            </w:r>
          </w:p>
        </w:tc>
        <w:tc>
          <w:tcPr>
            <w:tcW w:w="1701" w:type="dxa"/>
          </w:tcPr>
          <w:p w:rsidR="00AF3792" w:rsidRPr="00AF3792" w:rsidRDefault="00AF3792" w:rsidP="00AF3792">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F3792">
              <w:rPr>
                <w:color w:val="auto"/>
                <w:sz w:val="20"/>
                <w:szCs w:val="20"/>
              </w:rPr>
              <w:t>2.6</w:t>
            </w:r>
          </w:p>
        </w:tc>
      </w:tr>
      <w:tr w:rsidR="00AF3792" w:rsidRPr="0005794A"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color w:val="auto"/>
                <w:sz w:val="20"/>
                <w:szCs w:val="20"/>
              </w:rPr>
            </w:pPr>
            <w:r w:rsidRPr="001D0A8D">
              <w:rPr>
                <w:color w:val="auto"/>
                <w:sz w:val="20"/>
                <w:szCs w:val="20"/>
              </w:rPr>
              <w:t>5.5</w:t>
            </w:r>
          </w:p>
        </w:tc>
        <w:tc>
          <w:tcPr>
            <w:tcW w:w="4395" w:type="dxa"/>
            <w:vAlign w:val="center"/>
          </w:tcPr>
          <w:p w:rsidR="00AF3792" w:rsidRPr="001D0A8D"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1D0A8D">
              <w:rPr>
                <w:color w:val="auto"/>
                <w:sz w:val="20"/>
                <w:szCs w:val="20"/>
              </w:rPr>
              <w:t>4 up to 5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375D40" w:rsidRDefault="00AF3792" w:rsidP="00AF3792">
            <w:pPr>
              <w:pStyle w:val="BodyTextIndent"/>
              <w:ind w:left="0"/>
              <w:jc w:val="center"/>
              <w:rPr>
                <w:color w:val="auto"/>
                <w:sz w:val="20"/>
                <w:szCs w:val="20"/>
              </w:rPr>
            </w:pPr>
            <w:r w:rsidRPr="00375D40">
              <w:rPr>
                <w:color w:val="auto"/>
                <w:sz w:val="20"/>
                <w:szCs w:val="20"/>
              </w:rPr>
              <w:t>2.34%</w:t>
            </w:r>
          </w:p>
        </w:tc>
        <w:tc>
          <w:tcPr>
            <w:tcW w:w="1701" w:type="dxa"/>
          </w:tcPr>
          <w:p w:rsidR="00AF3792" w:rsidRPr="00AF3792" w:rsidRDefault="00AF3792" w:rsidP="00AF3792">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F3792">
              <w:rPr>
                <w:color w:val="auto"/>
                <w:sz w:val="20"/>
                <w:szCs w:val="20"/>
              </w:rPr>
              <w:t>3.6</w:t>
            </w:r>
          </w:p>
        </w:tc>
      </w:tr>
      <w:tr w:rsidR="00AF3792" w:rsidRPr="0005794A" w:rsidTr="009A167A">
        <w:trPr>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color w:val="auto"/>
                <w:sz w:val="20"/>
                <w:szCs w:val="20"/>
              </w:rPr>
            </w:pPr>
            <w:r w:rsidRPr="001D0A8D">
              <w:rPr>
                <w:color w:val="auto"/>
                <w:sz w:val="20"/>
                <w:szCs w:val="20"/>
              </w:rPr>
              <w:t>14.1</w:t>
            </w:r>
          </w:p>
        </w:tc>
        <w:tc>
          <w:tcPr>
            <w:tcW w:w="4395" w:type="dxa"/>
            <w:vAlign w:val="center"/>
          </w:tcPr>
          <w:p w:rsidR="00AF3792" w:rsidRPr="001D0A8D" w:rsidRDefault="00AF3792" w:rsidP="00AF379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1D0A8D">
              <w:rPr>
                <w:color w:val="auto"/>
                <w:sz w:val="20"/>
                <w:szCs w:val="20"/>
              </w:rPr>
              <w:t>5 up to 10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375D40" w:rsidRDefault="00AF3792" w:rsidP="00CB7FAB">
            <w:pPr>
              <w:pStyle w:val="BodyTextIndent"/>
              <w:ind w:left="0"/>
              <w:jc w:val="center"/>
              <w:rPr>
                <w:color w:val="auto"/>
                <w:sz w:val="20"/>
                <w:szCs w:val="20"/>
              </w:rPr>
            </w:pPr>
            <w:r w:rsidRPr="00375D40">
              <w:rPr>
                <w:color w:val="auto"/>
                <w:sz w:val="20"/>
                <w:szCs w:val="20"/>
              </w:rPr>
              <w:t>2.</w:t>
            </w:r>
            <w:r w:rsidR="00CB7FAB">
              <w:rPr>
                <w:color w:val="auto"/>
                <w:sz w:val="20"/>
                <w:szCs w:val="20"/>
              </w:rPr>
              <w:t>69</w:t>
            </w:r>
            <w:r w:rsidRPr="00375D40">
              <w:rPr>
                <w:color w:val="auto"/>
                <w:sz w:val="20"/>
                <w:szCs w:val="20"/>
              </w:rPr>
              <w:t>%</w:t>
            </w:r>
          </w:p>
        </w:tc>
        <w:tc>
          <w:tcPr>
            <w:tcW w:w="1701" w:type="dxa"/>
          </w:tcPr>
          <w:p w:rsidR="00AF3792" w:rsidRPr="00AF3792" w:rsidRDefault="00CB7FAB" w:rsidP="00CB7FA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21</w:t>
            </w:r>
            <w:r w:rsidR="00AF3792" w:rsidRPr="00AF3792">
              <w:rPr>
                <w:color w:val="auto"/>
                <w:sz w:val="20"/>
                <w:szCs w:val="20"/>
              </w:rPr>
              <w:t>.8</w:t>
            </w:r>
          </w:p>
        </w:tc>
      </w:tr>
      <w:tr w:rsidR="00AF3792" w:rsidRPr="0005794A"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color w:val="auto"/>
                <w:sz w:val="20"/>
                <w:szCs w:val="20"/>
              </w:rPr>
            </w:pPr>
            <w:r w:rsidRPr="001D0A8D">
              <w:rPr>
                <w:color w:val="auto"/>
                <w:sz w:val="20"/>
                <w:szCs w:val="20"/>
              </w:rPr>
              <w:t>8.3</w:t>
            </w:r>
          </w:p>
        </w:tc>
        <w:tc>
          <w:tcPr>
            <w:tcW w:w="4395" w:type="dxa"/>
            <w:vAlign w:val="center"/>
          </w:tcPr>
          <w:p w:rsidR="00AF3792" w:rsidRPr="001D0A8D"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1D0A8D">
              <w:rPr>
                <w:color w:val="auto"/>
                <w:sz w:val="20"/>
                <w:szCs w:val="20"/>
              </w:rPr>
              <w:t>10 up to 15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375D40" w:rsidRDefault="00AF3792" w:rsidP="00CB7FAB">
            <w:pPr>
              <w:pStyle w:val="BodyTextIndent"/>
              <w:ind w:left="0"/>
              <w:jc w:val="center"/>
              <w:rPr>
                <w:color w:val="auto"/>
                <w:sz w:val="20"/>
                <w:szCs w:val="20"/>
              </w:rPr>
            </w:pPr>
            <w:r w:rsidRPr="00375D40">
              <w:rPr>
                <w:color w:val="auto"/>
                <w:sz w:val="20"/>
                <w:szCs w:val="20"/>
              </w:rPr>
              <w:t>2.7</w:t>
            </w:r>
            <w:r w:rsidR="00CB7FAB">
              <w:rPr>
                <w:color w:val="auto"/>
                <w:sz w:val="20"/>
                <w:szCs w:val="20"/>
              </w:rPr>
              <w:t>5</w:t>
            </w:r>
            <w:r w:rsidRPr="00375D40">
              <w:rPr>
                <w:color w:val="auto"/>
                <w:sz w:val="20"/>
                <w:szCs w:val="20"/>
              </w:rPr>
              <w:t>%</w:t>
            </w:r>
          </w:p>
        </w:tc>
        <w:tc>
          <w:tcPr>
            <w:tcW w:w="1701" w:type="dxa"/>
          </w:tcPr>
          <w:p w:rsidR="00AF3792" w:rsidRPr="00AF3792" w:rsidRDefault="00CB7FAB" w:rsidP="00CB7FA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26</w:t>
            </w:r>
            <w:r w:rsidR="00AF3792" w:rsidRPr="00AF3792">
              <w:rPr>
                <w:color w:val="auto"/>
                <w:sz w:val="20"/>
                <w:szCs w:val="20"/>
              </w:rPr>
              <w:t>.2</w:t>
            </w:r>
          </w:p>
        </w:tc>
      </w:tr>
      <w:tr w:rsidR="00AF3792" w:rsidRPr="0005794A" w:rsidTr="009A167A">
        <w:trPr>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color w:val="auto"/>
                <w:sz w:val="20"/>
                <w:szCs w:val="20"/>
              </w:rPr>
            </w:pPr>
            <w:r w:rsidRPr="001D0A8D">
              <w:rPr>
                <w:color w:val="auto"/>
                <w:sz w:val="20"/>
                <w:szCs w:val="20"/>
              </w:rPr>
              <w:t>18.6</w:t>
            </w:r>
          </w:p>
        </w:tc>
        <w:tc>
          <w:tcPr>
            <w:tcW w:w="4395" w:type="dxa"/>
            <w:vAlign w:val="center"/>
          </w:tcPr>
          <w:p w:rsidR="00AF3792" w:rsidRPr="001D0A8D" w:rsidRDefault="00AF3792" w:rsidP="00AF379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1D0A8D">
              <w:rPr>
                <w:color w:val="auto"/>
                <w:sz w:val="20"/>
                <w:szCs w:val="20"/>
              </w:rPr>
              <w:t>15 up to 20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FA3991" w:rsidRDefault="00AF3792" w:rsidP="00AF3792">
            <w:pPr>
              <w:pStyle w:val="BodyTextIndent"/>
              <w:ind w:left="0"/>
              <w:jc w:val="center"/>
              <w:rPr>
                <w:color w:val="auto"/>
                <w:sz w:val="20"/>
                <w:szCs w:val="20"/>
              </w:rPr>
            </w:pPr>
            <w:r w:rsidRPr="00FA3991">
              <w:rPr>
                <w:color w:val="auto"/>
                <w:sz w:val="20"/>
                <w:szCs w:val="20"/>
              </w:rPr>
              <w:t>3.79%</w:t>
            </w:r>
          </w:p>
        </w:tc>
        <w:tc>
          <w:tcPr>
            <w:tcW w:w="1701" w:type="dxa"/>
          </w:tcPr>
          <w:p w:rsidR="00AF3792" w:rsidRPr="00AF3792" w:rsidRDefault="00AF3792" w:rsidP="00AF3792">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F3792">
              <w:rPr>
                <w:color w:val="auto"/>
                <w:sz w:val="20"/>
                <w:szCs w:val="20"/>
              </w:rPr>
              <w:t>24.7</w:t>
            </w:r>
          </w:p>
        </w:tc>
      </w:tr>
      <w:tr w:rsidR="00AF3792" w:rsidRPr="0005794A"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color w:val="auto"/>
                <w:sz w:val="20"/>
                <w:szCs w:val="20"/>
              </w:rPr>
            </w:pPr>
            <w:r w:rsidRPr="001D0A8D">
              <w:rPr>
                <w:color w:val="auto"/>
                <w:sz w:val="20"/>
                <w:szCs w:val="20"/>
              </w:rPr>
              <w:t>17.1</w:t>
            </w:r>
          </w:p>
        </w:tc>
        <w:tc>
          <w:tcPr>
            <w:tcW w:w="4395" w:type="dxa"/>
            <w:vAlign w:val="center"/>
          </w:tcPr>
          <w:p w:rsidR="00AF3792" w:rsidRPr="001D0A8D"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1D0A8D">
              <w:rPr>
                <w:color w:val="auto"/>
                <w:sz w:val="20"/>
                <w:szCs w:val="20"/>
              </w:rPr>
              <w:t>20 up to 25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FA3991" w:rsidRDefault="00AF3792" w:rsidP="00AF3792">
            <w:pPr>
              <w:pStyle w:val="BodyTextIndent"/>
              <w:ind w:left="0"/>
              <w:jc w:val="center"/>
              <w:rPr>
                <w:color w:val="auto"/>
                <w:sz w:val="20"/>
                <w:szCs w:val="20"/>
              </w:rPr>
            </w:pPr>
            <w:r w:rsidRPr="00FA3991">
              <w:rPr>
                <w:color w:val="auto"/>
                <w:sz w:val="20"/>
                <w:szCs w:val="20"/>
              </w:rPr>
              <w:t>3.91%</w:t>
            </w:r>
          </w:p>
        </w:tc>
        <w:tc>
          <w:tcPr>
            <w:tcW w:w="1701" w:type="dxa"/>
          </w:tcPr>
          <w:p w:rsidR="00AF3792" w:rsidRPr="00AF3792" w:rsidRDefault="00AF3792" w:rsidP="00AF3792">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AF3792">
              <w:rPr>
                <w:color w:val="auto"/>
                <w:sz w:val="20"/>
                <w:szCs w:val="20"/>
              </w:rPr>
              <w:t>16.2</w:t>
            </w:r>
          </w:p>
        </w:tc>
      </w:tr>
      <w:tr w:rsidR="00AF3792" w:rsidRPr="0005794A" w:rsidTr="009A167A">
        <w:trPr>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color w:val="auto"/>
                <w:sz w:val="20"/>
                <w:szCs w:val="20"/>
              </w:rPr>
            </w:pPr>
            <w:r w:rsidRPr="001D0A8D">
              <w:rPr>
                <w:color w:val="auto"/>
                <w:sz w:val="20"/>
                <w:szCs w:val="20"/>
              </w:rPr>
              <w:t>78.5</w:t>
            </w:r>
          </w:p>
        </w:tc>
        <w:tc>
          <w:tcPr>
            <w:tcW w:w="4395" w:type="dxa"/>
            <w:vAlign w:val="center"/>
          </w:tcPr>
          <w:p w:rsidR="00AF3792" w:rsidRPr="001D0A8D" w:rsidRDefault="00AF3792" w:rsidP="00AF3792">
            <w:pPr>
              <w:pStyle w:val="BodyTextIndent"/>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1D0A8D">
              <w:rPr>
                <w:color w:val="auto"/>
                <w:sz w:val="20"/>
                <w:szCs w:val="20"/>
              </w:rPr>
              <w:t>Over 25 years</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FA3991" w:rsidRDefault="00AF3792" w:rsidP="00AF3792">
            <w:pPr>
              <w:pStyle w:val="BodyTextIndent"/>
              <w:ind w:left="0"/>
              <w:jc w:val="center"/>
              <w:rPr>
                <w:color w:val="auto"/>
                <w:sz w:val="20"/>
                <w:szCs w:val="20"/>
              </w:rPr>
            </w:pPr>
            <w:r w:rsidRPr="00FA3991">
              <w:rPr>
                <w:color w:val="auto"/>
                <w:sz w:val="20"/>
                <w:szCs w:val="20"/>
              </w:rPr>
              <w:t>3.14%</w:t>
            </w:r>
          </w:p>
        </w:tc>
        <w:tc>
          <w:tcPr>
            <w:tcW w:w="1701" w:type="dxa"/>
          </w:tcPr>
          <w:p w:rsidR="00AF3792" w:rsidRPr="00AF3792" w:rsidRDefault="00AF3792" w:rsidP="00AF3792">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AF3792">
              <w:rPr>
                <w:color w:val="auto"/>
                <w:sz w:val="20"/>
                <w:szCs w:val="20"/>
              </w:rPr>
              <w:t>170.5</w:t>
            </w:r>
          </w:p>
        </w:tc>
      </w:tr>
      <w:tr w:rsidR="00AF3792" w:rsidRPr="0005794A" w:rsidTr="009A167A">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842" w:type="dxa"/>
          </w:tcPr>
          <w:p w:rsidR="00AF3792" w:rsidRPr="001D0A8D" w:rsidRDefault="00AF3792" w:rsidP="00AF3792">
            <w:pPr>
              <w:pStyle w:val="BodyTextIndent"/>
              <w:ind w:left="0"/>
              <w:jc w:val="center"/>
              <w:rPr>
                <w:b/>
                <w:color w:val="auto"/>
                <w:sz w:val="20"/>
                <w:szCs w:val="20"/>
              </w:rPr>
            </w:pPr>
            <w:r w:rsidRPr="001D0A8D">
              <w:rPr>
                <w:b/>
                <w:color w:val="auto"/>
                <w:sz w:val="20"/>
                <w:szCs w:val="20"/>
              </w:rPr>
              <w:t>153.1</w:t>
            </w:r>
          </w:p>
        </w:tc>
        <w:tc>
          <w:tcPr>
            <w:tcW w:w="4395" w:type="dxa"/>
            <w:vAlign w:val="center"/>
          </w:tcPr>
          <w:p w:rsidR="00AF3792" w:rsidRPr="001D0A8D" w:rsidRDefault="00AF3792" w:rsidP="00AF3792">
            <w:pPr>
              <w:pStyle w:val="BodyTextIndent"/>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1D0A8D">
              <w:rPr>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AF3792" w:rsidRPr="00FA3991" w:rsidRDefault="00AF3792" w:rsidP="00AF3792">
            <w:pPr>
              <w:pStyle w:val="BodyTextIndent"/>
              <w:ind w:left="0"/>
              <w:jc w:val="center"/>
              <w:rPr>
                <w:color w:val="auto"/>
                <w:sz w:val="20"/>
                <w:szCs w:val="20"/>
              </w:rPr>
            </w:pPr>
            <w:r w:rsidRPr="00FA3991">
              <w:rPr>
                <w:color w:val="auto"/>
                <w:sz w:val="20"/>
                <w:szCs w:val="20"/>
              </w:rPr>
              <w:t>3.16%</w:t>
            </w:r>
          </w:p>
        </w:tc>
        <w:tc>
          <w:tcPr>
            <w:tcW w:w="1701" w:type="dxa"/>
          </w:tcPr>
          <w:p w:rsidR="00AF3792" w:rsidRPr="007775C4" w:rsidRDefault="00AF3792" w:rsidP="00AF3792">
            <w:pPr>
              <w:pStyle w:val="BodyTextIndent"/>
              <w:ind w:left="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7775C4">
              <w:rPr>
                <w:b/>
                <w:color w:val="auto"/>
                <w:sz w:val="20"/>
                <w:szCs w:val="20"/>
              </w:rPr>
              <w:t>272.4</w:t>
            </w:r>
          </w:p>
        </w:tc>
      </w:tr>
      <w:tr w:rsidR="001D0A8D" w:rsidRPr="0005794A" w:rsidTr="005B49D1">
        <w:tc>
          <w:tcPr>
            <w:cnfStyle w:val="000010000000" w:firstRow="0" w:lastRow="0" w:firstColumn="0" w:lastColumn="0" w:oddVBand="1" w:evenVBand="0" w:oddHBand="0" w:evenHBand="0" w:firstRowFirstColumn="0" w:firstRowLastColumn="0" w:lastRowFirstColumn="0" w:lastRowLastColumn="0"/>
            <w:tcW w:w="1842" w:type="dxa"/>
          </w:tcPr>
          <w:p w:rsidR="001D0A8D" w:rsidRPr="001D0A8D" w:rsidRDefault="001D0A8D" w:rsidP="001D0A8D">
            <w:pPr>
              <w:pStyle w:val="BodyTextIndent"/>
              <w:ind w:left="0"/>
              <w:jc w:val="center"/>
              <w:rPr>
                <w:i/>
                <w:color w:val="auto"/>
                <w:sz w:val="20"/>
                <w:szCs w:val="20"/>
              </w:rPr>
            </w:pPr>
            <w:r w:rsidRPr="001D0A8D">
              <w:rPr>
                <w:i/>
                <w:color w:val="auto"/>
                <w:sz w:val="20"/>
                <w:szCs w:val="20"/>
              </w:rPr>
              <w:t>154.4</w:t>
            </w:r>
          </w:p>
          <w:p w:rsidR="001D0A8D" w:rsidRPr="001D0A8D" w:rsidRDefault="001D0A8D" w:rsidP="001D0A8D">
            <w:pPr>
              <w:pStyle w:val="BodyTextIndent"/>
              <w:ind w:left="0"/>
              <w:jc w:val="center"/>
              <w:rPr>
                <w:i/>
                <w:color w:val="auto"/>
                <w:sz w:val="20"/>
                <w:szCs w:val="20"/>
              </w:rPr>
            </w:pPr>
          </w:p>
          <w:p w:rsidR="001D0A8D" w:rsidRPr="001D0A8D" w:rsidRDefault="001D0A8D" w:rsidP="001D0A8D">
            <w:pPr>
              <w:pStyle w:val="BodyTextIndent"/>
              <w:ind w:left="0"/>
              <w:jc w:val="center"/>
              <w:rPr>
                <w:i/>
                <w:color w:val="auto"/>
                <w:sz w:val="20"/>
                <w:szCs w:val="20"/>
              </w:rPr>
            </w:pPr>
            <w:r w:rsidRPr="001D0A8D">
              <w:rPr>
                <w:i/>
                <w:color w:val="auto"/>
                <w:sz w:val="20"/>
                <w:szCs w:val="20"/>
              </w:rPr>
              <w:t>202.9</w:t>
            </w:r>
          </w:p>
        </w:tc>
        <w:tc>
          <w:tcPr>
            <w:tcW w:w="4395" w:type="dxa"/>
            <w:vAlign w:val="center"/>
          </w:tcPr>
          <w:p w:rsidR="001D0A8D" w:rsidRPr="001D0A8D" w:rsidRDefault="001D0A8D" w:rsidP="00235C9A">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i/>
                <w:color w:val="auto"/>
                <w:sz w:val="20"/>
                <w:szCs w:val="20"/>
              </w:rPr>
            </w:pPr>
            <w:r w:rsidRPr="001D0A8D">
              <w:rPr>
                <w:i/>
                <w:color w:val="auto"/>
                <w:sz w:val="20"/>
                <w:szCs w:val="20"/>
              </w:rPr>
              <w:t>Carrying amount as at 31</w:t>
            </w:r>
            <w:r w:rsidRPr="001D0A8D">
              <w:rPr>
                <w:i/>
                <w:color w:val="auto"/>
                <w:sz w:val="20"/>
                <w:szCs w:val="20"/>
                <w:vertAlign w:val="superscript"/>
              </w:rPr>
              <w:t>st</w:t>
            </w:r>
            <w:r w:rsidRPr="001D0A8D">
              <w:rPr>
                <w:i/>
                <w:color w:val="auto"/>
                <w:sz w:val="20"/>
                <w:szCs w:val="20"/>
              </w:rPr>
              <w:t xml:space="preserve"> March - including interest due.</w:t>
            </w:r>
          </w:p>
          <w:p w:rsidR="001D0A8D" w:rsidRPr="001D0A8D" w:rsidRDefault="001D0A8D" w:rsidP="00E32651">
            <w:pPr>
              <w:pStyle w:val="BodyTextIndent"/>
              <w:tabs>
                <w:tab w:val="left" w:pos="709"/>
              </w:tabs>
              <w:ind w:left="0"/>
              <w:cnfStyle w:val="000000000000" w:firstRow="0" w:lastRow="0" w:firstColumn="0" w:lastColumn="0" w:oddVBand="0" w:evenVBand="0" w:oddHBand="0" w:evenHBand="0" w:firstRowFirstColumn="0" w:firstRowLastColumn="0" w:lastRowFirstColumn="0" w:lastRowLastColumn="0"/>
              <w:rPr>
                <w:i/>
                <w:color w:val="auto"/>
                <w:sz w:val="20"/>
                <w:szCs w:val="20"/>
              </w:rPr>
            </w:pPr>
            <w:r w:rsidRPr="001D0A8D">
              <w:rPr>
                <w:i/>
                <w:color w:val="auto"/>
                <w:sz w:val="20"/>
                <w:szCs w:val="20"/>
              </w:rPr>
              <w:t xml:space="preserve">Fair value </w:t>
            </w:r>
            <w:r w:rsidRPr="001D0A8D">
              <w:rPr>
                <w:i/>
                <w:color w:val="auto"/>
                <w:sz w:val="18"/>
                <w:szCs w:val="18"/>
              </w:rPr>
              <w:t>(as IFRS 13 see Note 1</w:t>
            </w:r>
            <w:r w:rsidR="00E32651">
              <w:rPr>
                <w:i/>
                <w:color w:val="auto"/>
                <w:sz w:val="18"/>
                <w:szCs w:val="18"/>
              </w:rPr>
              <w:t>6</w:t>
            </w:r>
            <w:r w:rsidRPr="001D0A8D">
              <w:rPr>
                <w:i/>
                <w:color w:val="auto"/>
                <w:sz w:val="18"/>
                <w:szCs w:val="18"/>
              </w:rPr>
              <w:t xml:space="preserve"> Fair Value of Assets and Liabilities)</w:t>
            </w:r>
          </w:p>
        </w:tc>
        <w:tc>
          <w:tcPr>
            <w:cnfStyle w:val="000010000000" w:firstRow="0" w:lastRow="0" w:firstColumn="0" w:lastColumn="0" w:oddVBand="1" w:evenVBand="0" w:oddHBand="0" w:evenHBand="0" w:firstRowFirstColumn="0" w:firstRowLastColumn="0" w:lastRowFirstColumn="0" w:lastRowLastColumn="0"/>
            <w:tcW w:w="992" w:type="dxa"/>
          </w:tcPr>
          <w:p w:rsidR="001D0A8D" w:rsidRPr="001D0A8D" w:rsidRDefault="005600F8" w:rsidP="005B49D1">
            <w:pPr>
              <w:pStyle w:val="BodyTextIndent"/>
              <w:tabs>
                <w:tab w:val="left" w:pos="709"/>
              </w:tabs>
              <w:ind w:left="0"/>
              <w:jc w:val="center"/>
              <w:rPr>
                <w:i/>
                <w:color w:val="auto"/>
                <w:sz w:val="20"/>
                <w:szCs w:val="20"/>
              </w:rPr>
            </w:pPr>
            <w:r>
              <w:rPr>
                <w:i/>
                <w:color w:val="auto"/>
                <w:sz w:val="20"/>
                <w:szCs w:val="20"/>
              </w:rPr>
              <w:t>3.40</w:t>
            </w:r>
            <w:r w:rsidR="00AF3792">
              <w:rPr>
                <w:i/>
                <w:color w:val="auto"/>
                <w:sz w:val="20"/>
                <w:szCs w:val="20"/>
              </w:rPr>
              <w:t>%</w:t>
            </w:r>
          </w:p>
        </w:tc>
        <w:tc>
          <w:tcPr>
            <w:tcW w:w="1701" w:type="dxa"/>
          </w:tcPr>
          <w:p w:rsidR="001D0A8D" w:rsidRDefault="00A85711" w:rsidP="0070371C">
            <w:pPr>
              <w:pStyle w:val="BodyTextIndent"/>
              <w:ind w:left="0"/>
              <w:jc w:val="center"/>
              <w:cnfStyle w:val="000000000000" w:firstRow="0" w:lastRow="0" w:firstColumn="0" w:lastColumn="0" w:oddVBand="0" w:evenVBand="0" w:oddHBand="0" w:evenHBand="0" w:firstRowFirstColumn="0" w:firstRowLastColumn="0" w:lastRowFirstColumn="0" w:lastRowLastColumn="0"/>
              <w:rPr>
                <w:i/>
                <w:color w:val="auto"/>
                <w:sz w:val="20"/>
                <w:szCs w:val="20"/>
              </w:rPr>
            </w:pPr>
            <w:r w:rsidRPr="007775C4">
              <w:rPr>
                <w:i/>
                <w:color w:val="auto"/>
                <w:sz w:val="20"/>
                <w:szCs w:val="20"/>
              </w:rPr>
              <w:t>275.4</w:t>
            </w:r>
          </w:p>
          <w:p w:rsidR="007775C4" w:rsidRDefault="007775C4" w:rsidP="0070371C">
            <w:pPr>
              <w:pStyle w:val="BodyTextIndent"/>
              <w:ind w:left="0"/>
              <w:jc w:val="center"/>
              <w:cnfStyle w:val="000000000000" w:firstRow="0" w:lastRow="0" w:firstColumn="0" w:lastColumn="0" w:oddVBand="0" w:evenVBand="0" w:oddHBand="0" w:evenHBand="0" w:firstRowFirstColumn="0" w:firstRowLastColumn="0" w:lastRowFirstColumn="0" w:lastRowLastColumn="0"/>
              <w:rPr>
                <w:i/>
                <w:color w:val="auto"/>
                <w:sz w:val="20"/>
                <w:szCs w:val="20"/>
              </w:rPr>
            </w:pPr>
          </w:p>
          <w:p w:rsidR="007775C4" w:rsidRPr="007775C4" w:rsidRDefault="00271248" w:rsidP="0070371C">
            <w:pPr>
              <w:pStyle w:val="BodyTextIndent"/>
              <w:ind w:left="0"/>
              <w:jc w:val="center"/>
              <w:cnfStyle w:val="000000000000" w:firstRow="0" w:lastRow="0" w:firstColumn="0" w:lastColumn="0" w:oddVBand="0" w:evenVBand="0" w:oddHBand="0" w:evenHBand="0" w:firstRowFirstColumn="0" w:firstRowLastColumn="0" w:lastRowFirstColumn="0" w:lastRowLastColumn="0"/>
              <w:rPr>
                <w:i/>
                <w:color w:val="auto"/>
                <w:sz w:val="20"/>
                <w:szCs w:val="20"/>
              </w:rPr>
            </w:pPr>
            <w:r>
              <w:rPr>
                <w:i/>
                <w:color w:val="auto"/>
                <w:sz w:val="20"/>
                <w:szCs w:val="20"/>
              </w:rPr>
              <w:t>326.4</w:t>
            </w:r>
          </w:p>
        </w:tc>
      </w:tr>
    </w:tbl>
    <w:p w:rsidR="00E51139" w:rsidRPr="0005794A" w:rsidRDefault="00E51139" w:rsidP="007C0F82">
      <w:pPr>
        <w:pStyle w:val="BodyTextIndent"/>
        <w:ind w:left="0"/>
        <w:rPr>
          <w:b/>
          <w:color w:val="548DD4" w:themeColor="text2" w:themeTint="99"/>
          <w:sz w:val="20"/>
          <w:szCs w:val="20"/>
        </w:rPr>
      </w:pPr>
    </w:p>
    <w:p w:rsidR="00E51139" w:rsidRPr="00AA7422" w:rsidRDefault="00E51139" w:rsidP="008D0906">
      <w:pPr>
        <w:ind w:left="567"/>
        <w:outlineLvl w:val="0"/>
        <w:rPr>
          <w:rFonts w:cs="Arial"/>
          <w:b/>
          <w:bCs/>
          <w:color w:val="auto"/>
          <w:sz w:val="20"/>
          <w:szCs w:val="20"/>
        </w:rPr>
      </w:pPr>
      <w:r w:rsidRPr="00AA7422">
        <w:rPr>
          <w:rFonts w:cs="Arial"/>
          <w:b/>
          <w:bCs/>
          <w:color w:val="auto"/>
          <w:sz w:val="20"/>
          <w:szCs w:val="20"/>
        </w:rPr>
        <w:t>Lenders Option Borrowers Option (LOBO)</w:t>
      </w:r>
    </w:p>
    <w:p w:rsidR="002B7CA0" w:rsidRPr="00AA7422" w:rsidRDefault="00E51139" w:rsidP="004E752B">
      <w:pPr>
        <w:pStyle w:val="BodyTextIndent"/>
        <w:ind w:left="567"/>
        <w:rPr>
          <w:color w:val="auto"/>
          <w:sz w:val="20"/>
          <w:szCs w:val="20"/>
        </w:rPr>
      </w:pPr>
      <w:r w:rsidRPr="00AA7422">
        <w:rPr>
          <w:color w:val="auto"/>
          <w:sz w:val="20"/>
          <w:szCs w:val="20"/>
        </w:rPr>
        <w:t xml:space="preserve">The Council has </w:t>
      </w:r>
      <w:r w:rsidR="009578B3" w:rsidRPr="00AA7422">
        <w:rPr>
          <w:color w:val="auto"/>
          <w:sz w:val="20"/>
          <w:szCs w:val="20"/>
        </w:rPr>
        <w:t>one</w:t>
      </w:r>
      <w:r w:rsidRPr="00AA7422">
        <w:rPr>
          <w:color w:val="auto"/>
          <w:sz w:val="20"/>
          <w:szCs w:val="20"/>
        </w:rPr>
        <w:t xml:space="preserve"> LOBO loan (Lenders Option Borrowers Option)</w:t>
      </w:r>
      <w:r w:rsidR="009578B3" w:rsidRPr="00AA7422">
        <w:rPr>
          <w:color w:val="auto"/>
          <w:sz w:val="20"/>
          <w:szCs w:val="20"/>
        </w:rPr>
        <w:t xml:space="preserve"> with </w:t>
      </w:r>
      <w:proofErr w:type="spellStart"/>
      <w:r w:rsidRPr="00AA7422">
        <w:rPr>
          <w:color w:val="auto"/>
          <w:sz w:val="20"/>
          <w:szCs w:val="20"/>
        </w:rPr>
        <w:t>Dexia</w:t>
      </w:r>
      <w:proofErr w:type="spellEnd"/>
      <w:r w:rsidRPr="00AA7422">
        <w:rPr>
          <w:color w:val="auto"/>
          <w:sz w:val="20"/>
          <w:szCs w:val="20"/>
        </w:rPr>
        <w:t xml:space="preserve"> </w:t>
      </w:r>
      <w:r w:rsidR="009578B3" w:rsidRPr="00AA7422">
        <w:rPr>
          <w:color w:val="auto"/>
          <w:sz w:val="20"/>
          <w:szCs w:val="20"/>
        </w:rPr>
        <w:t xml:space="preserve">that </w:t>
      </w:r>
      <w:r w:rsidRPr="00AA7422">
        <w:rPr>
          <w:color w:val="auto"/>
          <w:sz w:val="20"/>
          <w:szCs w:val="20"/>
        </w:rPr>
        <w:t>has, at inception, a constant rate of inte</w:t>
      </w:r>
      <w:r w:rsidR="00DE567E" w:rsidRPr="00AA7422">
        <w:rPr>
          <w:color w:val="auto"/>
          <w:sz w:val="20"/>
          <w:szCs w:val="20"/>
        </w:rPr>
        <w:t xml:space="preserve">rest for the length of the </w:t>
      </w:r>
      <w:proofErr w:type="spellStart"/>
      <w:r w:rsidR="00DE567E" w:rsidRPr="00AA7422">
        <w:rPr>
          <w:color w:val="auto"/>
          <w:sz w:val="20"/>
          <w:szCs w:val="20"/>
        </w:rPr>
        <w:t>loan.</w:t>
      </w:r>
      <w:r w:rsidRPr="00AA7422">
        <w:rPr>
          <w:color w:val="auto"/>
          <w:sz w:val="20"/>
          <w:szCs w:val="20"/>
        </w:rPr>
        <w:t>On</w:t>
      </w:r>
      <w:proofErr w:type="spellEnd"/>
      <w:r w:rsidRPr="00AA7422">
        <w:rPr>
          <w:color w:val="auto"/>
          <w:sz w:val="20"/>
          <w:szCs w:val="20"/>
        </w:rPr>
        <w:t xml:space="preserve"> </w:t>
      </w:r>
      <w:r w:rsidR="009578B3" w:rsidRPr="00AA7422">
        <w:rPr>
          <w:color w:val="auto"/>
          <w:sz w:val="20"/>
          <w:szCs w:val="20"/>
        </w:rPr>
        <w:t xml:space="preserve">the </w:t>
      </w:r>
      <w:r w:rsidRPr="00AA7422">
        <w:rPr>
          <w:color w:val="auto"/>
          <w:sz w:val="20"/>
          <w:szCs w:val="20"/>
        </w:rPr>
        <w:t xml:space="preserve">loan the lender </w:t>
      </w:r>
      <w:r w:rsidR="009578B3" w:rsidRPr="00AA7422">
        <w:rPr>
          <w:color w:val="auto"/>
          <w:sz w:val="20"/>
          <w:szCs w:val="20"/>
        </w:rPr>
        <w:t>(</w:t>
      </w:r>
      <w:proofErr w:type="spellStart"/>
      <w:r w:rsidR="009578B3" w:rsidRPr="00AA7422">
        <w:rPr>
          <w:color w:val="auto"/>
          <w:sz w:val="20"/>
          <w:szCs w:val="20"/>
        </w:rPr>
        <w:t>Dexia</w:t>
      </w:r>
      <w:proofErr w:type="spellEnd"/>
      <w:r w:rsidR="009578B3" w:rsidRPr="00AA7422">
        <w:rPr>
          <w:color w:val="auto"/>
          <w:sz w:val="20"/>
          <w:szCs w:val="20"/>
        </w:rPr>
        <w:t xml:space="preserve">) </w:t>
      </w:r>
      <w:r w:rsidRPr="00AA7422">
        <w:rPr>
          <w:color w:val="auto"/>
          <w:sz w:val="20"/>
          <w:szCs w:val="20"/>
        </w:rPr>
        <w:t xml:space="preserve">has the option to increase the rate beyond the agreed rates after </w:t>
      </w:r>
      <w:r w:rsidR="00DE567E" w:rsidRPr="00AA7422">
        <w:rPr>
          <w:color w:val="auto"/>
          <w:sz w:val="20"/>
          <w:szCs w:val="20"/>
        </w:rPr>
        <w:t xml:space="preserve">an </w:t>
      </w:r>
      <w:r w:rsidRPr="00AA7422">
        <w:rPr>
          <w:color w:val="auto"/>
          <w:sz w:val="20"/>
          <w:szCs w:val="20"/>
        </w:rPr>
        <w:t xml:space="preserve">initial period and at agreed intervals thereafter. The borrower then has the option to continue at the higher rate or repay the </w:t>
      </w:r>
      <w:r w:rsidRPr="00802ABC">
        <w:rPr>
          <w:color w:val="auto"/>
          <w:sz w:val="20"/>
          <w:szCs w:val="20"/>
        </w:rPr>
        <w:t>loan incurring no penalty.  The loan will continue for the full term at the agreed rate unless the lender exercises the option to increase the rate of interest.</w:t>
      </w:r>
      <w:r w:rsidR="009578B3" w:rsidRPr="00802ABC">
        <w:rPr>
          <w:color w:val="auto"/>
          <w:sz w:val="20"/>
          <w:szCs w:val="20"/>
        </w:rPr>
        <w:t xml:space="preserve"> The Council’s loan with Barclays</w:t>
      </w:r>
      <w:r w:rsidR="00C172A2" w:rsidRPr="00802ABC">
        <w:rPr>
          <w:color w:val="auto"/>
          <w:sz w:val="20"/>
          <w:szCs w:val="20"/>
        </w:rPr>
        <w:t xml:space="preserve"> PLC</w:t>
      </w:r>
      <w:r w:rsidR="009578B3" w:rsidRPr="00802ABC">
        <w:rPr>
          <w:color w:val="auto"/>
          <w:sz w:val="20"/>
          <w:szCs w:val="20"/>
        </w:rPr>
        <w:t xml:space="preserve"> is no longer </w:t>
      </w:r>
      <w:r w:rsidR="00DE567E" w:rsidRPr="00802ABC">
        <w:rPr>
          <w:color w:val="auto"/>
          <w:sz w:val="20"/>
          <w:szCs w:val="20"/>
        </w:rPr>
        <w:t xml:space="preserve">classified as </w:t>
      </w:r>
      <w:r w:rsidR="009578B3" w:rsidRPr="00802ABC">
        <w:rPr>
          <w:color w:val="auto"/>
          <w:sz w:val="20"/>
          <w:szCs w:val="20"/>
        </w:rPr>
        <w:t>a LOBO as Barclays</w:t>
      </w:r>
      <w:r w:rsidR="00C172A2" w:rsidRPr="00802ABC">
        <w:rPr>
          <w:color w:val="auto"/>
          <w:sz w:val="20"/>
          <w:szCs w:val="20"/>
        </w:rPr>
        <w:t xml:space="preserve"> PLC</w:t>
      </w:r>
      <w:r w:rsidR="009578B3" w:rsidRPr="00802ABC">
        <w:rPr>
          <w:color w:val="auto"/>
          <w:sz w:val="20"/>
          <w:szCs w:val="20"/>
        </w:rPr>
        <w:t xml:space="preserve"> have confirmed that they will not enact their option for the life of the loan.</w:t>
      </w:r>
      <w:r w:rsidR="009578B3" w:rsidRPr="00AA7422">
        <w:rPr>
          <w:color w:val="auto"/>
          <w:sz w:val="20"/>
          <w:szCs w:val="20"/>
        </w:rPr>
        <w:t xml:space="preserve"> </w:t>
      </w:r>
    </w:p>
    <w:p w:rsidR="002B7CA0" w:rsidRPr="0005794A" w:rsidRDefault="002B7CA0" w:rsidP="006D3DC4">
      <w:pPr>
        <w:pStyle w:val="BodyTextIndent"/>
        <w:ind w:left="709" w:hanging="709"/>
        <w:rPr>
          <w:b/>
          <w:color w:val="548DD4" w:themeColor="text2" w:themeTint="99"/>
          <w:sz w:val="20"/>
          <w:szCs w:val="20"/>
        </w:rPr>
      </w:pPr>
    </w:p>
    <w:p w:rsidR="00E51139" w:rsidRPr="001D0A8D" w:rsidRDefault="006D3DC4" w:rsidP="004E752B">
      <w:pPr>
        <w:pStyle w:val="Subtitle"/>
        <w:ind w:left="567" w:hanging="567"/>
        <w:rPr>
          <w:b/>
          <w:color w:val="auto"/>
          <w:sz w:val="22"/>
          <w:szCs w:val="22"/>
        </w:rPr>
      </w:pPr>
      <w:r w:rsidRPr="001D0A8D">
        <w:rPr>
          <w:b/>
          <w:color w:val="auto"/>
          <w:sz w:val="22"/>
          <w:szCs w:val="22"/>
        </w:rPr>
        <w:t>2</w:t>
      </w:r>
      <w:r w:rsidR="00636D69" w:rsidRPr="001D0A8D">
        <w:rPr>
          <w:b/>
          <w:color w:val="auto"/>
          <w:sz w:val="22"/>
          <w:szCs w:val="22"/>
        </w:rPr>
        <w:t>4</w:t>
      </w:r>
      <w:r w:rsidR="004E752B" w:rsidRPr="001D0A8D">
        <w:rPr>
          <w:b/>
          <w:color w:val="auto"/>
          <w:sz w:val="22"/>
          <w:szCs w:val="22"/>
        </w:rPr>
        <w:t>.</w:t>
      </w:r>
      <w:r w:rsidRPr="001D0A8D">
        <w:rPr>
          <w:b/>
          <w:color w:val="auto"/>
          <w:sz w:val="22"/>
          <w:szCs w:val="22"/>
        </w:rPr>
        <w:tab/>
      </w:r>
      <w:r w:rsidR="00E51139" w:rsidRPr="001D0A8D">
        <w:rPr>
          <w:b/>
          <w:color w:val="auto"/>
          <w:sz w:val="22"/>
          <w:szCs w:val="22"/>
        </w:rPr>
        <w:t>Liabilities</w:t>
      </w:r>
    </w:p>
    <w:p w:rsidR="00E51139" w:rsidRPr="001D0A8D" w:rsidRDefault="0099618A" w:rsidP="009E7365">
      <w:pPr>
        <w:pStyle w:val="BodyTextIndent"/>
        <w:ind w:left="567"/>
        <w:jc w:val="both"/>
        <w:rPr>
          <w:color w:val="auto"/>
          <w:sz w:val="20"/>
          <w:szCs w:val="20"/>
        </w:rPr>
      </w:pPr>
      <w:r w:rsidRPr="001D0A8D">
        <w:rPr>
          <w:color w:val="auto"/>
          <w:sz w:val="20"/>
          <w:szCs w:val="20"/>
        </w:rPr>
        <w:t xml:space="preserve">The </w:t>
      </w:r>
      <w:r w:rsidR="00E51139" w:rsidRPr="001D0A8D">
        <w:rPr>
          <w:color w:val="auto"/>
          <w:sz w:val="20"/>
          <w:szCs w:val="20"/>
        </w:rPr>
        <w:t>Council has entered into</w:t>
      </w:r>
      <w:r w:rsidRPr="001D0A8D">
        <w:rPr>
          <w:color w:val="auto"/>
          <w:sz w:val="20"/>
          <w:szCs w:val="20"/>
        </w:rPr>
        <w:t xml:space="preserve"> a contract or </w:t>
      </w:r>
      <w:r w:rsidR="007E33E1" w:rsidRPr="001D0A8D">
        <w:rPr>
          <w:color w:val="auto"/>
          <w:sz w:val="20"/>
          <w:szCs w:val="20"/>
        </w:rPr>
        <w:t>agreement that guarantees</w:t>
      </w:r>
      <w:r w:rsidR="00E51139" w:rsidRPr="001D0A8D">
        <w:rPr>
          <w:color w:val="auto"/>
          <w:sz w:val="20"/>
          <w:szCs w:val="20"/>
        </w:rPr>
        <w:t xml:space="preserve"> future payments to a third party.</w:t>
      </w:r>
    </w:p>
    <w:tbl>
      <w:tblPr>
        <w:tblStyle w:val="ListTable3-Accent51"/>
        <w:tblpPr w:leftFromText="180" w:rightFromText="180" w:vertAnchor="text" w:horzAnchor="margin" w:tblpXSpec="right" w:tblpY="178"/>
        <w:tblW w:w="8613" w:type="dxa"/>
        <w:tblLayout w:type="fixed"/>
        <w:tblLook w:val="0000" w:firstRow="0" w:lastRow="0" w:firstColumn="0" w:lastColumn="0" w:noHBand="0" w:noVBand="0"/>
      </w:tblPr>
      <w:tblGrid>
        <w:gridCol w:w="2376"/>
        <w:gridCol w:w="4111"/>
        <w:gridCol w:w="2126"/>
      </w:tblGrid>
      <w:tr w:rsidR="0099618A" w:rsidRPr="0005794A"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shd w:val="clear" w:color="auto" w:fill="4BACC6" w:themeFill="accent5"/>
          </w:tcPr>
          <w:p w:rsidR="0099618A" w:rsidRPr="001D0A8D" w:rsidRDefault="0099618A" w:rsidP="0099618A">
            <w:pPr>
              <w:pStyle w:val="TableRightBold"/>
              <w:jc w:val="center"/>
              <w:rPr>
                <w:rStyle w:val="Bold"/>
                <w:rFonts w:ascii="Arial" w:hAnsi="Arial" w:cs="Arial"/>
                <w:color w:val="auto"/>
              </w:rPr>
            </w:pPr>
            <w:r w:rsidRPr="001D0A8D">
              <w:rPr>
                <w:rStyle w:val="Bold"/>
                <w:rFonts w:ascii="Arial" w:hAnsi="Arial" w:cs="Arial"/>
                <w:color w:val="auto"/>
              </w:rPr>
              <w:t>31</w:t>
            </w:r>
            <w:r w:rsidRPr="001D0A8D">
              <w:rPr>
                <w:rStyle w:val="Bold"/>
                <w:rFonts w:ascii="Arial" w:hAnsi="Arial" w:cs="Arial"/>
                <w:color w:val="auto"/>
                <w:vertAlign w:val="superscript"/>
              </w:rPr>
              <w:t>st</w:t>
            </w:r>
            <w:r w:rsidRPr="001D0A8D">
              <w:rPr>
                <w:rStyle w:val="Bold"/>
                <w:rFonts w:ascii="Arial" w:hAnsi="Arial" w:cs="Arial"/>
                <w:color w:val="auto"/>
              </w:rPr>
              <w:t xml:space="preserve"> March 201</w:t>
            </w:r>
            <w:r w:rsidR="001D0A8D" w:rsidRPr="001D0A8D">
              <w:rPr>
                <w:rStyle w:val="Bold"/>
                <w:rFonts w:ascii="Arial" w:hAnsi="Arial" w:cs="Arial"/>
                <w:color w:val="auto"/>
              </w:rPr>
              <w:t>7</w:t>
            </w:r>
          </w:p>
          <w:p w:rsidR="0099618A" w:rsidRPr="001D0A8D" w:rsidRDefault="0099618A" w:rsidP="0099618A">
            <w:pPr>
              <w:pStyle w:val="TableRightBold"/>
              <w:jc w:val="center"/>
              <w:rPr>
                <w:rFonts w:ascii="Arial" w:hAnsi="Arial" w:cs="Arial"/>
                <w:color w:val="auto"/>
              </w:rPr>
            </w:pPr>
            <w:r w:rsidRPr="001D0A8D">
              <w:rPr>
                <w:rStyle w:val="Bold"/>
                <w:rFonts w:ascii="Arial" w:hAnsi="Arial" w:cs="Arial"/>
                <w:color w:val="auto"/>
              </w:rPr>
              <w:t>£m</w:t>
            </w:r>
          </w:p>
        </w:tc>
        <w:tc>
          <w:tcPr>
            <w:tcW w:w="4111" w:type="dxa"/>
            <w:shd w:val="clear" w:color="auto" w:fill="4BACC6" w:themeFill="accent5"/>
          </w:tcPr>
          <w:p w:rsidR="0099618A" w:rsidRPr="001D0A8D" w:rsidRDefault="0099618A" w:rsidP="0099618A">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2126" w:type="dxa"/>
            <w:shd w:val="clear" w:color="auto" w:fill="4BACC6" w:themeFill="accent5"/>
          </w:tcPr>
          <w:p w:rsidR="0099618A" w:rsidRPr="001D0A8D" w:rsidRDefault="0099618A" w:rsidP="0099618A">
            <w:pPr>
              <w:pStyle w:val="TableRightBold"/>
              <w:jc w:val="center"/>
              <w:rPr>
                <w:rStyle w:val="Bold"/>
                <w:rFonts w:ascii="Arial" w:hAnsi="Arial" w:cs="Arial"/>
                <w:b/>
                <w:color w:val="auto"/>
              </w:rPr>
            </w:pPr>
            <w:r w:rsidRPr="001D0A8D">
              <w:rPr>
                <w:rStyle w:val="Bold"/>
                <w:rFonts w:ascii="Arial" w:hAnsi="Arial" w:cs="Arial"/>
                <w:b/>
                <w:color w:val="auto"/>
              </w:rPr>
              <w:t>31</w:t>
            </w:r>
            <w:r w:rsidRPr="001D0A8D">
              <w:rPr>
                <w:rStyle w:val="Bold"/>
                <w:rFonts w:ascii="Arial" w:hAnsi="Arial" w:cs="Arial"/>
                <w:b/>
                <w:color w:val="auto"/>
                <w:vertAlign w:val="superscript"/>
              </w:rPr>
              <w:t>st</w:t>
            </w:r>
            <w:r w:rsidRPr="001D0A8D">
              <w:rPr>
                <w:rStyle w:val="Bold"/>
                <w:rFonts w:ascii="Arial" w:hAnsi="Arial" w:cs="Arial"/>
                <w:b/>
                <w:color w:val="auto"/>
              </w:rPr>
              <w:t xml:space="preserve"> March 201</w:t>
            </w:r>
            <w:r w:rsidR="001D0A8D" w:rsidRPr="001D0A8D">
              <w:rPr>
                <w:rStyle w:val="Bold"/>
                <w:rFonts w:ascii="Arial" w:hAnsi="Arial" w:cs="Arial"/>
                <w:b/>
                <w:color w:val="auto"/>
              </w:rPr>
              <w:t>8</w:t>
            </w:r>
          </w:p>
          <w:p w:rsidR="0099618A" w:rsidRPr="001D0A8D" w:rsidRDefault="0099618A" w:rsidP="0099618A">
            <w:pPr>
              <w:pStyle w:val="TableRightBold"/>
              <w:jc w:val="center"/>
              <w:rPr>
                <w:rFonts w:ascii="Arial" w:hAnsi="Arial" w:cs="Arial"/>
                <w:color w:val="auto"/>
              </w:rPr>
            </w:pPr>
            <w:r w:rsidRPr="001D0A8D">
              <w:rPr>
                <w:rStyle w:val="Bold"/>
                <w:rFonts w:ascii="Arial" w:hAnsi="Arial" w:cs="Arial"/>
                <w:b/>
                <w:color w:val="auto"/>
              </w:rPr>
              <w:t>£m</w:t>
            </w:r>
          </w:p>
        </w:tc>
      </w:tr>
      <w:tr w:rsidR="0099618A" w:rsidRPr="0005794A"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99618A" w:rsidRPr="001D0A8D" w:rsidRDefault="0099618A" w:rsidP="0099618A">
            <w:pPr>
              <w:pStyle w:val="TableRight"/>
              <w:ind w:left="0"/>
              <w:jc w:val="center"/>
              <w:rPr>
                <w:rFonts w:ascii="Arial" w:hAnsi="Arial" w:cs="Arial"/>
                <w:color w:val="auto"/>
              </w:rPr>
            </w:pPr>
          </w:p>
        </w:tc>
        <w:tc>
          <w:tcPr>
            <w:tcW w:w="4111" w:type="dxa"/>
          </w:tcPr>
          <w:p w:rsidR="0099618A" w:rsidRPr="001D0A8D" w:rsidRDefault="0099618A" w:rsidP="0099618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D0A8D">
              <w:rPr>
                <w:rFonts w:ascii="Arial" w:hAnsi="Arial" w:cs="Arial"/>
                <w:b/>
                <w:color w:val="auto"/>
              </w:rPr>
              <w:t>Liabilities due within 1 year</w:t>
            </w:r>
          </w:p>
        </w:tc>
        <w:tc>
          <w:tcPr>
            <w:cnfStyle w:val="000010000000" w:firstRow="0" w:lastRow="0" w:firstColumn="0" w:lastColumn="0" w:oddVBand="1" w:evenVBand="0" w:oddHBand="0" w:evenHBand="0" w:firstRowFirstColumn="0" w:firstRowLastColumn="0" w:lastRowFirstColumn="0" w:lastRowLastColumn="0"/>
            <w:tcW w:w="2126" w:type="dxa"/>
          </w:tcPr>
          <w:p w:rsidR="0099618A" w:rsidRPr="001D0A8D" w:rsidRDefault="0099618A" w:rsidP="0099618A">
            <w:pPr>
              <w:pStyle w:val="TableRight"/>
              <w:rPr>
                <w:rFonts w:ascii="Arial" w:hAnsi="Arial" w:cs="Arial"/>
                <w:b/>
                <w:color w:val="auto"/>
              </w:rPr>
            </w:pPr>
          </w:p>
        </w:tc>
      </w:tr>
      <w:tr w:rsidR="001D0A8D" w:rsidRPr="0005794A"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0.6</w:t>
            </w:r>
          </w:p>
        </w:tc>
        <w:tc>
          <w:tcPr>
            <w:tcW w:w="4111" w:type="dxa"/>
          </w:tcPr>
          <w:p w:rsidR="001D0A8D" w:rsidRPr="001D0A8D"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D0A8D">
              <w:rPr>
                <w:rFonts w:ascii="Arial" w:hAnsi="Arial" w:cs="Arial"/>
                <w:color w:val="auto"/>
              </w:rPr>
              <w:t>PFI Liability - Schools</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1D0A8D" w:rsidRDefault="007C03B2" w:rsidP="001D0A8D">
            <w:pPr>
              <w:pStyle w:val="TableRight"/>
              <w:jc w:val="center"/>
              <w:rPr>
                <w:rFonts w:ascii="Arial" w:hAnsi="Arial" w:cs="Arial"/>
                <w:b/>
                <w:color w:val="auto"/>
              </w:rPr>
            </w:pPr>
            <w:r>
              <w:rPr>
                <w:rFonts w:ascii="Arial" w:hAnsi="Arial" w:cs="Arial"/>
                <w:b/>
                <w:color w:val="auto"/>
              </w:rPr>
              <w:t>0.6</w:t>
            </w:r>
          </w:p>
        </w:tc>
      </w:tr>
      <w:tr w:rsidR="001D0A8D" w:rsidRPr="0005794A"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0.2</w:t>
            </w:r>
          </w:p>
        </w:tc>
        <w:tc>
          <w:tcPr>
            <w:tcW w:w="4111" w:type="dxa"/>
          </w:tcPr>
          <w:p w:rsidR="001D0A8D" w:rsidRPr="001D0A8D" w:rsidRDefault="001D0A8D" w:rsidP="001D0A8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0A8D">
              <w:rPr>
                <w:rFonts w:ascii="Arial" w:hAnsi="Arial" w:cs="Arial"/>
                <w:color w:val="auto"/>
              </w:rPr>
              <w:t xml:space="preserve">PFI Liability – EFW </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1D0A8D" w:rsidRDefault="007C03B2" w:rsidP="001D0A8D">
            <w:pPr>
              <w:pStyle w:val="TableRight"/>
              <w:jc w:val="center"/>
              <w:rPr>
                <w:rFonts w:ascii="Arial" w:hAnsi="Arial" w:cs="Arial"/>
                <w:b/>
                <w:color w:val="auto"/>
              </w:rPr>
            </w:pPr>
            <w:r>
              <w:rPr>
                <w:rFonts w:ascii="Arial" w:hAnsi="Arial" w:cs="Arial"/>
                <w:b/>
                <w:color w:val="auto"/>
              </w:rPr>
              <w:t>0.1</w:t>
            </w:r>
          </w:p>
        </w:tc>
      </w:tr>
      <w:tr w:rsidR="001D0A8D" w:rsidRPr="0005794A"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0.8</w:t>
            </w:r>
          </w:p>
        </w:tc>
        <w:tc>
          <w:tcPr>
            <w:tcW w:w="4111" w:type="dxa"/>
          </w:tcPr>
          <w:p w:rsidR="001D0A8D" w:rsidRPr="001D0A8D"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D0A8D">
              <w:rPr>
                <w:rFonts w:ascii="Arial" w:hAnsi="Arial" w:cs="Arial"/>
                <w:color w:val="auto"/>
              </w:rPr>
              <w:t>PFI Liability – EFW – Deferred Income</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1D0A8D" w:rsidRDefault="007C03B2" w:rsidP="00CB5B67">
            <w:pPr>
              <w:pStyle w:val="TableRight"/>
              <w:jc w:val="center"/>
              <w:rPr>
                <w:rFonts w:ascii="Arial" w:hAnsi="Arial" w:cs="Arial"/>
                <w:b/>
                <w:color w:val="auto"/>
              </w:rPr>
            </w:pPr>
            <w:r>
              <w:rPr>
                <w:rFonts w:ascii="Arial" w:hAnsi="Arial" w:cs="Arial"/>
                <w:b/>
                <w:color w:val="auto"/>
              </w:rPr>
              <w:t>0.</w:t>
            </w:r>
            <w:r w:rsidR="00CB5B67">
              <w:rPr>
                <w:rFonts w:ascii="Arial" w:hAnsi="Arial" w:cs="Arial"/>
                <w:b/>
                <w:color w:val="auto"/>
              </w:rPr>
              <w:t>9</w:t>
            </w:r>
          </w:p>
        </w:tc>
      </w:tr>
      <w:tr w:rsidR="001D0A8D" w:rsidRPr="0005794A"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0.8</w:t>
            </w:r>
          </w:p>
        </w:tc>
        <w:tc>
          <w:tcPr>
            <w:tcW w:w="4111" w:type="dxa"/>
          </w:tcPr>
          <w:p w:rsidR="001D0A8D" w:rsidRPr="001D0A8D" w:rsidRDefault="001D0A8D" w:rsidP="001D0A8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0A8D">
              <w:rPr>
                <w:rFonts w:ascii="Arial" w:hAnsi="Arial" w:cs="Arial"/>
                <w:color w:val="auto"/>
              </w:rPr>
              <w:t>DCC Pre LGR Liability</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0E118D" w:rsidRDefault="000E118D" w:rsidP="00CB5B67">
            <w:pPr>
              <w:pStyle w:val="TableRight"/>
              <w:jc w:val="center"/>
              <w:rPr>
                <w:rFonts w:ascii="Arial" w:hAnsi="Arial" w:cs="Arial"/>
                <w:b/>
                <w:color w:val="auto"/>
              </w:rPr>
            </w:pPr>
            <w:r w:rsidRPr="000E118D">
              <w:rPr>
                <w:rFonts w:ascii="Arial" w:hAnsi="Arial" w:cs="Arial"/>
                <w:b/>
                <w:color w:val="auto"/>
              </w:rPr>
              <w:t>0.</w:t>
            </w:r>
            <w:r w:rsidR="00CB5B67">
              <w:rPr>
                <w:rFonts w:ascii="Arial" w:hAnsi="Arial" w:cs="Arial"/>
                <w:b/>
                <w:color w:val="auto"/>
              </w:rPr>
              <w:t>7</w:t>
            </w:r>
          </w:p>
        </w:tc>
      </w:tr>
      <w:tr w:rsidR="001D0A8D" w:rsidRPr="0005794A"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2.4</w:t>
            </w:r>
          </w:p>
        </w:tc>
        <w:tc>
          <w:tcPr>
            <w:tcW w:w="4111" w:type="dxa"/>
          </w:tcPr>
          <w:p w:rsidR="001D0A8D" w:rsidRPr="001D0A8D"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D0A8D">
              <w:rPr>
                <w:rFonts w:ascii="Arial" w:hAnsi="Arial" w:cs="Arial"/>
                <w:b/>
                <w:color w:val="auto"/>
              </w:rPr>
              <w:t>Total due within 1 year</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0E118D" w:rsidRDefault="000E118D" w:rsidP="001D0A8D">
            <w:pPr>
              <w:pStyle w:val="TableRight"/>
              <w:jc w:val="center"/>
              <w:rPr>
                <w:rFonts w:ascii="Arial" w:hAnsi="Arial" w:cs="Arial"/>
                <w:b/>
                <w:color w:val="auto"/>
              </w:rPr>
            </w:pPr>
            <w:r w:rsidRPr="000E118D">
              <w:rPr>
                <w:rFonts w:ascii="Arial" w:hAnsi="Arial" w:cs="Arial"/>
                <w:b/>
                <w:color w:val="auto"/>
              </w:rPr>
              <w:t>2.3</w:t>
            </w:r>
          </w:p>
        </w:tc>
      </w:tr>
      <w:tr w:rsidR="008404CB" w:rsidRPr="0005794A"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8404CB" w:rsidRPr="007C03B2" w:rsidRDefault="008404CB" w:rsidP="008404CB">
            <w:pPr>
              <w:pStyle w:val="TableRight"/>
              <w:jc w:val="center"/>
              <w:rPr>
                <w:rFonts w:ascii="Arial" w:hAnsi="Arial" w:cs="Arial"/>
                <w:color w:val="auto"/>
              </w:rPr>
            </w:pPr>
          </w:p>
        </w:tc>
        <w:tc>
          <w:tcPr>
            <w:tcW w:w="4111" w:type="dxa"/>
          </w:tcPr>
          <w:p w:rsidR="008404CB" w:rsidRPr="001D0A8D" w:rsidRDefault="008404CB" w:rsidP="008404CB">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D0A8D">
              <w:rPr>
                <w:rFonts w:ascii="Arial" w:hAnsi="Arial" w:cs="Arial"/>
                <w:b/>
                <w:color w:val="auto"/>
              </w:rPr>
              <w:t>Liabilities due over 1 year</w:t>
            </w:r>
          </w:p>
        </w:tc>
        <w:tc>
          <w:tcPr>
            <w:cnfStyle w:val="000010000000" w:firstRow="0" w:lastRow="0" w:firstColumn="0" w:lastColumn="0" w:oddVBand="1" w:evenVBand="0" w:oddHBand="0" w:evenHBand="0" w:firstRowFirstColumn="0" w:firstRowLastColumn="0" w:lastRowFirstColumn="0" w:lastRowLastColumn="0"/>
            <w:tcW w:w="2126" w:type="dxa"/>
          </w:tcPr>
          <w:p w:rsidR="008404CB" w:rsidRPr="0005794A" w:rsidRDefault="008404CB" w:rsidP="008404CB">
            <w:pPr>
              <w:pStyle w:val="TableRight"/>
              <w:jc w:val="center"/>
              <w:rPr>
                <w:rFonts w:ascii="Arial" w:hAnsi="Arial" w:cs="Arial"/>
                <w:b/>
                <w:color w:val="548DD4" w:themeColor="text2" w:themeTint="99"/>
              </w:rPr>
            </w:pPr>
          </w:p>
        </w:tc>
      </w:tr>
      <w:tr w:rsidR="001D0A8D" w:rsidRPr="0005794A"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6.8</w:t>
            </w:r>
          </w:p>
        </w:tc>
        <w:tc>
          <w:tcPr>
            <w:tcW w:w="4111" w:type="dxa"/>
          </w:tcPr>
          <w:p w:rsidR="001D0A8D" w:rsidRPr="001D0A8D"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D0A8D">
              <w:rPr>
                <w:rFonts w:ascii="Arial" w:hAnsi="Arial" w:cs="Arial"/>
                <w:color w:val="auto"/>
              </w:rPr>
              <w:t>PFI Liability – Schools</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C03B2" w:rsidRDefault="007C03B2" w:rsidP="001D0A8D">
            <w:pPr>
              <w:pStyle w:val="TableRight"/>
              <w:jc w:val="center"/>
              <w:rPr>
                <w:rFonts w:ascii="Arial" w:hAnsi="Arial" w:cs="Arial"/>
                <w:b/>
                <w:color w:val="auto"/>
              </w:rPr>
            </w:pPr>
            <w:r w:rsidRPr="007C03B2">
              <w:rPr>
                <w:rFonts w:ascii="Arial" w:hAnsi="Arial" w:cs="Arial"/>
                <w:b/>
                <w:color w:val="auto"/>
              </w:rPr>
              <w:t>6.3</w:t>
            </w:r>
          </w:p>
        </w:tc>
      </w:tr>
      <w:tr w:rsidR="001D0A8D" w:rsidRPr="0005794A"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11.9</w:t>
            </w:r>
          </w:p>
        </w:tc>
        <w:tc>
          <w:tcPr>
            <w:tcW w:w="4111" w:type="dxa"/>
          </w:tcPr>
          <w:p w:rsidR="001D0A8D" w:rsidRPr="001D0A8D" w:rsidRDefault="001D0A8D" w:rsidP="001D0A8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0A8D">
              <w:rPr>
                <w:rFonts w:ascii="Arial" w:hAnsi="Arial" w:cs="Arial"/>
                <w:color w:val="auto"/>
              </w:rPr>
              <w:t xml:space="preserve">PFI Liability – EFW </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C03B2" w:rsidRDefault="007C03B2" w:rsidP="001D0A8D">
            <w:pPr>
              <w:pStyle w:val="TableRight"/>
              <w:jc w:val="center"/>
              <w:rPr>
                <w:rFonts w:ascii="Arial" w:hAnsi="Arial" w:cs="Arial"/>
                <w:b/>
                <w:color w:val="auto"/>
              </w:rPr>
            </w:pPr>
            <w:r w:rsidRPr="007C03B2">
              <w:rPr>
                <w:rFonts w:ascii="Arial" w:hAnsi="Arial" w:cs="Arial"/>
                <w:b/>
                <w:color w:val="auto"/>
              </w:rPr>
              <w:t>11.9</w:t>
            </w:r>
          </w:p>
        </w:tc>
      </w:tr>
      <w:tr w:rsidR="001D0A8D" w:rsidRPr="0005794A"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18.4</w:t>
            </w:r>
          </w:p>
        </w:tc>
        <w:tc>
          <w:tcPr>
            <w:tcW w:w="4111" w:type="dxa"/>
          </w:tcPr>
          <w:p w:rsidR="001D0A8D" w:rsidRPr="001D0A8D"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D0A8D">
              <w:rPr>
                <w:rFonts w:ascii="Arial" w:hAnsi="Arial" w:cs="Arial"/>
                <w:color w:val="auto"/>
              </w:rPr>
              <w:t>PFI Liability – EFW – Deferred Income</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7C03B2" w:rsidRDefault="007C03B2" w:rsidP="001D0A8D">
            <w:pPr>
              <w:pStyle w:val="TableRight"/>
              <w:jc w:val="center"/>
              <w:rPr>
                <w:rFonts w:ascii="Arial" w:hAnsi="Arial" w:cs="Arial"/>
                <w:b/>
                <w:color w:val="auto"/>
              </w:rPr>
            </w:pPr>
            <w:r w:rsidRPr="007C03B2">
              <w:rPr>
                <w:rFonts w:ascii="Arial" w:hAnsi="Arial" w:cs="Arial"/>
                <w:b/>
                <w:color w:val="auto"/>
              </w:rPr>
              <w:t>17.5</w:t>
            </w:r>
          </w:p>
        </w:tc>
      </w:tr>
      <w:tr w:rsidR="001D0A8D" w:rsidRPr="0005794A"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8.9</w:t>
            </w:r>
          </w:p>
        </w:tc>
        <w:tc>
          <w:tcPr>
            <w:tcW w:w="4111" w:type="dxa"/>
          </w:tcPr>
          <w:p w:rsidR="001D0A8D" w:rsidRPr="001D0A8D" w:rsidRDefault="001D0A8D" w:rsidP="001D0A8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0A8D">
              <w:rPr>
                <w:rFonts w:ascii="Arial" w:hAnsi="Arial" w:cs="Arial"/>
                <w:color w:val="auto"/>
              </w:rPr>
              <w:t>DCC Pre LGR Liability</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890423" w:rsidRDefault="00890423" w:rsidP="001D0A8D">
            <w:pPr>
              <w:pStyle w:val="TableRight"/>
              <w:jc w:val="center"/>
              <w:rPr>
                <w:rFonts w:ascii="Arial" w:hAnsi="Arial" w:cs="Arial"/>
                <w:b/>
                <w:color w:val="auto"/>
              </w:rPr>
            </w:pPr>
            <w:r w:rsidRPr="00890423">
              <w:rPr>
                <w:rFonts w:ascii="Arial" w:hAnsi="Arial" w:cs="Arial"/>
                <w:b/>
                <w:color w:val="auto"/>
              </w:rPr>
              <w:t>8.3</w:t>
            </w:r>
          </w:p>
        </w:tc>
      </w:tr>
      <w:tr w:rsidR="001D0A8D" w:rsidRPr="0005794A" w:rsidTr="000C047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46.0</w:t>
            </w:r>
          </w:p>
        </w:tc>
        <w:tc>
          <w:tcPr>
            <w:tcW w:w="4111" w:type="dxa"/>
          </w:tcPr>
          <w:p w:rsidR="001D0A8D" w:rsidRPr="001D0A8D" w:rsidRDefault="001D0A8D" w:rsidP="001D0A8D">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D0A8D">
              <w:rPr>
                <w:rFonts w:ascii="Arial" w:hAnsi="Arial" w:cs="Arial"/>
                <w:b/>
                <w:color w:val="auto"/>
              </w:rPr>
              <w:t>Total due over 1 year</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890423" w:rsidRDefault="000E118D" w:rsidP="001D0A8D">
            <w:pPr>
              <w:pStyle w:val="TableRight"/>
              <w:jc w:val="center"/>
              <w:rPr>
                <w:rFonts w:ascii="Arial" w:hAnsi="Arial" w:cs="Arial"/>
                <w:b/>
                <w:color w:val="auto"/>
              </w:rPr>
            </w:pPr>
            <w:r w:rsidRPr="00890423">
              <w:rPr>
                <w:rFonts w:ascii="Arial" w:hAnsi="Arial" w:cs="Arial"/>
                <w:b/>
                <w:color w:val="auto"/>
              </w:rPr>
              <w:t>44.0</w:t>
            </w:r>
          </w:p>
        </w:tc>
      </w:tr>
      <w:tr w:rsidR="001D0A8D" w:rsidRPr="0005794A" w:rsidTr="000C0476">
        <w:trPr>
          <w:trHeight w:val="60"/>
        </w:trPr>
        <w:tc>
          <w:tcPr>
            <w:cnfStyle w:val="000010000000" w:firstRow="0" w:lastRow="0" w:firstColumn="0" w:lastColumn="0" w:oddVBand="1" w:evenVBand="0" w:oddHBand="0" w:evenHBand="0" w:firstRowFirstColumn="0" w:firstRowLastColumn="0" w:lastRowFirstColumn="0" w:lastRowLastColumn="0"/>
            <w:tcW w:w="2376" w:type="dxa"/>
          </w:tcPr>
          <w:p w:rsidR="001D0A8D" w:rsidRPr="007C03B2" w:rsidRDefault="001D0A8D" w:rsidP="001D0A8D">
            <w:pPr>
              <w:pStyle w:val="TableRight"/>
              <w:jc w:val="center"/>
              <w:rPr>
                <w:rFonts w:ascii="Arial" w:hAnsi="Arial" w:cs="Arial"/>
                <w:color w:val="auto"/>
              </w:rPr>
            </w:pPr>
            <w:r w:rsidRPr="007C03B2">
              <w:rPr>
                <w:rFonts w:ascii="Arial" w:hAnsi="Arial" w:cs="Arial"/>
                <w:color w:val="auto"/>
              </w:rPr>
              <w:t>48.4</w:t>
            </w:r>
          </w:p>
        </w:tc>
        <w:tc>
          <w:tcPr>
            <w:tcW w:w="4111" w:type="dxa"/>
          </w:tcPr>
          <w:p w:rsidR="001D0A8D" w:rsidRPr="00890423" w:rsidRDefault="001D0A8D" w:rsidP="001D0A8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D0A8D">
              <w:rPr>
                <w:rFonts w:ascii="Arial" w:hAnsi="Arial" w:cs="Arial"/>
                <w:b/>
                <w:color w:val="auto"/>
              </w:rPr>
              <w:t>Total Liabilities</w:t>
            </w:r>
          </w:p>
        </w:tc>
        <w:tc>
          <w:tcPr>
            <w:cnfStyle w:val="000010000000" w:firstRow="0" w:lastRow="0" w:firstColumn="0" w:lastColumn="0" w:oddVBand="1" w:evenVBand="0" w:oddHBand="0" w:evenHBand="0" w:firstRowFirstColumn="0" w:firstRowLastColumn="0" w:lastRowFirstColumn="0" w:lastRowLastColumn="0"/>
            <w:tcW w:w="2126" w:type="dxa"/>
          </w:tcPr>
          <w:p w:rsidR="001D0A8D" w:rsidRPr="00890423" w:rsidRDefault="000E118D" w:rsidP="001D0A8D">
            <w:pPr>
              <w:pStyle w:val="TableRight"/>
              <w:jc w:val="center"/>
              <w:rPr>
                <w:rFonts w:ascii="Arial" w:hAnsi="Arial" w:cs="Arial"/>
                <w:b/>
                <w:color w:val="auto"/>
              </w:rPr>
            </w:pPr>
            <w:r w:rsidRPr="00890423">
              <w:rPr>
                <w:rFonts w:ascii="Arial" w:hAnsi="Arial" w:cs="Arial"/>
                <w:b/>
                <w:color w:val="auto"/>
              </w:rPr>
              <w:t>46.3</w:t>
            </w:r>
          </w:p>
        </w:tc>
      </w:tr>
    </w:tbl>
    <w:p w:rsidR="00D25D2C" w:rsidRPr="007C03B2" w:rsidRDefault="00D25D2C" w:rsidP="00645E58">
      <w:pPr>
        <w:pStyle w:val="CodeNotesExampleText"/>
        <w:widowControl w:val="0"/>
        <w:outlineLvl w:val="0"/>
        <w:rPr>
          <w:b/>
          <w:color w:val="auto"/>
          <w:sz w:val="20"/>
          <w:szCs w:val="20"/>
        </w:rPr>
      </w:pPr>
    </w:p>
    <w:p w:rsidR="00E51139" w:rsidRPr="007C03B2" w:rsidRDefault="00DE77D5" w:rsidP="008D0906">
      <w:pPr>
        <w:ind w:left="567"/>
        <w:outlineLvl w:val="0"/>
        <w:rPr>
          <w:rFonts w:cs="Arial"/>
          <w:b/>
          <w:bCs/>
          <w:color w:val="auto"/>
          <w:sz w:val="20"/>
          <w:szCs w:val="20"/>
        </w:rPr>
      </w:pPr>
      <w:r w:rsidRPr="007C03B2">
        <w:rPr>
          <w:rFonts w:cs="Arial"/>
          <w:b/>
          <w:bCs/>
          <w:color w:val="auto"/>
          <w:sz w:val="20"/>
          <w:szCs w:val="20"/>
        </w:rPr>
        <w:t>The Spires a</w:t>
      </w:r>
      <w:r w:rsidR="00E51139" w:rsidRPr="007C03B2">
        <w:rPr>
          <w:rFonts w:cs="Arial"/>
          <w:b/>
          <w:bCs/>
          <w:color w:val="auto"/>
          <w:sz w:val="20"/>
          <w:szCs w:val="20"/>
        </w:rPr>
        <w:t>nd Homelands Schools PFI Scheme</w:t>
      </w:r>
    </w:p>
    <w:p w:rsidR="00E51139" w:rsidRPr="007C03B2" w:rsidRDefault="00E51139" w:rsidP="009E7365">
      <w:pPr>
        <w:pStyle w:val="BodyTextIndent"/>
        <w:ind w:left="567"/>
        <w:rPr>
          <w:rFonts w:cs="Arial"/>
          <w:color w:val="auto"/>
          <w:sz w:val="20"/>
          <w:szCs w:val="20"/>
        </w:rPr>
      </w:pPr>
      <w:r w:rsidRPr="007C03B2">
        <w:rPr>
          <w:color w:val="auto"/>
          <w:sz w:val="20"/>
          <w:szCs w:val="20"/>
        </w:rPr>
        <w:t xml:space="preserve">A Project Agreement was signed on 31st March 2000 with Torbay School Services Ltd (TSS) for the provision of serviced facilities at </w:t>
      </w:r>
      <w:r w:rsidR="00CF6955" w:rsidRPr="007C03B2">
        <w:rPr>
          <w:color w:val="auto"/>
          <w:sz w:val="20"/>
          <w:szCs w:val="20"/>
        </w:rPr>
        <w:t>The Spire</w:t>
      </w:r>
      <w:r w:rsidR="00F35D60" w:rsidRPr="007C03B2">
        <w:rPr>
          <w:color w:val="auto"/>
          <w:sz w:val="20"/>
          <w:szCs w:val="20"/>
        </w:rPr>
        <w:t>s</w:t>
      </w:r>
      <w:r w:rsidR="00CF6955" w:rsidRPr="007C03B2">
        <w:rPr>
          <w:color w:val="auto"/>
          <w:sz w:val="20"/>
          <w:szCs w:val="20"/>
        </w:rPr>
        <w:t xml:space="preserve"> </w:t>
      </w:r>
      <w:r w:rsidR="00AA6BB0" w:rsidRPr="007C03B2">
        <w:rPr>
          <w:color w:val="auto"/>
          <w:sz w:val="20"/>
          <w:szCs w:val="20"/>
        </w:rPr>
        <w:t>(</w:t>
      </w:r>
      <w:r w:rsidR="00F35D60" w:rsidRPr="007C03B2">
        <w:rPr>
          <w:color w:val="auto"/>
          <w:sz w:val="20"/>
          <w:szCs w:val="20"/>
        </w:rPr>
        <w:t xml:space="preserve">formerly </w:t>
      </w:r>
      <w:r w:rsidRPr="007C03B2">
        <w:rPr>
          <w:color w:val="auto"/>
          <w:sz w:val="20"/>
          <w:szCs w:val="20"/>
        </w:rPr>
        <w:t>Westlands</w:t>
      </w:r>
      <w:r w:rsidR="00AA6BB0" w:rsidRPr="007C03B2">
        <w:rPr>
          <w:color w:val="auto"/>
          <w:sz w:val="20"/>
          <w:szCs w:val="20"/>
        </w:rPr>
        <w:t>)</w:t>
      </w:r>
      <w:r w:rsidRPr="007C03B2">
        <w:rPr>
          <w:color w:val="auto"/>
          <w:sz w:val="20"/>
          <w:szCs w:val="20"/>
        </w:rPr>
        <w:t xml:space="preserve"> Secondary and Homelands Primary Schools in Torquay.  </w:t>
      </w:r>
      <w:r w:rsidR="007E33E1" w:rsidRPr="007C03B2">
        <w:rPr>
          <w:color w:val="auto"/>
          <w:sz w:val="20"/>
          <w:szCs w:val="20"/>
        </w:rPr>
        <w:t>The period of the contract is 26 years from the actual completion of the redevelopment of The Spires School buildings, which occurred on 24</w:t>
      </w:r>
      <w:r w:rsidR="007E33E1" w:rsidRPr="007C03B2">
        <w:rPr>
          <w:color w:val="auto"/>
          <w:sz w:val="20"/>
          <w:szCs w:val="20"/>
          <w:vertAlign w:val="superscript"/>
        </w:rPr>
        <w:t>th</w:t>
      </w:r>
      <w:r w:rsidR="007E33E1" w:rsidRPr="007C03B2">
        <w:rPr>
          <w:color w:val="auto"/>
          <w:sz w:val="20"/>
          <w:szCs w:val="20"/>
        </w:rPr>
        <w:t xml:space="preserve"> October 2001 (i.e. expires in 2027).  </w:t>
      </w:r>
      <w:r w:rsidRPr="007C03B2">
        <w:rPr>
          <w:color w:val="auto"/>
          <w:sz w:val="20"/>
          <w:szCs w:val="20"/>
        </w:rPr>
        <w:t>Payments under the contract commenced on 1</w:t>
      </w:r>
      <w:r w:rsidRPr="007C03B2">
        <w:rPr>
          <w:color w:val="auto"/>
          <w:sz w:val="20"/>
          <w:szCs w:val="20"/>
          <w:vertAlign w:val="superscript"/>
        </w:rPr>
        <w:t>st</w:t>
      </w:r>
      <w:r w:rsidRPr="007C03B2">
        <w:rPr>
          <w:color w:val="auto"/>
          <w:sz w:val="20"/>
          <w:szCs w:val="20"/>
        </w:rPr>
        <w:t xml:space="preserve"> April 2001 when Phase 1 of</w:t>
      </w:r>
      <w:r w:rsidR="008B5753" w:rsidRPr="007C03B2">
        <w:rPr>
          <w:color w:val="auto"/>
          <w:sz w:val="20"/>
          <w:szCs w:val="20"/>
        </w:rPr>
        <w:t xml:space="preserve"> The Spires</w:t>
      </w:r>
      <w:r w:rsidRPr="007C03B2">
        <w:rPr>
          <w:color w:val="auto"/>
          <w:sz w:val="20"/>
          <w:szCs w:val="20"/>
        </w:rPr>
        <w:t xml:space="preserve"> was completed. </w:t>
      </w:r>
      <w:r w:rsidRPr="007C03B2">
        <w:rPr>
          <w:rFonts w:cs="Arial"/>
          <w:color w:val="auto"/>
          <w:sz w:val="20"/>
          <w:szCs w:val="20"/>
        </w:rPr>
        <w:t xml:space="preserve"> The contract specifies minimum standards for the services to be provided by the contractor, with deductions from the fee payable being made if facilities are unavailable or performance is below the minimum standards. The contractor took on the obligation to construct the schools and maintain them in a minimum acceptable condition and to procure and maintain the plant and equipment needed to operate the schools.  The buildings and any plant and equipment installed in them at the end of the contract will be transferred to the Council for nil consideration.  There were no changes to the contract arrangements during the year.</w:t>
      </w:r>
    </w:p>
    <w:p w:rsidR="00E51139" w:rsidRPr="0005794A" w:rsidRDefault="00E51139" w:rsidP="007C0F82">
      <w:pPr>
        <w:pStyle w:val="CodeNotesExampleText"/>
        <w:widowControl w:val="0"/>
        <w:ind w:left="567"/>
        <w:rPr>
          <w:rFonts w:cs="Arial"/>
          <w:color w:val="548DD4" w:themeColor="text2" w:themeTint="99"/>
          <w:sz w:val="20"/>
          <w:szCs w:val="20"/>
        </w:rPr>
      </w:pPr>
    </w:p>
    <w:p w:rsidR="00E51139" w:rsidRPr="007C03B2" w:rsidRDefault="007E33E1" w:rsidP="008D0906">
      <w:pPr>
        <w:ind w:left="567"/>
        <w:outlineLvl w:val="0"/>
        <w:rPr>
          <w:rFonts w:cs="Arial"/>
          <w:b/>
          <w:bCs/>
          <w:color w:val="auto"/>
          <w:sz w:val="20"/>
          <w:szCs w:val="20"/>
        </w:rPr>
      </w:pPr>
      <w:r w:rsidRPr="007C03B2">
        <w:rPr>
          <w:rFonts w:cs="Arial"/>
          <w:b/>
          <w:bCs/>
          <w:color w:val="auto"/>
          <w:sz w:val="20"/>
          <w:szCs w:val="20"/>
        </w:rPr>
        <w:lastRenderedPageBreak/>
        <w:t>Schools</w:t>
      </w:r>
      <w:r w:rsidR="00094AE7" w:rsidRPr="007C03B2">
        <w:rPr>
          <w:rFonts w:cs="Arial"/>
          <w:b/>
          <w:bCs/>
          <w:color w:val="auto"/>
          <w:sz w:val="20"/>
          <w:szCs w:val="20"/>
        </w:rPr>
        <w:t xml:space="preserve"> - </w:t>
      </w:r>
      <w:r w:rsidR="00E51139" w:rsidRPr="007C03B2">
        <w:rPr>
          <w:rFonts w:cs="Arial"/>
          <w:b/>
          <w:bCs/>
          <w:color w:val="auto"/>
          <w:sz w:val="20"/>
          <w:szCs w:val="20"/>
        </w:rPr>
        <w:t>PFI Property Plant and Equipment</w:t>
      </w:r>
    </w:p>
    <w:p w:rsidR="00E51139" w:rsidRPr="00802ABC" w:rsidRDefault="00E51139" w:rsidP="007C0F82">
      <w:pPr>
        <w:pStyle w:val="CodeNotesExampleText"/>
        <w:widowControl w:val="0"/>
        <w:ind w:left="567"/>
        <w:rPr>
          <w:rFonts w:cs="Arial"/>
          <w:color w:val="auto"/>
          <w:sz w:val="20"/>
          <w:szCs w:val="20"/>
        </w:rPr>
      </w:pPr>
      <w:r w:rsidRPr="007C03B2">
        <w:rPr>
          <w:rFonts w:cs="Arial"/>
          <w:color w:val="auto"/>
          <w:sz w:val="20"/>
          <w:szCs w:val="20"/>
        </w:rPr>
        <w:t xml:space="preserve">The assets used to provide services at both schools are recognised on the Council’s Balance Sheet. Since the PFI contract started </w:t>
      </w:r>
      <w:r w:rsidR="00D53B1E" w:rsidRPr="007C03B2">
        <w:rPr>
          <w:rFonts w:cs="Arial"/>
          <w:color w:val="auto"/>
          <w:sz w:val="20"/>
          <w:szCs w:val="20"/>
        </w:rPr>
        <w:t xml:space="preserve">The Spires </w:t>
      </w:r>
      <w:r w:rsidRPr="007C03B2">
        <w:rPr>
          <w:rFonts w:cs="Arial"/>
          <w:color w:val="auto"/>
          <w:sz w:val="20"/>
          <w:szCs w:val="20"/>
        </w:rPr>
        <w:t>school became a Foundation School</w:t>
      </w:r>
      <w:r w:rsidR="00992C01" w:rsidRPr="007C03B2">
        <w:rPr>
          <w:rFonts w:cs="Arial"/>
          <w:color w:val="auto"/>
          <w:sz w:val="20"/>
          <w:szCs w:val="20"/>
        </w:rPr>
        <w:t xml:space="preserve">. </w:t>
      </w:r>
      <w:r w:rsidR="00636D69" w:rsidRPr="007C03B2">
        <w:rPr>
          <w:rFonts w:cs="Arial"/>
          <w:color w:val="auto"/>
          <w:sz w:val="20"/>
          <w:szCs w:val="20"/>
        </w:rPr>
        <w:t xml:space="preserve">The Council has </w:t>
      </w:r>
      <w:r w:rsidR="00CA7693" w:rsidRPr="007C03B2">
        <w:rPr>
          <w:rFonts w:cs="Arial"/>
          <w:color w:val="auto"/>
          <w:sz w:val="20"/>
          <w:szCs w:val="20"/>
        </w:rPr>
        <w:t>retained the</w:t>
      </w:r>
      <w:r w:rsidRPr="007C03B2">
        <w:rPr>
          <w:rFonts w:cs="Arial"/>
          <w:color w:val="auto"/>
          <w:sz w:val="20"/>
          <w:szCs w:val="20"/>
        </w:rPr>
        <w:t xml:space="preserve"> liability to the PFI contractor.</w:t>
      </w:r>
      <w:r w:rsidR="009428E5" w:rsidRPr="007C03B2">
        <w:rPr>
          <w:rFonts w:cs="Arial"/>
          <w:color w:val="auto"/>
          <w:sz w:val="20"/>
          <w:szCs w:val="20"/>
        </w:rPr>
        <w:t xml:space="preserve"> The Spires</w:t>
      </w:r>
      <w:r w:rsidRPr="007C03B2">
        <w:rPr>
          <w:rFonts w:cs="Arial"/>
          <w:color w:val="auto"/>
          <w:sz w:val="20"/>
          <w:szCs w:val="20"/>
        </w:rPr>
        <w:t xml:space="preserve"> </w:t>
      </w:r>
      <w:r w:rsidR="007E33E1" w:rsidRPr="007C03B2">
        <w:rPr>
          <w:rFonts w:cs="Arial"/>
          <w:color w:val="auto"/>
          <w:sz w:val="20"/>
          <w:szCs w:val="20"/>
        </w:rPr>
        <w:t>School</w:t>
      </w:r>
      <w:r w:rsidRPr="007C03B2">
        <w:rPr>
          <w:rFonts w:cs="Arial"/>
          <w:color w:val="auto"/>
          <w:sz w:val="20"/>
          <w:szCs w:val="20"/>
        </w:rPr>
        <w:t xml:space="preserve"> is expected to transfer to academy status </w:t>
      </w:r>
      <w:r w:rsidR="00992C01" w:rsidRPr="007C03B2">
        <w:rPr>
          <w:rFonts w:cs="Arial"/>
          <w:color w:val="auto"/>
          <w:sz w:val="20"/>
          <w:szCs w:val="20"/>
        </w:rPr>
        <w:t>at which p</w:t>
      </w:r>
      <w:r w:rsidR="004064BE" w:rsidRPr="007C03B2">
        <w:rPr>
          <w:rFonts w:cs="Arial"/>
          <w:color w:val="auto"/>
          <w:sz w:val="20"/>
          <w:szCs w:val="20"/>
        </w:rPr>
        <w:t>o</w:t>
      </w:r>
      <w:r w:rsidR="00992C01" w:rsidRPr="007C03B2">
        <w:rPr>
          <w:rFonts w:cs="Arial"/>
          <w:color w:val="auto"/>
          <w:sz w:val="20"/>
          <w:szCs w:val="20"/>
        </w:rPr>
        <w:t xml:space="preserve">int the assets </w:t>
      </w:r>
      <w:r w:rsidR="007E33E1" w:rsidRPr="00802ABC">
        <w:rPr>
          <w:rFonts w:cs="Arial"/>
          <w:color w:val="auto"/>
          <w:sz w:val="20"/>
          <w:szCs w:val="20"/>
        </w:rPr>
        <w:t>will</w:t>
      </w:r>
      <w:r w:rsidR="00992C01" w:rsidRPr="00802ABC">
        <w:rPr>
          <w:rFonts w:cs="Arial"/>
          <w:color w:val="auto"/>
          <w:sz w:val="20"/>
          <w:szCs w:val="20"/>
        </w:rPr>
        <w:t xml:space="preserve"> be </w:t>
      </w:r>
      <w:r w:rsidR="000D134E" w:rsidRPr="00802ABC">
        <w:rPr>
          <w:rFonts w:cs="Arial"/>
          <w:color w:val="auto"/>
          <w:sz w:val="20"/>
          <w:szCs w:val="20"/>
        </w:rPr>
        <w:t>de</w:t>
      </w:r>
      <w:r w:rsidR="00CD1399" w:rsidRPr="00802ABC">
        <w:rPr>
          <w:rFonts w:cs="Arial"/>
          <w:color w:val="auto"/>
          <w:sz w:val="20"/>
          <w:szCs w:val="20"/>
        </w:rPr>
        <w:t>-</w:t>
      </w:r>
      <w:r w:rsidR="00992C01" w:rsidRPr="00802ABC">
        <w:rPr>
          <w:rFonts w:cs="Arial"/>
          <w:color w:val="auto"/>
          <w:sz w:val="20"/>
          <w:szCs w:val="20"/>
        </w:rPr>
        <w:t>re</w:t>
      </w:r>
      <w:r w:rsidR="00F2008F" w:rsidRPr="00802ABC">
        <w:rPr>
          <w:rFonts w:cs="Arial"/>
          <w:color w:val="auto"/>
          <w:sz w:val="20"/>
          <w:szCs w:val="20"/>
        </w:rPr>
        <w:t>co</w:t>
      </w:r>
      <w:r w:rsidR="00992C01" w:rsidRPr="00802ABC">
        <w:rPr>
          <w:rFonts w:cs="Arial"/>
          <w:color w:val="auto"/>
          <w:sz w:val="20"/>
          <w:szCs w:val="20"/>
        </w:rPr>
        <w:t>gnised</w:t>
      </w:r>
      <w:r w:rsidRPr="00802ABC">
        <w:rPr>
          <w:rFonts w:cs="Arial"/>
          <w:color w:val="auto"/>
          <w:sz w:val="20"/>
          <w:szCs w:val="20"/>
        </w:rPr>
        <w:t>.</w:t>
      </w:r>
    </w:p>
    <w:p w:rsidR="006E667C" w:rsidRPr="00802ABC" w:rsidRDefault="006E667C" w:rsidP="00A95218">
      <w:pPr>
        <w:pStyle w:val="CodeNotesExampleText"/>
        <w:widowControl w:val="0"/>
        <w:outlineLvl w:val="0"/>
        <w:rPr>
          <w:rFonts w:cs="Arial"/>
          <w:color w:val="548DD4" w:themeColor="text2" w:themeTint="99"/>
          <w:sz w:val="20"/>
          <w:szCs w:val="20"/>
          <w:u w:val="single"/>
        </w:rPr>
      </w:pPr>
    </w:p>
    <w:p w:rsidR="006E667C" w:rsidRPr="00802ABC" w:rsidRDefault="00094AE7" w:rsidP="008D0906">
      <w:pPr>
        <w:ind w:left="567"/>
        <w:outlineLvl w:val="0"/>
        <w:rPr>
          <w:rFonts w:cs="Arial"/>
          <w:b/>
          <w:bCs/>
          <w:color w:val="auto"/>
          <w:sz w:val="20"/>
          <w:szCs w:val="20"/>
        </w:rPr>
      </w:pPr>
      <w:r w:rsidRPr="00802ABC">
        <w:rPr>
          <w:rFonts w:cs="Arial"/>
          <w:b/>
          <w:bCs/>
          <w:color w:val="auto"/>
          <w:sz w:val="20"/>
          <w:szCs w:val="20"/>
        </w:rPr>
        <w:t xml:space="preserve">School - </w:t>
      </w:r>
      <w:r w:rsidR="008B6BCA" w:rsidRPr="00802ABC">
        <w:rPr>
          <w:rFonts w:cs="Arial"/>
          <w:b/>
          <w:bCs/>
          <w:color w:val="auto"/>
          <w:sz w:val="20"/>
          <w:szCs w:val="20"/>
        </w:rPr>
        <w:t>P</w:t>
      </w:r>
      <w:r w:rsidR="00E51139" w:rsidRPr="00802ABC">
        <w:rPr>
          <w:rFonts w:cs="Arial"/>
          <w:b/>
          <w:bCs/>
          <w:color w:val="auto"/>
          <w:sz w:val="20"/>
          <w:szCs w:val="20"/>
        </w:rPr>
        <w:t>FI Payments</w:t>
      </w:r>
    </w:p>
    <w:p w:rsidR="00A95218" w:rsidRPr="007C03B2" w:rsidRDefault="00A95218" w:rsidP="00A95218">
      <w:pPr>
        <w:pStyle w:val="BodyTextIndent"/>
        <w:tabs>
          <w:tab w:val="left" w:pos="709"/>
        </w:tabs>
        <w:ind w:left="567"/>
        <w:rPr>
          <w:color w:val="auto"/>
          <w:sz w:val="20"/>
          <w:szCs w:val="20"/>
        </w:rPr>
      </w:pPr>
      <w:r w:rsidRPr="00802ABC">
        <w:rPr>
          <w:color w:val="auto"/>
          <w:sz w:val="20"/>
          <w:szCs w:val="20"/>
        </w:rPr>
        <w:t xml:space="preserve">The Council makes an agreed payment each year which is increased each year by inflation and can be reduced if the contractor fails to meet availability and performance standards in any year but which is otherwise fixed.  In relation to this contract the Council recognises as a liability on its balance sheet the element of this annual payment that relates to the construction and purchase of the two schools. The other elements of the contract, finance costs and service charges are recognised on an annual basis in the Council’s Comprehensive Income and Expenditure </w:t>
      </w:r>
      <w:r w:rsidR="00CD1399" w:rsidRPr="00802ABC">
        <w:rPr>
          <w:color w:val="auto"/>
          <w:sz w:val="20"/>
          <w:szCs w:val="20"/>
        </w:rPr>
        <w:t>Statement</w:t>
      </w:r>
      <w:r w:rsidRPr="00802ABC">
        <w:rPr>
          <w:color w:val="auto"/>
          <w:sz w:val="20"/>
          <w:szCs w:val="20"/>
        </w:rPr>
        <w:t>. Payments remaining</w:t>
      </w:r>
      <w:r w:rsidRPr="007C03B2">
        <w:rPr>
          <w:color w:val="auto"/>
          <w:sz w:val="20"/>
          <w:szCs w:val="20"/>
        </w:rPr>
        <w:t xml:space="preserve"> to be made under the PFI contract at 31 March 201</w:t>
      </w:r>
      <w:r w:rsidR="007C03B2">
        <w:rPr>
          <w:color w:val="auto"/>
          <w:sz w:val="20"/>
          <w:szCs w:val="20"/>
        </w:rPr>
        <w:t>8</w:t>
      </w:r>
      <w:r w:rsidRPr="007C03B2">
        <w:rPr>
          <w:color w:val="auto"/>
          <w:sz w:val="20"/>
          <w:szCs w:val="20"/>
        </w:rPr>
        <w:t xml:space="preserve"> (excluding any estimation of inflation and availability/performance deductions) are as follows:</w:t>
      </w:r>
    </w:p>
    <w:tbl>
      <w:tblPr>
        <w:tblStyle w:val="ListTable3-Accent51"/>
        <w:tblW w:w="8341" w:type="dxa"/>
        <w:tblInd w:w="675" w:type="dxa"/>
        <w:tblLayout w:type="fixed"/>
        <w:tblLook w:val="0000" w:firstRow="0" w:lastRow="0" w:firstColumn="0" w:lastColumn="0" w:noHBand="0" w:noVBand="0"/>
      </w:tblPr>
      <w:tblGrid>
        <w:gridCol w:w="3119"/>
        <w:gridCol w:w="1276"/>
        <w:gridCol w:w="1417"/>
        <w:gridCol w:w="1134"/>
        <w:gridCol w:w="1395"/>
      </w:tblGrid>
      <w:tr w:rsidR="00D25D2C" w:rsidRPr="0005794A" w:rsidTr="0011349D">
        <w:trPr>
          <w:cnfStyle w:val="000000100000" w:firstRow="0" w:lastRow="0" w:firstColumn="0" w:lastColumn="0" w:oddVBand="0" w:evenVBand="0" w:oddHBand="1" w:evenHBand="0" w:firstRowFirstColumn="0" w:firstRowLastColumn="0" w:lastRowFirstColumn="0" w:lastRowLastColumn="0"/>
          <w:trHeight w:val="986"/>
        </w:trPr>
        <w:tc>
          <w:tcPr>
            <w:cnfStyle w:val="000010000000" w:firstRow="0" w:lastRow="0" w:firstColumn="0" w:lastColumn="0" w:oddVBand="1" w:evenVBand="0" w:oddHBand="0" w:evenHBand="0" w:firstRowFirstColumn="0" w:firstRowLastColumn="0" w:lastRowFirstColumn="0" w:lastRowLastColumn="0"/>
            <w:tcW w:w="3119" w:type="dxa"/>
            <w:shd w:val="clear" w:color="auto" w:fill="4BACC6" w:themeFill="accent5"/>
          </w:tcPr>
          <w:p w:rsidR="00D25D2C" w:rsidRPr="0005794A" w:rsidRDefault="00D25D2C" w:rsidP="00A95218">
            <w:pPr>
              <w:pStyle w:val="TableText"/>
              <w:jc w:val="center"/>
              <w:rPr>
                <w:rFonts w:ascii="Arial" w:hAnsi="Arial" w:cs="Arial"/>
                <w:color w:val="548DD4" w:themeColor="text2" w:themeTint="99"/>
              </w:rPr>
            </w:pPr>
          </w:p>
        </w:tc>
        <w:tc>
          <w:tcPr>
            <w:tcW w:w="1276" w:type="dxa"/>
            <w:shd w:val="clear" w:color="auto" w:fill="4BACC6" w:themeFill="accent5"/>
          </w:tcPr>
          <w:p w:rsidR="00D25D2C" w:rsidRPr="001D0A8D" w:rsidRDefault="00D25D2C" w:rsidP="00A95218">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1D0A8D">
              <w:rPr>
                <w:rStyle w:val="Bold"/>
                <w:rFonts w:ascii="Arial" w:hAnsi="Arial" w:cs="Arial"/>
                <w:bCs w:val="0"/>
                <w:color w:val="auto"/>
              </w:rPr>
              <w:t>Payment for Services *</w:t>
            </w:r>
          </w:p>
          <w:p w:rsidR="00D25D2C" w:rsidRPr="001D0A8D" w:rsidRDefault="00D25D2C" w:rsidP="00A95218">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auto"/>
              </w:rPr>
            </w:pPr>
          </w:p>
        </w:tc>
        <w:tc>
          <w:tcPr>
            <w:cnfStyle w:val="000010000000" w:firstRow="0" w:lastRow="0" w:firstColumn="0" w:lastColumn="0" w:oddVBand="1" w:evenVBand="0" w:oddHBand="0" w:evenHBand="0" w:firstRowFirstColumn="0" w:firstRowLastColumn="0" w:lastRowFirstColumn="0" w:lastRowLastColumn="0"/>
            <w:tcW w:w="1417" w:type="dxa"/>
            <w:shd w:val="clear" w:color="auto" w:fill="4BACC6" w:themeFill="accent5"/>
          </w:tcPr>
          <w:p w:rsidR="00D25D2C" w:rsidRPr="001D0A8D" w:rsidRDefault="00D25D2C" w:rsidP="00A95218">
            <w:pPr>
              <w:pStyle w:val="TableRightBold"/>
              <w:jc w:val="center"/>
              <w:rPr>
                <w:rStyle w:val="Bold"/>
                <w:rFonts w:ascii="Arial" w:hAnsi="Arial" w:cs="Arial"/>
                <w:bCs w:val="0"/>
                <w:color w:val="auto"/>
              </w:rPr>
            </w:pPr>
            <w:r w:rsidRPr="001D0A8D">
              <w:rPr>
                <w:rStyle w:val="Bold"/>
                <w:rFonts w:ascii="Arial" w:hAnsi="Arial" w:cs="Arial"/>
                <w:bCs w:val="0"/>
                <w:color w:val="auto"/>
              </w:rPr>
              <w:t>Reimburse</w:t>
            </w:r>
            <w:r w:rsidR="00A820A8" w:rsidRPr="001D0A8D">
              <w:rPr>
                <w:rStyle w:val="Bold"/>
                <w:rFonts w:ascii="Arial" w:hAnsi="Arial" w:cs="Arial"/>
                <w:bCs w:val="0"/>
                <w:color w:val="auto"/>
              </w:rPr>
              <w:t>-</w:t>
            </w:r>
            <w:proofErr w:type="spellStart"/>
            <w:r w:rsidRPr="001D0A8D">
              <w:rPr>
                <w:rStyle w:val="Bold"/>
                <w:rFonts w:ascii="Arial" w:hAnsi="Arial" w:cs="Arial"/>
                <w:bCs w:val="0"/>
                <w:color w:val="auto"/>
              </w:rPr>
              <w:t>ment</w:t>
            </w:r>
            <w:proofErr w:type="spellEnd"/>
            <w:r w:rsidRPr="001D0A8D">
              <w:rPr>
                <w:rStyle w:val="Bold"/>
                <w:rFonts w:ascii="Arial" w:hAnsi="Arial" w:cs="Arial"/>
                <w:bCs w:val="0"/>
                <w:color w:val="auto"/>
              </w:rPr>
              <w:t xml:space="preserve"> of Capital Expenditure</w:t>
            </w:r>
          </w:p>
        </w:tc>
        <w:tc>
          <w:tcPr>
            <w:tcW w:w="1134" w:type="dxa"/>
            <w:shd w:val="clear" w:color="auto" w:fill="4BACC6" w:themeFill="accent5"/>
          </w:tcPr>
          <w:p w:rsidR="00D25D2C" w:rsidRPr="001D0A8D" w:rsidRDefault="00D25D2C" w:rsidP="00A95218">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1D0A8D">
              <w:rPr>
                <w:rStyle w:val="Bold"/>
                <w:rFonts w:ascii="Arial" w:hAnsi="Arial" w:cs="Arial"/>
                <w:bCs w:val="0"/>
                <w:color w:val="auto"/>
              </w:rPr>
              <w:t>Interest</w:t>
            </w:r>
          </w:p>
          <w:p w:rsidR="00D25D2C" w:rsidRPr="001D0A8D" w:rsidRDefault="00D25D2C" w:rsidP="00A95218">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p>
        </w:tc>
        <w:tc>
          <w:tcPr>
            <w:cnfStyle w:val="000010000000" w:firstRow="0" w:lastRow="0" w:firstColumn="0" w:lastColumn="0" w:oddVBand="1" w:evenVBand="0" w:oddHBand="0" w:evenHBand="0" w:firstRowFirstColumn="0" w:firstRowLastColumn="0" w:lastRowFirstColumn="0" w:lastRowLastColumn="0"/>
            <w:tcW w:w="1395" w:type="dxa"/>
            <w:shd w:val="clear" w:color="auto" w:fill="4BACC6" w:themeFill="accent5"/>
          </w:tcPr>
          <w:p w:rsidR="00D25D2C" w:rsidRPr="001D0A8D" w:rsidRDefault="00D25D2C" w:rsidP="00A95218">
            <w:pPr>
              <w:pStyle w:val="TableRightBold"/>
              <w:jc w:val="center"/>
              <w:rPr>
                <w:rStyle w:val="Bold"/>
                <w:rFonts w:ascii="Arial" w:hAnsi="Arial" w:cs="Arial"/>
                <w:bCs w:val="0"/>
                <w:color w:val="auto"/>
              </w:rPr>
            </w:pPr>
            <w:r w:rsidRPr="001D0A8D">
              <w:rPr>
                <w:rStyle w:val="Bold"/>
                <w:rFonts w:ascii="Arial" w:hAnsi="Arial" w:cs="Arial"/>
                <w:bCs w:val="0"/>
                <w:color w:val="auto"/>
              </w:rPr>
              <w:t>Total</w:t>
            </w:r>
          </w:p>
          <w:p w:rsidR="00D25D2C" w:rsidRPr="001D0A8D" w:rsidRDefault="00D25D2C" w:rsidP="00A95218">
            <w:pPr>
              <w:pStyle w:val="TableRightBold"/>
              <w:jc w:val="center"/>
              <w:rPr>
                <w:rStyle w:val="Bold"/>
                <w:rFonts w:ascii="Arial" w:hAnsi="Arial" w:cs="Arial"/>
                <w:bCs w:val="0"/>
                <w:color w:val="auto"/>
              </w:rPr>
            </w:pPr>
          </w:p>
        </w:tc>
      </w:tr>
      <w:tr w:rsidR="00A95218" w:rsidRPr="0005794A" w:rsidTr="0011349D">
        <w:trPr>
          <w:trHeight w:val="60"/>
        </w:trPr>
        <w:tc>
          <w:tcPr>
            <w:cnfStyle w:val="000010000000" w:firstRow="0" w:lastRow="0" w:firstColumn="0" w:lastColumn="0" w:oddVBand="1" w:evenVBand="0" w:oddHBand="0" w:evenHBand="0" w:firstRowFirstColumn="0" w:firstRowLastColumn="0" w:lastRowFirstColumn="0" w:lastRowLastColumn="0"/>
            <w:tcW w:w="3119" w:type="dxa"/>
            <w:shd w:val="clear" w:color="auto" w:fill="4BACC6" w:themeFill="accent5"/>
          </w:tcPr>
          <w:p w:rsidR="00A95218" w:rsidRPr="0005794A" w:rsidRDefault="00A95218" w:rsidP="00A95218">
            <w:pPr>
              <w:pStyle w:val="TableText"/>
              <w:rPr>
                <w:rFonts w:ascii="Arial" w:hAnsi="Arial" w:cs="Arial"/>
                <w:color w:val="548DD4" w:themeColor="text2" w:themeTint="99"/>
              </w:rPr>
            </w:pPr>
          </w:p>
        </w:tc>
        <w:tc>
          <w:tcPr>
            <w:tcW w:w="1276" w:type="dxa"/>
            <w:shd w:val="clear" w:color="auto" w:fill="4BACC6" w:themeFill="accent5"/>
          </w:tcPr>
          <w:p w:rsidR="00A95218" w:rsidRPr="001D0A8D" w:rsidRDefault="00A95218" w:rsidP="00A95218">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0A8D">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4BACC6" w:themeFill="accent5"/>
          </w:tcPr>
          <w:p w:rsidR="00A95218" w:rsidRPr="001D0A8D" w:rsidRDefault="00A95218" w:rsidP="00A95218">
            <w:pPr>
              <w:pStyle w:val="TableRight"/>
              <w:jc w:val="center"/>
              <w:rPr>
                <w:rFonts w:ascii="Arial" w:hAnsi="Arial" w:cs="Arial"/>
                <w:color w:val="auto"/>
              </w:rPr>
            </w:pPr>
            <w:r w:rsidRPr="001D0A8D">
              <w:rPr>
                <w:rFonts w:ascii="Arial" w:hAnsi="Arial" w:cs="Arial"/>
                <w:color w:val="auto"/>
              </w:rPr>
              <w:t>£m</w:t>
            </w:r>
          </w:p>
        </w:tc>
        <w:tc>
          <w:tcPr>
            <w:tcW w:w="1134" w:type="dxa"/>
            <w:shd w:val="clear" w:color="auto" w:fill="4BACC6" w:themeFill="accent5"/>
          </w:tcPr>
          <w:p w:rsidR="00A95218" w:rsidRPr="001D0A8D" w:rsidRDefault="00A95218" w:rsidP="00A95218">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0A8D">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395" w:type="dxa"/>
            <w:shd w:val="clear" w:color="auto" w:fill="4BACC6" w:themeFill="accent5"/>
          </w:tcPr>
          <w:p w:rsidR="00A95218" w:rsidRPr="001D0A8D" w:rsidRDefault="00A95218" w:rsidP="00A95218">
            <w:pPr>
              <w:pStyle w:val="TableRight"/>
              <w:jc w:val="center"/>
              <w:rPr>
                <w:rFonts w:ascii="Arial" w:hAnsi="Arial" w:cs="Arial"/>
                <w:color w:val="auto"/>
              </w:rPr>
            </w:pPr>
            <w:r w:rsidRPr="001D0A8D">
              <w:rPr>
                <w:rFonts w:ascii="Arial" w:hAnsi="Arial" w:cs="Arial"/>
                <w:color w:val="auto"/>
              </w:rPr>
              <w:t>£m</w:t>
            </w:r>
          </w:p>
        </w:tc>
      </w:tr>
      <w:tr w:rsidR="00D25D2C" w:rsidRPr="0005794A" w:rsidTr="0011349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119" w:type="dxa"/>
          </w:tcPr>
          <w:p w:rsidR="00D25D2C" w:rsidRPr="001D0A8D" w:rsidRDefault="00D25D2C" w:rsidP="00F76627">
            <w:pPr>
              <w:pStyle w:val="TableText"/>
              <w:rPr>
                <w:rFonts w:ascii="Arial" w:hAnsi="Arial" w:cs="Arial"/>
                <w:color w:val="auto"/>
              </w:rPr>
            </w:pPr>
            <w:r w:rsidRPr="001D0A8D">
              <w:rPr>
                <w:rFonts w:ascii="Arial" w:hAnsi="Arial" w:cs="Arial"/>
                <w:color w:val="auto"/>
              </w:rPr>
              <w:t>Payable in 201</w:t>
            </w:r>
            <w:r w:rsidR="001D0A8D" w:rsidRPr="001D0A8D">
              <w:rPr>
                <w:rFonts w:ascii="Arial" w:hAnsi="Arial" w:cs="Arial"/>
                <w:color w:val="auto"/>
              </w:rPr>
              <w:t>8</w:t>
            </w:r>
            <w:r w:rsidRPr="001D0A8D">
              <w:rPr>
                <w:rFonts w:ascii="Arial" w:hAnsi="Arial" w:cs="Arial"/>
                <w:color w:val="auto"/>
              </w:rPr>
              <w:t>/1</w:t>
            </w:r>
            <w:r w:rsidR="001D0A8D" w:rsidRPr="001D0A8D">
              <w:rPr>
                <w:rFonts w:ascii="Arial" w:hAnsi="Arial" w:cs="Arial"/>
                <w:color w:val="auto"/>
              </w:rPr>
              <w:t>9</w:t>
            </w:r>
          </w:p>
        </w:tc>
        <w:tc>
          <w:tcPr>
            <w:tcW w:w="1276" w:type="dxa"/>
          </w:tcPr>
          <w:p w:rsidR="00D25D2C" w:rsidRPr="00AB707F" w:rsidRDefault="00BD2A06" w:rsidP="00A9521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B707F">
              <w:rPr>
                <w:rFonts w:ascii="Arial" w:hAnsi="Arial" w:cs="Arial"/>
                <w:color w:val="auto"/>
              </w:rPr>
              <w:t>1.9</w:t>
            </w:r>
          </w:p>
        </w:tc>
        <w:tc>
          <w:tcPr>
            <w:cnfStyle w:val="000010000000" w:firstRow="0" w:lastRow="0" w:firstColumn="0" w:lastColumn="0" w:oddVBand="1" w:evenVBand="0" w:oddHBand="0" w:evenHBand="0" w:firstRowFirstColumn="0" w:firstRowLastColumn="0" w:lastRowFirstColumn="0" w:lastRowLastColumn="0"/>
            <w:tcW w:w="1417" w:type="dxa"/>
          </w:tcPr>
          <w:p w:rsidR="00D25D2C" w:rsidRPr="00AB707F" w:rsidRDefault="00A820A8" w:rsidP="00887B78">
            <w:pPr>
              <w:pStyle w:val="TableRight"/>
              <w:jc w:val="center"/>
              <w:rPr>
                <w:rFonts w:ascii="Arial" w:hAnsi="Arial" w:cs="Arial"/>
                <w:color w:val="auto"/>
              </w:rPr>
            </w:pPr>
            <w:r w:rsidRPr="00AB707F">
              <w:rPr>
                <w:rFonts w:ascii="Arial" w:hAnsi="Arial" w:cs="Arial"/>
                <w:color w:val="auto"/>
              </w:rPr>
              <w:t>0.</w:t>
            </w:r>
            <w:r w:rsidR="00887B78" w:rsidRPr="00AB707F">
              <w:rPr>
                <w:rFonts w:ascii="Arial" w:hAnsi="Arial" w:cs="Arial"/>
                <w:color w:val="auto"/>
              </w:rPr>
              <w:t>6</w:t>
            </w:r>
          </w:p>
        </w:tc>
        <w:tc>
          <w:tcPr>
            <w:tcW w:w="1134" w:type="dxa"/>
          </w:tcPr>
          <w:p w:rsidR="00D25D2C" w:rsidRPr="00AB707F" w:rsidRDefault="00AB707F" w:rsidP="00A9521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B707F">
              <w:rPr>
                <w:rFonts w:ascii="Arial" w:hAnsi="Arial" w:cs="Arial"/>
                <w:color w:val="auto"/>
              </w:rPr>
              <w:t>0.3</w:t>
            </w:r>
          </w:p>
        </w:tc>
        <w:tc>
          <w:tcPr>
            <w:cnfStyle w:val="000010000000" w:firstRow="0" w:lastRow="0" w:firstColumn="0" w:lastColumn="0" w:oddVBand="1" w:evenVBand="0" w:oddHBand="0" w:evenHBand="0" w:firstRowFirstColumn="0" w:firstRowLastColumn="0" w:lastRowFirstColumn="0" w:lastRowLastColumn="0"/>
            <w:tcW w:w="1395" w:type="dxa"/>
          </w:tcPr>
          <w:p w:rsidR="00D25D2C" w:rsidRPr="00AB707F" w:rsidRDefault="00AB707F" w:rsidP="00887B78">
            <w:pPr>
              <w:pStyle w:val="TableRight"/>
              <w:jc w:val="center"/>
              <w:rPr>
                <w:rFonts w:ascii="Arial" w:hAnsi="Arial" w:cs="Arial"/>
                <w:color w:val="auto"/>
              </w:rPr>
            </w:pPr>
            <w:r w:rsidRPr="00AB707F">
              <w:rPr>
                <w:rFonts w:ascii="Arial" w:hAnsi="Arial" w:cs="Arial"/>
                <w:color w:val="auto"/>
              </w:rPr>
              <w:t>2.8</w:t>
            </w:r>
          </w:p>
        </w:tc>
      </w:tr>
      <w:tr w:rsidR="00D25D2C" w:rsidRPr="0005794A" w:rsidTr="0011349D">
        <w:trPr>
          <w:trHeight w:val="60"/>
        </w:trPr>
        <w:tc>
          <w:tcPr>
            <w:cnfStyle w:val="000010000000" w:firstRow="0" w:lastRow="0" w:firstColumn="0" w:lastColumn="0" w:oddVBand="1" w:evenVBand="0" w:oddHBand="0" w:evenHBand="0" w:firstRowFirstColumn="0" w:firstRowLastColumn="0" w:lastRowFirstColumn="0" w:lastRowLastColumn="0"/>
            <w:tcW w:w="3119" w:type="dxa"/>
          </w:tcPr>
          <w:p w:rsidR="00D25D2C" w:rsidRPr="001D0A8D" w:rsidRDefault="00D25D2C" w:rsidP="00A95218">
            <w:pPr>
              <w:pStyle w:val="TableText"/>
              <w:rPr>
                <w:rFonts w:ascii="Arial" w:hAnsi="Arial" w:cs="Arial"/>
                <w:color w:val="auto"/>
              </w:rPr>
            </w:pPr>
            <w:r w:rsidRPr="001D0A8D">
              <w:rPr>
                <w:rFonts w:ascii="Arial" w:hAnsi="Arial" w:cs="Arial"/>
                <w:color w:val="auto"/>
              </w:rPr>
              <w:t>Payable within 2 to 5 years</w:t>
            </w:r>
          </w:p>
        </w:tc>
        <w:tc>
          <w:tcPr>
            <w:tcW w:w="1276" w:type="dxa"/>
          </w:tcPr>
          <w:p w:rsidR="00D25D2C" w:rsidRPr="00AB707F" w:rsidRDefault="00476C43" w:rsidP="00887B78">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707F">
              <w:rPr>
                <w:rFonts w:ascii="Arial" w:hAnsi="Arial" w:cs="Arial"/>
                <w:color w:val="auto"/>
              </w:rPr>
              <w:t>7.</w:t>
            </w:r>
            <w:r w:rsidR="00BD2A06" w:rsidRPr="00AB707F">
              <w:rPr>
                <w:rFonts w:ascii="Arial" w:hAnsi="Arial" w:cs="Arial"/>
                <w:color w:val="auto"/>
              </w:rPr>
              <w:t>4</w:t>
            </w:r>
          </w:p>
        </w:tc>
        <w:tc>
          <w:tcPr>
            <w:cnfStyle w:val="000010000000" w:firstRow="0" w:lastRow="0" w:firstColumn="0" w:lastColumn="0" w:oddVBand="1" w:evenVBand="0" w:oddHBand="0" w:evenHBand="0" w:firstRowFirstColumn="0" w:firstRowLastColumn="0" w:lastRowFirstColumn="0" w:lastRowLastColumn="0"/>
            <w:tcW w:w="1417" w:type="dxa"/>
          </w:tcPr>
          <w:p w:rsidR="00D25D2C" w:rsidRPr="00AB707F" w:rsidRDefault="00A820A8" w:rsidP="00A95218">
            <w:pPr>
              <w:pStyle w:val="TableRight"/>
              <w:jc w:val="center"/>
              <w:rPr>
                <w:rFonts w:ascii="Arial" w:hAnsi="Arial" w:cs="Arial"/>
                <w:color w:val="auto"/>
              </w:rPr>
            </w:pPr>
            <w:r w:rsidRPr="00AB707F">
              <w:rPr>
                <w:rFonts w:ascii="Arial" w:hAnsi="Arial" w:cs="Arial"/>
                <w:color w:val="auto"/>
              </w:rPr>
              <w:t>2.</w:t>
            </w:r>
            <w:r w:rsidR="00AB707F" w:rsidRPr="00AB707F">
              <w:rPr>
                <w:rFonts w:ascii="Arial" w:hAnsi="Arial" w:cs="Arial"/>
                <w:color w:val="auto"/>
              </w:rPr>
              <w:t>6</w:t>
            </w:r>
          </w:p>
        </w:tc>
        <w:tc>
          <w:tcPr>
            <w:tcW w:w="1134" w:type="dxa"/>
          </w:tcPr>
          <w:p w:rsidR="00D25D2C" w:rsidRPr="00AB707F" w:rsidRDefault="00A820A8" w:rsidP="00887B78">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707F">
              <w:rPr>
                <w:rFonts w:ascii="Arial" w:hAnsi="Arial" w:cs="Arial"/>
                <w:color w:val="auto"/>
              </w:rPr>
              <w:t>1.</w:t>
            </w:r>
            <w:r w:rsidR="00AB707F" w:rsidRPr="00AB707F">
              <w:rPr>
                <w:rFonts w:ascii="Arial" w:hAnsi="Arial" w:cs="Arial"/>
                <w:color w:val="auto"/>
              </w:rPr>
              <w:t>1</w:t>
            </w:r>
          </w:p>
        </w:tc>
        <w:tc>
          <w:tcPr>
            <w:cnfStyle w:val="000010000000" w:firstRow="0" w:lastRow="0" w:firstColumn="0" w:lastColumn="0" w:oddVBand="1" w:evenVBand="0" w:oddHBand="0" w:evenHBand="0" w:firstRowFirstColumn="0" w:firstRowLastColumn="0" w:lastRowFirstColumn="0" w:lastRowLastColumn="0"/>
            <w:tcW w:w="1395" w:type="dxa"/>
          </w:tcPr>
          <w:p w:rsidR="00D25D2C" w:rsidRPr="00AB707F" w:rsidRDefault="00AB707F" w:rsidP="00887B78">
            <w:pPr>
              <w:pStyle w:val="TableRight"/>
              <w:jc w:val="center"/>
              <w:rPr>
                <w:rFonts w:ascii="Arial" w:hAnsi="Arial" w:cs="Arial"/>
                <w:color w:val="auto"/>
              </w:rPr>
            </w:pPr>
            <w:r w:rsidRPr="00AB707F">
              <w:rPr>
                <w:rFonts w:ascii="Arial" w:hAnsi="Arial" w:cs="Arial"/>
                <w:color w:val="auto"/>
              </w:rPr>
              <w:t>11.1</w:t>
            </w:r>
          </w:p>
        </w:tc>
      </w:tr>
      <w:tr w:rsidR="00D25D2C" w:rsidRPr="0005794A" w:rsidTr="0011349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119" w:type="dxa"/>
          </w:tcPr>
          <w:p w:rsidR="00D25D2C" w:rsidRPr="001D0A8D" w:rsidRDefault="00D25D2C" w:rsidP="00A95218">
            <w:pPr>
              <w:pStyle w:val="TableText"/>
              <w:rPr>
                <w:rFonts w:ascii="Arial" w:hAnsi="Arial" w:cs="Arial"/>
                <w:color w:val="auto"/>
              </w:rPr>
            </w:pPr>
            <w:r w:rsidRPr="001D0A8D">
              <w:rPr>
                <w:rFonts w:ascii="Arial" w:hAnsi="Arial" w:cs="Arial"/>
                <w:color w:val="auto"/>
              </w:rPr>
              <w:t>Payable within 6 to 10 years</w:t>
            </w:r>
          </w:p>
        </w:tc>
        <w:tc>
          <w:tcPr>
            <w:tcW w:w="1276" w:type="dxa"/>
          </w:tcPr>
          <w:p w:rsidR="00D25D2C" w:rsidRPr="00AB707F" w:rsidRDefault="00BD2A06" w:rsidP="00A9521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B707F">
              <w:rPr>
                <w:rFonts w:ascii="Arial" w:hAnsi="Arial" w:cs="Arial"/>
                <w:color w:val="auto"/>
              </w:rPr>
              <w:t>8.4</w:t>
            </w:r>
          </w:p>
        </w:tc>
        <w:tc>
          <w:tcPr>
            <w:cnfStyle w:val="000010000000" w:firstRow="0" w:lastRow="0" w:firstColumn="0" w:lastColumn="0" w:oddVBand="1" w:evenVBand="0" w:oddHBand="0" w:evenHBand="0" w:firstRowFirstColumn="0" w:firstRowLastColumn="0" w:lastRowFirstColumn="0" w:lastRowLastColumn="0"/>
            <w:tcW w:w="1417" w:type="dxa"/>
          </w:tcPr>
          <w:p w:rsidR="00D25D2C" w:rsidRPr="00AB707F" w:rsidRDefault="009453C8" w:rsidP="009453C8">
            <w:pPr>
              <w:pStyle w:val="TableRight"/>
              <w:jc w:val="center"/>
              <w:rPr>
                <w:rFonts w:ascii="Arial" w:hAnsi="Arial" w:cs="Arial"/>
                <w:color w:val="auto"/>
              </w:rPr>
            </w:pPr>
            <w:r w:rsidRPr="00AB707F">
              <w:rPr>
                <w:rFonts w:ascii="Arial" w:hAnsi="Arial" w:cs="Arial"/>
                <w:color w:val="auto"/>
              </w:rPr>
              <w:t>3.</w:t>
            </w:r>
            <w:r w:rsidR="00AB707F">
              <w:rPr>
                <w:rFonts w:ascii="Arial" w:hAnsi="Arial" w:cs="Arial"/>
                <w:color w:val="auto"/>
              </w:rPr>
              <w:t>7</w:t>
            </w:r>
          </w:p>
        </w:tc>
        <w:tc>
          <w:tcPr>
            <w:tcW w:w="1134" w:type="dxa"/>
          </w:tcPr>
          <w:p w:rsidR="00D25D2C" w:rsidRPr="00AB707F" w:rsidRDefault="006F773B" w:rsidP="00887B7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B707F">
              <w:rPr>
                <w:rFonts w:ascii="Arial" w:hAnsi="Arial" w:cs="Arial"/>
                <w:color w:val="auto"/>
              </w:rPr>
              <w:t>0.</w:t>
            </w:r>
            <w:r w:rsidR="00AB707F" w:rsidRPr="00AB707F">
              <w:rPr>
                <w:rFonts w:ascii="Arial" w:hAnsi="Arial" w:cs="Arial"/>
                <w:color w:val="auto"/>
              </w:rPr>
              <w:t>5</w:t>
            </w:r>
          </w:p>
        </w:tc>
        <w:tc>
          <w:tcPr>
            <w:cnfStyle w:val="000010000000" w:firstRow="0" w:lastRow="0" w:firstColumn="0" w:lastColumn="0" w:oddVBand="1" w:evenVBand="0" w:oddHBand="0" w:evenHBand="0" w:firstRowFirstColumn="0" w:firstRowLastColumn="0" w:lastRowFirstColumn="0" w:lastRowLastColumn="0"/>
            <w:tcW w:w="1395" w:type="dxa"/>
          </w:tcPr>
          <w:p w:rsidR="00D25D2C" w:rsidRPr="00AB707F" w:rsidRDefault="00AB707F" w:rsidP="00887B78">
            <w:pPr>
              <w:pStyle w:val="TableRight"/>
              <w:jc w:val="center"/>
              <w:rPr>
                <w:rFonts w:ascii="Arial" w:hAnsi="Arial" w:cs="Arial"/>
                <w:color w:val="auto"/>
              </w:rPr>
            </w:pPr>
            <w:r w:rsidRPr="00AB707F">
              <w:rPr>
                <w:rFonts w:ascii="Arial" w:hAnsi="Arial" w:cs="Arial"/>
                <w:color w:val="auto"/>
              </w:rPr>
              <w:t>12.6</w:t>
            </w:r>
          </w:p>
        </w:tc>
      </w:tr>
      <w:tr w:rsidR="00D25D2C" w:rsidRPr="0005794A" w:rsidTr="0011349D">
        <w:trPr>
          <w:trHeight w:val="60"/>
        </w:trPr>
        <w:tc>
          <w:tcPr>
            <w:cnfStyle w:val="000010000000" w:firstRow="0" w:lastRow="0" w:firstColumn="0" w:lastColumn="0" w:oddVBand="1" w:evenVBand="0" w:oddHBand="0" w:evenHBand="0" w:firstRowFirstColumn="0" w:firstRowLastColumn="0" w:lastRowFirstColumn="0" w:lastRowLastColumn="0"/>
            <w:tcW w:w="3119" w:type="dxa"/>
          </w:tcPr>
          <w:p w:rsidR="00D25D2C" w:rsidRPr="001D0A8D" w:rsidRDefault="00D25D2C" w:rsidP="00A95218">
            <w:pPr>
              <w:pStyle w:val="TableText"/>
              <w:rPr>
                <w:rFonts w:ascii="Arial" w:hAnsi="Arial" w:cs="Arial"/>
                <w:b/>
                <w:color w:val="auto"/>
              </w:rPr>
            </w:pPr>
            <w:r w:rsidRPr="001D0A8D">
              <w:rPr>
                <w:rFonts w:ascii="Arial" w:hAnsi="Arial" w:cs="Arial"/>
                <w:b/>
                <w:color w:val="auto"/>
              </w:rPr>
              <w:t>Total</w:t>
            </w:r>
          </w:p>
        </w:tc>
        <w:tc>
          <w:tcPr>
            <w:tcW w:w="1276" w:type="dxa"/>
          </w:tcPr>
          <w:p w:rsidR="00D25D2C" w:rsidRPr="00AB707F" w:rsidRDefault="00AB707F" w:rsidP="00A95218">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B707F">
              <w:rPr>
                <w:rFonts w:ascii="Arial" w:hAnsi="Arial" w:cs="Arial"/>
                <w:b/>
                <w:color w:val="auto"/>
              </w:rPr>
              <w:t>17.7</w:t>
            </w:r>
          </w:p>
        </w:tc>
        <w:tc>
          <w:tcPr>
            <w:cnfStyle w:val="000010000000" w:firstRow="0" w:lastRow="0" w:firstColumn="0" w:lastColumn="0" w:oddVBand="1" w:evenVBand="0" w:oddHBand="0" w:evenHBand="0" w:firstRowFirstColumn="0" w:firstRowLastColumn="0" w:lastRowFirstColumn="0" w:lastRowLastColumn="0"/>
            <w:tcW w:w="1417" w:type="dxa"/>
          </w:tcPr>
          <w:p w:rsidR="00D25D2C" w:rsidRPr="00AB707F" w:rsidRDefault="00AB707F" w:rsidP="00A95218">
            <w:pPr>
              <w:pStyle w:val="TableRight"/>
              <w:jc w:val="center"/>
              <w:rPr>
                <w:rFonts w:ascii="Arial" w:hAnsi="Arial" w:cs="Arial"/>
                <w:b/>
                <w:color w:val="auto"/>
              </w:rPr>
            </w:pPr>
            <w:r>
              <w:rPr>
                <w:rFonts w:ascii="Arial" w:hAnsi="Arial" w:cs="Arial"/>
                <w:b/>
                <w:color w:val="auto"/>
              </w:rPr>
              <w:t>6.9</w:t>
            </w:r>
          </w:p>
        </w:tc>
        <w:tc>
          <w:tcPr>
            <w:tcW w:w="1134" w:type="dxa"/>
          </w:tcPr>
          <w:p w:rsidR="00D25D2C" w:rsidRPr="00AB707F" w:rsidRDefault="00AB707F" w:rsidP="006F773B">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B707F">
              <w:rPr>
                <w:rFonts w:ascii="Arial" w:hAnsi="Arial" w:cs="Arial"/>
                <w:b/>
                <w:color w:val="auto"/>
              </w:rPr>
              <w:t>1.9</w:t>
            </w:r>
          </w:p>
        </w:tc>
        <w:tc>
          <w:tcPr>
            <w:cnfStyle w:val="000010000000" w:firstRow="0" w:lastRow="0" w:firstColumn="0" w:lastColumn="0" w:oddVBand="1" w:evenVBand="0" w:oddHBand="0" w:evenHBand="0" w:firstRowFirstColumn="0" w:firstRowLastColumn="0" w:lastRowFirstColumn="0" w:lastRowLastColumn="0"/>
            <w:tcW w:w="1395" w:type="dxa"/>
          </w:tcPr>
          <w:p w:rsidR="00D25D2C" w:rsidRPr="00AB707F" w:rsidRDefault="00AB707F" w:rsidP="006F773B">
            <w:pPr>
              <w:pStyle w:val="TableRight"/>
              <w:jc w:val="center"/>
              <w:rPr>
                <w:rFonts w:ascii="Arial" w:hAnsi="Arial" w:cs="Arial"/>
                <w:b/>
                <w:color w:val="auto"/>
              </w:rPr>
            </w:pPr>
            <w:r w:rsidRPr="00AB707F">
              <w:rPr>
                <w:rFonts w:ascii="Arial" w:hAnsi="Arial" w:cs="Arial"/>
                <w:b/>
                <w:color w:val="auto"/>
              </w:rPr>
              <w:t>26.5</w:t>
            </w:r>
          </w:p>
        </w:tc>
      </w:tr>
    </w:tbl>
    <w:p w:rsidR="00E51139" w:rsidRPr="0005794A" w:rsidRDefault="00E51139" w:rsidP="007C0F82">
      <w:pPr>
        <w:pStyle w:val="BodyTextIndent"/>
        <w:tabs>
          <w:tab w:val="left" w:pos="709"/>
        </w:tabs>
        <w:ind w:left="0"/>
        <w:rPr>
          <w:rFonts w:cs="Arial"/>
          <w:color w:val="548DD4" w:themeColor="text2" w:themeTint="99"/>
          <w:sz w:val="20"/>
          <w:szCs w:val="20"/>
        </w:rPr>
      </w:pPr>
      <w:r w:rsidRPr="0005794A">
        <w:rPr>
          <w:color w:val="548DD4" w:themeColor="text2" w:themeTint="99"/>
          <w:sz w:val="20"/>
          <w:szCs w:val="20"/>
        </w:rPr>
        <w:tab/>
      </w:r>
    </w:p>
    <w:p w:rsidR="00E51139" w:rsidRPr="001614A0" w:rsidRDefault="00E51139" w:rsidP="007C0F82">
      <w:pPr>
        <w:pStyle w:val="BodyTextIndent"/>
        <w:tabs>
          <w:tab w:val="left" w:pos="709"/>
        </w:tabs>
        <w:ind w:left="567"/>
        <w:rPr>
          <w:color w:val="auto"/>
          <w:sz w:val="20"/>
          <w:szCs w:val="20"/>
        </w:rPr>
      </w:pPr>
      <w:r w:rsidRPr="001614A0">
        <w:rPr>
          <w:color w:val="auto"/>
          <w:sz w:val="20"/>
          <w:szCs w:val="20"/>
        </w:rPr>
        <w:tab/>
        <w:t>* Assumption that the total annual payment for all three elements to the contractor will remain constant (ignoring inflation) until 2027/28 when the contract finishes.</w:t>
      </w:r>
    </w:p>
    <w:p w:rsidR="00E51139" w:rsidRPr="001614A0" w:rsidRDefault="00E51139" w:rsidP="007C0F82">
      <w:pPr>
        <w:pStyle w:val="CodeNotesExampleText"/>
        <w:widowControl w:val="0"/>
        <w:ind w:left="567"/>
        <w:rPr>
          <w:rFonts w:cs="Arial"/>
          <w:color w:val="auto"/>
          <w:sz w:val="20"/>
          <w:szCs w:val="20"/>
        </w:rPr>
      </w:pPr>
      <w:r w:rsidRPr="001614A0">
        <w:rPr>
          <w:rFonts w:cs="Arial"/>
          <w:color w:val="auto"/>
          <w:sz w:val="20"/>
          <w:szCs w:val="20"/>
        </w:rPr>
        <w:t>Although the payments made to the contractor are described as unitary payments, they have been calculated to compensate the contractor for the fair value of the services they provide, the capital expenditure incurred and interest payable. The liability outstanding to pay to the contractor for capital expenditure incurred is as follows:</w:t>
      </w:r>
    </w:p>
    <w:p w:rsidR="00E51139" w:rsidRPr="0005794A" w:rsidRDefault="00E51139" w:rsidP="007C0F82">
      <w:pPr>
        <w:pStyle w:val="CodeNotesExampleText"/>
        <w:widowControl w:val="0"/>
        <w:ind w:left="567"/>
        <w:rPr>
          <w:rFonts w:cs="Arial"/>
          <w:color w:val="548DD4" w:themeColor="text2" w:themeTint="99"/>
          <w:sz w:val="20"/>
          <w:szCs w:val="20"/>
        </w:rPr>
      </w:pPr>
    </w:p>
    <w:tbl>
      <w:tblPr>
        <w:tblStyle w:val="ListTable3-Accent51"/>
        <w:tblW w:w="8326" w:type="dxa"/>
        <w:tblInd w:w="720" w:type="dxa"/>
        <w:tblLayout w:type="fixed"/>
        <w:tblLook w:val="0000" w:firstRow="0" w:lastRow="0" w:firstColumn="0" w:lastColumn="0" w:noHBand="0" w:noVBand="0"/>
      </w:tblPr>
      <w:tblGrid>
        <w:gridCol w:w="1798"/>
        <w:gridCol w:w="4678"/>
        <w:gridCol w:w="1850"/>
      </w:tblGrid>
      <w:tr w:rsidR="00E51139" w:rsidRPr="0005794A" w:rsidTr="007E6457">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1798" w:type="dxa"/>
            <w:shd w:val="clear" w:color="auto" w:fill="4BACC6" w:themeFill="accent5"/>
          </w:tcPr>
          <w:p w:rsidR="00E51139" w:rsidRPr="001D0A8D" w:rsidRDefault="00E51139" w:rsidP="003D6741">
            <w:pPr>
              <w:pStyle w:val="TableRightBold"/>
              <w:ind w:right="142"/>
              <w:jc w:val="center"/>
              <w:rPr>
                <w:rStyle w:val="Bold"/>
                <w:rFonts w:ascii="Arial" w:hAnsi="Arial" w:cs="Arial"/>
                <w:bCs w:val="0"/>
                <w:color w:val="auto"/>
              </w:rPr>
            </w:pPr>
            <w:r w:rsidRPr="001D0A8D">
              <w:rPr>
                <w:rStyle w:val="Bold"/>
                <w:rFonts w:ascii="Arial" w:hAnsi="Arial" w:cs="Arial"/>
                <w:bCs w:val="0"/>
                <w:color w:val="auto"/>
              </w:rPr>
              <w:t>201</w:t>
            </w:r>
            <w:r w:rsidR="001D0A8D" w:rsidRPr="001D0A8D">
              <w:rPr>
                <w:rStyle w:val="Bold"/>
                <w:rFonts w:ascii="Arial" w:hAnsi="Arial" w:cs="Arial"/>
                <w:bCs w:val="0"/>
                <w:color w:val="auto"/>
              </w:rPr>
              <w:t>6</w:t>
            </w:r>
            <w:r w:rsidR="00804CC4" w:rsidRPr="001D0A8D">
              <w:rPr>
                <w:rStyle w:val="Bold"/>
                <w:rFonts w:ascii="Arial" w:hAnsi="Arial" w:cs="Arial"/>
                <w:bCs w:val="0"/>
                <w:color w:val="auto"/>
              </w:rPr>
              <w:t>/1</w:t>
            </w:r>
            <w:r w:rsidR="001D0A8D" w:rsidRPr="001D0A8D">
              <w:rPr>
                <w:rStyle w:val="Bold"/>
                <w:rFonts w:ascii="Arial" w:hAnsi="Arial" w:cs="Arial"/>
                <w:bCs w:val="0"/>
                <w:color w:val="auto"/>
              </w:rPr>
              <w:t>7</w:t>
            </w:r>
          </w:p>
          <w:p w:rsidR="00E51139" w:rsidRPr="001D0A8D" w:rsidRDefault="00E51139" w:rsidP="00EB757A">
            <w:pPr>
              <w:pStyle w:val="TableRightBold"/>
              <w:ind w:right="142"/>
              <w:jc w:val="center"/>
              <w:rPr>
                <w:rFonts w:ascii="Arial" w:hAnsi="Arial" w:cs="Arial"/>
                <w:color w:val="auto"/>
              </w:rPr>
            </w:pPr>
            <w:r w:rsidRPr="001D0A8D">
              <w:rPr>
                <w:rStyle w:val="Bold"/>
                <w:rFonts w:ascii="Arial" w:hAnsi="Arial" w:cs="Arial"/>
                <w:bCs w:val="0"/>
                <w:color w:val="auto"/>
              </w:rPr>
              <w:t>£m</w:t>
            </w:r>
          </w:p>
        </w:tc>
        <w:tc>
          <w:tcPr>
            <w:tcW w:w="4678" w:type="dxa"/>
            <w:shd w:val="clear" w:color="auto" w:fill="4BACC6" w:themeFill="accent5"/>
          </w:tcPr>
          <w:p w:rsidR="00E51139" w:rsidRPr="001D0A8D" w:rsidRDefault="00E51139" w:rsidP="00EB757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850" w:type="dxa"/>
            <w:shd w:val="clear" w:color="auto" w:fill="4BACC6" w:themeFill="accent5"/>
          </w:tcPr>
          <w:p w:rsidR="00E51139" w:rsidRPr="001D0A8D" w:rsidRDefault="00E51139" w:rsidP="00EB757A">
            <w:pPr>
              <w:pStyle w:val="TableRightBold"/>
              <w:ind w:right="142"/>
              <w:jc w:val="center"/>
              <w:rPr>
                <w:rStyle w:val="Bold"/>
                <w:rFonts w:ascii="Arial" w:hAnsi="Arial" w:cs="Arial"/>
                <w:b/>
                <w:bCs w:val="0"/>
                <w:color w:val="auto"/>
              </w:rPr>
            </w:pPr>
            <w:r w:rsidRPr="001D0A8D">
              <w:rPr>
                <w:rStyle w:val="Bold"/>
                <w:rFonts w:ascii="Arial" w:hAnsi="Arial" w:cs="Arial"/>
                <w:b/>
                <w:bCs w:val="0"/>
                <w:color w:val="auto"/>
              </w:rPr>
              <w:t>20</w:t>
            </w:r>
            <w:r w:rsidR="00607632" w:rsidRPr="001D0A8D">
              <w:rPr>
                <w:rStyle w:val="Bold"/>
                <w:rFonts w:ascii="Arial" w:hAnsi="Arial" w:cs="Arial"/>
                <w:b/>
                <w:bCs w:val="0"/>
                <w:color w:val="auto"/>
              </w:rPr>
              <w:t>1</w:t>
            </w:r>
            <w:r w:rsidR="001D0A8D" w:rsidRPr="001D0A8D">
              <w:rPr>
                <w:rStyle w:val="Bold"/>
                <w:rFonts w:ascii="Arial" w:hAnsi="Arial" w:cs="Arial"/>
                <w:b/>
                <w:bCs w:val="0"/>
                <w:color w:val="auto"/>
              </w:rPr>
              <w:t>7</w:t>
            </w:r>
            <w:r w:rsidR="00906DE2" w:rsidRPr="001D0A8D">
              <w:rPr>
                <w:rStyle w:val="Bold"/>
                <w:rFonts w:ascii="Arial" w:hAnsi="Arial" w:cs="Arial"/>
                <w:b/>
                <w:bCs w:val="0"/>
                <w:color w:val="auto"/>
              </w:rPr>
              <w:t>/1</w:t>
            </w:r>
            <w:r w:rsidR="001D0A8D" w:rsidRPr="001D0A8D">
              <w:rPr>
                <w:rStyle w:val="Bold"/>
                <w:rFonts w:ascii="Arial" w:hAnsi="Arial" w:cs="Arial"/>
                <w:b/>
                <w:bCs w:val="0"/>
                <w:color w:val="auto"/>
              </w:rPr>
              <w:t>8</w:t>
            </w:r>
          </w:p>
          <w:p w:rsidR="00E51139" w:rsidRPr="001D0A8D" w:rsidRDefault="00E51139" w:rsidP="00EB757A">
            <w:pPr>
              <w:pStyle w:val="TableRightBold"/>
              <w:ind w:right="142"/>
              <w:jc w:val="center"/>
              <w:rPr>
                <w:rFonts w:ascii="Arial" w:hAnsi="Arial" w:cs="Arial"/>
                <w:color w:val="auto"/>
              </w:rPr>
            </w:pPr>
            <w:r w:rsidRPr="001D0A8D">
              <w:rPr>
                <w:rStyle w:val="Bold"/>
                <w:rFonts w:ascii="Arial" w:hAnsi="Arial" w:cs="Arial"/>
                <w:b/>
                <w:bCs w:val="0"/>
                <w:color w:val="auto"/>
              </w:rPr>
              <w:t>£m</w:t>
            </w:r>
          </w:p>
        </w:tc>
      </w:tr>
      <w:tr w:rsidR="001D0A8D" w:rsidRPr="0005794A" w:rsidTr="007E6457">
        <w:trPr>
          <w:trHeight w:val="59"/>
        </w:trPr>
        <w:tc>
          <w:tcPr>
            <w:cnfStyle w:val="000010000000" w:firstRow="0" w:lastRow="0" w:firstColumn="0" w:lastColumn="0" w:oddVBand="1" w:evenVBand="0" w:oddHBand="0" w:evenHBand="0" w:firstRowFirstColumn="0" w:firstRowLastColumn="0" w:lastRowFirstColumn="0" w:lastRowLastColumn="0"/>
            <w:tcW w:w="1798" w:type="dxa"/>
          </w:tcPr>
          <w:p w:rsidR="001D0A8D" w:rsidRPr="001614A0" w:rsidRDefault="001D0A8D" w:rsidP="001D0A8D">
            <w:pPr>
              <w:pStyle w:val="TableRight"/>
              <w:ind w:right="142"/>
              <w:jc w:val="center"/>
              <w:rPr>
                <w:rFonts w:ascii="Arial" w:hAnsi="Arial" w:cs="Arial"/>
                <w:color w:val="auto"/>
              </w:rPr>
            </w:pPr>
            <w:r w:rsidRPr="001614A0">
              <w:rPr>
                <w:rFonts w:ascii="Arial" w:hAnsi="Arial" w:cs="Arial"/>
                <w:color w:val="auto"/>
              </w:rPr>
              <w:t>7.9</w:t>
            </w:r>
          </w:p>
        </w:tc>
        <w:tc>
          <w:tcPr>
            <w:tcW w:w="4678" w:type="dxa"/>
          </w:tcPr>
          <w:p w:rsidR="001D0A8D" w:rsidRPr="001D0A8D" w:rsidRDefault="001D0A8D" w:rsidP="00EB757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0A8D">
              <w:rPr>
                <w:rFonts w:ascii="Arial" w:hAnsi="Arial" w:cs="Arial"/>
                <w:color w:val="auto"/>
              </w:rPr>
              <w:t>Balance outstanding at start of year</w:t>
            </w:r>
          </w:p>
        </w:tc>
        <w:tc>
          <w:tcPr>
            <w:cnfStyle w:val="000010000000" w:firstRow="0" w:lastRow="0" w:firstColumn="0" w:lastColumn="0" w:oddVBand="1" w:evenVBand="0" w:oddHBand="0" w:evenHBand="0" w:firstRowFirstColumn="0" w:firstRowLastColumn="0" w:lastRowFirstColumn="0" w:lastRowLastColumn="0"/>
            <w:tcW w:w="1850" w:type="dxa"/>
          </w:tcPr>
          <w:p w:rsidR="001D0A8D" w:rsidRPr="001D0A8D" w:rsidRDefault="001614A0" w:rsidP="005C0277">
            <w:pPr>
              <w:pStyle w:val="TableRight"/>
              <w:ind w:right="142"/>
              <w:jc w:val="center"/>
              <w:rPr>
                <w:rFonts w:ascii="Arial" w:hAnsi="Arial" w:cs="Arial"/>
                <w:b/>
                <w:color w:val="auto"/>
              </w:rPr>
            </w:pPr>
            <w:r>
              <w:rPr>
                <w:rFonts w:ascii="Arial" w:hAnsi="Arial" w:cs="Arial"/>
                <w:b/>
                <w:color w:val="auto"/>
              </w:rPr>
              <w:t>7.4</w:t>
            </w:r>
          </w:p>
        </w:tc>
      </w:tr>
      <w:tr w:rsidR="001D0A8D" w:rsidRPr="0005794A" w:rsidTr="007E6457">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1798" w:type="dxa"/>
          </w:tcPr>
          <w:p w:rsidR="001D0A8D" w:rsidRPr="001614A0" w:rsidRDefault="001D0A8D" w:rsidP="001D0A8D">
            <w:pPr>
              <w:pStyle w:val="TableRight"/>
              <w:ind w:right="142"/>
              <w:jc w:val="center"/>
              <w:rPr>
                <w:rFonts w:ascii="Arial" w:hAnsi="Arial" w:cs="Arial"/>
                <w:color w:val="auto"/>
              </w:rPr>
            </w:pPr>
            <w:r w:rsidRPr="001614A0">
              <w:rPr>
                <w:rFonts w:ascii="Arial" w:hAnsi="Arial" w:cs="Arial"/>
                <w:color w:val="auto"/>
              </w:rPr>
              <w:t>(0.5)</w:t>
            </w:r>
          </w:p>
        </w:tc>
        <w:tc>
          <w:tcPr>
            <w:tcW w:w="4678" w:type="dxa"/>
          </w:tcPr>
          <w:p w:rsidR="001D0A8D" w:rsidRPr="001D0A8D" w:rsidRDefault="001D0A8D" w:rsidP="00EB757A">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D0A8D">
              <w:rPr>
                <w:rFonts w:ascii="Arial" w:hAnsi="Arial" w:cs="Arial"/>
                <w:color w:val="auto"/>
              </w:rPr>
              <w:t>Payments during the year</w:t>
            </w:r>
          </w:p>
        </w:tc>
        <w:tc>
          <w:tcPr>
            <w:cnfStyle w:val="000010000000" w:firstRow="0" w:lastRow="0" w:firstColumn="0" w:lastColumn="0" w:oddVBand="1" w:evenVBand="0" w:oddHBand="0" w:evenHBand="0" w:firstRowFirstColumn="0" w:firstRowLastColumn="0" w:lastRowFirstColumn="0" w:lastRowLastColumn="0"/>
            <w:tcW w:w="1850" w:type="dxa"/>
          </w:tcPr>
          <w:p w:rsidR="001D0A8D" w:rsidRPr="001D0A8D" w:rsidRDefault="001614A0" w:rsidP="003469C6">
            <w:pPr>
              <w:pStyle w:val="TableRight"/>
              <w:ind w:right="142"/>
              <w:jc w:val="center"/>
              <w:rPr>
                <w:rFonts w:ascii="Arial" w:hAnsi="Arial" w:cs="Arial"/>
                <w:b/>
                <w:color w:val="auto"/>
              </w:rPr>
            </w:pPr>
            <w:r>
              <w:rPr>
                <w:rFonts w:ascii="Arial" w:hAnsi="Arial" w:cs="Arial"/>
                <w:b/>
                <w:color w:val="auto"/>
              </w:rPr>
              <w:t>(0.5)</w:t>
            </w:r>
          </w:p>
        </w:tc>
      </w:tr>
      <w:tr w:rsidR="001D0A8D" w:rsidRPr="0005794A" w:rsidTr="007E6457">
        <w:trPr>
          <w:trHeight w:val="59"/>
        </w:trPr>
        <w:tc>
          <w:tcPr>
            <w:cnfStyle w:val="000010000000" w:firstRow="0" w:lastRow="0" w:firstColumn="0" w:lastColumn="0" w:oddVBand="1" w:evenVBand="0" w:oddHBand="0" w:evenHBand="0" w:firstRowFirstColumn="0" w:firstRowLastColumn="0" w:lastRowFirstColumn="0" w:lastRowLastColumn="0"/>
            <w:tcW w:w="1798" w:type="dxa"/>
          </w:tcPr>
          <w:p w:rsidR="001D0A8D" w:rsidRPr="001614A0" w:rsidRDefault="001D0A8D" w:rsidP="001D0A8D">
            <w:pPr>
              <w:pStyle w:val="TableRight"/>
              <w:ind w:right="142"/>
              <w:jc w:val="center"/>
              <w:rPr>
                <w:rFonts w:ascii="Arial" w:hAnsi="Arial" w:cs="Arial"/>
                <w:color w:val="auto"/>
              </w:rPr>
            </w:pPr>
            <w:r w:rsidRPr="001614A0">
              <w:rPr>
                <w:rFonts w:ascii="Arial" w:hAnsi="Arial" w:cs="Arial"/>
                <w:color w:val="auto"/>
              </w:rPr>
              <w:t>7.4</w:t>
            </w:r>
          </w:p>
        </w:tc>
        <w:tc>
          <w:tcPr>
            <w:tcW w:w="4678" w:type="dxa"/>
          </w:tcPr>
          <w:p w:rsidR="001D0A8D" w:rsidRPr="001D0A8D" w:rsidRDefault="001D0A8D" w:rsidP="00EB757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D0A8D">
              <w:rPr>
                <w:rFonts w:ascii="Arial" w:hAnsi="Arial" w:cs="Arial"/>
                <w:b/>
                <w:color w:val="auto"/>
              </w:rPr>
              <w:t>Balance outstanding at year-end</w:t>
            </w:r>
          </w:p>
        </w:tc>
        <w:tc>
          <w:tcPr>
            <w:cnfStyle w:val="000010000000" w:firstRow="0" w:lastRow="0" w:firstColumn="0" w:lastColumn="0" w:oddVBand="1" w:evenVBand="0" w:oddHBand="0" w:evenHBand="0" w:firstRowFirstColumn="0" w:firstRowLastColumn="0" w:lastRowFirstColumn="0" w:lastRowLastColumn="0"/>
            <w:tcW w:w="1850" w:type="dxa"/>
          </w:tcPr>
          <w:p w:rsidR="001D0A8D" w:rsidRPr="001D0A8D" w:rsidRDefault="001614A0" w:rsidP="003469C6">
            <w:pPr>
              <w:pStyle w:val="TableRight"/>
              <w:ind w:right="142"/>
              <w:jc w:val="center"/>
              <w:rPr>
                <w:rFonts w:ascii="Arial" w:hAnsi="Arial" w:cs="Arial"/>
                <w:b/>
                <w:color w:val="auto"/>
              </w:rPr>
            </w:pPr>
            <w:r>
              <w:rPr>
                <w:rFonts w:ascii="Arial" w:hAnsi="Arial" w:cs="Arial"/>
                <w:b/>
                <w:color w:val="auto"/>
              </w:rPr>
              <w:t>6.9</w:t>
            </w:r>
          </w:p>
        </w:tc>
      </w:tr>
    </w:tbl>
    <w:p w:rsidR="003F3504" w:rsidRPr="0005794A" w:rsidRDefault="00CA0FEB" w:rsidP="00AE68A9">
      <w:pPr>
        <w:pStyle w:val="BodyTextIndent"/>
        <w:tabs>
          <w:tab w:val="left" w:pos="709"/>
        </w:tabs>
        <w:ind w:left="810" w:hanging="810"/>
        <w:rPr>
          <w:b/>
          <w:color w:val="548DD4" w:themeColor="text2" w:themeTint="99"/>
          <w:sz w:val="20"/>
          <w:szCs w:val="20"/>
        </w:rPr>
      </w:pPr>
      <w:r w:rsidRPr="0005794A">
        <w:rPr>
          <w:b/>
          <w:color w:val="548DD4" w:themeColor="text2" w:themeTint="99"/>
          <w:sz w:val="20"/>
          <w:szCs w:val="20"/>
        </w:rPr>
        <w:tab/>
      </w:r>
    </w:p>
    <w:p w:rsidR="00AE68A9" w:rsidRPr="00116F21" w:rsidRDefault="00AE68A9" w:rsidP="008D0906">
      <w:pPr>
        <w:ind w:left="567"/>
        <w:outlineLvl w:val="0"/>
        <w:rPr>
          <w:rFonts w:cs="Arial"/>
          <w:b/>
          <w:bCs/>
          <w:color w:val="auto"/>
          <w:sz w:val="20"/>
          <w:szCs w:val="20"/>
        </w:rPr>
      </w:pPr>
      <w:r w:rsidRPr="00116F21">
        <w:rPr>
          <w:rFonts w:cs="Arial"/>
          <w:b/>
          <w:bCs/>
          <w:color w:val="auto"/>
          <w:sz w:val="20"/>
          <w:szCs w:val="20"/>
        </w:rPr>
        <w:t xml:space="preserve">Energy </w:t>
      </w:r>
      <w:r w:rsidR="00CA7693" w:rsidRPr="00116F21">
        <w:rPr>
          <w:rFonts w:cs="Arial"/>
          <w:b/>
          <w:bCs/>
          <w:color w:val="auto"/>
          <w:sz w:val="20"/>
          <w:szCs w:val="20"/>
        </w:rPr>
        <w:t>from</w:t>
      </w:r>
      <w:r w:rsidRPr="00116F21">
        <w:rPr>
          <w:rFonts w:cs="Arial"/>
          <w:b/>
          <w:bCs/>
          <w:color w:val="auto"/>
          <w:sz w:val="20"/>
          <w:szCs w:val="20"/>
        </w:rPr>
        <w:t xml:space="preserve"> Waste Plant – Private Finance Initiative</w:t>
      </w:r>
      <w:r w:rsidR="00F95FF9" w:rsidRPr="00116F21">
        <w:rPr>
          <w:rFonts w:cs="Arial"/>
          <w:b/>
          <w:bCs/>
          <w:color w:val="auto"/>
          <w:sz w:val="20"/>
          <w:szCs w:val="20"/>
        </w:rPr>
        <w:t xml:space="preserve"> </w:t>
      </w:r>
    </w:p>
    <w:p w:rsidR="00F95ABE" w:rsidRPr="00116F21" w:rsidRDefault="00AE68A9" w:rsidP="00F95ABE">
      <w:pPr>
        <w:tabs>
          <w:tab w:val="left" w:pos="567"/>
        </w:tabs>
        <w:autoSpaceDE w:val="0"/>
        <w:autoSpaceDN w:val="0"/>
        <w:ind w:left="567"/>
        <w:rPr>
          <w:rFonts w:cs="Arial"/>
          <w:color w:val="auto"/>
          <w:sz w:val="20"/>
          <w:szCs w:val="20"/>
        </w:rPr>
      </w:pPr>
      <w:r w:rsidRPr="00116F21">
        <w:rPr>
          <w:rFonts w:cs="Arial"/>
          <w:bCs/>
          <w:color w:val="auto"/>
          <w:sz w:val="20"/>
          <w:szCs w:val="20"/>
          <w:lang w:eastAsia="en-GB"/>
        </w:rPr>
        <w:t xml:space="preserve">Torbay, in partnership with Plymouth and Devon County Councils has entered into a 25 year PFI contract with MVV </w:t>
      </w:r>
      <w:r w:rsidR="00F44C5E" w:rsidRPr="00116F21">
        <w:rPr>
          <w:rFonts w:cs="Arial"/>
          <w:bCs/>
          <w:color w:val="auto"/>
          <w:sz w:val="20"/>
          <w:szCs w:val="20"/>
          <w:lang w:eastAsia="en-GB"/>
        </w:rPr>
        <w:t>Umwelt</w:t>
      </w:r>
      <w:r w:rsidRPr="00116F21">
        <w:rPr>
          <w:rFonts w:cs="Arial"/>
          <w:bCs/>
          <w:color w:val="auto"/>
          <w:sz w:val="20"/>
          <w:szCs w:val="20"/>
          <w:lang w:eastAsia="en-GB"/>
        </w:rPr>
        <w:t xml:space="preserve"> for the construction and operation of an Energy </w:t>
      </w:r>
      <w:r w:rsidR="00CA7693" w:rsidRPr="00116F21">
        <w:rPr>
          <w:rFonts w:cs="Arial"/>
          <w:bCs/>
          <w:color w:val="auto"/>
          <w:sz w:val="20"/>
          <w:szCs w:val="20"/>
          <w:lang w:eastAsia="en-GB"/>
        </w:rPr>
        <w:t>from</w:t>
      </w:r>
      <w:r w:rsidRPr="00116F21">
        <w:rPr>
          <w:rFonts w:cs="Arial"/>
          <w:bCs/>
          <w:color w:val="auto"/>
          <w:sz w:val="20"/>
          <w:szCs w:val="20"/>
          <w:lang w:eastAsia="en-GB"/>
        </w:rPr>
        <w:t xml:space="preserve"> Waste Plant for the disposal of domestic waste. The Plant </w:t>
      </w:r>
      <w:r w:rsidR="00CD0754" w:rsidRPr="00116F21">
        <w:rPr>
          <w:rFonts w:cs="Arial"/>
          <w:bCs/>
          <w:color w:val="auto"/>
          <w:sz w:val="20"/>
          <w:szCs w:val="20"/>
          <w:lang w:eastAsia="en-GB"/>
        </w:rPr>
        <w:t>became</w:t>
      </w:r>
      <w:r w:rsidRPr="00116F21">
        <w:rPr>
          <w:rFonts w:cs="Arial"/>
          <w:bCs/>
          <w:color w:val="auto"/>
          <w:sz w:val="20"/>
          <w:szCs w:val="20"/>
          <w:lang w:eastAsia="en-GB"/>
        </w:rPr>
        <w:t xml:space="preserve"> operational </w:t>
      </w:r>
      <w:r w:rsidR="00CA7693" w:rsidRPr="00116F21">
        <w:rPr>
          <w:rFonts w:cs="Arial"/>
          <w:bCs/>
          <w:color w:val="auto"/>
          <w:sz w:val="20"/>
          <w:szCs w:val="20"/>
          <w:lang w:eastAsia="en-GB"/>
        </w:rPr>
        <w:t>in April</w:t>
      </w:r>
      <w:r w:rsidR="00935693" w:rsidRPr="00116F21">
        <w:rPr>
          <w:rFonts w:cs="Arial"/>
          <w:bCs/>
          <w:color w:val="auto"/>
          <w:sz w:val="20"/>
          <w:szCs w:val="20"/>
          <w:lang w:eastAsia="en-GB"/>
        </w:rPr>
        <w:t xml:space="preserve"> 2015</w:t>
      </w:r>
      <w:r w:rsidR="00F95FF9" w:rsidRPr="00116F21">
        <w:rPr>
          <w:rFonts w:cs="Arial"/>
          <w:bCs/>
          <w:color w:val="auto"/>
          <w:sz w:val="20"/>
          <w:szCs w:val="20"/>
          <w:lang w:eastAsia="en-GB"/>
        </w:rPr>
        <w:t>,</w:t>
      </w:r>
      <w:r w:rsidRPr="00116F21">
        <w:rPr>
          <w:rFonts w:cs="Arial"/>
          <w:bCs/>
          <w:color w:val="auto"/>
          <w:sz w:val="20"/>
          <w:szCs w:val="20"/>
          <w:lang w:eastAsia="en-GB"/>
        </w:rPr>
        <w:t xml:space="preserve"> the </w:t>
      </w:r>
      <w:r w:rsidR="00CA7693" w:rsidRPr="00116F21">
        <w:rPr>
          <w:rFonts w:cs="Arial"/>
          <w:bCs/>
          <w:color w:val="auto"/>
          <w:sz w:val="20"/>
          <w:szCs w:val="20"/>
          <w:lang w:eastAsia="en-GB"/>
        </w:rPr>
        <w:t>Councils deliver</w:t>
      </w:r>
      <w:r w:rsidRPr="00116F21">
        <w:rPr>
          <w:rFonts w:cs="Arial"/>
          <w:bCs/>
          <w:color w:val="auto"/>
          <w:sz w:val="20"/>
          <w:szCs w:val="20"/>
          <w:lang w:eastAsia="en-GB"/>
        </w:rPr>
        <w:t xml:space="preserve"> waste to the </w:t>
      </w:r>
      <w:r w:rsidR="00BC1327" w:rsidRPr="00116F21">
        <w:rPr>
          <w:rFonts w:cs="Arial"/>
          <w:bCs/>
          <w:color w:val="auto"/>
          <w:sz w:val="20"/>
          <w:szCs w:val="20"/>
          <w:lang w:eastAsia="en-GB"/>
        </w:rPr>
        <w:t>facility paying a unitary charge linked to waste tonnages.</w:t>
      </w:r>
      <w:r w:rsidR="00F95ABE" w:rsidRPr="00116F21">
        <w:rPr>
          <w:rFonts w:cs="Arial"/>
          <w:bCs/>
          <w:color w:val="auto"/>
          <w:sz w:val="20"/>
          <w:szCs w:val="20"/>
          <w:lang w:eastAsia="en-GB"/>
        </w:rPr>
        <w:t xml:space="preserve"> </w:t>
      </w:r>
      <w:r w:rsidR="00F95ABE" w:rsidRPr="00116F21">
        <w:rPr>
          <w:color w:val="auto"/>
          <w:sz w:val="20"/>
          <w:szCs w:val="20"/>
        </w:rPr>
        <w:t xml:space="preserve">The period of the contract </w:t>
      </w:r>
      <w:r w:rsidR="007E33E1" w:rsidRPr="00116F21">
        <w:rPr>
          <w:color w:val="auto"/>
          <w:sz w:val="20"/>
          <w:szCs w:val="20"/>
        </w:rPr>
        <w:t>operation</w:t>
      </w:r>
      <w:r w:rsidR="008B5753" w:rsidRPr="00116F21">
        <w:rPr>
          <w:color w:val="auto"/>
          <w:sz w:val="20"/>
          <w:szCs w:val="20"/>
        </w:rPr>
        <w:t xml:space="preserve"> is </w:t>
      </w:r>
      <w:r w:rsidR="00F95ABE" w:rsidRPr="00116F21">
        <w:rPr>
          <w:color w:val="auto"/>
          <w:sz w:val="20"/>
          <w:szCs w:val="20"/>
        </w:rPr>
        <w:t>to a fixed contract end date in November 2039</w:t>
      </w:r>
    </w:p>
    <w:p w:rsidR="00AD740B" w:rsidRPr="00116F21" w:rsidRDefault="00F95ABE" w:rsidP="00F95ABE">
      <w:pPr>
        <w:tabs>
          <w:tab w:val="left" w:pos="567"/>
        </w:tabs>
        <w:autoSpaceDE w:val="0"/>
        <w:autoSpaceDN w:val="0"/>
        <w:ind w:left="567"/>
        <w:rPr>
          <w:rFonts w:cs="Arial"/>
          <w:bCs/>
          <w:color w:val="auto"/>
          <w:sz w:val="20"/>
          <w:szCs w:val="20"/>
          <w:lang w:eastAsia="en-GB"/>
        </w:rPr>
      </w:pPr>
      <w:r w:rsidRPr="00116F21">
        <w:rPr>
          <w:rFonts w:cs="Arial"/>
          <w:bCs/>
          <w:color w:val="auto"/>
          <w:sz w:val="20"/>
          <w:szCs w:val="20"/>
          <w:lang w:eastAsia="en-GB"/>
        </w:rPr>
        <w:lastRenderedPageBreak/>
        <w:t>The three</w:t>
      </w:r>
      <w:r w:rsidR="00AD740B" w:rsidRPr="00116F21">
        <w:rPr>
          <w:rFonts w:cs="Arial"/>
          <w:bCs/>
          <w:color w:val="auto"/>
          <w:sz w:val="20"/>
          <w:szCs w:val="20"/>
          <w:lang w:eastAsia="en-GB"/>
        </w:rPr>
        <w:t xml:space="preserve"> Council</w:t>
      </w:r>
      <w:r w:rsidRPr="00116F21">
        <w:rPr>
          <w:rFonts w:cs="Arial"/>
          <w:bCs/>
          <w:color w:val="auto"/>
          <w:sz w:val="20"/>
          <w:szCs w:val="20"/>
          <w:lang w:eastAsia="en-GB"/>
        </w:rPr>
        <w:t>s</w:t>
      </w:r>
      <w:r w:rsidR="00AD740B" w:rsidRPr="00116F21">
        <w:rPr>
          <w:rFonts w:cs="Arial"/>
          <w:bCs/>
          <w:color w:val="auto"/>
          <w:sz w:val="20"/>
          <w:szCs w:val="20"/>
          <w:lang w:eastAsia="en-GB"/>
        </w:rPr>
        <w:t xml:space="preserve"> appointed MVV</w:t>
      </w:r>
      <w:r w:rsidRPr="00116F21">
        <w:rPr>
          <w:rFonts w:cs="Arial"/>
          <w:bCs/>
          <w:color w:val="auto"/>
          <w:sz w:val="20"/>
          <w:szCs w:val="20"/>
          <w:lang w:eastAsia="en-GB"/>
        </w:rPr>
        <w:t xml:space="preserve"> </w:t>
      </w:r>
      <w:r w:rsidR="00AD740B" w:rsidRPr="00116F21">
        <w:rPr>
          <w:rFonts w:cs="Arial"/>
          <w:bCs/>
          <w:color w:val="auto"/>
          <w:sz w:val="20"/>
          <w:szCs w:val="20"/>
          <w:lang w:eastAsia="en-GB"/>
        </w:rPr>
        <w:t>U</w:t>
      </w:r>
      <w:r w:rsidRPr="00116F21">
        <w:rPr>
          <w:rFonts w:cs="Arial"/>
          <w:bCs/>
          <w:color w:val="auto"/>
          <w:sz w:val="20"/>
          <w:szCs w:val="20"/>
          <w:lang w:eastAsia="en-GB"/>
        </w:rPr>
        <w:t>mwelt</w:t>
      </w:r>
      <w:r w:rsidR="00AD740B" w:rsidRPr="00116F21">
        <w:rPr>
          <w:rFonts w:cs="Arial"/>
          <w:bCs/>
          <w:color w:val="auto"/>
          <w:sz w:val="20"/>
          <w:szCs w:val="20"/>
          <w:lang w:eastAsia="en-GB"/>
        </w:rPr>
        <w:t xml:space="preserve"> under a fixed price contract to finance, construct and design the 245,000 tonne capacity facility and to maintain it to a minimum acceptable condition over a 24 year term, but with an option to extend operations for another 5 years. The </w:t>
      </w:r>
      <w:r w:rsidRPr="00116F21">
        <w:rPr>
          <w:rFonts w:cs="Arial"/>
          <w:bCs/>
          <w:color w:val="auto"/>
          <w:sz w:val="20"/>
          <w:szCs w:val="20"/>
          <w:lang w:eastAsia="en-GB"/>
        </w:rPr>
        <w:t xml:space="preserve">Councils </w:t>
      </w:r>
      <w:r w:rsidR="00AD740B" w:rsidRPr="00116F21">
        <w:rPr>
          <w:rFonts w:cs="Arial"/>
          <w:bCs/>
          <w:color w:val="auto"/>
          <w:sz w:val="20"/>
          <w:szCs w:val="20"/>
          <w:lang w:eastAsia="en-GB"/>
        </w:rPr>
        <w:t>ha</w:t>
      </w:r>
      <w:r w:rsidRPr="00116F21">
        <w:rPr>
          <w:rFonts w:cs="Arial"/>
          <w:bCs/>
          <w:color w:val="auto"/>
          <w:sz w:val="20"/>
          <w:szCs w:val="20"/>
          <w:lang w:eastAsia="en-GB"/>
        </w:rPr>
        <w:t>ve</w:t>
      </w:r>
      <w:r w:rsidR="00AD740B" w:rsidRPr="00116F21">
        <w:rPr>
          <w:rFonts w:cs="Arial"/>
          <w:bCs/>
          <w:color w:val="auto"/>
          <w:sz w:val="20"/>
          <w:szCs w:val="20"/>
          <w:lang w:eastAsia="en-GB"/>
        </w:rPr>
        <w:t xml:space="preserve"> the right to terminate the contract but must compensates MVVU in full for costs incurred and for future profits that would have been generated over the remaining term of the</w:t>
      </w:r>
      <w:r w:rsidR="00AD740B" w:rsidRPr="0005794A">
        <w:rPr>
          <w:rFonts w:cs="Arial"/>
          <w:bCs/>
          <w:color w:val="548DD4" w:themeColor="text2" w:themeTint="99"/>
          <w:sz w:val="20"/>
          <w:szCs w:val="20"/>
          <w:lang w:eastAsia="en-GB"/>
        </w:rPr>
        <w:t xml:space="preserve"> </w:t>
      </w:r>
      <w:r w:rsidR="00AD740B" w:rsidRPr="00116F21">
        <w:rPr>
          <w:rFonts w:cs="Arial"/>
          <w:bCs/>
          <w:color w:val="auto"/>
          <w:sz w:val="20"/>
          <w:szCs w:val="20"/>
          <w:lang w:eastAsia="en-GB"/>
        </w:rPr>
        <w:t xml:space="preserve">contract. At the end of the contract term buildings, plant and equipment will be transferred back to the </w:t>
      </w:r>
      <w:r w:rsidR="007E33E1" w:rsidRPr="00116F21">
        <w:rPr>
          <w:rFonts w:cs="Arial"/>
          <w:bCs/>
          <w:color w:val="auto"/>
          <w:sz w:val="20"/>
          <w:szCs w:val="20"/>
          <w:lang w:eastAsia="en-GB"/>
        </w:rPr>
        <w:t>Councils</w:t>
      </w:r>
      <w:r w:rsidR="00AD740B" w:rsidRPr="00116F21">
        <w:rPr>
          <w:rFonts w:cs="Arial"/>
          <w:bCs/>
          <w:color w:val="auto"/>
          <w:sz w:val="20"/>
          <w:szCs w:val="20"/>
          <w:lang w:eastAsia="en-GB"/>
        </w:rPr>
        <w:t xml:space="preserve"> for nil consideration should the partnership elect to exercise this option.</w:t>
      </w:r>
    </w:p>
    <w:p w:rsidR="00AD740B" w:rsidRPr="00116F21" w:rsidRDefault="00AD740B" w:rsidP="00F95ABE">
      <w:pPr>
        <w:spacing w:before="100" w:beforeAutospacing="1" w:after="100" w:afterAutospacing="1"/>
        <w:ind w:left="567"/>
        <w:rPr>
          <w:rFonts w:cs="Arial"/>
          <w:bCs/>
          <w:color w:val="auto"/>
          <w:sz w:val="20"/>
          <w:szCs w:val="20"/>
          <w:lang w:eastAsia="en-GB"/>
        </w:rPr>
      </w:pPr>
      <w:r w:rsidRPr="00116F21">
        <w:rPr>
          <w:rFonts w:cs="Arial"/>
          <w:bCs/>
          <w:color w:val="auto"/>
          <w:sz w:val="20"/>
          <w:szCs w:val="20"/>
          <w:lang w:eastAsia="en-GB"/>
        </w:rPr>
        <w:t xml:space="preserve">The </w:t>
      </w:r>
      <w:r w:rsidR="007E33E1" w:rsidRPr="00116F21">
        <w:rPr>
          <w:rFonts w:cs="Arial"/>
          <w:bCs/>
          <w:color w:val="auto"/>
          <w:sz w:val="20"/>
          <w:szCs w:val="20"/>
          <w:lang w:eastAsia="en-GB"/>
        </w:rPr>
        <w:t>EFW</w:t>
      </w:r>
      <w:r w:rsidRPr="00116F21">
        <w:rPr>
          <w:rFonts w:cs="Arial"/>
          <w:bCs/>
          <w:color w:val="auto"/>
          <w:sz w:val="20"/>
          <w:szCs w:val="20"/>
          <w:lang w:eastAsia="en-GB"/>
        </w:rPr>
        <w:t xml:space="preserve"> facility is located on M</w:t>
      </w:r>
      <w:r w:rsidR="002C43DD" w:rsidRPr="00116F21">
        <w:rPr>
          <w:rFonts w:cs="Arial"/>
          <w:bCs/>
          <w:color w:val="auto"/>
          <w:sz w:val="20"/>
          <w:szCs w:val="20"/>
          <w:lang w:eastAsia="en-GB"/>
        </w:rPr>
        <w:t>inistry of Defen</w:t>
      </w:r>
      <w:r w:rsidR="00D64071" w:rsidRPr="00116F21">
        <w:rPr>
          <w:rFonts w:cs="Arial"/>
          <w:bCs/>
          <w:color w:val="auto"/>
          <w:sz w:val="20"/>
          <w:szCs w:val="20"/>
          <w:lang w:eastAsia="en-GB"/>
        </w:rPr>
        <w:t>c</w:t>
      </w:r>
      <w:r w:rsidR="002C43DD" w:rsidRPr="00116F21">
        <w:rPr>
          <w:rFonts w:cs="Arial"/>
          <w:bCs/>
          <w:color w:val="auto"/>
          <w:sz w:val="20"/>
          <w:szCs w:val="20"/>
          <w:lang w:eastAsia="en-GB"/>
        </w:rPr>
        <w:t xml:space="preserve">e </w:t>
      </w:r>
      <w:r w:rsidRPr="00116F21">
        <w:rPr>
          <w:rFonts w:cs="Arial"/>
          <w:bCs/>
          <w:color w:val="auto"/>
          <w:sz w:val="20"/>
          <w:szCs w:val="20"/>
          <w:lang w:eastAsia="en-GB"/>
        </w:rPr>
        <w:t>land at Camel's Head, North Yard in Devonport Dockyard in Plymouth. The</w:t>
      </w:r>
      <w:r w:rsidR="00F95ABE" w:rsidRPr="00116F21">
        <w:rPr>
          <w:rFonts w:cs="Arial"/>
          <w:bCs/>
          <w:color w:val="auto"/>
          <w:sz w:val="20"/>
          <w:szCs w:val="20"/>
          <w:lang w:eastAsia="en-GB"/>
        </w:rPr>
        <w:t xml:space="preserve"> contract </w:t>
      </w:r>
      <w:r w:rsidRPr="00116F21">
        <w:rPr>
          <w:rFonts w:cs="Arial"/>
          <w:bCs/>
          <w:color w:val="auto"/>
          <w:sz w:val="20"/>
          <w:szCs w:val="20"/>
          <w:lang w:eastAsia="en-GB"/>
        </w:rPr>
        <w:t>specifies the activities offered by the facility, the opening hours and the expected minimum standard of service to be provided by the operator. MVV</w:t>
      </w:r>
      <w:r w:rsidR="00F95ABE" w:rsidRPr="00116F21">
        <w:rPr>
          <w:rFonts w:cs="Arial"/>
          <w:bCs/>
          <w:color w:val="auto"/>
          <w:sz w:val="20"/>
          <w:szCs w:val="20"/>
          <w:lang w:eastAsia="en-GB"/>
        </w:rPr>
        <w:t xml:space="preserve"> </w:t>
      </w:r>
      <w:r w:rsidRPr="00116F21">
        <w:rPr>
          <w:rFonts w:cs="Arial"/>
          <w:bCs/>
          <w:color w:val="auto"/>
          <w:sz w:val="20"/>
          <w:szCs w:val="20"/>
          <w:lang w:eastAsia="en-GB"/>
        </w:rPr>
        <w:t>U</w:t>
      </w:r>
      <w:r w:rsidR="00F95ABE" w:rsidRPr="00116F21">
        <w:rPr>
          <w:rFonts w:cs="Arial"/>
          <w:bCs/>
          <w:color w:val="auto"/>
          <w:sz w:val="20"/>
          <w:szCs w:val="20"/>
          <w:lang w:eastAsia="en-GB"/>
        </w:rPr>
        <w:t>mwelt</w:t>
      </w:r>
      <w:r w:rsidRPr="00116F21">
        <w:rPr>
          <w:rFonts w:cs="Arial"/>
          <w:bCs/>
          <w:color w:val="auto"/>
          <w:sz w:val="20"/>
          <w:szCs w:val="20"/>
          <w:lang w:eastAsia="en-GB"/>
        </w:rPr>
        <w:t xml:space="preserve"> is required to receive all the residual waste from the defined area of the local authority partnership for which the councils are obliged to pay a fixed but index linked gate fee based on a guaranteed waste tonnage, with an additional charge for any extra waste delivered by the councils over and above the contractual waste.</w:t>
      </w:r>
    </w:p>
    <w:p w:rsidR="0067671F" w:rsidRPr="00116F21" w:rsidRDefault="0026270A" w:rsidP="008D0906">
      <w:pPr>
        <w:ind w:left="567"/>
        <w:outlineLvl w:val="0"/>
        <w:rPr>
          <w:rFonts w:cs="Arial"/>
          <w:b/>
          <w:bCs/>
          <w:color w:val="auto"/>
          <w:sz w:val="20"/>
          <w:szCs w:val="20"/>
          <w:lang w:eastAsia="en-GB"/>
        </w:rPr>
      </w:pPr>
      <w:r w:rsidRPr="00116F21">
        <w:rPr>
          <w:rFonts w:cs="Arial"/>
          <w:b/>
          <w:bCs/>
          <w:color w:val="auto"/>
          <w:sz w:val="20"/>
          <w:szCs w:val="20"/>
          <w:lang w:eastAsia="en-GB"/>
        </w:rPr>
        <w:t xml:space="preserve">EFW - </w:t>
      </w:r>
      <w:r w:rsidR="0067671F" w:rsidRPr="00116F21">
        <w:rPr>
          <w:rFonts w:cs="Arial"/>
          <w:b/>
          <w:bCs/>
          <w:color w:val="auto"/>
          <w:sz w:val="20"/>
          <w:szCs w:val="20"/>
          <w:lang w:eastAsia="en-GB"/>
        </w:rPr>
        <w:t>PFI Property Plant and Equipment</w:t>
      </w:r>
    </w:p>
    <w:p w:rsidR="0067671F" w:rsidRPr="00116F21" w:rsidRDefault="00AD740B" w:rsidP="002679E8">
      <w:pPr>
        <w:spacing w:before="100" w:beforeAutospacing="1" w:after="100" w:afterAutospacing="1"/>
        <w:ind w:left="567"/>
        <w:rPr>
          <w:rFonts w:cs="Arial"/>
          <w:bCs/>
          <w:color w:val="auto"/>
          <w:sz w:val="20"/>
          <w:szCs w:val="20"/>
          <w:lang w:eastAsia="en-GB"/>
        </w:rPr>
      </w:pPr>
      <w:r w:rsidRPr="00116F21">
        <w:rPr>
          <w:rFonts w:cs="Arial"/>
          <w:bCs/>
          <w:color w:val="auto"/>
          <w:sz w:val="20"/>
          <w:szCs w:val="20"/>
          <w:lang w:eastAsia="en-GB"/>
        </w:rPr>
        <w:t>Income and expenditure, assets and liabilities are recorded in each of Plymouth City Council, Torbay Council and Devon County Council's  Statements of Accounts respectively in the ratio 48:17:35</w:t>
      </w:r>
      <w:r w:rsidR="00E70778" w:rsidRPr="00116F21">
        <w:rPr>
          <w:rFonts w:cs="Arial"/>
          <w:bCs/>
          <w:color w:val="auto"/>
          <w:sz w:val="20"/>
          <w:szCs w:val="20"/>
          <w:lang w:eastAsia="en-GB"/>
        </w:rPr>
        <w:t xml:space="preserve"> based on estimated tonnages for 2015/16</w:t>
      </w:r>
      <w:r w:rsidRPr="00116F21">
        <w:rPr>
          <w:rFonts w:cs="Arial"/>
          <w:bCs/>
          <w:color w:val="auto"/>
          <w:sz w:val="20"/>
          <w:szCs w:val="20"/>
          <w:lang w:eastAsia="en-GB"/>
        </w:rPr>
        <w:t xml:space="preserve">: </w:t>
      </w:r>
      <w:r w:rsidR="002460EF" w:rsidRPr="00116F21">
        <w:rPr>
          <w:rFonts w:cs="Arial"/>
          <w:bCs/>
          <w:color w:val="auto"/>
          <w:sz w:val="20"/>
          <w:szCs w:val="20"/>
          <w:lang w:eastAsia="en-GB"/>
        </w:rPr>
        <w:t>The total construction costs were £195.324m ,</w:t>
      </w:r>
      <w:r w:rsidRPr="00116F21">
        <w:rPr>
          <w:rFonts w:cs="Arial"/>
          <w:bCs/>
          <w:color w:val="auto"/>
          <w:sz w:val="20"/>
          <w:szCs w:val="20"/>
          <w:lang w:eastAsia="en-GB"/>
        </w:rPr>
        <w:t xml:space="preserve">Torbay Council's </w:t>
      </w:r>
      <w:r w:rsidR="008508CF" w:rsidRPr="00116F21">
        <w:rPr>
          <w:rFonts w:cs="Arial"/>
          <w:bCs/>
          <w:color w:val="auto"/>
          <w:sz w:val="20"/>
          <w:szCs w:val="20"/>
          <w:lang w:eastAsia="en-GB"/>
        </w:rPr>
        <w:t xml:space="preserve">initial recognition of its </w:t>
      </w:r>
      <w:r w:rsidRPr="00116F21">
        <w:rPr>
          <w:rFonts w:cs="Arial"/>
          <w:bCs/>
          <w:color w:val="auto"/>
          <w:sz w:val="20"/>
          <w:szCs w:val="20"/>
          <w:lang w:eastAsia="en-GB"/>
        </w:rPr>
        <w:t xml:space="preserve">share </w:t>
      </w:r>
      <w:r w:rsidR="002460EF" w:rsidRPr="00116F21">
        <w:rPr>
          <w:rFonts w:cs="Arial"/>
          <w:bCs/>
          <w:color w:val="auto"/>
          <w:sz w:val="20"/>
          <w:szCs w:val="20"/>
          <w:lang w:eastAsia="en-GB"/>
        </w:rPr>
        <w:t>was £33.3m</w:t>
      </w:r>
      <w:r w:rsidR="008508CF" w:rsidRPr="003F0CE3">
        <w:rPr>
          <w:rFonts w:cs="Arial"/>
          <w:bCs/>
          <w:color w:val="auto"/>
          <w:sz w:val="20"/>
          <w:szCs w:val="20"/>
          <w:lang w:eastAsia="en-GB"/>
        </w:rPr>
        <w:t xml:space="preserve">. </w:t>
      </w:r>
      <w:r w:rsidR="007E33E1" w:rsidRPr="003F0CE3">
        <w:rPr>
          <w:rFonts w:cs="Arial"/>
          <w:bCs/>
          <w:color w:val="auto"/>
          <w:sz w:val="20"/>
          <w:szCs w:val="20"/>
          <w:lang w:eastAsia="en-GB"/>
        </w:rPr>
        <w:t>The plant was revalued as at 31st March 201</w:t>
      </w:r>
      <w:r w:rsidR="003F0CE3" w:rsidRPr="003F0CE3">
        <w:rPr>
          <w:rFonts w:cs="Arial"/>
          <w:bCs/>
          <w:color w:val="auto"/>
          <w:sz w:val="20"/>
          <w:szCs w:val="20"/>
          <w:lang w:eastAsia="en-GB"/>
        </w:rPr>
        <w:t>8</w:t>
      </w:r>
      <w:r w:rsidR="007E33E1" w:rsidRPr="003F0CE3">
        <w:rPr>
          <w:rFonts w:cs="Arial"/>
          <w:bCs/>
          <w:color w:val="auto"/>
          <w:sz w:val="20"/>
          <w:szCs w:val="20"/>
          <w:lang w:eastAsia="en-GB"/>
        </w:rPr>
        <w:t xml:space="preserve"> </w:t>
      </w:r>
      <w:r w:rsidR="007E33E1" w:rsidRPr="00802ABC">
        <w:rPr>
          <w:rFonts w:cs="Arial"/>
          <w:bCs/>
          <w:color w:val="auto"/>
          <w:sz w:val="20"/>
          <w:szCs w:val="20"/>
          <w:lang w:eastAsia="en-GB"/>
        </w:rPr>
        <w:t>and i</w:t>
      </w:r>
      <w:r w:rsidR="00CD1399" w:rsidRPr="00802ABC">
        <w:rPr>
          <w:rFonts w:cs="Arial"/>
          <w:bCs/>
          <w:color w:val="auto"/>
          <w:sz w:val="20"/>
          <w:szCs w:val="20"/>
          <w:lang w:eastAsia="en-GB"/>
        </w:rPr>
        <w:t>ts</w:t>
      </w:r>
      <w:r w:rsidR="007E33E1" w:rsidRPr="00802ABC">
        <w:rPr>
          <w:rFonts w:cs="Arial"/>
          <w:bCs/>
          <w:color w:val="auto"/>
          <w:sz w:val="20"/>
          <w:szCs w:val="20"/>
          <w:lang w:eastAsia="en-GB"/>
        </w:rPr>
        <w:t xml:space="preserve"> </w:t>
      </w:r>
      <w:r w:rsidR="00D16301" w:rsidRPr="00802ABC">
        <w:rPr>
          <w:rFonts w:cs="Arial"/>
          <w:bCs/>
          <w:color w:val="auto"/>
          <w:sz w:val="20"/>
          <w:szCs w:val="20"/>
          <w:lang w:eastAsia="en-GB"/>
        </w:rPr>
        <w:t xml:space="preserve">value is </w:t>
      </w:r>
      <w:r w:rsidR="007E33E1" w:rsidRPr="00802ABC">
        <w:rPr>
          <w:rFonts w:cs="Arial"/>
          <w:bCs/>
          <w:color w:val="auto"/>
          <w:sz w:val="20"/>
          <w:szCs w:val="20"/>
          <w:lang w:eastAsia="en-GB"/>
        </w:rPr>
        <w:t>carried in its balance sheet together with a corresponding liabilities for both the Council’s</w:t>
      </w:r>
      <w:r w:rsidR="007E33E1" w:rsidRPr="00116F21">
        <w:rPr>
          <w:rFonts w:cs="Arial"/>
          <w:bCs/>
          <w:color w:val="auto"/>
          <w:sz w:val="20"/>
          <w:szCs w:val="20"/>
          <w:lang w:eastAsia="en-GB"/>
        </w:rPr>
        <w:t xml:space="preserve"> share of the liability and a deferred income sum to reflect the value of the third party income due to be received by the operator over the life of the contract.</w:t>
      </w:r>
    </w:p>
    <w:p w:rsidR="0067671F" w:rsidRPr="00116F21" w:rsidRDefault="0026270A" w:rsidP="008D0906">
      <w:pPr>
        <w:ind w:left="567"/>
        <w:outlineLvl w:val="0"/>
        <w:rPr>
          <w:rFonts w:cs="Arial"/>
          <w:b/>
          <w:bCs/>
          <w:color w:val="auto"/>
          <w:sz w:val="20"/>
          <w:szCs w:val="20"/>
          <w:lang w:eastAsia="en-GB"/>
        </w:rPr>
      </w:pPr>
      <w:r w:rsidRPr="00116F21">
        <w:rPr>
          <w:rFonts w:cs="Arial"/>
          <w:b/>
          <w:bCs/>
          <w:color w:val="auto"/>
          <w:sz w:val="20"/>
          <w:szCs w:val="20"/>
          <w:lang w:eastAsia="en-GB"/>
        </w:rPr>
        <w:t xml:space="preserve">EFW - </w:t>
      </w:r>
      <w:r w:rsidR="0067671F" w:rsidRPr="00116F21">
        <w:rPr>
          <w:rFonts w:cs="Arial"/>
          <w:b/>
          <w:bCs/>
          <w:color w:val="auto"/>
          <w:sz w:val="20"/>
          <w:szCs w:val="20"/>
          <w:lang w:eastAsia="en-GB"/>
        </w:rPr>
        <w:t>PFI Payments</w:t>
      </w:r>
    </w:p>
    <w:p w:rsidR="0067671F" w:rsidRDefault="0067671F" w:rsidP="0067671F">
      <w:pPr>
        <w:pStyle w:val="BodyTextIndent"/>
        <w:tabs>
          <w:tab w:val="left" w:pos="709"/>
        </w:tabs>
        <w:ind w:left="567"/>
        <w:rPr>
          <w:color w:val="auto"/>
          <w:sz w:val="20"/>
          <w:szCs w:val="20"/>
        </w:rPr>
      </w:pPr>
      <w:r w:rsidRPr="00116F21">
        <w:rPr>
          <w:rFonts w:eastAsia="Arial" w:cs="Arial"/>
          <w:bCs/>
          <w:color w:val="auto"/>
          <w:sz w:val="20"/>
          <w:szCs w:val="20"/>
          <w:lang w:eastAsia="en-GB"/>
        </w:rPr>
        <w:t xml:space="preserve">The </w:t>
      </w:r>
      <w:r w:rsidR="002679E8" w:rsidRPr="00116F21">
        <w:rPr>
          <w:rFonts w:eastAsia="Arial" w:cs="Arial"/>
          <w:bCs/>
          <w:color w:val="auto"/>
          <w:sz w:val="20"/>
          <w:szCs w:val="20"/>
          <w:lang w:eastAsia="en-GB"/>
        </w:rPr>
        <w:t xml:space="preserve">three </w:t>
      </w:r>
      <w:r w:rsidR="008D4791" w:rsidRPr="00116F21">
        <w:rPr>
          <w:rFonts w:eastAsia="Arial" w:cs="Arial"/>
          <w:bCs/>
          <w:color w:val="auto"/>
          <w:sz w:val="20"/>
          <w:szCs w:val="20"/>
          <w:lang w:eastAsia="en-GB"/>
        </w:rPr>
        <w:t>Councils</w:t>
      </w:r>
      <w:r w:rsidRPr="00116F21">
        <w:rPr>
          <w:rFonts w:eastAsia="Arial" w:cs="Arial"/>
          <w:bCs/>
          <w:color w:val="auto"/>
          <w:sz w:val="20"/>
          <w:szCs w:val="20"/>
          <w:lang w:eastAsia="en-GB"/>
        </w:rPr>
        <w:t xml:space="preserve"> </w:t>
      </w:r>
      <w:r w:rsidR="009B1835" w:rsidRPr="00116F21">
        <w:rPr>
          <w:rFonts w:eastAsia="Arial" w:cs="Arial"/>
          <w:bCs/>
          <w:color w:val="auto"/>
          <w:sz w:val="20"/>
          <w:szCs w:val="20"/>
          <w:lang w:eastAsia="en-GB"/>
        </w:rPr>
        <w:t xml:space="preserve">each </w:t>
      </w:r>
      <w:r w:rsidRPr="00116F21">
        <w:rPr>
          <w:rFonts w:eastAsia="Arial" w:cs="Arial"/>
          <w:bCs/>
          <w:color w:val="auto"/>
          <w:sz w:val="20"/>
          <w:szCs w:val="20"/>
          <w:lang w:eastAsia="en-GB"/>
        </w:rPr>
        <w:t xml:space="preserve">make </w:t>
      </w:r>
      <w:r w:rsidR="002679E8" w:rsidRPr="00116F21">
        <w:rPr>
          <w:rFonts w:eastAsia="Arial" w:cs="Arial"/>
          <w:bCs/>
          <w:color w:val="auto"/>
          <w:sz w:val="20"/>
          <w:szCs w:val="20"/>
          <w:lang w:eastAsia="en-GB"/>
        </w:rPr>
        <w:t xml:space="preserve">a </w:t>
      </w:r>
      <w:r w:rsidRPr="00116F21">
        <w:rPr>
          <w:rFonts w:eastAsia="Arial" w:cs="Arial"/>
          <w:bCs/>
          <w:color w:val="auto"/>
          <w:sz w:val="20"/>
          <w:szCs w:val="20"/>
          <w:lang w:eastAsia="en-GB"/>
        </w:rPr>
        <w:t xml:space="preserve">payment each year </w:t>
      </w:r>
      <w:r w:rsidR="002679E8" w:rsidRPr="00116F21">
        <w:rPr>
          <w:rFonts w:eastAsia="Arial" w:cs="Arial"/>
          <w:bCs/>
          <w:color w:val="auto"/>
          <w:sz w:val="20"/>
          <w:szCs w:val="20"/>
          <w:lang w:eastAsia="en-GB"/>
        </w:rPr>
        <w:t xml:space="preserve">to the operator based on actual tonnages where the cost can vary depending on </w:t>
      </w:r>
      <w:r w:rsidR="008D4791" w:rsidRPr="00116F21">
        <w:rPr>
          <w:rFonts w:eastAsia="Arial" w:cs="Arial"/>
          <w:bCs/>
          <w:color w:val="auto"/>
          <w:sz w:val="20"/>
          <w:szCs w:val="20"/>
          <w:lang w:eastAsia="en-GB"/>
        </w:rPr>
        <w:t>whether</w:t>
      </w:r>
      <w:r w:rsidR="002679E8" w:rsidRPr="00116F21">
        <w:rPr>
          <w:rFonts w:eastAsia="Arial" w:cs="Arial"/>
          <w:bCs/>
          <w:color w:val="auto"/>
          <w:sz w:val="20"/>
          <w:szCs w:val="20"/>
          <w:lang w:eastAsia="en-GB"/>
        </w:rPr>
        <w:t xml:space="preserve"> the tonnage is within set bands as specified by the contract.</w:t>
      </w:r>
      <w:r w:rsidR="00862ACC" w:rsidRPr="00116F21">
        <w:rPr>
          <w:rFonts w:eastAsia="Arial" w:cs="Arial"/>
          <w:bCs/>
          <w:color w:val="auto"/>
          <w:sz w:val="20"/>
          <w:szCs w:val="20"/>
          <w:lang w:eastAsia="en-GB"/>
        </w:rPr>
        <w:t xml:space="preserve"> The costs are allocated between the three </w:t>
      </w:r>
      <w:r w:rsidR="009B1835" w:rsidRPr="00116F21">
        <w:rPr>
          <w:rFonts w:eastAsia="Arial" w:cs="Arial"/>
          <w:bCs/>
          <w:color w:val="auto"/>
          <w:sz w:val="20"/>
          <w:szCs w:val="20"/>
          <w:lang w:eastAsia="en-GB"/>
        </w:rPr>
        <w:t>C</w:t>
      </w:r>
      <w:r w:rsidR="00862ACC" w:rsidRPr="00116F21">
        <w:rPr>
          <w:rFonts w:eastAsia="Arial" w:cs="Arial"/>
          <w:bCs/>
          <w:color w:val="auto"/>
          <w:sz w:val="20"/>
          <w:szCs w:val="20"/>
          <w:lang w:eastAsia="en-GB"/>
        </w:rPr>
        <w:t>ouncils</w:t>
      </w:r>
      <w:r w:rsidR="008D4791" w:rsidRPr="00116F21">
        <w:rPr>
          <w:rFonts w:eastAsia="Arial" w:cs="Arial"/>
          <w:bCs/>
          <w:color w:val="auto"/>
          <w:sz w:val="20"/>
          <w:szCs w:val="20"/>
          <w:lang w:eastAsia="en-GB"/>
        </w:rPr>
        <w:t xml:space="preserve"> based on agreed Financial Allocation Mechanism which is closely linked to actual tonnages delivered from the three councils compared the forecast tonnages in the business case. </w:t>
      </w:r>
      <w:r w:rsidRPr="00116F21">
        <w:rPr>
          <w:color w:val="auto"/>
          <w:sz w:val="20"/>
          <w:szCs w:val="20"/>
        </w:rPr>
        <w:t xml:space="preserve">In relation to this contract the Council recognises as a liability on its balance sheet </w:t>
      </w:r>
      <w:r w:rsidR="008D4791" w:rsidRPr="00116F21">
        <w:rPr>
          <w:color w:val="auto"/>
          <w:sz w:val="20"/>
          <w:szCs w:val="20"/>
        </w:rPr>
        <w:t xml:space="preserve">its share of the </w:t>
      </w:r>
      <w:r w:rsidRPr="00116F21">
        <w:rPr>
          <w:color w:val="auto"/>
          <w:sz w:val="20"/>
          <w:szCs w:val="20"/>
        </w:rPr>
        <w:t>element of th</w:t>
      </w:r>
      <w:r w:rsidR="008D4791" w:rsidRPr="00116F21">
        <w:rPr>
          <w:color w:val="auto"/>
          <w:sz w:val="20"/>
          <w:szCs w:val="20"/>
        </w:rPr>
        <w:t>e</w:t>
      </w:r>
      <w:r w:rsidRPr="00116F21">
        <w:rPr>
          <w:color w:val="auto"/>
          <w:sz w:val="20"/>
          <w:szCs w:val="20"/>
        </w:rPr>
        <w:t xml:space="preserve"> annual payment that relates to the construction and purchase of the </w:t>
      </w:r>
      <w:r w:rsidR="008D4791" w:rsidRPr="00116F21">
        <w:rPr>
          <w:color w:val="auto"/>
          <w:sz w:val="20"/>
          <w:szCs w:val="20"/>
        </w:rPr>
        <w:t>facility</w:t>
      </w:r>
      <w:r w:rsidRPr="00116F21">
        <w:rPr>
          <w:color w:val="auto"/>
          <w:sz w:val="20"/>
          <w:szCs w:val="20"/>
        </w:rPr>
        <w:t>. The other elements of the contract, finance costs and service charges</w:t>
      </w:r>
      <w:r w:rsidR="008D4791" w:rsidRPr="00116F21">
        <w:rPr>
          <w:color w:val="auto"/>
          <w:sz w:val="20"/>
          <w:szCs w:val="20"/>
        </w:rPr>
        <w:t>,</w:t>
      </w:r>
      <w:r w:rsidRPr="00116F21">
        <w:rPr>
          <w:color w:val="auto"/>
          <w:sz w:val="20"/>
          <w:szCs w:val="20"/>
        </w:rPr>
        <w:t xml:space="preserve"> are recognised on an annual basis in the Council’s Comprehensive Income and Expenditure </w:t>
      </w:r>
      <w:r w:rsidR="00CD1399" w:rsidRPr="00802ABC">
        <w:rPr>
          <w:color w:val="auto"/>
          <w:sz w:val="20"/>
          <w:szCs w:val="20"/>
        </w:rPr>
        <w:t>Statement</w:t>
      </w:r>
      <w:r w:rsidRPr="00802ABC">
        <w:rPr>
          <w:color w:val="auto"/>
          <w:sz w:val="20"/>
          <w:szCs w:val="20"/>
        </w:rPr>
        <w:t>.</w:t>
      </w:r>
      <w:r w:rsidR="00400D51" w:rsidRPr="00116F21">
        <w:rPr>
          <w:color w:val="auto"/>
          <w:sz w:val="20"/>
          <w:szCs w:val="20"/>
        </w:rPr>
        <w:t xml:space="preserve"> Torbay's share of p</w:t>
      </w:r>
      <w:r w:rsidRPr="00116F21">
        <w:rPr>
          <w:color w:val="auto"/>
          <w:sz w:val="20"/>
          <w:szCs w:val="20"/>
        </w:rPr>
        <w:t>ayments remaining to be made under the PFI contract at 31 March 201</w:t>
      </w:r>
      <w:r w:rsidR="00116F21" w:rsidRPr="00116F21">
        <w:rPr>
          <w:color w:val="auto"/>
          <w:sz w:val="20"/>
          <w:szCs w:val="20"/>
        </w:rPr>
        <w:t>8</w:t>
      </w:r>
      <w:r w:rsidRPr="00116F21">
        <w:rPr>
          <w:color w:val="auto"/>
          <w:sz w:val="20"/>
          <w:szCs w:val="20"/>
        </w:rPr>
        <w:t xml:space="preserve"> (excluding any estimation of inflation) </w:t>
      </w:r>
      <w:r w:rsidR="007E33E1" w:rsidRPr="00116F21">
        <w:rPr>
          <w:color w:val="auto"/>
          <w:sz w:val="20"/>
          <w:szCs w:val="20"/>
        </w:rPr>
        <w:t>is</w:t>
      </w:r>
      <w:r w:rsidRPr="00116F21">
        <w:rPr>
          <w:color w:val="auto"/>
          <w:sz w:val="20"/>
          <w:szCs w:val="20"/>
        </w:rPr>
        <w:t xml:space="preserve"> as follows:</w:t>
      </w:r>
    </w:p>
    <w:p w:rsidR="0050394E" w:rsidRDefault="0050394E" w:rsidP="0067671F">
      <w:pPr>
        <w:pStyle w:val="BodyTextIndent"/>
        <w:tabs>
          <w:tab w:val="left" w:pos="709"/>
        </w:tabs>
        <w:ind w:left="567"/>
        <w:rPr>
          <w:color w:val="auto"/>
          <w:sz w:val="20"/>
          <w:szCs w:val="20"/>
        </w:rPr>
      </w:pPr>
    </w:p>
    <w:p w:rsidR="0050394E" w:rsidRDefault="0050394E" w:rsidP="0067671F">
      <w:pPr>
        <w:pStyle w:val="BodyTextIndent"/>
        <w:tabs>
          <w:tab w:val="left" w:pos="709"/>
        </w:tabs>
        <w:ind w:left="567"/>
        <w:rPr>
          <w:color w:val="auto"/>
          <w:sz w:val="20"/>
          <w:szCs w:val="20"/>
        </w:rPr>
      </w:pPr>
    </w:p>
    <w:p w:rsidR="0050394E" w:rsidRDefault="0050394E" w:rsidP="0067671F">
      <w:pPr>
        <w:pStyle w:val="BodyTextIndent"/>
        <w:tabs>
          <w:tab w:val="left" w:pos="709"/>
        </w:tabs>
        <w:ind w:left="567"/>
        <w:rPr>
          <w:color w:val="auto"/>
          <w:sz w:val="20"/>
          <w:szCs w:val="20"/>
        </w:rPr>
      </w:pPr>
    </w:p>
    <w:p w:rsidR="0050394E" w:rsidRDefault="0050394E" w:rsidP="0067671F">
      <w:pPr>
        <w:pStyle w:val="BodyTextIndent"/>
        <w:tabs>
          <w:tab w:val="left" w:pos="709"/>
        </w:tabs>
        <w:ind w:left="567"/>
        <w:rPr>
          <w:color w:val="auto"/>
          <w:sz w:val="20"/>
          <w:szCs w:val="20"/>
        </w:rPr>
      </w:pPr>
    </w:p>
    <w:p w:rsidR="0050394E" w:rsidRDefault="0050394E" w:rsidP="0067671F">
      <w:pPr>
        <w:pStyle w:val="BodyTextIndent"/>
        <w:tabs>
          <w:tab w:val="left" w:pos="709"/>
        </w:tabs>
        <w:ind w:left="567"/>
        <w:rPr>
          <w:color w:val="auto"/>
          <w:sz w:val="20"/>
          <w:szCs w:val="20"/>
        </w:rPr>
      </w:pPr>
    </w:p>
    <w:p w:rsidR="0050394E" w:rsidRDefault="0050394E" w:rsidP="0067671F">
      <w:pPr>
        <w:pStyle w:val="BodyTextIndent"/>
        <w:tabs>
          <w:tab w:val="left" w:pos="709"/>
        </w:tabs>
        <w:ind w:left="567"/>
        <w:rPr>
          <w:color w:val="auto"/>
          <w:sz w:val="20"/>
          <w:szCs w:val="20"/>
        </w:rPr>
      </w:pPr>
    </w:p>
    <w:p w:rsidR="0050394E" w:rsidRDefault="0050394E" w:rsidP="0067671F">
      <w:pPr>
        <w:pStyle w:val="BodyTextIndent"/>
        <w:tabs>
          <w:tab w:val="left" w:pos="709"/>
        </w:tabs>
        <w:ind w:left="567"/>
        <w:rPr>
          <w:color w:val="auto"/>
          <w:sz w:val="20"/>
          <w:szCs w:val="20"/>
        </w:rPr>
      </w:pPr>
    </w:p>
    <w:p w:rsidR="0050394E" w:rsidRDefault="0050394E" w:rsidP="0067671F">
      <w:pPr>
        <w:pStyle w:val="BodyTextIndent"/>
        <w:tabs>
          <w:tab w:val="left" w:pos="709"/>
        </w:tabs>
        <w:ind w:left="567"/>
        <w:rPr>
          <w:color w:val="auto"/>
          <w:sz w:val="20"/>
          <w:szCs w:val="20"/>
        </w:rPr>
      </w:pPr>
    </w:p>
    <w:p w:rsidR="0050394E" w:rsidRPr="00116F21" w:rsidRDefault="0050394E" w:rsidP="0067671F">
      <w:pPr>
        <w:pStyle w:val="BodyTextIndent"/>
        <w:tabs>
          <w:tab w:val="left" w:pos="709"/>
        </w:tabs>
        <w:ind w:left="567"/>
        <w:rPr>
          <w:color w:val="auto"/>
          <w:sz w:val="20"/>
          <w:szCs w:val="20"/>
        </w:rPr>
      </w:pPr>
    </w:p>
    <w:tbl>
      <w:tblPr>
        <w:tblStyle w:val="ListTable3-Accent51"/>
        <w:tblW w:w="8341" w:type="dxa"/>
        <w:tblInd w:w="675" w:type="dxa"/>
        <w:tblLayout w:type="fixed"/>
        <w:tblLook w:val="0000" w:firstRow="0" w:lastRow="0" w:firstColumn="0" w:lastColumn="0" w:noHBand="0" w:noVBand="0"/>
      </w:tblPr>
      <w:tblGrid>
        <w:gridCol w:w="2802"/>
        <w:gridCol w:w="1451"/>
        <w:gridCol w:w="1417"/>
        <w:gridCol w:w="1418"/>
        <w:gridCol w:w="1253"/>
      </w:tblGrid>
      <w:tr w:rsidR="0067671F" w:rsidRPr="0005794A" w:rsidTr="00F82E5E">
        <w:trPr>
          <w:cnfStyle w:val="000000100000" w:firstRow="0" w:lastRow="0" w:firstColumn="0" w:lastColumn="0" w:oddVBand="0" w:evenVBand="0" w:oddHBand="1" w:evenHBand="0" w:firstRowFirstColumn="0" w:firstRowLastColumn="0" w:lastRowFirstColumn="0" w:lastRowLastColumn="0"/>
          <w:trHeight w:val="986"/>
        </w:trPr>
        <w:tc>
          <w:tcPr>
            <w:cnfStyle w:val="000010000000" w:firstRow="0" w:lastRow="0" w:firstColumn="0" w:lastColumn="0" w:oddVBand="1" w:evenVBand="0" w:oddHBand="0" w:evenHBand="0" w:firstRowFirstColumn="0" w:firstRowLastColumn="0" w:lastRowFirstColumn="0" w:lastRowLastColumn="0"/>
            <w:tcW w:w="2802" w:type="dxa"/>
            <w:shd w:val="clear" w:color="auto" w:fill="4BACC6" w:themeFill="accent5"/>
          </w:tcPr>
          <w:p w:rsidR="0067671F" w:rsidRPr="0005794A" w:rsidRDefault="0067671F" w:rsidP="00F82E5E">
            <w:pPr>
              <w:pStyle w:val="TableText"/>
              <w:jc w:val="center"/>
              <w:rPr>
                <w:rFonts w:ascii="Arial" w:hAnsi="Arial" w:cs="Arial"/>
                <w:color w:val="548DD4" w:themeColor="text2" w:themeTint="99"/>
              </w:rPr>
            </w:pPr>
          </w:p>
        </w:tc>
        <w:tc>
          <w:tcPr>
            <w:tcW w:w="1451" w:type="dxa"/>
            <w:shd w:val="clear" w:color="auto" w:fill="4BACC6" w:themeFill="accent5"/>
          </w:tcPr>
          <w:p w:rsidR="0067671F" w:rsidRPr="001D0A8D" w:rsidRDefault="0067671F" w:rsidP="00F82E5E">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1D0A8D">
              <w:rPr>
                <w:rStyle w:val="Bold"/>
                <w:rFonts w:ascii="Arial" w:hAnsi="Arial" w:cs="Arial"/>
                <w:bCs w:val="0"/>
                <w:color w:val="auto"/>
              </w:rPr>
              <w:t>Payment for Services *</w:t>
            </w:r>
          </w:p>
          <w:p w:rsidR="0067671F" w:rsidRPr="001D0A8D" w:rsidRDefault="0067671F" w:rsidP="00F82E5E">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auto"/>
              </w:rPr>
            </w:pPr>
          </w:p>
        </w:tc>
        <w:tc>
          <w:tcPr>
            <w:cnfStyle w:val="000010000000" w:firstRow="0" w:lastRow="0" w:firstColumn="0" w:lastColumn="0" w:oddVBand="1" w:evenVBand="0" w:oddHBand="0" w:evenHBand="0" w:firstRowFirstColumn="0" w:firstRowLastColumn="0" w:lastRowFirstColumn="0" w:lastRowLastColumn="0"/>
            <w:tcW w:w="1417" w:type="dxa"/>
            <w:shd w:val="clear" w:color="auto" w:fill="4BACC6" w:themeFill="accent5"/>
          </w:tcPr>
          <w:p w:rsidR="0067671F" w:rsidRPr="001D0A8D" w:rsidRDefault="0067671F" w:rsidP="00F82E5E">
            <w:pPr>
              <w:pStyle w:val="TableRightBold"/>
              <w:jc w:val="center"/>
              <w:rPr>
                <w:rStyle w:val="Bold"/>
                <w:rFonts w:ascii="Arial" w:hAnsi="Arial" w:cs="Arial"/>
                <w:bCs w:val="0"/>
                <w:color w:val="auto"/>
              </w:rPr>
            </w:pPr>
            <w:r w:rsidRPr="001D0A8D">
              <w:rPr>
                <w:rStyle w:val="Bold"/>
                <w:rFonts w:ascii="Arial" w:hAnsi="Arial" w:cs="Arial"/>
                <w:bCs w:val="0"/>
                <w:color w:val="auto"/>
              </w:rPr>
              <w:t>Reimburse-</w:t>
            </w:r>
            <w:proofErr w:type="spellStart"/>
            <w:r w:rsidRPr="001D0A8D">
              <w:rPr>
                <w:rStyle w:val="Bold"/>
                <w:rFonts w:ascii="Arial" w:hAnsi="Arial" w:cs="Arial"/>
                <w:bCs w:val="0"/>
                <w:color w:val="auto"/>
              </w:rPr>
              <w:t>ment</w:t>
            </w:r>
            <w:proofErr w:type="spellEnd"/>
            <w:r w:rsidRPr="001D0A8D">
              <w:rPr>
                <w:rStyle w:val="Bold"/>
                <w:rFonts w:ascii="Arial" w:hAnsi="Arial" w:cs="Arial"/>
                <w:bCs w:val="0"/>
                <w:color w:val="auto"/>
              </w:rPr>
              <w:t xml:space="preserve"> of Capital Expenditure</w:t>
            </w:r>
          </w:p>
        </w:tc>
        <w:tc>
          <w:tcPr>
            <w:tcW w:w="1418" w:type="dxa"/>
            <w:shd w:val="clear" w:color="auto" w:fill="4BACC6" w:themeFill="accent5"/>
          </w:tcPr>
          <w:p w:rsidR="0067671F" w:rsidRPr="001D0A8D" w:rsidRDefault="0067671F" w:rsidP="00F82E5E">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1D0A8D">
              <w:rPr>
                <w:rStyle w:val="Bold"/>
                <w:rFonts w:ascii="Arial" w:hAnsi="Arial" w:cs="Arial"/>
                <w:bCs w:val="0"/>
                <w:color w:val="auto"/>
              </w:rPr>
              <w:t>Interest</w:t>
            </w:r>
          </w:p>
          <w:p w:rsidR="0067671F" w:rsidRPr="001D0A8D" w:rsidRDefault="0067671F" w:rsidP="00F82E5E">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p>
        </w:tc>
        <w:tc>
          <w:tcPr>
            <w:cnfStyle w:val="000010000000" w:firstRow="0" w:lastRow="0" w:firstColumn="0" w:lastColumn="0" w:oddVBand="1" w:evenVBand="0" w:oddHBand="0" w:evenHBand="0" w:firstRowFirstColumn="0" w:firstRowLastColumn="0" w:lastRowFirstColumn="0" w:lastRowLastColumn="0"/>
            <w:tcW w:w="1253" w:type="dxa"/>
            <w:shd w:val="clear" w:color="auto" w:fill="4BACC6" w:themeFill="accent5"/>
          </w:tcPr>
          <w:p w:rsidR="0067671F" w:rsidRPr="001D0A8D" w:rsidRDefault="0067671F" w:rsidP="00F82E5E">
            <w:pPr>
              <w:pStyle w:val="TableRightBold"/>
              <w:jc w:val="center"/>
              <w:rPr>
                <w:rStyle w:val="Bold"/>
                <w:rFonts w:ascii="Arial" w:hAnsi="Arial" w:cs="Arial"/>
                <w:bCs w:val="0"/>
                <w:color w:val="auto"/>
              </w:rPr>
            </w:pPr>
            <w:r w:rsidRPr="001D0A8D">
              <w:rPr>
                <w:rStyle w:val="Bold"/>
                <w:rFonts w:ascii="Arial" w:hAnsi="Arial" w:cs="Arial"/>
                <w:bCs w:val="0"/>
                <w:color w:val="auto"/>
              </w:rPr>
              <w:t>Total</w:t>
            </w:r>
          </w:p>
          <w:p w:rsidR="0067671F" w:rsidRPr="001D0A8D" w:rsidRDefault="0067671F" w:rsidP="00F82E5E">
            <w:pPr>
              <w:pStyle w:val="TableRightBold"/>
              <w:jc w:val="center"/>
              <w:rPr>
                <w:rStyle w:val="Bold"/>
                <w:rFonts w:ascii="Arial" w:hAnsi="Arial" w:cs="Arial"/>
                <w:bCs w:val="0"/>
                <w:color w:val="auto"/>
              </w:rPr>
            </w:pPr>
          </w:p>
        </w:tc>
      </w:tr>
      <w:tr w:rsidR="0067671F" w:rsidRPr="0005794A" w:rsidTr="00F82E5E">
        <w:trPr>
          <w:trHeight w:val="60"/>
        </w:trPr>
        <w:tc>
          <w:tcPr>
            <w:cnfStyle w:val="000010000000" w:firstRow="0" w:lastRow="0" w:firstColumn="0" w:lastColumn="0" w:oddVBand="1" w:evenVBand="0" w:oddHBand="0" w:evenHBand="0" w:firstRowFirstColumn="0" w:firstRowLastColumn="0" w:lastRowFirstColumn="0" w:lastRowLastColumn="0"/>
            <w:tcW w:w="2802" w:type="dxa"/>
            <w:shd w:val="clear" w:color="auto" w:fill="4BACC6" w:themeFill="accent5"/>
          </w:tcPr>
          <w:p w:rsidR="0067671F" w:rsidRPr="0005794A" w:rsidRDefault="0067671F" w:rsidP="00F82E5E">
            <w:pPr>
              <w:pStyle w:val="TableText"/>
              <w:rPr>
                <w:rFonts w:ascii="Arial" w:hAnsi="Arial" w:cs="Arial"/>
                <w:color w:val="548DD4" w:themeColor="text2" w:themeTint="99"/>
              </w:rPr>
            </w:pPr>
          </w:p>
        </w:tc>
        <w:tc>
          <w:tcPr>
            <w:tcW w:w="1451" w:type="dxa"/>
            <w:shd w:val="clear" w:color="auto" w:fill="4BACC6" w:themeFill="accent5"/>
          </w:tcPr>
          <w:p w:rsidR="0067671F" w:rsidRPr="001D0A8D" w:rsidRDefault="0067671F" w:rsidP="00F82E5E">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0A8D">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4BACC6" w:themeFill="accent5"/>
          </w:tcPr>
          <w:p w:rsidR="0067671F" w:rsidRPr="001D0A8D" w:rsidRDefault="0067671F" w:rsidP="00F82E5E">
            <w:pPr>
              <w:pStyle w:val="TableRight"/>
              <w:jc w:val="center"/>
              <w:rPr>
                <w:rFonts w:ascii="Arial" w:hAnsi="Arial" w:cs="Arial"/>
                <w:color w:val="auto"/>
              </w:rPr>
            </w:pPr>
            <w:r w:rsidRPr="001D0A8D">
              <w:rPr>
                <w:rFonts w:ascii="Arial" w:hAnsi="Arial" w:cs="Arial"/>
                <w:color w:val="auto"/>
              </w:rPr>
              <w:t>£m</w:t>
            </w:r>
          </w:p>
        </w:tc>
        <w:tc>
          <w:tcPr>
            <w:tcW w:w="1418" w:type="dxa"/>
            <w:shd w:val="clear" w:color="auto" w:fill="4BACC6" w:themeFill="accent5"/>
          </w:tcPr>
          <w:p w:rsidR="0067671F" w:rsidRPr="001D0A8D" w:rsidRDefault="0067671F" w:rsidP="00F82E5E">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0A8D">
              <w:rPr>
                <w:rFonts w:ascii="Arial" w:hAnsi="Arial" w:cs="Arial"/>
                <w:color w:val="auto"/>
              </w:rPr>
              <w:t>£m</w:t>
            </w:r>
          </w:p>
        </w:tc>
        <w:tc>
          <w:tcPr>
            <w:cnfStyle w:val="000010000000" w:firstRow="0" w:lastRow="0" w:firstColumn="0" w:lastColumn="0" w:oddVBand="1" w:evenVBand="0" w:oddHBand="0" w:evenHBand="0" w:firstRowFirstColumn="0" w:firstRowLastColumn="0" w:lastRowFirstColumn="0" w:lastRowLastColumn="0"/>
            <w:tcW w:w="1253" w:type="dxa"/>
            <w:shd w:val="clear" w:color="auto" w:fill="4BACC6" w:themeFill="accent5"/>
          </w:tcPr>
          <w:p w:rsidR="0067671F" w:rsidRPr="001D0A8D" w:rsidRDefault="0067671F" w:rsidP="00F82E5E">
            <w:pPr>
              <w:pStyle w:val="TableRight"/>
              <w:jc w:val="center"/>
              <w:rPr>
                <w:rFonts w:ascii="Arial" w:hAnsi="Arial" w:cs="Arial"/>
                <w:color w:val="auto"/>
              </w:rPr>
            </w:pPr>
            <w:r w:rsidRPr="001D0A8D">
              <w:rPr>
                <w:rFonts w:ascii="Arial" w:hAnsi="Arial" w:cs="Arial"/>
                <w:color w:val="auto"/>
              </w:rPr>
              <w:t>£m</w:t>
            </w:r>
          </w:p>
        </w:tc>
      </w:tr>
      <w:tr w:rsidR="0067671F" w:rsidRPr="0005794A" w:rsidTr="00F82E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02" w:type="dxa"/>
          </w:tcPr>
          <w:p w:rsidR="0067671F" w:rsidRPr="001D0A8D" w:rsidRDefault="0067671F" w:rsidP="00EA4A01">
            <w:pPr>
              <w:pStyle w:val="TableText"/>
              <w:rPr>
                <w:rFonts w:ascii="Arial" w:hAnsi="Arial" w:cs="Arial"/>
                <w:color w:val="auto"/>
              </w:rPr>
            </w:pPr>
            <w:r w:rsidRPr="001D0A8D">
              <w:rPr>
                <w:rFonts w:ascii="Arial" w:hAnsi="Arial" w:cs="Arial"/>
                <w:color w:val="auto"/>
              </w:rPr>
              <w:t>Payable in 201</w:t>
            </w:r>
            <w:r w:rsidR="001D0A8D" w:rsidRPr="001D0A8D">
              <w:rPr>
                <w:rFonts w:ascii="Arial" w:hAnsi="Arial" w:cs="Arial"/>
                <w:color w:val="auto"/>
              </w:rPr>
              <w:t>8</w:t>
            </w:r>
            <w:r w:rsidRPr="001D0A8D">
              <w:rPr>
                <w:rFonts w:ascii="Arial" w:hAnsi="Arial" w:cs="Arial"/>
                <w:color w:val="auto"/>
              </w:rPr>
              <w:t>/1</w:t>
            </w:r>
            <w:r w:rsidR="001D0A8D" w:rsidRPr="001D0A8D">
              <w:rPr>
                <w:rFonts w:ascii="Arial" w:hAnsi="Arial" w:cs="Arial"/>
                <w:color w:val="auto"/>
              </w:rPr>
              <w:t>9</w:t>
            </w:r>
          </w:p>
          <w:p w:rsidR="004674B2" w:rsidRPr="001D0A8D" w:rsidRDefault="004674B2" w:rsidP="00EA4A01">
            <w:pPr>
              <w:pStyle w:val="TableText"/>
              <w:rPr>
                <w:rFonts w:ascii="Arial" w:hAnsi="Arial" w:cs="Arial"/>
                <w:color w:val="auto"/>
              </w:rPr>
            </w:pPr>
          </w:p>
        </w:tc>
        <w:tc>
          <w:tcPr>
            <w:tcW w:w="1451" w:type="dxa"/>
          </w:tcPr>
          <w:p w:rsidR="0067671F" w:rsidRPr="00734102" w:rsidRDefault="00064388" w:rsidP="0006438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34102">
              <w:rPr>
                <w:rFonts w:ascii="Arial" w:hAnsi="Arial" w:cs="Arial"/>
                <w:color w:val="auto"/>
              </w:rPr>
              <w:t>1.8</w:t>
            </w:r>
          </w:p>
        </w:tc>
        <w:tc>
          <w:tcPr>
            <w:cnfStyle w:val="000010000000" w:firstRow="0" w:lastRow="0" w:firstColumn="0" w:lastColumn="0" w:oddVBand="1" w:evenVBand="0" w:oddHBand="0" w:evenHBand="0" w:firstRowFirstColumn="0" w:firstRowLastColumn="0" w:lastRowFirstColumn="0" w:lastRowLastColumn="0"/>
            <w:tcW w:w="1417" w:type="dxa"/>
          </w:tcPr>
          <w:p w:rsidR="0067671F" w:rsidRPr="00CD0AFD" w:rsidRDefault="0029225D" w:rsidP="00F82E5E">
            <w:pPr>
              <w:pStyle w:val="TableRight"/>
              <w:jc w:val="center"/>
              <w:rPr>
                <w:rFonts w:ascii="Arial" w:hAnsi="Arial" w:cs="Arial"/>
                <w:color w:val="auto"/>
              </w:rPr>
            </w:pPr>
            <w:r w:rsidRPr="00CD0AFD">
              <w:rPr>
                <w:rFonts w:ascii="Arial" w:hAnsi="Arial" w:cs="Arial"/>
                <w:color w:val="auto"/>
              </w:rPr>
              <w:t>0.1</w:t>
            </w:r>
          </w:p>
        </w:tc>
        <w:tc>
          <w:tcPr>
            <w:tcW w:w="1418" w:type="dxa"/>
          </w:tcPr>
          <w:p w:rsidR="0067671F" w:rsidRPr="0005794A" w:rsidRDefault="004674B2" w:rsidP="007A7602">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548DD4" w:themeColor="text2" w:themeTint="99"/>
              </w:rPr>
            </w:pPr>
            <w:r w:rsidRPr="00734102">
              <w:rPr>
                <w:rFonts w:ascii="Arial" w:hAnsi="Arial" w:cs="Arial"/>
                <w:color w:val="auto"/>
              </w:rPr>
              <w:t>1.</w:t>
            </w:r>
            <w:r w:rsidR="007A7602" w:rsidRPr="00734102">
              <w:rPr>
                <w:rFonts w:ascii="Arial" w:hAnsi="Arial" w:cs="Arial"/>
                <w:color w:val="auto"/>
              </w:rPr>
              <w:t>2</w:t>
            </w:r>
          </w:p>
        </w:tc>
        <w:tc>
          <w:tcPr>
            <w:cnfStyle w:val="000010000000" w:firstRow="0" w:lastRow="0" w:firstColumn="0" w:lastColumn="0" w:oddVBand="1" w:evenVBand="0" w:oddHBand="0" w:evenHBand="0" w:firstRowFirstColumn="0" w:firstRowLastColumn="0" w:lastRowFirstColumn="0" w:lastRowLastColumn="0"/>
            <w:tcW w:w="1253" w:type="dxa"/>
          </w:tcPr>
          <w:p w:rsidR="0067671F" w:rsidRPr="0093006D" w:rsidRDefault="00095EB6" w:rsidP="00F82E5E">
            <w:pPr>
              <w:pStyle w:val="TableRight"/>
              <w:jc w:val="center"/>
              <w:rPr>
                <w:rFonts w:ascii="Arial" w:hAnsi="Arial" w:cs="Arial"/>
                <w:color w:val="auto"/>
              </w:rPr>
            </w:pPr>
            <w:r w:rsidRPr="0093006D">
              <w:rPr>
                <w:rFonts w:ascii="Arial" w:hAnsi="Arial" w:cs="Arial"/>
                <w:color w:val="auto"/>
              </w:rPr>
              <w:t>3.1</w:t>
            </w:r>
          </w:p>
        </w:tc>
      </w:tr>
      <w:tr w:rsidR="0067671F" w:rsidRPr="0005794A" w:rsidTr="00F82E5E">
        <w:trPr>
          <w:trHeight w:val="60"/>
        </w:trPr>
        <w:tc>
          <w:tcPr>
            <w:cnfStyle w:val="000010000000" w:firstRow="0" w:lastRow="0" w:firstColumn="0" w:lastColumn="0" w:oddVBand="1" w:evenVBand="0" w:oddHBand="0" w:evenHBand="0" w:firstRowFirstColumn="0" w:firstRowLastColumn="0" w:lastRowFirstColumn="0" w:lastRowLastColumn="0"/>
            <w:tcW w:w="2802" w:type="dxa"/>
          </w:tcPr>
          <w:p w:rsidR="0067671F" w:rsidRPr="001D0A8D" w:rsidRDefault="0067671F" w:rsidP="00F82E5E">
            <w:pPr>
              <w:pStyle w:val="TableText"/>
              <w:rPr>
                <w:rFonts w:ascii="Arial" w:hAnsi="Arial" w:cs="Arial"/>
                <w:color w:val="auto"/>
              </w:rPr>
            </w:pPr>
            <w:r w:rsidRPr="001D0A8D">
              <w:rPr>
                <w:rFonts w:ascii="Arial" w:hAnsi="Arial" w:cs="Arial"/>
                <w:color w:val="auto"/>
              </w:rPr>
              <w:t>Payable within 2 to 5 years</w:t>
            </w:r>
          </w:p>
          <w:p w:rsidR="004674B2" w:rsidRPr="001D0A8D" w:rsidRDefault="004674B2" w:rsidP="00F82E5E">
            <w:pPr>
              <w:pStyle w:val="TableText"/>
              <w:rPr>
                <w:rFonts w:ascii="Arial" w:hAnsi="Arial" w:cs="Arial"/>
                <w:color w:val="auto"/>
              </w:rPr>
            </w:pPr>
          </w:p>
        </w:tc>
        <w:tc>
          <w:tcPr>
            <w:tcW w:w="1451" w:type="dxa"/>
          </w:tcPr>
          <w:p w:rsidR="0067671F" w:rsidRPr="00734102" w:rsidRDefault="00734102" w:rsidP="00123D4A">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4102">
              <w:rPr>
                <w:rFonts w:ascii="Arial" w:hAnsi="Arial" w:cs="Arial"/>
                <w:color w:val="auto"/>
              </w:rPr>
              <w:t>7.9</w:t>
            </w:r>
          </w:p>
        </w:tc>
        <w:tc>
          <w:tcPr>
            <w:cnfStyle w:val="000010000000" w:firstRow="0" w:lastRow="0" w:firstColumn="0" w:lastColumn="0" w:oddVBand="1" w:evenVBand="0" w:oddHBand="0" w:evenHBand="0" w:firstRowFirstColumn="0" w:firstRowLastColumn="0" w:lastRowFirstColumn="0" w:lastRowLastColumn="0"/>
            <w:tcW w:w="1417" w:type="dxa"/>
          </w:tcPr>
          <w:p w:rsidR="0067671F" w:rsidRPr="00CD0AFD" w:rsidRDefault="0029225D" w:rsidP="0059744C">
            <w:pPr>
              <w:pStyle w:val="TableRight"/>
              <w:jc w:val="center"/>
              <w:rPr>
                <w:rFonts w:ascii="Arial" w:hAnsi="Arial" w:cs="Arial"/>
                <w:color w:val="auto"/>
              </w:rPr>
            </w:pPr>
            <w:r w:rsidRPr="00CD0AFD">
              <w:rPr>
                <w:rFonts w:ascii="Arial" w:hAnsi="Arial" w:cs="Arial"/>
                <w:color w:val="auto"/>
              </w:rPr>
              <w:t>0.</w:t>
            </w:r>
            <w:r w:rsidR="00CD0AFD" w:rsidRPr="00CD0AFD">
              <w:rPr>
                <w:rFonts w:ascii="Arial" w:hAnsi="Arial" w:cs="Arial"/>
                <w:color w:val="auto"/>
              </w:rPr>
              <w:t>5</w:t>
            </w:r>
          </w:p>
        </w:tc>
        <w:tc>
          <w:tcPr>
            <w:tcW w:w="1418" w:type="dxa"/>
          </w:tcPr>
          <w:p w:rsidR="0067671F" w:rsidRPr="00734102" w:rsidRDefault="004674B2" w:rsidP="00D245B8">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4102">
              <w:rPr>
                <w:rFonts w:ascii="Arial" w:hAnsi="Arial" w:cs="Arial"/>
                <w:color w:val="auto"/>
              </w:rPr>
              <w:t>4.</w:t>
            </w:r>
            <w:r w:rsidR="00734102" w:rsidRPr="00734102">
              <w:rPr>
                <w:rFonts w:ascii="Arial" w:hAnsi="Arial" w:cs="Arial"/>
                <w:color w:val="auto"/>
              </w:rPr>
              <w:t>4</w:t>
            </w:r>
          </w:p>
        </w:tc>
        <w:tc>
          <w:tcPr>
            <w:cnfStyle w:val="000010000000" w:firstRow="0" w:lastRow="0" w:firstColumn="0" w:lastColumn="0" w:oddVBand="1" w:evenVBand="0" w:oddHBand="0" w:evenHBand="0" w:firstRowFirstColumn="0" w:firstRowLastColumn="0" w:lastRowFirstColumn="0" w:lastRowLastColumn="0"/>
            <w:tcW w:w="1253" w:type="dxa"/>
          </w:tcPr>
          <w:p w:rsidR="0067671F" w:rsidRPr="0093006D" w:rsidRDefault="00734102" w:rsidP="00F82E5E">
            <w:pPr>
              <w:pStyle w:val="TableRight"/>
              <w:jc w:val="center"/>
              <w:rPr>
                <w:rFonts w:ascii="Arial" w:hAnsi="Arial" w:cs="Arial"/>
                <w:color w:val="auto"/>
              </w:rPr>
            </w:pPr>
            <w:r w:rsidRPr="0093006D">
              <w:rPr>
                <w:rFonts w:ascii="Arial" w:hAnsi="Arial" w:cs="Arial"/>
                <w:color w:val="auto"/>
              </w:rPr>
              <w:t>12.8</w:t>
            </w:r>
          </w:p>
        </w:tc>
      </w:tr>
      <w:tr w:rsidR="0067671F" w:rsidRPr="0005794A" w:rsidTr="00F82E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02" w:type="dxa"/>
          </w:tcPr>
          <w:p w:rsidR="0067671F" w:rsidRPr="001D0A8D" w:rsidRDefault="0067671F" w:rsidP="00F82E5E">
            <w:pPr>
              <w:pStyle w:val="TableText"/>
              <w:rPr>
                <w:rFonts w:ascii="Arial" w:hAnsi="Arial" w:cs="Arial"/>
                <w:color w:val="auto"/>
              </w:rPr>
            </w:pPr>
            <w:r w:rsidRPr="001D0A8D">
              <w:rPr>
                <w:rFonts w:ascii="Arial" w:hAnsi="Arial" w:cs="Arial"/>
                <w:color w:val="auto"/>
              </w:rPr>
              <w:t>Payable within 6 to 10 years</w:t>
            </w:r>
          </w:p>
        </w:tc>
        <w:tc>
          <w:tcPr>
            <w:tcW w:w="1451" w:type="dxa"/>
          </w:tcPr>
          <w:p w:rsidR="0067671F" w:rsidRPr="00734102" w:rsidRDefault="00734102" w:rsidP="00F82E5E">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34102">
              <w:rPr>
                <w:rFonts w:ascii="Arial" w:hAnsi="Arial" w:cs="Arial"/>
                <w:color w:val="auto"/>
              </w:rPr>
              <w:t>10.9</w:t>
            </w:r>
          </w:p>
        </w:tc>
        <w:tc>
          <w:tcPr>
            <w:cnfStyle w:val="000010000000" w:firstRow="0" w:lastRow="0" w:firstColumn="0" w:lastColumn="0" w:oddVBand="1" w:evenVBand="0" w:oddHBand="0" w:evenHBand="0" w:firstRowFirstColumn="0" w:firstRowLastColumn="0" w:lastRowFirstColumn="0" w:lastRowLastColumn="0"/>
            <w:tcW w:w="1417" w:type="dxa"/>
          </w:tcPr>
          <w:p w:rsidR="0067671F" w:rsidRPr="00CD0AFD" w:rsidRDefault="0029225D" w:rsidP="00030F03">
            <w:pPr>
              <w:pStyle w:val="TableRight"/>
              <w:jc w:val="center"/>
              <w:rPr>
                <w:rFonts w:ascii="Arial" w:hAnsi="Arial" w:cs="Arial"/>
                <w:color w:val="auto"/>
              </w:rPr>
            </w:pPr>
            <w:r w:rsidRPr="00CD0AFD">
              <w:rPr>
                <w:rFonts w:ascii="Arial" w:hAnsi="Arial" w:cs="Arial"/>
                <w:color w:val="auto"/>
              </w:rPr>
              <w:t>1.</w:t>
            </w:r>
            <w:r w:rsidR="00CD0AFD" w:rsidRPr="00CD0AFD">
              <w:rPr>
                <w:rFonts w:ascii="Arial" w:hAnsi="Arial" w:cs="Arial"/>
                <w:color w:val="auto"/>
              </w:rPr>
              <w:t>3</w:t>
            </w:r>
          </w:p>
        </w:tc>
        <w:tc>
          <w:tcPr>
            <w:tcW w:w="1418" w:type="dxa"/>
          </w:tcPr>
          <w:p w:rsidR="0067671F" w:rsidRPr="00734102" w:rsidRDefault="00734102" w:rsidP="00734102">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34102">
              <w:rPr>
                <w:rFonts w:ascii="Arial" w:hAnsi="Arial" w:cs="Arial"/>
                <w:color w:val="auto"/>
              </w:rPr>
              <w:t>4.4</w:t>
            </w:r>
          </w:p>
        </w:tc>
        <w:tc>
          <w:tcPr>
            <w:cnfStyle w:val="000010000000" w:firstRow="0" w:lastRow="0" w:firstColumn="0" w:lastColumn="0" w:oddVBand="1" w:evenVBand="0" w:oddHBand="0" w:evenHBand="0" w:firstRowFirstColumn="0" w:firstRowLastColumn="0" w:lastRowFirstColumn="0" w:lastRowLastColumn="0"/>
            <w:tcW w:w="1253" w:type="dxa"/>
          </w:tcPr>
          <w:p w:rsidR="0067671F" w:rsidRPr="0093006D" w:rsidRDefault="00734102" w:rsidP="00F82E5E">
            <w:pPr>
              <w:pStyle w:val="TableRight"/>
              <w:jc w:val="center"/>
              <w:rPr>
                <w:rFonts w:ascii="Arial" w:hAnsi="Arial" w:cs="Arial"/>
                <w:color w:val="auto"/>
              </w:rPr>
            </w:pPr>
            <w:r w:rsidRPr="0093006D">
              <w:rPr>
                <w:rFonts w:ascii="Arial" w:hAnsi="Arial" w:cs="Arial"/>
                <w:color w:val="auto"/>
              </w:rPr>
              <w:t>16.6</w:t>
            </w:r>
          </w:p>
        </w:tc>
      </w:tr>
      <w:tr w:rsidR="0067671F" w:rsidRPr="0005794A" w:rsidTr="00F82E5E">
        <w:trPr>
          <w:trHeight w:val="60"/>
        </w:trPr>
        <w:tc>
          <w:tcPr>
            <w:cnfStyle w:val="000010000000" w:firstRow="0" w:lastRow="0" w:firstColumn="0" w:lastColumn="0" w:oddVBand="1" w:evenVBand="0" w:oddHBand="0" w:evenHBand="0" w:firstRowFirstColumn="0" w:firstRowLastColumn="0" w:lastRowFirstColumn="0" w:lastRowLastColumn="0"/>
            <w:tcW w:w="2802" w:type="dxa"/>
          </w:tcPr>
          <w:p w:rsidR="0067671F" w:rsidRPr="001D0A8D" w:rsidRDefault="0067671F" w:rsidP="00F82E5E">
            <w:pPr>
              <w:pStyle w:val="TableText"/>
              <w:rPr>
                <w:rFonts w:ascii="Arial" w:hAnsi="Arial" w:cs="Arial"/>
                <w:color w:val="auto"/>
              </w:rPr>
            </w:pPr>
            <w:r w:rsidRPr="001D0A8D">
              <w:rPr>
                <w:rFonts w:ascii="Arial" w:hAnsi="Arial" w:cs="Arial"/>
                <w:color w:val="auto"/>
              </w:rPr>
              <w:t>Payable within 11 to 15  years</w:t>
            </w:r>
          </w:p>
        </w:tc>
        <w:tc>
          <w:tcPr>
            <w:tcW w:w="1451" w:type="dxa"/>
          </w:tcPr>
          <w:p w:rsidR="0067671F" w:rsidRPr="00734102" w:rsidRDefault="00734102" w:rsidP="00B416CD">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4102">
              <w:rPr>
                <w:rFonts w:ascii="Arial" w:hAnsi="Arial" w:cs="Arial"/>
                <w:color w:val="auto"/>
              </w:rPr>
              <w:t>11.4</w:t>
            </w:r>
          </w:p>
        </w:tc>
        <w:tc>
          <w:tcPr>
            <w:cnfStyle w:val="000010000000" w:firstRow="0" w:lastRow="0" w:firstColumn="0" w:lastColumn="0" w:oddVBand="1" w:evenVBand="0" w:oddHBand="0" w:evenHBand="0" w:firstRowFirstColumn="0" w:firstRowLastColumn="0" w:lastRowFirstColumn="0" w:lastRowLastColumn="0"/>
            <w:tcW w:w="1417" w:type="dxa"/>
          </w:tcPr>
          <w:p w:rsidR="0067671F" w:rsidRPr="00CD0AFD" w:rsidRDefault="0029225D" w:rsidP="00734102">
            <w:pPr>
              <w:pStyle w:val="TableRight"/>
              <w:jc w:val="center"/>
              <w:rPr>
                <w:rFonts w:ascii="Arial" w:hAnsi="Arial" w:cs="Arial"/>
                <w:color w:val="auto"/>
              </w:rPr>
            </w:pPr>
            <w:r w:rsidRPr="00CD0AFD">
              <w:rPr>
                <w:rFonts w:ascii="Arial" w:hAnsi="Arial" w:cs="Arial"/>
                <w:color w:val="auto"/>
              </w:rPr>
              <w:t>2.</w:t>
            </w:r>
            <w:r w:rsidR="00734102">
              <w:rPr>
                <w:rFonts w:ascii="Arial" w:hAnsi="Arial" w:cs="Arial"/>
                <w:color w:val="auto"/>
              </w:rPr>
              <w:t>9</w:t>
            </w:r>
          </w:p>
        </w:tc>
        <w:tc>
          <w:tcPr>
            <w:tcW w:w="1418" w:type="dxa"/>
          </w:tcPr>
          <w:p w:rsidR="0067671F" w:rsidRPr="00734102" w:rsidRDefault="00734102" w:rsidP="00D245B8">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4102">
              <w:rPr>
                <w:rFonts w:ascii="Arial" w:hAnsi="Arial" w:cs="Arial"/>
                <w:color w:val="auto"/>
              </w:rPr>
              <w:t>3.1</w:t>
            </w:r>
          </w:p>
        </w:tc>
        <w:tc>
          <w:tcPr>
            <w:cnfStyle w:val="000010000000" w:firstRow="0" w:lastRow="0" w:firstColumn="0" w:lastColumn="0" w:oddVBand="1" w:evenVBand="0" w:oddHBand="0" w:evenHBand="0" w:firstRowFirstColumn="0" w:firstRowLastColumn="0" w:lastRowFirstColumn="0" w:lastRowLastColumn="0"/>
            <w:tcW w:w="1253" w:type="dxa"/>
          </w:tcPr>
          <w:p w:rsidR="0067671F" w:rsidRPr="0093006D" w:rsidRDefault="00734102" w:rsidP="00F82E5E">
            <w:pPr>
              <w:pStyle w:val="TableRight"/>
              <w:jc w:val="center"/>
              <w:rPr>
                <w:rFonts w:ascii="Arial" w:hAnsi="Arial" w:cs="Arial"/>
                <w:color w:val="auto"/>
              </w:rPr>
            </w:pPr>
            <w:r w:rsidRPr="0093006D">
              <w:rPr>
                <w:rFonts w:ascii="Arial" w:hAnsi="Arial" w:cs="Arial"/>
                <w:color w:val="auto"/>
              </w:rPr>
              <w:t>17.4</w:t>
            </w:r>
          </w:p>
        </w:tc>
      </w:tr>
      <w:tr w:rsidR="0029225D" w:rsidRPr="0005794A" w:rsidTr="00F82E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02" w:type="dxa"/>
          </w:tcPr>
          <w:p w:rsidR="0029225D" w:rsidRPr="001D0A8D" w:rsidRDefault="0029225D" w:rsidP="0029225D">
            <w:pPr>
              <w:pStyle w:val="TableText"/>
              <w:rPr>
                <w:rFonts w:ascii="Arial" w:hAnsi="Arial" w:cs="Arial"/>
                <w:color w:val="auto"/>
              </w:rPr>
            </w:pPr>
            <w:r w:rsidRPr="001D0A8D">
              <w:rPr>
                <w:rFonts w:ascii="Arial" w:hAnsi="Arial" w:cs="Arial"/>
                <w:color w:val="auto"/>
              </w:rPr>
              <w:t>Payable within 16 to 20 years</w:t>
            </w:r>
          </w:p>
        </w:tc>
        <w:tc>
          <w:tcPr>
            <w:tcW w:w="1451" w:type="dxa"/>
          </w:tcPr>
          <w:p w:rsidR="0029225D" w:rsidRPr="00734102" w:rsidRDefault="00734102" w:rsidP="00123D4A">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34102">
              <w:rPr>
                <w:rFonts w:ascii="Arial" w:hAnsi="Arial" w:cs="Arial"/>
                <w:color w:val="auto"/>
              </w:rPr>
              <w:t>12.8</w:t>
            </w:r>
          </w:p>
        </w:tc>
        <w:tc>
          <w:tcPr>
            <w:cnfStyle w:val="000010000000" w:firstRow="0" w:lastRow="0" w:firstColumn="0" w:lastColumn="0" w:oddVBand="1" w:evenVBand="0" w:oddHBand="0" w:evenHBand="0" w:firstRowFirstColumn="0" w:firstRowLastColumn="0" w:lastRowFirstColumn="0" w:lastRowLastColumn="0"/>
            <w:tcW w:w="1417" w:type="dxa"/>
          </w:tcPr>
          <w:p w:rsidR="0029225D" w:rsidRPr="00CD0AFD" w:rsidRDefault="00734102" w:rsidP="00734102">
            <w:pPr>
              <w:pStyle w:val="TableRight"/>
              <w:jc w:val="center"/>
              <w:rPr>
                <w:rFonts w:ascii="Arial" w:hAnsi="Arial" w:cs="Arial"/>
                <w:color w:val="auto"/>
              </w:rPr>
            </w:pPr>
            <w:r>
              <w:rPr>
                <w:rFonts w:ascii="Arial" w:hAnsi="Arial" w:cs="Arial"/>
                <w:color w:val="auto"/>
              </w:rPr>
              <w:t>4.9</w:t>
            </w:r>
          </w:p>
        </w:tc>
        <w:tc>
          <w:tcPr>
            <w:tcW w:w="1418" w:type="dxa"/>
          </w:tcPr>
          <w:p w:rsidR="0029225D" w:rsidRPr="00734102" w:rsidRDefault="00734102" w:rsidP="00D245B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734102">
              <w:rPr>
                <w:rFonts w:ascii="Arial" w:hAnsi="Arial" w:cs="Arial"/>
                <w:color w:val="auto"/>
              </w:rPr>
              <w:t>0.6</w:t>
            </w:r>
          </w:p>
        </w:tc>
        <w:tc>
          <w:tcPr>
            <w:cnfStyle w:val="000010000000" w:firstRow="0" w:lastRow="0" w:firstColumn="0" w:lastColumn="0" w:oddVBand="1" w:evenVBand="0" w:oddHBand="0" w:evenHBand="0" w:firstRowFirstColumn="0" w:firstRowLastColumn="0" w:lastRowFirstColumn="0" w:lastRowLastColumn="0"/>
            <w:tcW w:w="1253" w:type="dxa"/>
          </w:tcPr>
          <w:p w:rsidR="0029225D" w:rsidRPr="0093006D" w:rsidRDefault="00734102" w:rsidP="00F82E5E">
            <w:pPr>
              <w:pStyle w:val="TableRight"/>
              <w:jc w:val="center"/>
              <w:rPr>
                <w:rFonts w:ascii="Arial" w:hAnsi="Arial" w:cs="Arial"/>
                <w:color w:val="auto"/>
              </w:rPr>
            </w:pPr>
            <w:r w:rsidRPr="0093006D">
              <w:rPr>
                <w:rFonts w:ascii="Arial" w:hAnsi="Arial" w:cs="Arial"/>
                <w:color w:val="auto"/>
              </w:rPr>
              <w:t>18.3</w:t>
            </w:r>
          </w:p>
        </w:tc>
      </w:tr>
      <w:tr w:rsidR="0029225D" w:rsidRPr="0005794A" w:rsidTr="00F82E5E">
        <w:trPr>
          <w:trHeight w:val="60"/>
        </w:trPr>
        <w:tc>
          <w:tcPr>
            <w:cnfStyle w:val="000010000000" w:firstRow="0" w:lastRow="0" w:firstColumn="0" w:lastColumn="0" w:oddVBand="1" w:evenVBand="0" w:oddHBand="0" w:evenHBand="0" w:firstRowFirstColumn="0" w:firstRowLastColumn="0" w:lastRowFirstColumn="0" w:lastRowLastColumn="0"/>
            <w:tcW w:w="2802" w:type="dxa"/>
          </w:tcPr>
          <w:p w:rsidR="0029225D" w:rsidRPr="001D0A8D" w:rsidRDefault="0029225D" w:rsidP="0029225D">
            <w:pPr>
              <w:pStyle w:val="TableText"/>
              <w:rPr>
                <w:rFonts w:ascii="Arial" w:hAnsi="Arial" w:cs="Arial"/>
                <w:color w:val="auto"/>
              </w:rPr>
            </w:pPr>
            <w:r w:rsidRPr="001D0A8D">
              <w:rPr>
                <w:rFonts w:ascii="Arial" w:hAnsi="Arial" w:cs="Arial"/>
                <w:color w:val="auto"/>
              </w:rPr>
              <w:t>Payable within 21 to 25  years</w:t>
            </w:r>
          </w:p>
        </w:tc>
        <w:tc>
          <w:tcPr>
            <w:tcW w:w="1451" w:type="dxa"/>
          </w:tcPr>
          <w:p w:rsidR="0029225D" w:rsidRPr="00734102" w:rsidRDefault="00734102" w:rsidP="00123D4A">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4102">
              <w:rPr>
                <w:rFonts w:ascii="Arial" w:hAnsi="Arial" w:cs="Arial"/>
                <w:color w:val="auto"/>
              </w:rPr>
              <w:t>4.4</w:t>
            </w:r>
          </w:p>
        </w:tc>
        <w:tc>
          <w:tcPr>
            <w:cnfStyle w:val="000010000000" w:firstRow="0" w:lastRow="0" w:firstColumn="0" w:lastColumn="0" w:oddVBand="1" w:evenVBand="0" w:oddHBand="0" w:evenHBand="0" w:firstRowFirstColumn="0" w:firstRowLastColumn="0" w:lastRowFirstColumn="0" w:lastRowLastColumn="0"/>
            <w:tcW w:w="1417" w:type="dxa"/>
          </w:tcPr>
          <w:p w:rsidR="0029225D" w:rsidRPr="00CD0AFD" w:rsidRDefault="00CD0AFD" w:rsidP="00030F03">
            <w:pPr>
              <w:pStyle w:val="TableRight"/>
              <w:jc w:val="center"/>
              <w:rPr>
                <w:rFonts w:ascii="Arial" w:hAnsi="Arial" w:cs="Arial"/>
                <w:color w:val="auto"/>
              </w:rPr>
            </w:pPr>
            <w:r w:rsidRPr="00CD0AFD">
              <w:rPr>
                <w:rFonts w:ascii="Arial" w:hAnsi="Arial" w:cs="Arial"/>
                <w:color w:val="auto"/>
              </w:rPr>
              <w:t>2.3</w:t>
            </w:r>
          </w:p>
        </w:tc>
        <w:tc>
          <w:tcPr>
            <w:tcW w:w="1418" w:type="dxa"/>
          </w:tcPr>
          <w:p w:rsidR="0029225D" w:rsidRPr="00734102" w:rsidRDefault="00734102" w:rsidP="007A7602">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4102">
              <w:rPr>
                <w:rFonts w:ascii="Arial" w:hAnsi="Arial" w:cs="Arial"/>
                <w:color w:val="auto"/>
              </w:rPr>
              <w:t>(0.6)</w:t>
            </w:r>
          </w:p>
        </w:tc>
        <w:tc>
          <w:tcPr>
            <w:cnfStyle w:val="000010000000" w:firstRow="0" w:lastRow="0" w:firstColumn="0" w:lastColumn="0" w:oddVBand="1" w:evenVBand="0" w:oddHBand="0" w:evenHBand="0" w:firstRowFirstColumn="0" w:firstRowLastColumn="0" w:lastRowFirstColumn="0" w:lastRowLastColumn="0"/>
            <w:tcW w:w="1253" w:type="dxa"/>
          </w:tcPr>
          <w:p w:rsidR="0029225D" w:rsidRPr="0093006D" w:rsidRDefault="00734102" w:rsidP="00F82E5E">
            <w:pPr>
              <w:pStyle w:val="TableRight"/>
              <w:jc w:val="center"/>
              <w:rPr>
                <w:rFonts w:ascii="Arial" w:hAnsi="Arial" w:cs="Arial"/>
                <w:color w:val="auto"/>
              </w:rPr>
            </w:pPr>
            <w:r w:rsidRPr="0093006D">
              <w:rPr>
                <w:rFonts w:ascii="Arial" w:hAnsi="Arial" w:cs="Arial"/>
                <w:color w:val="auto"/>
              </w:rPr>
              <w:t>6.1</w:t>
            </w:r>
          </w:p>
        </w:tc>
      </w:tr>
      <w:tr w:rsidR="00117D04" w:rsidRPr="0005794A" w:rsidTr="006C61A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802" w:type="dxa"/>
          </w:tcPr>
          <w:p w:rsidR="00117D04" w:rsidRPr="001D0A8D" w:rsidRDefault="00117D04" w:rsidP="00117D04">
            <w:pPr>
              <w:pStyle w:val="TableText"/>
              <w:rPr>
                <w:rFonts w:ascii="Arial" w:hAnsi="Arial" w:cs="Arial"/>
                <w:b/>
                <w:color w:val="auto"/>
              </w:rPr>
            </w:pPr>
            <w:r w:rsidRPr="001D0A8D">
              <w:rPr>
                <w:rFonts w:ascii="Arial" w:hAnsi="Arial" w:cs="Arial"/>
                <w:b/>
                <w:color w:val="auto"/>
              </w:rPr>
              <w:t>Total</w:t>
            </w:r>
          </w:p>
          <w:p w:rsidR="00117D04" w:rsidRPr="001D0A8D" w:rsidRDefault="00117D04" w:rsidP="006C61A5">
            <w:pPr>
              <w:pStyle w:val="TableText"/>
              <w:rPr>
                <w:rFonts w:ascii="Arial" w:hAnsi="Arial" w:cs="Arial"/>
                <w:b/>
                <w:color w:val="auto"/>
              </w:rPr>
            </w:pPr>
          </w:p>
        </w:tc>
        <w:tc>
          <w:tcPr>
            <w:tcW w:w="1451" w:type="dxa"/>
          </w:tcPr>
          <w:p w:rsidR="00117D04" w:rsidRPr="00734102" w:rsidRDefault="00734102" w:rsidP="00123D4A">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34102">
              <w:rPr>
                <w:rFonts w:ascii="Arial" w:hAnsi="Arial" w:cs="Arial"/>
                <w:b/>
                <w:color w:val="auto"/>
              </w:rPr>
              <w:t>49.2</w:t>
            </w:r>
          </w:p>
        </w:tc>
        <w:tc>
          <w:tcPr>
            <w:cnfStyle w:val="000010000000" w:firstRow="0" w:lastRow="0" w:firstColumn="0" w:lastColumn="0" w:oddVBand="1" w:evenVBand="0" w:oddHBand="0" w:evenHBand="0" w:firstRowFirstColumn="0" w:firstRowLastColumn="0" w:lastRowFirstColumn="0" w:lastRowLastColumn="0"/>
            <w:tcW w:w="1417" w:type="dxa"/>
          </w:tcPr>
          <w:p w:rsidR="00117D04" w:rsidRPr="00CD0AFD" w:rsidRDefault="00117D04" w:rsidP="0059744C">
            <w:pPr>
              <w:pStyle w:val="TableRight"/>
              <w:jc w:val="center"/>
              <w:rPr>
                <w:rFonts w:ascii="Arial" w:hAnsi="Arial" w:cs="Arial"/>
                <w:b/>
                <w:color w:val="auto"/>
              </w:rPr>
            </w:pPr>
            <w:r w:rsidRPr="00CD0AFD">
              <w:rPr>
                <w:rFonts w:ascii="Arial" w:hAnsi="Arial" w:cs="Arial"/>
                <w:b/>
                <w:color w:val="auto"/>
              </w:rPr>
              <w:t>12.</w:t>
            </w:r>
            <w:r w:rsidR="00734102">
              <w:rPr>
                <w:rFonts w:ascii="Arial" w:hAnsi="Arial" w:cs="Arial"/>
                <w:b/>
                <w:color w:val="auto"/>
              </w:rPr>
              <w:t>0</w:t>
            </w:r>
          </w:p>
        </w:tc>
        <w:tc>
          <w:tcPr>
            <w:tcW w:w="1418" w:type="dxa"/>
          </w:tcPr>
          <w:p w:rsidR="00117D04" w:rsidRPr="00734102" w:rsidRDefault="00734102" w:rsidP="00D245B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734102">
              <w:rPr>
                <w:rFonts w:ascii="Arial" w:hAnsi="Arial" w:cs="Arial"/>
                <w:b/>
                <w:color w:val="auto"/>
              </w:rPr>
              <w:t>13.1</w:t>
            </w:r>
          </w:p>
        </w:tc>
        <w:tc>
          <w:tcPr>
            <w:cnfStyle w:val="000010000000" w:firstRow="0" w:lastRow="0" w:firstColumn="0" w:lastColumn="0" w:oddVBand="1" w:evenVBand="0" w:oddHBand="0" w:evenHBand="0" w:firstRowFirstColumn="0" w:firstRowLastColumn="0" w:lastRowFirstColumn="0" w:lastRowLastColumn="0"/>
            <w:tcW w:w="1253" w:type="dxa"/>
          </w:tcPr>
          <w:p w:rsidR="00117D04" w:rsidRPr="0093006D" w:rsidRDefault="0093006D" w:rsidP="006C61A5">
            <w:pPr>
              <w:pStyle w:val="TableRight"/>
              <w:jc w:val="center"/>
              <w:rPr>
                <w:rFonts w:ascii="Arial" w:hAnsi="Arial" w:cs="Arial"/>
                <w:b/>
                <w:color w:val="auto"/>
              </w:rPr>
            </w:pPr>
            <w:r w:rsidRPr="0093006D">
              <w:rPr>
                <w:rFonts w:ascii="Arial" w:hAnsi="Arial" w:cs="Arial"/>
                <w:b/>
                <w:color w:val="auto"/>
              </w:rPr>
              <w:t>74.3</w:t>
            </w:r>
          </w:p>
        </w:tc>
      </w:tr>
    </w:tbl>
    <w:p w:rsidR="0067671F" w:rsidRPr="0005794A" w:rsidRDefault="0067671F" w:rsidP="0067671F">
      <w:pPr>
        <w:pStyle w:val="BodyTextIndent"/>
        <w:tabs>
          <w:tab w:val="left" w:pos="709"/>
        </w:tabs>
        <w:ind w:left="0"/>
        <w:rPr>
          <w:rFonts w:cs="Arial"/>
          <w:color w:val="548DD4" w:themeColor="text2" w:themeTint="99"/>
          <w:sz w:val="20"/>
          <w:szCs w:val="20"/>
        </w:rPr>
      </w:pPr>
    </w:p>
    <w:p w:rsidR="0067671F" w:rsidRPr="00734102" w:rsidRDefault="0067671F" w:rsidP="0067671F">
      <w:pPr>
        <w:pStyle w:val="BodyTextIndent"/>
        <w:tabs>
          <w:tab w:val="left" w:pos="709"/>
        </w:tabs>
        <w:ind w:left="567"/>
        <w:rPr>
          <w:color w:val="auto"/>
          <w:sz w:val="20"/>
          <w:szCs w:val="20"/>
        </w:rPr>
      </w:pPr>
      <w:r w:rsidRPr="00734102">
        <w:rPr>
          <w:color w:val="auto"/>
          <w:sz w:val="20"/>
          <w:szCs w:val="20"/>
        </w:rPr>
        <w:tab/>
        <w:t>* Assumption that the total annual payment for all three elements to the contractor will remain constant (ignoring inflation) until 20</w:t>
      </w:r>
      <w:r w:rsidR="00850B79" w:rsidRPr="00734102">
        <w:rPr>
          <w:color w:val="auto"/>
          <w:sz w:val="20"/>
          <w:szCs w:val="20"/>
        </w:rPr>
        <w:t>39</w:t>
      </w:r>
      <w:r w:rsidRPr="00734102">
        <w:rPr>
          <w:color w:val="auto"/>
          <w:sz w:val="20"/>
          <w:szCs w:val="20"/>
        </w:rPr>
        <w:t xml:space="preserve"> when the contract finishes.</w:t>
      </w:r>
    </w:p>
    <w:p w:rsidR="0067671F" w:rsidRPr="00734102" w:rsidRDefault="0067671F" w:rsidP="0067671F">
      <w:pPr>
        <w:pStyle w:val="CodeNotesExampleText"/>
        <w:widowControl w:val="0"/>
        <w:ind w:left="567"/>
        <w:rPr>
          <w:rFonts w:cs="Arial"/>
          <w:color w:val="auto"/>
          <w:sz w:val="20"/>
          <w:szCs w:val="20"/>
        </w:rPr>
      </w:pPr>
      <w:r w:rsidRPr="00734102">
        <w:rPr>
          <w:rFonts w:cs="Arial"/>
          <w:color w:val="auto"/>
          <w:sz w:val="20"/>
          <w:szCs w:val="20"/>
        </w:rPr>
        <w:t>Although the payments made to the contractor are described as unitary payments, they have been calculated to compensate the contractor for the fair value of the services they provide, the capital expenditure incurred and interest payable. The liability outstanding to pay to the contractor for capital expenditure incurred</w:t>
      </w:r>
      <w:r w:rsidR="003026E3" w:rsidRPr="00734102">
        <w:rPr>
          <w:rFonts w:cs="Arial"/>
          <w:color w:val="auto"/>
          <w:sz w:val="20"/>
          <w:szCs w:val="20"/>
        </w:rPr>
        <w:t xml:space="preserve"> split between Torbay and the third party income deferred income liability</w:t>
      </w:r>
      <w:r w:rsidRPr="00734102">
        <w:rPr>
          <w:rFonts w:cs="Arial"/>
          <w:color w:val="auto"/>
          <w:sz w:val="20"/>
          <w:szCs w:val="20"/>
        </w:rPr>
        <w:t xml:space="preserve"> is as follows:</w:t>
      </w:r>
    </w:p>
    <w:p w:rsidR="00CD0754" w:rsidRPr="0005794A" w:rsidRDefault="00CD0754" w:rsidP="0067671F">
      <w:pPr>
        <w:pStyle w:val="CodeNotesExampleText"/>
        <w:widowControl w:val="0"/>
        <w:ind w:left="567"/>
        <w:rPr>
          <w:rFonts w:cs="Arial"/>
          <w:color w:val="548DD4" w:themeColor="text2" w:themeTint="99"/>
          <w:sz w:val="20"/>
          <w:szCs w:val="20"/>
        </w:rPr>
      </w:pPr>
    </w:p>
    <w:p w:rsidR="0067671F" w:rsidRPr="0005794A" w:rsidRDefault="0067671F" w:rsidP="0067671F">
      <w:pPr>
        <w:pStyle w:val="CodeNotesExampleText"/>
        <w:widowControl w:val="0"/>
        <w:ind w:left="567"/>
        <w:rPr>
          <w:rFonts w:cs="Arial"/>
          <w:color w:val="548DD4" w:themeColor="text2" w:themeTint="99"/>
          <w:sz w:val="20"/>
          <w:szCs w:val="20"/>
        </w:rPr>
      </w:pPr>
    </w:p>
    <w:tbl>
      <w:tblPr>
        <w:tblStyle w:val="ListTable3-Accent51"/>
        <w:tblW w:w="8522" w:type="dxa"/>
        <w:tblInd w:w="720" w:type="dxa"/>
        <w:tblLayout w:type="fixed"/>
        <w:tblLook w:val="0000" w:firstRow="0" w:lastRow="0" w:firstColumn="0" w:lastColumn="0" w:noHBand="0" w:noVBand="0"/>
      </w:tblPr>
      <w:tblGrid>
        <w:gridCol w:w="1324"/>
        <w:gridCol w:w="1325"/>
        <w:gridCol w:w="3402"/>
        <w:gridCol w:w="1134"/>
        <w:gridCol w:w="1337"/>
      </w:tblGrid>
      <w:tr w:rsidR="00410079" w:rsidRPr="0005794A" w:rsidTr="00410079">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1324" w:type="dxa"/>
            <w:shd w:val="clear" w:color="auto" w:fill="4BACC6" w:themeFill="accent5"/>
          </w:tcPr>
          <w:p w:rsidR="00410079" w:rsidRPr="001D0A8D" w:rsidRDefault="001D0A8D" w:rsidP="004F0545">
            <w:pPr>
              <w:pStyle w:val="TableRightBold"/>
              <w:ind w:right="142"/>
              <w:jc w:val="center"/>
              <w:rPr>
                <w:rStyle w:val="Bold"/>
                <w:rFonts w:ascii="Arial" w:hAnsi="Arial" w:cs="Arial"/>
                <w:bCs w:val="0"/>
                <w:color w:val="auto"/>
              </w:rPr>
            </w:pPr>
            <w:r w:rsidRPr="001D0A8D">
              <w:rPr>
                <w:rStyle w:val="Bold"/>
                <w:rFonts w:ascii="Arial" w:hAnsi="Arial" w:cs="Arial"/>
                <w:bCs w:val="0"/>
                <w:color w:val="auto"/>
              </w:rPr>
              <w:t>2016/17</w:t>
            </w:r>
          </w:p>
          <w:p w:rsidR="00410079" w:rsidRPr="001D0A8D" w:rsidRDefault="00410079" w:rsidP="004F0545">
            <w:pPr>
              <w:pStyle w:val="TableRightBold"/>
              <w:ind w:right="142"/>
              <w:jc w:val="center"/>
              <w:rPr>
                <w:rStyle w:val="Bold"/>
                <w:rFonts w:ascii="Arial" w:hAnsi="Arial" w:cs="Arial"/>
                <w:bCs w:val="0"/>
                <w:color w:val="auto"/>
              </w:rPr>
            </w:pPr>
            <w:r w:rsidRPr="001D0A8D">
              <w:rPr>
                <w:rStyle w:val="Bold"/>
                <w:rFonts w:ascii="Arial" w:hAnsi="Arial" w:cs="Arial"/>
                <w:bCs w:val="0"/>
                <w:color w:val="auto"/>
              </w:rPr>
              <w:t>£m</w:t>
            </w:r>
          </w:p>
          <w:p w:rsidR="00410079" w:rsidRPr="001D0A8D" w:rsidRDefault="00410079" w:rsidP="004F0545">
            <w:pPr>
              <w:pStyle w:val="TableRightBold"/>
              <w:ind w:right="142"/>
              <w:jc w:val="center"/>
              <w:rPr>
                <w:rFonts w:ascii="Arial" w:hAnsi="Arial" w:cs="Arial"/>
                <w:color w:val="auto"/>
              </w:rPr>
            </w:pPr>
            <w:proofErr w:type="spellStart"/>
            <w:r w:rsidRPr="001D0A8D">
              <w:rPr>
                <w:rStyle w:val="Bold"/>
                <w:rFonts w:ascii="Arial" w:hAnsi="Arial" w:cs="Arial"/>
                <w:bCs w:val="0"/>
                <w:color w:val="auto"/>
              </w:rPr>
              <w:t>Torbay</w:t>
            </w:r>
            <w:proofErr w:type="spellEnd"/>
            <w:r w:rsidRPr="001D0A8D">
              <w:rPr>
                <w:rStyle w:val="Bold"/>
                <w:rFonts w:ascii="Arial" w:hAnsi="Arial" w:cs="Arial"/>
                <w:bCs w:val="0"/>
                <w:color w:val="auto"/>
              </w:rPr>
              <w:t xml:space="preserve"> Share</w:t>
            </w:r>
          </w:p>
        </w:tc>
        <w:tc>
          <w:tcPr>
            <w:tcW w:w="1325" w:type="dxa"/>
            <w:shd w:val="clear" w:color="auto" w:fill="4BACC6" w:themeFill="accent5"/>
          </w:tcPr>
          <w:p w:rsidR="001D0A8D" w:rsidRPr="001D0A8D" w:rsidRDefault="001D0A8D" w:rsidP="004F0545">
            <w:pPr>
              <w:pStyle w:val="TableRightBold"/>
              <w:ind w:right="142"/>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1D0A8D">
              <w:rPr>
                <w:rStyle w:val="Bold"/>
                <w:rFonts w:ascii="Arial" w:hAnsi="Arial" w:cs="Arial"/>
                <w:bCs w:val="0"/>
                <w:color w:val="auto"/>
              </w:rPr>
              <w:t>2016/17</w:t>
            </w:r>
          </w:p>
          <w:p w:rsidR="00410079" w:rsidRPr="001D0A8D" w:rsidRDefault="00410079" w:rsidP="004F0545">
            <w:pPr>
              <w:pStyle w:val="TableRightBold"/>
              <w:ind w:right="142"/>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1D0A8D">
              <w:rPr>
                <w:rStyle w:val="Bold"/>
                <w:rFonts w:ascii="Arial" w:hAnsi="Arial" w:cs="Arial"/>
                <w:bCs w:val="0"/>
                <w:color w:val="auto"/>
              </w:rPr>
              <w:t>£m</w:t>
            </w:r>
          </w:p>
          <w:p w:rsidR="00410079" w:rsidRPr="001D0A8D" w:rsidRDefault="00410079" w:rsidP="004F0545">
            <w:pPr>
              <w:pStyle w:val="TableRightBold"/>
              <w:ind w:right="142"/>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1D0A8D">
              <w:rPr>
                <w:rStyle w:val="Bold"/>
                <w:rFonts w:ascii="Arial" w:hAnsi="Arial" w:cs="Arial"/>
                <w:bCs w:val="0"/>
                <w:color w:val="auto"/>
              </w:rPr>
              <w:t>Deferred Income</w:t>
            </w:r>
          </w:p>
        </w:tc>
        <w:tc>
          <w:tcPr>
            <w:cnfStyle w:val="000010000000" w:firstRow="0" w:lastRow="0" w:firstColumn="0" w:lastColumn="0" w:oddVBand="1" w:evenVBand="0" w:oddHBand="0" w:evenHBand="0" w:firstRowFirstColumn="0" w:firstRowLastColumn="0" w:lastRowFirstColumn="0" w:lastRowLastColumn="0"/>
            <w:tcW w:w="3402" w:type="dxa"/>
            <w:shd w:val="clear" w:color="auto" w:fill="4BACC6" w:themeFill="accent5"/>
          </w:tcPr>
          <w:p w:rsidR="00410079" w:rsidRPr="001D0A8D" w:rsidRDefault="00410079" w:rsidP="00F82E5E">
            <w:pPr>
              <w:pStyle w:val="TableText"/>
              <w:jc w:val="center"/>
              <w:rPr>
                <w:rFonts w:ascii="Arial" w:hAnsi="Arial" w:cs="Arial"/>
                <w:color w:val="auto"/>
              </w:rPr>
            </w:pPr>
          </w:p>
        </w:tc>
        <w:tc>
          <w:tcPr>
            <w:tcW w:w="1134" w:type="dxa"/>
            <w:shd w:val="clear" w:color="auto" w:fill="4BACC6" w:themeFill="accent5"/>
          </w:tcPr>
          <w:p w:rsidR="00410079" w:rsidRPr="001D0A8D" w:rsidRDefault="001D0A8D" w:rsidP="00F82E5E">
            <w:pPr>
              <w:pStyle w:val="TableRightBold"/>
              <w:ind w:right="142"/>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
                <w:bCs w:val="0"/>
                <w:color w:val="auto"/>
              </w:rPr>
            </w:pPr>
            <w:r w:rsidRPr="001D0A8D">
              <w:rPr>
                <w:rStyle w:val="Bold"/>
                <w:rFonts w:ascii="Arial" w:hAnsi="Arial" w:cs="Arial"/>
                <w:b/>
                <w:bCs w:val="0"/>
                <w:color w:val="auto"/>
              </w:rPr>
              <w:t>2017/18</w:t>
            </w:r>
          </w:p>
          <w:p w:rsidR="00410079" w:rsidRPr="001D0A8D" w:rsidRDefault="00410079" w:rsidP="00F82E5E">
            <w:pPr>
              <w:pStyle w:val="TableRightBold"/>
              <w:ind w:right="142"/>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
                <w:bCs w:val="0"/>
                <w:color w:val="auto"/>
              </w:rPr>
            </w:pPr>
            <w:r w:rsidRPr="001D0A8D">
              <w:rPr>
                <w:rStyle w:val="Bold"/>
                <w:rFonts w:ascii="Arial" w:hAnsi="Arial" w:cs="Arial"/>
                <w:b/>
                <w:bCs w:val="0"/>
                <w:color w:val="auto"/>
              </w:rPr>
              <w:t>£m</w:t>
            </w:r>
          </w:p>
          <w:p w:rsidR="00410079" w:rsidRPr="001D0A8D" w:rsidRDefault="00410079" w:rsidP="00F82E5E">
            <w:pPr>
              <w:pStyle w:val="TableRightBold"/>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1D0A8D">
              <w:rPr>
                <w:rStyle w:val="Bold"/>
                <w:rFonts w:ascii="Arial" w:hAnsi="Arial" w:cs="Arial"/>
                <w:b/>
                <w:bCs w:val="0"/>
                <w:color w:val="auto"/>
              </w:rPr>
              <w:t>Torbay</w:t>
            </w:r>
            <w:proofErr w:type="spellEnd"/>
            <w:r w:rsidRPr="001D0A8D">
              <w:rPr>
                <w:rStyle w:val="Bold"/>
                <w:rFonts w:ascii="Arial" w:hAnsi="Arial" w:cs="Arial"/>
                <w:b/>
                <w:bCs w:val="0"/>
                <w:color w:val="auto"/>
              </w:rPr>
              <w:t xml:space="preserve"> Share</w:t>
            </w:r>
          </w:p>
        </w:tc>
        <w:tc>
          <w:tcPr>
            <w:cnfStyle w:val="000010000000" w:firstRow="0" w:lastRow="0" w:firstColumn="0" w:lastColumn="0" w:oddVBand="1" w:evenVBand="0" w:oddHBand="0" w:evenHBand="0" w:firstRowFirstColumn="0" w:firstRowLastColumn="0" w:lastRowFirstColumn="0" w:lastRowLastColumn="0"/>
            <w:tcW w:w="1337" w:type="dxa"/>
            <w:shd w:val="clear" w:color="auto" w:fill="4BACC6" w:themeFill="accent5"/>
          </w:tcPr>
          <w:p w:rsidR="00410079" w:rsidRPr="001D0A8D" w:rsidRDefault="001D0A8D" w:rsidP="00F82E5E">
            <w:pPr>
              <w:pStyle w:val="TableRightBold"/>
              <w:ind w:right="142"/>
              <w:jc w:val="center"/>
              <w:rPr>
                <w:rStyle w:val="Bold"/>
                <w:rFonts w:ascii="Arial" w:hAnsi="Arial" w:cs="Arial"/>
                <w:b/>
                <w:bCs w:val="0"/>
                <w:color w:val="auto"/>
              </w:rPr>
            </w:pPr>
            <w:r w:rsidRPr="001D0A8D">
              <w:rPr>
                <w:rStyle w:val="Bold"/>
                <w:rFonts w:ascii="Arial" w:hAnsi="Arial" w:cs="Arial"/>
                <w:b/>
                <w:bCs w:val="0"/>
                <w:color w:val="auto"/>
              </w:rPr>
              <w:t>2017/18</w:t>
            </w:r>
            <w:r w:rsidR="00410079" w:rsidRPr="001D0A8D">
              <w:rPr>
                <w:rStyle w:val="Bold"/>
                <w:rFonts w:ascii="Arial" w:hAnsi="Arial" w:cs="Arial"/>
                <w:b/>
                <w:bCs w:val="0"/>
                <w:color w:val="auto"/>
              </w:rPr>
              <w:t xml:space="preserve"> £m</w:t>
            </w:r>
          </w:p>
          <w:p w:rsidR="00410079" w:rsidRPr="001D0A8D" w:rsidRDefault="00410079" w:rsidP="00F82E5E">
            <w:pPr>
              <w:pStyle w:val="TableRightBold"/>
              <w:ind w:right="142"/>
              <w:jc w:val="center"/>
              <w:rPr>
                <w:rStyle w:val="Bold"/>
                <w:rFonts w:ascii="Arial" w:hAnsi="Arial" w:cs="Arial"/>
                <w:b/>
                <w:bCs w:val="0"/>
                <w:color w:val="auto"/>
              </w:rPr>
            </w:pPr>
            <w:r w:rsidRPr="001D0A8D">
              <w:rPr>
                <w:rStyle w:val="Bold"/>
                <w:rFonts w:ascii="Arial" w:hAnsi="Arial" w:cs="Arial"/>
                <w:b/>
                <w:bCs w:val="0"/>
                <w:color w:val="auto"/>
              </w:rPr>
              <w:t>Deferred Income</w:t>
            </w:r>
          </w:p>
        </w:tc>
      </w:tr>
      <w:tr w:rsidR="001D0A8D" w:rsidRPr="0005794A" w:rsidTr="00410079">
        <w:trPr>
          <w:trHeight w:val="59"/>
        </w:trPr>
        <w:tc>
          <w:tcPr>
            <w:cnfStyle w:val="000010000000" w:firstRow="0" w:lastRow="0" w:firstColumn="0" w:lastColumn="0" w:oddVBand="1" w:evenVBand="0" w:oddHBand="0" w:evenHBand="0" w:firstRowFirstColumn="0" w:firstRowLastColumn="0" w:lastRowFirstColumn="0" w:lastRowLastColumn="0"/>
            <w:tcW w:w="1324" w:type="dxa"/>
          </w:tcPr>
          <w:p w:rsidR="001D0A8D" w:rsidRPr="001D0A8D" w:rsidRDefault="001D0A8D" w:rsidP="001D0A8D">
            <w:pPr>
              <w:pStyle w:val="TableRight"/>
              <w:ind w:right="142"/>
              <w:jc w:val="center"/>
              <w:rPr>
                <w:rFonts w:ascii="Arial" w:hAnsi="Arial" w:cs="Arial"/>
                <w:color w:val="auto"/>
              </w:rPr>
            </w:pPr>
            <w:r w:rsidRPr="001D0A8D">
              <w:rPr>
                <w:rFonts w:ascii="Arial" w:hAnsi="Arial" w:cs="Arial"/>
                <w:color w:val="auto"/>
              </w:rPr>
              <w:t>12.3</w:t>
            </w:r>
          </w:p>
        </w:tc>
        <w:tc>
          <w:tcPr>
            <w:tcW w:w="1325" w:type="dxa"/>
          </w:tcPr>
          <w:p w:rsidR="001D0A8D" w:rsidRPr="001D0A8D" w:rsidRDefault="001D0A8D" w:rsidP="001D0A8D">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0A8D">
              <w:rPr>
                <w:rFonts w:ascii="Arial" w:hAnsi="Arial" w:cs="Arial"/>
                <w:color w:val="auto"/>
              </w:rPr>
              <w:t>20.1</w:t>
            </w:r>
          </w:p>
        </w:tc>
        <w:tc>
          <w:tcPr>
            <w:cnfStyle w:val="000010000000" w:firstRow="0" w:lastRow="0" w:firstColumn="0" w:lastColumn="0" w:oddVBand="1" w:evenVBand="0" w:oddHBand="0" w:evenHBand="0" w:firstRowFirstColumn="0" w:firstRowLastColumn="0" w:lastRowFirstColumn="0" w:lastRowLastColumn="0"/>
            <w:tcW w:w="3402" w:type="dxa"/>
          </w:tcPr>
          <w:p w:rsidR="001D0A8D" w:rsidRPr="001D0A8D" w:rsidRDefault="001D0A8D" w:rsidP="00F82E5E">
            <w:pPr>
              <w:pStyle w:val="TableText"/>
              <w:rPr>
                <w:rFonts w:ascii="Arial" w:hAnsi="Arial" w:cs="Arial"/>
                <w:color w:val="auto"/>
              </w:rPr>
            </w:pPr>
            <w:r w:rsidRPr="001D0A8D">
              <w:rPr>
                <w:rFonts w:ascii="Arial" w:hAnsi="Arial" w:cs="Arial"/>
                <w:color w:val="auto"/>
              </w:rPr>
              <w:t>Liability outstanding at start of year</w:t>
            </w:r>
          </w:p>
        </w:tc>
        <w:tc>
          <w:tcPr>
            <w:tcW w:w="1134" w:type="dxa"/>
          </w:tcPr>
          <w:p w:rsidR="001D0A8D" w:rsidRPr="001D0A8D" w:rsidRDefault="00116F21" w:rsidP="00F82E5E">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12.1</w:t>
            </w:r>
          </w:p>
        </w:tc>
        <w:tc>
          <w:tcPr>
            <w:cnfStyle w:val="000010000000" w:firstRow="0" w:lastRow="0" w:firstColumn="0" w:lastColumn="0" w:oddVBand="1" w:evenVBand="0" w:oddHBand="0" w:evenHBand="0" w:firstRowFirstColumn="0" w:firstRowLastColumn="0" w:lastRowFirstColumn="0" w:lastRowLastColumn="0"/>
            <w:tcW w:w="1337" w:type="dxa"/>
          </w:tcPr>
          <w:p w:rsidR="001D0A8D" w:rsidRPr="001D0A8D" w:rsidRDefault="00116F21" w:rsidP="00F82E5E">
            <w:pPr>
              <w:pStyle w:val="TableRight"/>
              <w:ind w:right="142"/>
              <w:jc w:val="center"/>
              <w:rPr>
                <w:rFonts w:ascii="Arial" w:hAnsi="Arial" w:cs="Arial"/>
                <w:color w:val="auto"/>
              </w:rPr>
            </w:pPr>
            <w:r>
              <w:rPr>
                <w:rFonts w:ascii="Arial" w:hAnsi="Arial" w:cs="Arial"/>
                <w:color w:val="auto"/>
              </w:rPr>
              <w:t>19.2</w:t>
            </w:r>
          </w:p>
        </w:tc>
      </w:tr>
      <w:tr w:rsidR="001D0A8D" w:rsidRPr="00E3736E" w:rsidTr="00410079">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1324" w:type="dxa"/>
          </w:tcPr>
          <w:p w:rsidR="001D0A8D" w:rsidRPr="00E3736E" w:rsidRDefault="001D0A8D" w:rsidP="001D0A8D">
            <w:pPr>
              <w:pStyle w:val="TableRight"/>
              <w:ind w:right="142"/>
              <w:jc w:val="center"/>
              <w:rPr>
                <w:rFonts w:ascii="Arial" w:hAnsi="Arial" w:cs="Arial"/>
                <w:color w:val="auto"/>
              </w:rPr>
            </w:pPr>
            <w:r w:rsidRPr="00E3736E">
              <w:rPr>
                <w:rFonts w:ascii="Arial" w:hAnsi="Arial" w:cs="Arial"/>
                <w:color w:val="auto"/>
              </w:rPr>
              <w:t>(0.2)</w:t>
            </w:r>
          </w:p>
        </w:tc>
        <w:tc>
          <w:tcPr>
            <w:tcW w:w="1325" w:type="dxa"/>
          </w:tcPr>
          <w:p w:rsidR="001D0A8D" w:rsidRPr="00E3736E" w:rsidRDefault="001D0A8D" w:rsidP="001D0A8D">
            <w:pPr>
              <w:pStyle w:val="TableRight"/>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E3736E">
              <w:rPr>
                <w:rFonts w:ascii="Arial" w:hAnsi="Arial" w:cs="Arial"/>
                <w:color w:val="auto"/>
              </w:rPr>
              <w:t>(0.9)</w:t>
            </w:r>
          </w:p>
        </w:tc>
        <w:tc>
          <w:tcPr>
            <w:cnfStyle w:val="000010000000" w:firstRow="0" w:lastRow="0" w:firstColumn="0" w:lastColumn="0" w:oddVBand="1" w:evenVBand="0" w:oddHBand="0" w:evenHBand="0" w:firstRowFirstColumn="0" w:firstRowLastColumn="0" w:lastRowFirstColumn="0" w:lastRowLastColumn="0"/>
            <w:tcW w:w="3402" w:type="dxa"/>
          </w:tcPr>
          <w:p w:rsidR="001D0A8D" w:rsidRPr="00E3736E" w:rsidRDefault="001D0A8D" w:rsidP="00F82E5E">
            <w:pPr>
              <w:pStyle w:val="TableText"/>
              <w:rPr>
                <w:rFonts w:ascii="Arial" w:hAnsi="Arial" w:cs="Arial"/>
                <w:color w:val="auto"/>
              </w:rPr>
            </w:pPr>
            <w:r w:rsidRPr="00E3736E">
              <w:rPr>
                <w:rFonts w:ascii="Arial" w:hAnsi="Arial" w:cs="Arial"/>
                <w:color w:val="auto"/>
              </w:rPr>
              <w:t>Payments during the year</w:t>
            </w:r>
          </w:p>
        </w:tc>
        <w:tc>
          <w:tcPr>
            <w:tcW w:w="1134" w:type="dxa"/>
          </w:tcPr>
          <w:p w:rsidR="001D0A8D" w:rsidRPr="00E3736E" w:rsidRDefault="00116F21" w:rsidP="00F82E5E">
            <w:pPr>
              <w:pStyle w:val="TableRight"/>
              <w:ind w:righ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(0.1)</w:t>
            </w:r>
          </w:p>
        </w:tc>
        <w:tc>
          <w:tcPr>
            <w:cnfStyle w:val="000010000000" w:firstRow="0" w:lastRow="0" w:firstColumn="0" w:lastColumn="0" w:oddVBand="1" w:evenVBand="0" w:oddHBand="0" w:evenHBand="0" w:firstRowFirstColumn="0" w:firstRowLastColumn="0" w:lastRowFirstColumn="0" w:lastRowLastColumn="0"/>
            <w:tcW w:w="1337" w:type="dxa"/>
          </w:tcPr>
          <w:p w:rsidR="001D0A8D" w:rsidRPr="00E3736E" w:rsidRDefault="00116F21" w:rsidP="00116F21">
            <w:pPr>
              <w:pStyle w:val="TableRight"/>
              <w:ind w:right="142"/>
              <w:jc w:val="center"/>
              <w:rPr>
                <w:rFonts w:ascii="Arial" w:hAnsi="Arial" w:cs="Arial"/>
                <w:color w:val="auto"/>
              </w:rPr>
            </w:pPr>
            <w:r>
              <w:rPr>
                <w:rFonts w:ascii="Arial" w:hAnsi="Arial" w:cs="Arial"/>
                <w:color w:val="auto"/>
              </w:rPr>
              <w:t>(0.9)</w:t>
            </w:r>
          </w:p>
        </w:tc>
      </w:tr>
      <w:tr w:rsidR="001D0A8D" w:rsidRPr="00E3736E" w:rsidTr="00410079">
        <w:trPr>
          <w:trHeight w:val="59"/>
        </w:trPr>
        <w:tc>
          <w:tcPr>
            <w:cnfStyle w:val="000010000000" w:firstRow="0" w:lastRow="0" w:firstColumn="0" w:lastColumn="0" w:oddVBand="1" w:evenVBand="0" w:oddHBand="0" w:evenHBand="0" w:firstRowFirstColumn="0" w:firstRowLastColumn="0" w:lastRowFirstColumn="0" w:lastRowLastColumn="0"/>
            <w:tcW w:w="1324" w:type="dxa"/>
          </w:tcPr>
          <w:p w:rsidR="001D0A8D" w:rsidRPr="00E3736E" w:rsidRDefault="001D0A8D" w:rsidP="001D0A8D">
            <w:pPr>
              <w:pStyle w:val="TableRight"/>
              <w:ind w:right="142"/>
              <w:jc w:val="center"/>
              <w:rPr>
                <w:rFonts w:ascii="Arial" w:hAnsi="Arial" w:cs="Arial"/>
                <w:b/>
                <w:color w:val="auto"/>
              </w:rPr>
            </w:pPr>
            <w:r w:rsidRPr="00E3736E">
              <w:rPr>
                <w:rFonts w:ascii="Arial" w:hAnsi="Arial" w:cs="Arial"/>
                <w:b/>
                <w:color w:val="auto"/>
              </w:rPr>
              <w:t>12.1</w:t>
            </w:r>
          </w:p>
        </w:tc>
        <w:tc>
          <w:tcPr>
            <w:tcW w:w="1325" w:type="dxa"/>
          </w:tcPr>
          <w:p w:rsidR="001D0A8D" w:rsidRPr="00E3736E" w:rsidRDefault="001D0A8D" w:rsidP="001D0A8D">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3736E">
              <w:rPr>
                <w:rFonts w:ascii="Arial" w:hAnsi="Arial" w:cs="Arial"/>
                <w:b/>
                <w:color w:val="auto"/>
              </w:rPr>
              <w:t>19.2</w:t>
            </w:r>
          </w:p>
        </w:tc>
        <w:tc>
          <w:tcPr>
            <w:cnfStyle w:val="000010000000" w:firstRow="0" w:lastRow="0" w:firstColumn="0" w:lastColumn="0" w:oddVBand="1" w:evenVBand="0" w:oddHBand="0" w:evenHBand="0" w:firstRowFirstColumn="0" w:firstRowLastColumn="0" w:lastRowFirstColumn="0" w:lastRowLastColumn="0"/>
            <w:tcW w:w="3402" w:type="dxa"/>
          </w:tcPr>
          <w:p w:rsidR="001D0A8D" w:rsidRPr="00E3736E" w:rsidRDefault="001D0A8D" w:rsidP="00F82E5E">
            <w:pPr>
              <w:pStyle w:val="TableText"/>
              <w:rPr>
                <w:rFonts w:ascii="Arial" w:hAnsi="Arial" w:cs="Arial"/>
                <w:b/>
                <w:color w:val="auto"/>
              </w:rPr>
            </w:pPr>
            <w:r w:rsidRPr="00E3736E">
              <w:rPr>
                <w:rFonts w:ascii="Arial" w:hAnsi="Arial" w:cs="Arial"/>
                <w:b/>
                <w:color w:val="auto"/>
              </w:rPr>
              <w:t>Liability outstanding at year-end</w:t>
            </w:r>
          </w:p>
        </w:tc>
        <w:tc>
          <w:tcPr>
            <w:tcW w:w="1134" w:type="dxa"/>
          </w:tcPr>
          <w:p w:rsidR="001D0A8D" w:rsidRPr="00E3736E" w:rsidRDefault="00116F21" w:rsidP="00F82E5E">
            <w:pPr>
              <w:pStyle w:val="TableRight"/>
              <w:ind w:right="142"/>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12.0</w:t>
            </w:r>
          </w:p>
        </w:tc>
        <w:tc>
          <w:tcPr>
            <w:cnfStyle w:val="000010000000" w:firstRow="0" w:lastRow="0" w:firstColumn="0" w:lastColumn="0" w:oddVBand="1" w:evenVBand="0" w:oddHBand="0" w:evenHBand="0" w:firstRowFirstColumn="0" w:firstRowLastColumn="0" w:lastRowFirstColumn="0" w:lastRowLastColumn="0"/>
            <w:tcW w:w="1337" w:type="dxa"/>
          </w:tcPr>
          <w:p w:rsidR="001D0A8D" w:rsidRPr="00E3736E" w:rsidRDefault="00116F21" w:rsidP="00F01C17">
            <w:pPr>
              <w:pStyle w:val="TableRight"/>
              <w:ind w:right="142"/>
              <w:jc w:val="center"/>
              <w:rPr>
                <w:rFonts w:ascii="Arial" w:hAnsi="Arial" w:cs="Arial"/>
                <w:b/>
                <w:color w:val="auto"/>
              </w:rPr>
            </w:pPr>
            <w:r>
              <w:rPr>
                <w:rFonts w:ascii="Arial" w:hAnsi="Arial" w:cs="Arial"/>
                <w:b/>
                <w:color w:val="auto"/>
              </w:rPr>
              <w:t>18.3</w:t>
            </w:r>
          </w:p>
        </w:tc>
      </w:tr>
    </w:tbl>
    <w:p w:rsidR="00223D20" w:rsidRPr="00E3736E" w:rsidRDefault="00223D20" w:rsidP="007D7C52">
      <w:pPr>
        <w:ind w:left="567"/>
        <w:rPr>
          <w:rFonts w:cs="Arial"/>
          <w:b/>
          <w:bCs/>
          <w:color w:val="auto"/>
          <w:sz w:val="20"/>
          <w:szCs w:val="20"/>
        </w:rPr>
      </w:pPr>
    </w:p>
    <w:p w:rsidR="006C5669" w:rsidRPr="00FC2893" w:rsidRDefault="006C5669" w:rsidP="008D0906">
      <w:pPr>
        <w:ind w:left="567"/>
        <w:outlineLvl w:val="0"/>
        <w:rPr>
          <w:rFonts w:cs="Arial"/>
          <w:b/>
          <w:bCs/>
          <w:color w:val="auto"/>
          <w:sz w:val="20"/>
          <w:szCs w:val="20"/>
        </w:rPr>
      </w:pPr>
      <w:r w:rsidRPr="00FC2893">
        <w:rPr>
          <w:rFonts w:cs="Arial"/>
          <w:b/>
          <w:bCs/>
          <w:color w:val="auto"/>
          <w:sz w:val="20"/>
          <w:szCs w:val="20"/>
        </w:rPr>
        <w:t>Local Government Reorganisation 1998</w:t>
      </w:r>
    </w:p>
    <w:p w:rsidR="006C5669" w:rsidRPr="0005794A" w:rsidRDefault="00757B62" w:rsidP="007D7C52">
      <w:pPr>
        <w:pStyle w:val="BodyTextIndent"/>
        <w:tabs>
          <w:tab w:val="left" w:pos="567"/>
        </w:tabs>
        <w:ind w:left="567"/>
        <w:rPr>
          <w:rFonts w:eastAsia="Arial" w:cs="Arial"/>
          <w:bCs/>
          <w:color w:val="548DD4" w:themeColor="text2" w:themeTint="99"/>
          <w:sz w:val="20"/>
          <w:szCs w:val="20"/>
          <w:lang w:eastAsia="en-GB"/>
        </w:rPr>
      </w:pPr>
      <w:r w:rsidRPr="00FC2893">
        <w:rPr>
          <w:rFonts w:eastAsia="Arial" w:cs="Arial"/>
          <w:bCs/>
          <w:color w:val="auto"/>
          <w:sz w:val="20"/>
          <w:szCs w:val="20"/>
          <w:lang w:eastAsia="en-GB"/>
        </w:rPr>
        <w:t>Torbay Council became a unitary Council in 1998 taking over some of the services previously provided by Devon County Council. The Cou</w:t>
      </w:r>
      <w:r w:rsidR="006457DC" w:rsidRPr="00FC2893">
        <w:rPr>
          <w:rFonts w:eastAsia="Arial" w:cs="Arial"/>
          <w:bCs/>
          <w:color w:val="auto"/>
          <w:sz w:val="20"/>
          <w:szCs w:val="20"/>
          <w:lang w:eastAsia="en-GB"/>
        </w:rPr>
        <w:t>ncil</w:t>
      </w:r>
      <w:r w:rsidRPr="00FC2893">
        <w:rPr>
          <w:rFonts w:eastAsia="Arial" w:cs="Arial"/>
          <w:bCs/>
          <w:color w:val="auto"/>
          <w:sz w:val="20"/>
          <w:szCs w:val="20"/>
          <w:lang w:eastAsia="en-GB"/>
        </w:rPr>
        <w:t xml:space="preserve"> agreed to fund a tax base share </w:t>
      </w:r>
      <w:r w:rsidR="00BB1F10" w:rsidRPr="00FC2893">
        <w:rPr>
          <w:rFonts w:eastAsia="Arial" w:cs="Arial"/>
          <w:bCs/>
          <w:color w:val="auto"/>
          <w:sz w:val="20"/>
          <w:szCs w:val="20"/>
          <w:lang w:eastAsia="en-GB"/>
        </w:rPr>
        <w:t xml:space="preserve">(11.73%) </w:t>
      </w:r>
      <w:r w:rsidRPr="00FC2893">
        <w:rPr>
          <w:rFonts w:eastAsia="Arial" w:cs="Arial"/>
          <w:bCs/>
          <w:color w:val="auto"/>
          <w:sz w:val="20"/>
          <w:szCs w:val="20"/>
          <w:lang w:eastAsia="en-GB"/>
        </w:rPr>
        <w:t>of any future costs that Devon incurred in re</w:t>
      </w:r>
      <w:r w:rsidR="00DC6AEB" w:rsidRPr="00FC2893">
        <w:rPr>
          <w:rFonts w:eastAsia="Arial" w:cs="Arial"/>
          <w:bCs/>
          <w:color w:val="auto"/>
          <w:sz w:val="20"/>
          <w:szCs w:val="20"/>
          <w:lang w:eastAsia="en-GB"/>
        </w:rPr>
        <w:t>lation</w:t>
      </w:r>
      <w:r w:rsidRPr="00FC2893">
        <w:rPr>
          <w:rFonts w:eastAsia="Arial" w:cs="Arial"/>
          <w:bCs/>
          <w:color w:val="auto"/>
          <w:sz w:val="20"/>
          <w:szCs w:val="20"/>
          <w:lang w:eastAsia="en-GB"/>
        </w:rPr>
        <w:t xml:space="preserve"> to </w:t>
      </w:r>
      <w:r w:rsidR="007E33E1" w:rsidRPr="00FC2893">
        <w:rPr>
          <w:rFonts w:eastAsia="Arial" w:cs="Arial"/>
          <w:bCs/>
          <w:color w:val="auto"/>
          <w:sz w:val="20"/>
          <w:szCs w:val="20"/>
          <w:lang w:eastAsia="en-GB"/>
        </w:rPr>
        <w:t>discretionary</w:t>
      </w:r>
      <w:r w:rsidRPr="00FC2893">
        <w:rPr>
          <w:rFonts w:eastAsia="Arial" w:cs="Arial"/>
          <w:bCs/>
          <w:color w:val="auto"/>
          <w:sz w:val="20"/>
          <w:szCs w:val="20"/>
          <w:lang w:eastAsia="en-GB"/>
        </w:rPr>
        <w:t xml:space="preserve"> pension </w:t>
      </w:r>
      <w:r w:rsidR="007E33E1" w:rsidRPr="00FC2893">
        <w:rPr>
          <w:rFonts w:eastAsia="Arial" w:cs="Arial"/>
          <w:bCs/>
          <w:color w:val="auto"/>
          <w:sz w:val="20"/>
          <w:szCs w:val="20"/>
          <w:lang w:eastAsia="en-GB"/>
        </w:rPr>
        <w:t>enhancements</w:t>
      </w:r>
      <w:r w:rsidRPr="00FC2893">
        <w:rPr>
          <w:rFonts w:eastAsia="Arial" w:cs="Arial"/>
          <w:bCs/>
          <w:color w:val="auto"/>
          <w:sz w:val="20"/>
          <w:szCs w:val="20"/>
          <w:lang w:eastAsia="en-GB"/>
        </w:rPr>
        <w:t xml:space="preserve"> that Devon County Cou</w:t>
      </w:r>
      <w:r w:rsidR="00DC6AEB" w:rsidRPr="00FC2893">
        <w:rPr>
          <w:rFonts w:eastAsia="Arial" w:cs="Arial"/>
          <w:bCs/>
          <w:color w:val="auto"/>
          <w:sz w:val="20"/>
          <w:szCs w:val="20"/>
          <w:lang w:eastAsia="en-GB"/>
        </w:rPr>
        <w:t>ncil</w:t>
      </w:r>
      <w:r w:rsidRPr="00FC2893">
        <w:rPr>
          <w:rFonts w:eastAsia="Arial" w:cs="Arial"/>
          <w:bCs/>
          <w:color w:val="auto"/>
          <w:sz w:val="20"/>
          <w:szCs w:val="20"/>
          <w:lang w:eastAsia="en-GB"/>
        </w:rPr>
        <w:t xml:space="preserve"> had agreed to pay to its staff prior to 1998. </w:t>
      </w:r>
      <w:r w:rsidR="00DC6AEB" w:rsidRPr="00FC2893">
        <w:rPr>
          <w:rFonts w:eastAsia="Arial" w:cs="Arial"/>
          <w:bCs/>
          <w:color w:val="auto"/>
          <w:sz w:val="20"/>
          <w:szCs w:val="20"/>
          <w:lang w:eastAsia="en-GB"/>
        </w:rPr>
        <w:t xml:space="preserve">The payment to Devon </w:t>
      </w:r>
      <w:r w:rsidR="00DC6AEB" w:rsidRPr="00FC2893">
        <w:rPr>
          <w:rFonts w:eastAsia="Arial" w:cs="Arial"/>
          <w:bCs/>
          <w:color w:val="auto"/>
          <w:sz w:val="20"/>
          <w:szCs w:val="20"/>
          <w:lang w:eastAsia="en-GB"/>
        </w:rPr>
        <w:lastRenderedPageBreak/>
        <w:t>County Council in 201</w:t>
      </w:r>
      <w:r w:rsidR="00FC2893" w:rsidRPr="00FC2893">
        <w:rPr>
          <w:rFonts w:eastAsia="Arial" w:cs="Arial"/>
          <w:bCs/>
          <w:color w:val="auto"/>
          <w:sz w:val="20"/>
          <w:szCs w:val="20"/>
          <w:lang w:eastAsia="en-GB"/>
        </w:rPr>
        <w:t>7</w:t>
      </w:r>
      <w:r w:rsidR="00DC6AEB" w:rsidRPr="00FC2893">
        <w:rPr>
          <w:rFonts w:eastAsia="Arial" w:cs="Arial"/>
          <w:bCs/>
          <w:color w:val="auto"/>
          <w:sz w:val="20"/>
          <w:szCs w:val="20"/>
          <w:lang w:eastAsia="en-GB"/>
        </w:rPr>
        <w:t>/1</w:t>
      </w:r>
      <w:r w:rsidR="00FC2893" w:rsidRPr="00FC2893">
        <w:rPr>
          <w:rFonts w:eastAsia="Arial" w:cs="Arial"/>
          <w:bCs/>
          <w:color w:val="auto"/>
          <w:sz w:val="20"/>
          <w:szCs w:val="20"/>
          <w:lang w:eastAsia="en-GB"/>
        </w:rPr>
        <w:t>8</w:t>
      </w:r>
      <w:r w:rsidR="00DC6AEB" w:rsidRPr="00FC2893">
        <w:rPr>
          <w:rFonts w:eastAsia="Arial" w:cs="Arial"/>
          <w:bCs/>
          <w:color w:val="auto"/>
          <w:sz w:val="20"/>
          <w:szCs w:val="20"/>
          <w:lang w:eastAsia="en-GB"/>
        </w:rPr>
        <w:t xml:space="preserve"> was £</w:t>
      </w:r>
      <w:r w:rsidR="0033349A" w:rsidRPr="00FC2893">
        <w:rPr>
          <w:rFonts w:eastAsia="Arial" w:cs="Arial"/>
          <w:bCs/>
          <w:color w:val="auto"/>
          <w:sz w:val="20"/>
          <w:szCs w:val="20"/>
          <w:lang w:eastAsia="en-GB"/>
        </w:rPr>
        <w:t>0.7</w:t>
      </w:r>
      <w:r w:rsidR="00DC6AEB" w:rsidRPr="00FC2893">
        <w:rPr>
          <w:rFonts w:eastAsia="Arial" w:cs="Arial"/>
          <w:bCs/>
          <w:color w:val="auto"/>
          <w:sz w:val="20"/>
          <w:szCs w:val="20"/>
          <w:lang w:eastAsia="en-GB"/>
        </w:rPr>
        <w:t>m (£0.</w:t>
      </w:r>
      <w:r w:rsidR="00FC2893" w:rsidRPr="00FC2893">
        <w:rPr>
          <w:rFonts w:eastAsia="Arial" w:cs="Arial"/>
          <w:bCs/>
          <w:color w:val="auto"/>
          <w:sz w:val="20"/>
          <w:szCs w:val="20"/>
          <w:lang w:eastAsia="en-GB"/>
        </w:rPr>
        <w:t>7</w:t>
      </w:r>
      <w:r w:rsidR="00DC6AEB" w:rsidRPr="00FC2893">
        <w:rPr>
          <w:rFonts w:eastAsia="Arial" w:cs="Arial"/>
          <w:bCs/>
          <w:color w:val="auto"/>
          <w:sz w:val="20"/>
          <w:szCs w:val="20"/>
          <w:lang w:eastAsia="en-GB"/>
        </w:rPr>
        <w:t>m 201</w:t>
      </w:r>
      <w:r w:rsidR="00FC2893" w:rsidRPr="00FC2893">
        <w:rPr>
          <w:rFonts w:eastAsia="Arial" w:cs="Arial"/>
          <w:bCs/>
          <w:color w:val="auto"/>
          <w:sz w:val="20"/>
          <w:szCs w:val="20"/>
          <w:lang w:eastAsia="en-GB"/>
        </w:rPr>
        <w:t>6</w:t>
      </w:r>
      <w:r w:rsidR="00DC6AEB" w:rsidRPr="00FC2893">
        <w:rPr>
          <w:rFonts w:eastAsia="Arial" w:cs="Arial"/>
          <w:bCs/>
          <w:color w:val="auto"/>
          <w:sz w:val="20"/>
          <w:szCs w:val="20"/>
          <w:lang w:eastAsia="en-GB"/>
        </w:rPr>
        <w:t>/1</w:t>
      </w:r>
      <w:r w:rsidR="00FC2893" w:rsidRPr="00FC2893">
        <w:rPr>
          <w:rFonts w:eastAsia="Arial" w:cs="Arial"/>
          <w:bCs/>
          <w:color w:val="auto"/>
          <w:sz w:val="20"/>
          <w:szCs w:val="20"/>
          <w:lang w:eastAsia="en-GB"/>
        </w:rPr>
        <w:t>7</w:t>
      </w:r>
      <w:r w:rsidR="00DC6AEB" w:rsidRPr="00CB5B67">
        <w:rPr>
          <w:rFonts w:eastAsia="Arial" w:cs="Arial"/>
          <w:bCs/>
          <w:color w:val="auto"/>
          <w:sz w:val="20"/>
          <w:szCs w:val="20"/>
          <w:lang w:eastAsia="en-GB"/>
        </w:rPr>
        <w:t xml:space="preserve">). </w:t>
      </w:r>
      <w:r w:rsidR="00BB1F10" w:rsidRPr="00CB5B67">
        <w:rPr>
          <w:rFonts w:eastAsia="Arial" w:cs="Arial"/>
          <w:bCs/>
          <w:color w:val="auto"/>
          <w:sz w:val="20"/>
          <w:szCs w:val="20"/>
          <w:lang w:eastAsia="en-GB"/>
        </w:rPr>
        <w:t>The estimate</w:t>
      </w:r>
      <w:r w:rsidR="001F3271" w:rsidRPr="00CB5B67">
        <w:rPr>
          <w:rFonts w:eastAsia="Arial" w:cs="Arial"/>
          <w:bCs/>
          <w:color w:val="auto"/>
          <w:sz w:val="20"/>
          <w:szCs w:val="20"/>
          <w:lang w:eastAsia="en-GB"/>
        </w:rPr>
        <w:t xml:space="preserve"> </w:t>
      </w:r>
      <w:r w:rsidR="00D96952" w:rsidRPr="00CB5B67">
        <w:rPr>
          <w:rFonts w:eastAsia="Arial" w:cs="Arial"/>
          <w:bCs/>
          <w:color w:val="auto"/>
          <w:sz w:val="20"/>
          <w:szCs w:val="20"/>
          <w:lang w:eastAsia="en-GB"/>
        </w:rPr>
        <w:t xml:space="preserve">of the remaining liability of </w:t>
      </w:r>
      <w:r w:rsidR="00CB5B67" w:rsidRPr="00CB5B67">
        <w:rPr>
          <w:rFonts w:eastAsia="Arial" w:cs="Arial"/>
          <w:bCs/>
          <w:color w:val="auto"/>
          <w:sz w:val="20"/>
          <w:szCs w:val="20"/>
          <w:lang w:eastAsia="en-GB"/>
        </w:rPr>
        <w:t>£9.0m</w:t>
      </w:r>
      <w:r w:rsidR="00D96952" w:rsidRPr="00CB5B67">
        <w:rPr>
          <w:rFonts w:eastAsia="Arial" w:cs="Arial"/>
          <w:bCs/>
          <w:color w:val="auto"/>
          <w:sz w:val="20"/>
          <w:szCs w:val="20"/>
          <w:lang w:eastAsia="en-GB"/>
        </w:rPr>
        <w:t xml:space="preserve"> </w:t>
      </w:r>
      <w:r w:rsidR="00D91A39" w:rsidRPr="00CB5B67">
        <w:rPr>
          <w:rFonts w:eastAsia="Arial" w:cs="Arial"/>
          <w:bCs/>
          <w:color w:val="auto"/>
          <w:sz w:val="20"/>
          <w:szCs w:val="20"/>
          <w:lang w:eastAsia="en-GB"/>
        </w:rPr>
        <w:t>(£</w:t>
      </w:r>
      <w:r w:rsidR="006368F8" w:rsidRPr="00CB5B67">
        <w:rPr>
          <w:rFonts w:eastAsia="Arial" w:cs="Arial"/>
          <w:bCs/>
          <w:color w:val="auto"/>
          <w:sz w:val="20"/>
          <w:szCs w:val="20"/>
          <w:lang w:eastAsia="en-GB"/>
        </w:rPr>
        <w:t>9.</w:t>
      </w:r>
      <w:r w:rsidR="00FC2893" w:rsidRPr="00CB5B67">
        <w:rPr>
          <w:rFonts w:eastAsia="Arial" w:cs="Arial"/>
          <w:bCs/>
          <w:color w:val="auto"/>
          <w:sz w:val="20"/>
          <w:szCs w:val="20"/>
          <w:lang w:eastAsia="en-GB"/>
        </w:rPr>
        <w:t>6</w:t>
      </w:r>
      <w:r w:rsidR="00D91A39" w:rsidRPr="00CB5B67">
        <w:rPr>
          <w:rFonts w:eastAsia="Arial" w:cs="Arial"/>
          <w:bCs/>
          <w:color w:val="auto"/>
          <w:sz w:val="20"/>
          <w:szCs w:val="20"/>
          <w:lang w:eastAsia="en-GB"/>
        </w:rPr>
        <w:t>m 1</w:t>
      </w:r>
      <w:r w:rsidR="00FC2893" w:rsidRPr="00CB5B67">
        <w:rPr>
          <w:rFonts w:eastAsia="Arial" w:cs="Arial"/>
          <w:bCs/>
          <w:color w:val="auto"/>
          <w:sz w:val="20"/>
          <w:szCs w:val="20"/>
          <w:lang w:eastAsia="en-GB"/>
        </w:rPr>
        <w:t>6</w:t>
      </w:r>
      <w:r w:rsidR="00D91A39" w:rsidRPr="00CB5B67">
        <w:rPr>
          <w:rFonts w:eastAsia="Arial" w:cs="Arial"/>
          <w:bCs/>
          <w:color w:val="auto"/>
          <w:sz w:val="20"/>
          <w:szCs w:val="20"/>
          <w:lang w:eastAsia="en-GB"/>
        </w:rPr>
        <w:t>/1</w:t>
      </w:r>
      <w:r w:rsidR="00FC2893" w:rsidRPr="00CB5B67">
        <w:rPr>
          <w:rFonts w:eastAsia="Arial" w:cs="Arial"/>
          <w:bCs/>
          <w:color w:val="auto"/>
          <w:sz w:val="20"/>
          <w:szCs w:val="20"/>
          <w:lang w:eastAsia="en-GB"/>
        </w:rPr>
        <w:t>7</w:t>
      </w:r>
      <w:r w:rsidR="00D91A39" w:rsidRPr="00CB5B67">
        <w:rPr>
          <w:rFonts w:eastAsia="Arial" w:cs="Arial"/>
          <w:bCs/>
          <w:color w:val="auto"/>
          <w:sz w:val="20"/>
          <w:szCs w:val="20"/>
          <w:lang w:eastAsia="en-GB"/>
        </w:rPr>
        <w:t xml:space="preserve">) </w:t>
      </w:r>
      <w:r w:rsidR="001F3271" w:rsidRPr="00CB5B67">
        <w:rPr>
          <w:rFonts w:eastAsia="Arial" w:cs="Arial"/>
          <w:bCs/>
          <w:color w:val="auto"/>
          <w:sz w:val="20"/>
          <w:szCs w:val="20"/>
          <w:lang w:eastAsia="en-GB"/>
        </w:rPr>
        <w:t>is based on Devon County’s IAS19 disclosures.</w:t>
      </w:r>
      <w:r w:rsidR="00BB1F10" w:rsidRPr="00CB5B67">
        <w:rPr>
          <w:rFonts w:eastAsia="Arial" w:cs="Arial"/>
          <w:bCs/>
          <w:color w:val="auto"/>
          <w:sz w:val="20"/>
          <w:szCs w:val="20"/>
          <w:lang w:eastAsia="en-GB"/>
        </w:rPr>
        <w:t xml:space="preserve"> </w:t>
      </w:r>
    </w:p>
    <w:p w:rsidR="004C1441" w:rsidRPr="0005794A" w:rsidRDefault="006C5669" w:rsidP="007C0F82">
      <w:pPr>
        <w:pStyle w:val="BodyTextIndent"/>
        <w:tabs>
          <w:tab w:val="left" w:pos="709"/>
        </w:tabs>
        <w:ind w:left="810" w:hanging="810"/>
        <w:rPr>
          <w:b/>
          <w:color w:val="548DD4" w:themeColor="text2" w:themeTint="99"/>
          <w:sz w:val="20"/>
          <w:szCs w:val="20"/>
        </w:rPr>
      </w:pPr>
      <w:r w:rsidRPr="0005794A">
        <w:rPr>
          <w:b/>
          <w:color w:val="548DD4" w:themeColor="text2" w:themeTint="99"/>
          <w:sz w:val="20"/>
          <w:szCs w:val="20"/>
        </w:rPr>
        <w:tab/>
      </w:r>
    </w:p>
    <w:tbl>
      <w:tblPr>
        <w:tblStyle w:val="ListTable3-Accent51"/>
        <w:tblW w:w="8363" w:type="dxa"/>
        <w:tblInd w:w="685" w:type="dxa"/>
        <w:tblLayout w:type="fixed"/>
        <w:tblLook w:val="0000" w:firstRow="0" w:lastRow="0" w:firstColumn="0" w:lastColumn="0" w:noHBand="0" w:noVBand="0"/>
      </w:tblPr>
      <w:tblGrid>
        <w:gridCol w:w="1701"/>
        <w:gridCol w:w="4678"/>
        <w:gridCol w:w="1984"/>
      </w:tblGrid>
      <w:tr w:rsidR="00DB73C5" w:rsidRPr="0005794A" w:rsidTr="00627D6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shd w:val="clear" w:color="auto" w:fill="4BACC6" w:themeFill="accent5"/>
          </w:tcPr>
          <w:p w:rsidR="00DB73C5" w:rsidRPr="00E3736E" w:rsidRDefault="00DB73C5" w:rsidP="00BA3982">
            <w:pPr>
              <w:pStyle w:val="TableRightBold"/>
              <w:ind w:right="142"/>
              <w:jc w:val="center"/>
              <w:rPr>
                <w:rStyle w:val="Bold"/>
                <w:rFonts w:ascii="Arial" w:hAnsi="Arial" w:cs="Arial"/>
                <w:bCs w:val="0"/>
                <w:color w:val="auto"/>
              </w:rPr>
            </w:pPr>
            <w:r w:rsidRPr="00E3736E">
              <w:rPr>
                <w:rStyle w:val="Bold"/>
                <w:rFonts w:ascii="Arial" w:hAnsi="Arial" w:cs="Arial"/>
                <w:bCs w:val="0"/>
                <w:color w:val="auto"/>
              </w:rPr>
              <w:t>201</w:t>
            </w:r>
            <w:r w:rsidR="00E3736E" w:rsidRPr="00E3736E">
              <w:rPr>
                <w:rStyle w:val="Bold"/>
                <w:rFonts w:ascii="Arial" w:hAnsi="Arial" w:cs="Arial"/>
                <w:bCs w:val="0"/>
                <w:color w:val="auto"/>
              </w:rPr>
              <w:t>6</w:t>
            </w:r>
            <w:r w:rsidR="00906DE2" w:rsidRPr="00E3736E">
              <w:rPr>
                <w:rStyle w:val="Bold"/>
                <w:rFonts w:ascii="Arial" w:hAnsi="Arial" w:cs="Arial"/>
                <w:bCs w:val="0"/>
                <w:color w:val="auto"/>
              </w:rPr>
              <w:t>/1</w:t>
            </w:r>
            <w:r w:rsidR="00E3736E" w:rsidRPr="00E3736E">
              <w:rPr>
                <w:rStyle w:val="Bold"/>
                <w:rFonts w:ascii="Arial" w:hAnsi="Arial" w:cs="Arial"/>
                <w:bCs w:val="0"/>
                <w:color w:val="auto"/>
              </w:rPr>
              <w:t>7</w:t>
            </w:r>
          </w:p>
          <w:p w:rsidR="00DB73C5" w:rsidRPr="00E3736E" w:rsidRDefault="00DB73C5" w:rsidP="00BA3982">
            <w:pPr>
              <w:pStyle w:val="TableRightBold"/>
              <w:ind w:right="142"/>
              <w:jc w:val="center"/>
              <w:rPr>
                <w:rFonts w:ascii="Arial" w:hAnsi="Arial" w:cs="Arial"/>
                <w:color w:val="auto"/>
              </w:rPr>
            </w:pPr>
            <w:r w:rsidRPr="00E3736E">
              <w:rPr>
                <w:rStyle w:val="Bold"/>
                <w:rFonts w:ascii="Arial" w:hAnsi="Arial" w:cs="Arial"/>
                <w:bCs w:val="0"/>
                <w:color w:val="auto"/>
              </w:rPr>
              <w:t>£m</w:t>
            </w:r>
          </w:p>
        </w:tc>
        <w:tc>
          <w:tcPr>
            <w:tcW w:w="4678" w:type="dxa"/>
            <w:shd w:val="clear" w:color="auto" w:fill="4BACC6" w:themeFill="accent5"/>
          </w:tcPr>
          <w:p w:rsidR="00DB73C5" w:rsidRPr="00E3736E" w:rsidRDefault="00DB73C5" w:rsidP="00BA398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4BACC6" w:themeFill="accent5"/>
          </w:tcPr>
          <w:p w:rsidR="00DB73C5" w:rsidRPr="00E3736E" w:rsidRDefault="00DB73C5" w:rsidP="00BA3982">
            <w:pPr>
              <w:pStyle w:val="TableRightBold"/>
              <w:ind w:right="142"/>
              <w:jc w:val="center"/>
              <w:rPr>
                <w:rStyle w:val="Bold"/>
                <w:rFonts w:ascii="Arial" w:hAnsi="Arial" w:cs="Arial"/>
                <w:b/>
                <w:bCs w:val="0"/>
                <w:color w:val="auto"/>
              </w:rPr>
            </w:pPr>
            <w:r w:rsidRPr="00E3736E">
              <w:rPr>
                <w:rStyle w:val="Bold"/>
                <w:rFonts w:ascii="Arial" w:hAnsi="Arial" w:cs="Arial"/>
                <w:b/>
                <w:bCs w:val="0"/>
                <w:color w:val="auto"/>
              </w:rPr>
              <w:t>201</w:t>
            </w:r>
            <w:r w:rsidR="00E3736E" w:rsidRPr="00E3736E">
              <w:rPr>
                <w:rStyle w:val="Bold"/>
                <w:rFonts w:ascii="Arial" w:hAnsi="Arial" w:cs="Arial"/>
                <w:b/>
                <w:bCs w:val="0"/>
                <w:color w:val="auto"/>
              </w:rPr>
              <w:t>7</w:t>
            </w:r>
            <w:r w:rsidRPr="00E3736E">
              <w:rPr>
                <w:rStyle w:val="Bold"/>
                <w:rFonts w:ascii="Arial" w:hAnsi="Arial" w:cs="Arial"/>
                <w:b/>
                <w:bCs w:val="0"/>
                <w:color w:val="auto"/>
              </w:rPr>
              <w:t>/1</w:t>
            </w:r>
            <w:r w:rsidR="00E3736E" w:rsidRPr="00E3736E">
              <w:rPr>
                <w:rStyle w:val="Bold"/>
                <w:rFonts w:ascii="Arial" w:hAnsi="Arial" w:cs="Arial"/>
                <w:b/>
                <w:bCs w:val="0"/>
                <w:color w:val="auto"/>
              </w:rPr>
              <w:t>8</w:t>
            </w:r>
          </w:p>
          <w:p w:rsidR="00DB73C5" w:rsidRPr="00E3736E" w:rsidRDefault="00DB73C5" w:rsidP="00BA3982">
            <w:pPr>
              <w:pStyle w:val="TableRightBold"/>
              <w:ind w:right="142"/>
              <w:jc w:val="center"/>
              <w:rPr>
                <w:rFonts w:ascii="Arial" w:hAnsi="Arial" w:cs="Arial"/>
                <w:color w:val="auto"/>
              </w:rPr>
            </w:pPr>
            <w:r w:rsidRPr="00E3736E">
              <w:rPr>
                <w:rStyle w:val="Bold"/>
                <w:rFonts w:ascii="Arial" w:hAnsi="Arial" w:cs="Arial"/>
                <w:b/>
                <w:bCs w:val="0"/>
                <w:color w:val="auto"/>
              </w:rPr>
              <w:t>£m</w:t>
            </w:r>
          </w:p>
        </w:tc>
      </w:tr>
      <w:tr w:rsidR="00E3736E" w:rsidRPr="0005794A" w:rsidTr="00627D60">
        <w:trPr>
          <w:trHeight w:val="60"/>
        </w:trPr>
        <w:tc>
          <w:tcPr>
            <w:cnfStyle w:val="000010000000" w:firstRow="0" w:lastRow="0" w:firstColumn="0" w:lastColumn="0" w:oddVBand="1" w:evenVBand="0" w:oddHBand="0" w:evenHBand="0" w:firstRowFirstColumn="0" w:firstRowLastColumn="0" w:lastRowFirstColumn="0" w:lastRowLastColumn="0"/>
            <w:tcW w:w="1701" w:type="dxa"/>
          </w:tcPr>
          <w:p w:rsidR="00E3736E" w:rsidRPr="00E3736E" w:rsidRDefault="00E3736E" w:rsidP="00E3736E">
            <w:pPr>
              <w:pStyle w:val="TableRight"/>
              <w:ind w:right="142"/>
              <w:jc w:val="center"/>
              <w:rPr>
                <w:rFonts w:ascii="Arial" w:hAnsi="Arial" w:cs="Arial"/>
                <w:color w:val="auto"/>
              </w:rPr>
            </w:pPr>
            <w:r w:rsidRPr="00E3736E">
              <w:rPr>
                <w:rFonts w:ascii="Arial" w:hAnsi="Arial" w:cs="Arial"/>
                <w:color w:val="auto"/>
              </w:rPr>
              <w:t>9.1</w:t>
            </w:r>
          </w:p>
        </w:tc>
        <w:tc>
          <w:tcPr>
            <w:tcW w:w="4678" w:type="dxa"/>
          </w:tcPr>
          <w:p w:rsidR="00E3736E" w:rsidRPr="00E3736E" w:rsidRDefault="00E3736E" w:rsidP="00A90250">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736E">
              <w:rPr>
                <w:rFonts w:ascii="Arial" w:hAnsi="Arial" w:cs="Arial"/>
                <w:color w:val="auto"/>
              </w:rPr>
              <w:t>Liability outstanding at start of year</w:t>
            </w:r>
          </w:p>
        </w:tc>
        <w:tc>
          <w:tcPr>
            <w:cnfStyle w:val="000010000000" w:firstRow="0" w:lastRow="0" w:firstColumn="0" w:lastColumn="0" w:oddVBand="1" w:evenVBand="0" w:oddHBand="0" w:evenHBand="0" w:firstRowFirstColumn="0" w:firstRowLastColumn="0" w:lastRowFirstColumn="0" w:lastRowLastColumn="0"/>
            <w:tcW w:w="1984" w:type="dxa"/>
          </w:tcPr>
          <w:p w:rsidR="00E3736E" w:rsidRPr="00FC2893" w:rsidRDefault="00FC2893" w:rsidP="00A90250">
            <w:pPr>
              <w:pStyle w:val="TableRight"/>
              <w:ind w:right="142"/>
              <w:jc w:val="center"/>
              <w:rPr>
                <w:rFonts w:ascii="Arial" w:hAnsi="Arial" w:cs="Arial"/>
                <w:b/>
                <w:color w:val="auto"/>
              </w:rPr>
            </w:pPr>
            <w:r w:rsidRPr="00FC2893">
              <w:rPr>
                <w:rFonts w:ascii="Arial" w:hAnsi="Arial" w:cs="Arial"/>
                <w:b/>
                <w:color w:val="auto"/>
              </w:rPr>
              <w:t>9.6</w:t>
            </w:r>
          </w:p>
        </w:tc>
      </w:tr>
      <w:tr w:rsidR="00E3736E" w:rsidRPr="0005794A" w:rsidTr="00627D6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01" w:type="dxa"/>
          </w:tcPr>
          <w:p w:rsidR="00E3736E" w:rsidRPr="00E3736E" w:rsidRDefault="00E3736E" w:rsidP="00E3736E">
            <w:pPr>
              <w:pStyle w:val="TableRight"/>
              <w:ind w:right="142"/>
              <w:jc w:val="center"/>
              <w:rPr>
                <w:rFonts w:ascii="Arial" w:hAnsi="Arial" w:cs="Arial"/>
                <w:color w:val="auto"/>
              </w:rPr>
            </w:pPr>
            <w:r w:rsidRPr="00E3736E">
              <w:rPr>
                <w:rFonts w:ascii="Arial" w:hAnsi="Arial" w:cs="Arial"/>
                <w:color w:val="auto"/>
              </w:rPr>
              <w:t>1.2</w:t>
            </w:r>
          </w:p>
        </w:tc>
        <w:tc>
          <w:tcPr>
            <w:tcW w:w="4678" w:type="dxa"/>
          </w:tcPr>
          <w:p w:rsidR="00E3736E" w:rsidRPr="00E3736E" w:rsidRDefault="00E3736E" w:rsidP="00A90250">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E3736E">
              <w:rPr>
                <w:rFonts w:ascii="Arial" w:hAnsi="Arial" w:cs="Arial"/>
                <w:color w:val="auto"/>
              </w:rPr>
              <w:t xml:space="preserve">IAS19 Actuarial </w:t>
            </w:r>
            <w:proofErr w:type="spellStart"/>
            <w:r w:rsidRPr="00E3736E">
              <w:rPr>
                <w:rFonts w:ascii="Arial" w:hAnsi="Arial" w:cs="Arial"/>
                <w:color w:val="auto"/>
              </w:rPr>
              <w:t>remeasurements</w:t>
            </w:r>
            <w:proofErr w:type="spellEnd"/>
          </w:p>
        </w:tc>
        <w:tc>
          <w:tcPr>
            <w:cnfStyle w:val="000010000000" w:firstRow="0" w:lastRow="0" w:firstColumn="0" w:lastColumn="0" w:oddVBand="1" w:evenVBand="0" w:oddHBand="0" w:evenHBand="0" w:firstRowFirstColumn="0" w:firstRowLastColumn="0" w:lastRowFirstColumn="0" w:lastRowLastColumn="0"/>
            <w:tcW w:w="1984" w:type="dxa"/>
          </w:tcPr>
          <w:p w:rsidR="00E3736E" w:rsidRPr="00CB5B67" w:rsidRDefault="00CB5B67" w:rsidP="003175C9">
            <w:pPr>
              <w:pStyle w:val="TableRight"/>
              <w:ind w:right="142"/>
              <w:jc w:val="center"/>
              <w:rPr>
                <w:rFonts w:ascii="Arial" w:hAnsi="Arial" w:cs="Arial"/>
                <w:b/>
                <w:color w:val="auto"/>
              </w:rPr>
            </w:pPr>
            <w:r w:rsidRPr="00CB5B67">
              <w:rPr>
                <w:rFonts w:ascii="Arial" w:hAnsi="Arial" w:cs="Arial"/>
                <w:b/>
                <w:color w:val="auto"/>
              </w:rPr>
              <w:t>0.1</w:t>
            </w:r>
          </w:p>
        </w:tc>
      </w:tr>
      <w:tr w:rsidR="00E3736E" w:rsidRPr="0005794A" w:rsidTr="00627D60">
        <w:trPr>
          <w:trHeight w:val="60"/>
        </w:trPr>
        <w:tc>
          <w:tcPr>
            <w:cnfStyle w:val="000010000000" w:firstRow="0" w:lastRow="0" w:firstColumn="0" w:lastColumn="0" w:oddVBand="1" w:evenVBand="0" w:oddHBand="0" w:evenHBand="0" w:firstRowFirstColumn="0" w:firstRowLastColumn="0" w:lastRowFirstColumn="0" w:lastRowLastColumn="0"/>
            <w:tcW w:w="1701" w:type="dxa"/>
          </w:tcPr>
          <w:p w:rsidR="00E3736E" w:rsidRPr="00E3736E" w:rsidRDefault="00E3736E" w:rsidP="00E3736E">
            <w:pPr>
              <w:pStyle w:val="TableRight"/>
              <w:ind w:right="142"/>
              <w:jc w:val="center"/>
              <w:rPr>
                <w:rFonts w:ascii="Arial" w:hAnsi="Arial" w:cs="Arial"/>
                <w:color w:val="auto"/>
              </w:rPr>
            </w:pPr>
            <w:r w:rsidRPr="00E3736E">
              <w:rPr>
                <w:rFonts w:ascii="Arial" w:hAnsi="Arial" w:cs="Arial"/>
                <w:color w:val="auto"/>
              </w:rPr>
              <w:t>(0.7)</w:t>
            </w:r>
          </w:p>
        </w:tc>
        <w:tc>
          <w:tcPr>
            <w:tcW w:w="4678" w:type="dxa"/>
          </w:tcPr>
          <w:p w:rsidR="00E3736E" w:rsidRPr="00E3736E" w:rsidRDefault="00E3736E" w:rsidP="00BA398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736E">
              <w:rPr>
                <w:rFonts w:ascii="Arial" w:hAnsi="Arial" w:cs="Arial"/>
                <w:color w:val="auto"/>
              </w:rPr>
              <w:t>Payments during the year to Devon County</w:t>
            </w:r>
          </w:p>
        </w:tc>
        <w:tc>
          <w:tcPr>
            <w:cnfStyle w:val="000010000000" w:firstRow="0" w:lastRow="0" w:firstColumn="0" w:lastColumn="0" w:oddVBand="1" w:evenVBand="0" w:oddHBand="0" w:evenHBand="0" w:firstRowFirstColumn="0" w:firstRowLastColumn="0" w:lastRowFirstColumn="0" w:lastRowLastColumn="0"/>
            <w:tcW w:w="1984" w:type="dxa"/>
          </w:tcPr>
          <w:p w:rsidR="00E3736E" w:rsidRPr="00CB5B67" w:rsidRDefault="00FC2893" w:rsidP="00BA3982">
            <w:pPr>
              <w:pStyle w:val="TableRight"/>
              <w:ind w:right="142"/>
              <w:jc w:val="center"/>
              <w:rPr>
                <w:rFonts w:ascii="Arial" w:hAnsi="Arial" w:cs="Arial"/>
                <w:b/>
                <w:color w:val="auto"/>
              </w:rPr>
            </w:pPr>
            <w:r w:rsidRPr="00CB5B67">
              <w:rPr>
                <w:rFonts w:ascii="Arial" w:hAnsi="Arial" w:cs="Arial"/>
                <w:b/>
                <w:color w:val="auto"/>
              </w:rPr>
              <w:t>(0.7)</w:t>
            </w:r>
          </w:p>
        </w:tc>
      </w:tr>
      <w:tr w:rsidR="00E3736E" w:rsidRPr="0005794A" w:rsidTr="006368F8">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1701" w:type="dxa"/>
          </w:tcPr>
          <w:p w:rsidR="00E3736E" w:rsidRPr="00FC2893" w:rsidRDefault="00E3736E" w:rsidP="00E3736E">
            <w:pPr>
              <w:pStyle w:val="TableRight"/>
              <w:ind w:right="142"/>
              <w:jc w:val="center"/>
              <w:rPr>
                <w:rFonts w:ascii="Arial" w:hAnsi="Arial" w:cs="Arial"/>
                <w:color w:val="auto"/>
              </w:rPr>
            </w:pPr>
            <w:r w:rsidRPr="00FC2893">
              <w:rPr>
                <w:rFonts w:ascii="Arial" w:hAnsi="Arial" w:cs="Arial"/>
                <w:color w:val="auto"/>
              </w:rPr>
              <w:t>9.6</w:t>
            </w:r>
          </w:p>
        </w:tc>
        <w:tc>
          <w:tcPr>
            <w:tcW w:w="4678" w:type="dxa"/>
          </w:tcPr>
          <w:p w:rsidR="00E3736E" w:rsidRPr="00E3736E" w:rsidRDefault="00E3736E" w:rsidP="00313D31">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E3736E">
              <w:rPr>
                <w:rFonts w:ascii="Arial" w:hAnsi="Arial" w:cs="Arial"/>
                <w:b/>
                <w:color w:val="auto"/>
              </w:rPr>
              <w:t>Liability outstanding at year-end</w:t>
            </w:r>
          </w:p>
        </w:tc>
        <w:tc>
          <w:tcPr>
            <w:cnfStyle w:val="000010000000" w:firstRow="0" w:lastRow="0" w:firstColumn="0" w:lastColumn="0" w:oddVBand="1" w:evenVBand="0" w:oddHBand="0" w:evenHBand="0" w:firstRowFirstColumn="0" w:firstRowLastColumn="0" w:lastRowFirstColumn="0" w:lastRowLastColumn="0"/>
            <w:tcW w:w="1984" w:type="dxa"/>
          </w:tcPr>
          <w:p w:rsidR="00E3736E" w:rsidRPr="00CB5B67" w:rsidRDefault="00CB5B67" w:rsidP="00A90250">
            <w:pPr>
              <w:pStyle w:val="TableRight"/>
              <w:ind w:right="142"/>
              <w:jc w:val="center"/>
              <w:rPr>
                <w:rFonts w:ascii="Arial" w:hAnsi="Arial" w:cs="Arial"/>
                <w:b/>
                <w:color w:val="auto"/>
              </w:rPr>
            </w:pPr>
            <w:r w:rsidRPr="00CB5B67">
              <w:rPr>
                <w:rFonts w:ascii="Arial" w:hAnsi="Arial" w:cs="Arial"/>
                <w:b/>
                <w:color w:val="auto"/>
              </w:rPr>
              <w:t>9.0</w:t>
            </w:r>
          </w:p>
        </w:tc>
      </w:tr>
    </w:tbl>
    <w:p w:rsidR="00DB73C5" w:rsidRPr="0005794A" w:rsidRDefault="00DB73C5" w:rsidP="007C0F82">
      <w:pPr>
        <w:pStyle w:val="BodyTextIndent"/>
        <w:tabs>
          <w:tab w:val="left" w:pos="709"/>
        </w:tabs>
        <w:ind w:left="810" w:hanging="810"/>
        <w:rPr>
          <w:b/>
          <w:color w:val="548DD4" w:themeColor="text2" w:themeTint="99"/>
          <w:sz w:val="20"/>
          <w:szCs w:val="20"/>
        </w:rPr>
      </w:pPr>
    </w:p>
    <w:p w:rsidR="003C7AC7" w:rsidRPr="00A16E98" w:rsidRDefault="00CD0754" w:rsidP="003C7AC7">
      <w:pPr>
        <w:pStyle w:val="Subtitle"/>
        <w:ind w:left="567" w:hanging="567"/>
        <w:rPr>
          <w:b/>
          <w:color w:val="auto"/>
          <w:sz w:val="22"/>
          <w:szCs w:val="22"/>
        </w:rPr>
      </w:pPr>
      <w:r w:rsidRPr="00A16E98">
        <w:rPr>
          <w:b/>
          <w:color w:val="auto"/>
          <w:sz w:val="22"/>
          <w:szCs w:val="22"/>
        </w:rPr>
        <w:t>25</w:t>
      </w:r>
      <w:r w:rsidR="00BD1281" w:rsidRPr="00A16E98">
        <w:rPr>
          <w:b/>
          <w:color w:val="auto"/>
          <w:sz w:val="22"/>
          <w:szCs w:val="22"/>
        </w:rPr>
        <w:t>.</w:t>
      </w:r>
      <w:r w:rsidR="00BD1281" w:rsidRPr="00A16E98">
        <w:rPr>
          <w:b/>
          <w:color w:val="auto"/>
          <w:sz w:val="22"/>
          <w:szCs w:val="22"/>
        </w:rPr>
        <w:tab/>
        <w:t>Us</w:t>
      </w:r>
      <w:r w:rsidR="008810B5" w:rsidRPr="00A16E98">
        <w:rPr>
          <w:b/>
          <w:color w:val="auto"/>
          <w:sz w:val="22"/>
          <w:szCs w:val="22"/>
        </w:rPr>
        <w:t>able Reserves</w:t>
      </w:r>
    </w:p>
    <w:p w:rsidR="00E51139" w:rsidRPr="00E3736E" w:rsidRDefault="00E51139" w:rsidP="003C7AC7">
      <w:pPr>
        <w:pStyle w:val="Subtitle"/>
        <w:ind w:left="567"/>
        <w:rPr>
          <w:rFonts w:eastAsia="Arial"/>
          <w:iCs w:val="0"/>
          <w:color w:val="auto"/>
          <w:sz w:val="20"/>
          <w:szCs w:val="20"/>
        </w:rPr>
      </w:pPr>
      <w:r w:rsidRPr="00E3736E">
        <w:rPr>
          <w:rFonts w:eastAsia="Arial"/>
          <w:iCs w:val="0"/>
          <w:color w:val="auto"/>
          <w:sz w:val="20"/>
          <w:szCs w:val="20"/>
        </w:rPr>
        <w:t>Movements in the Council’s usable reserves are detailed in the</w:t>
      </w:r>
      <w:r w:rsidR="00D4089F" w:rsidRPr="00E3736E">
        <w:rPr>
          <w:rFonts w:eastAsia="Arial"/>
          <w:iCs w:val="0"/>
          <w:color w:val="auto"/>
          <w:sz w:val="20"/>
          <w:szCs w:val="20"/>
        </w:rPr>
        <w:t xml:space="preserve"> Movement in Reserves Statement </w:t>
      </w:r>
      <w:r w:rsidRPr="00E3736E">
        <w:rPr>
          <w:rFonts w:eastAsia="Arial"/>
          <w:iCs w:val="0"/>
          <w:color w:val="auto"/>
          <w:sz w:val="20"/>
          <w:szCs w:val="20"/>
        </w:rPr>
        <w:t xml:space="preserve">and </w:t>
      </w:r>
      <w:r w:rsidR="00BB153B" w:rsidRPr="00E3736E">
        <w:rPr>
          <w:rFonts w:eastAsia="Arial"/>
          <w:iCs w:val="0"/>
          <w:color w:val="auto"/>
          <w:sz w:val="20"/>
          <w:szCs w:val="20"/>
        </w:rPr>
        <w:t xml:space="preserve">each reserve is shown </w:t>
      </w:r>
      <w:r w:rsidRPr="00E3736E">
        <w:rPr>
          <w:rFonts w:eastAsia="Arial"/>
          <w:iCs w:val="0"/>
          <w:color w:val="auto"/>
          <w:sz w:val="20"/>
          <w:szCs w:val="20"/>
        </w:rPr>
        <w:t>in the table below:</w:t>
      </w:r>
    </w:p>
    <w:tbl>
      <w:tblPr>
        <w:tblStyle w:val="ListTable3-Accent51"/>
        <w:tblW w:w="8647" w:type="dxa"/>
        <w:tblInd w:w="675" w:type="dxa"/>
        <w:tblLook w:val="00A0" w:firstRow="1" w:lastRow="0" w:firstColumn="1" w:lastColumn="0" w:noHBand="0" w:noVBand="0"/>
      </w:tblPr>
      <w:tblGrid>
        <w:gridCol w:w="1266"/>
        <w:gridCol w:w="3502"/>
        <w:gridCol w:w="1328"/>
        <w:gridCol w:w="1275"/>
        <w:gridCol w:w="1276"/>
      </w:tblGrid>
      <w:tr w:rsidR="003064E3" w:rsidRPr="0005794A" w:rsidTr="00D408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Pr>
          <w:p w:rsidR="003064E3" w:rsidRPr="00E3736E" w:rsidRDefault="003064E3" w:rsidP="00C2185B">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31</w:t>
            </w:r>
            <w:r w:rsidRPr="00E3736E">
              <w:rPr>
                <w:rFonts w:ascii="Arial" w:hAnsi="Arial" w:cs="Arial"/>
                <w:color w:val="auto"/>
                <w:sz w:val="20"/>
                <w:szCs w:val="20"/>
                <w:vertAlign w:val="superscript"/>
              </w:rPr>
              <w:t>st</w:t>
            </w:r>
            <w:r w:rsidRPr="00E3736E">
              <w:rPr>
                <w:rFonts w:ascii="Arial" w:hAnsi="Arial" w:cs="Arial"/>
                <w:color w:val="auto"/>
                <w:sz w:val="20"/>
                <w:szCs w:val="20"/>
              </w:rPr>
              <w:t xml:space="preserve"> March 201</w:t>
            </w:r>
            <w:r w:rsidR="00E3736E" w:rsidRPr="00E3736E">
              <w:rPr>
                <w:rFonts w:ascii="Arial" w:hAnsi="Arial" w:cs="Arial"/>
                <w:color w:val="auto"/>
                <w:sz w:val="20"/>
                <w:szCs w:val="20"/>
              </w:rPr>
              <w:t>7</w:t>
            </w:r>
          </w:p>
          <w:p w:rsidR="003064E3" w:rsidRPr="00E3736E" w:rsidRDefault="003064E3" w:rsidP="00C2185B">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3502" w:type="dxa"/>
          </w:tcPr>
          <w:p w:rsidR="003064E3" w:rsidRPr="00E3736E" w:rsidRDefault="003064E3" w:rsidP="00C2185B">
            <w:pPr>
              <w:pStyle w:val="ExampleSub"/>
              <w:keepNext w:val="0"/>
              <w:keepLines w:val="0"/>
              <w:ind w:left="0"/>
              <w:rPr>
                <w:rFonts w:ascii="Arial" w:hAnsi="Arial" w:cs="Arial"/>
                <w:color w:val="auto"/>
                <w:sz w:val="20"/>
                <w:szCs w:val="20"/>
              </w:rPr>
            </w:pPr>
          </w:p>
        </w:tc>
        <w:tc>
          <w:tcPr>
            <w:tcW w:w="1328" w:type="dxa"/>
          </w:tcPr>
          <w:p w:rsidR="00D4089F" w:rsidRPr="00E3736E" w:rsidRDefault="00D4089F" w:rsidP="00D4089F">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3736E">
              <w:rPr>
                <w:rFonts w:ascii="Arial" w:hAnsi="Arial" w:cs="Arial"/>
                <w:color w:val="auto"/>
                <w:sz w:val="20"/>
                <w:szCs w:val="20"/>
              </w:rPr>
              <w:t>For in year</w:t>
            </w:r>
            <w:r w:rsidR="003064E3" w:rsidRPr="00E3736E">
              <w:rPr>
                <w:rFonts w:ascii="Arial" w:hAnsi="Arial" w:cs="Arial"/>
                <w:color w:val="auto"/>
                <w:sz w:val="20"/>
                <w:szCs w:val="20"/>
              </w:rPr>
              <w:t xml:space="preserve"> m</w:t>
            </w:r>
            <w:r w:rsidR="00C959F0" w:rsidRPr="00E3736E">
              <w:rPr>
                <w:rFonts w:ascii="Arial" w:hAnsi="Arial" w:cs="Arial"/>
                <w:color w:val="auto"/>
                <w:sz w:val="20"/>
                <w:szCs w:val="20"/>
              </w:rPr>
              <w:t>ovements</w:t>
            </w:r>
            <w:r w:rsidRPr="00E3736E">
              <w:rPr>
                <w:rFonts w:ascii="Arial" w:hAnsi="Arial" w:cs="Arial"/>
                <w:color w:val="auto"/>
                <w:sz w:val="20"/>
                <w:szCs w:val="20"/>
              </w:rPr>
              <w:t xml:space="preserve"> see Note:-</w:t>
            </w:r>
          </w:p>
        </w:tc>
        <w:tc>
          <w:tcPr>
            <w:cnfStyle w:val="000010000000" w:firstRow="0" w:lastRow="0" w:firstColumn="0" w:lastColumn="0" w:oddVBand="1" w:evenVBand="0" w:oddHBand="0" w:evenHBand="0" w:firstRowFirstColumn="0" w:firstRowLastColumn="0" w:lastRowFirstColumn="0" w:lastRowLastColumn="0"/>
            <w:tcW w:w="1275" w:type="dxa"/>
          </w:tcPr>
          <w:p w:rsidR="003064E3" w:rsidRPr="00E3736E" w:rsidRDefault="003064E3" w:rsidP="007A7801">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201</w:t>
            </w:r>
            <w:r w:rsidR="00E3736E" w:rsidRPr="00E3736E">
              <w:rPr>
                <w:rFonts w:ascii="Arial" w:hAnsi="Arial" w:cs="Arial"/>
                <w:color w:val="auto"/>
                <w:sz w:val="20"/>
                <w:szCs w:val="20"/>
              </w:rPr>
              <w:t>7</w:t>
            </w:r>
            <w:r w:rsidRPr="00E3736E">
              <w:rPr>
                <w:rFonts w:ascii="Arial" w:hAnsi="Arial" w:cs="Arial"/>
                <w:color w:val="auto"/>
                <w:sz w:val="20"/>
                <w:szCs w:val="20"/>
              </w:rPr>
              <w:t>/1</w:t>
            </w:r>
            <w:r w:rsidR="00E3736E" w:rsidRPr="00E3736E">
              <w:rPr>
                <w:rFonts w:ascii="Arial" w:hAnsi="Arial" w:cs="Arial"/>
                <w:color w:val="auto"/>
                <w:sz w:val="20"/>
                <w:szCs w:val="20"/>
              </w:rPr>
              <w:t>8</w:t>
            </w:r>
            <w:r w:rsidRPr="00E3736E">
              <w:rPr>
                <w:rFonts w:ascii="Arial" w:hAnsi="Arial" w:cs="Arial"/>
                <w:color w:val="auto"/>
                <w:sz w:val="20"/>
                <w:szCs w:val="20"/>
              </w:rPr>
              <w:t xml:space="preserve"> movement</w:t>
            </w:r>
          </w:p>
        </w:tc>
        <w:tc>
          <w:tcPr>
            <w:tcW w:w="1276" w:type="dxa"/>
          </w:tcPr>
          <w:p w:rsidR="003064E3" w:rsidRPr="00E3736E" w:rsidRDefault="003064E3" w:rsidP="00C2185B">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3736E">
              <w:rPr>
                <w:rFonts w:ascii="Arial" w:hAnsi="Arial" w:cs="Arial"/>
                <w:color w:val="auto"/>
                <w:sz w:val="20"/>
                <w:szCs w:val="20"/>
              </w:rPr>
              <w:t>31</w:t>
            </w:r>
            <w:r w:rsidRPr="00E3736E">
              <w:rPr>
                <w:rFonts w:ascii="Arial" w:hAnsi="Arial" w:cs="Arial"/>
                <w:color w:val="auto"/>
                <w:sz w:val="20"/>
                <w:szCs w:val="20"/>
                <w:vertAlign w:val="superscript"/>
              </w:rPr>
              <w:t>st</w:t>
            </w:r>
            <w:r w:rsidR="00E3736E" w:rsidRPr="00E3736E">
              <w:rPr>
                <w:rFonts w:ascii="Arial" w:hAnsi="Arial" w:cs="Arial"/>
                <w:color w:val="auto"/>
                <w:sz w:val="20"/>
                <w:szCs w:val="20"/>
              </w:rPr>
              <w:t xml:space="preserve"> March 2018</w:t>
            </w:r>
          </w:p>
          <w:p w:rsidR="003064E3" w:rsidRPr="00E3736E" w:rsidRDefault="003064E3" w:rsidP="00C2185B">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3736E">
              <w:rPr>
                <w:rFonts w:ascii="Arial" w:hAnsi="Arial" w:cs="Arial"/>
                <w:color w:val="auto"/>
                <w:sz w:val="20"/>
                <w:szCs w:val="20"/>
              </w:rPr>
              <w:t>£m</w:t>
            </w:r>
          </w:p>
        </w:tc>
      </w:tr>
      <w:tr w:rsidR="00E3736E" w:rsidRPr="0005794A" w:rsidTr="00D4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4.6</w:t>
            </w:r>
          </w:p>
        </w:tc>
        <w:tc>
          <w:tcPr>
            <w:cnfStyle w:val="000010000000" w:firstRow="0" w:lastRow="0" w:firstColumn="0" w:lastColumn="0" w:oddVBand="1" w:evenVBand="0" w:oddHBand="0" w:evenHBand="0" w:firstRowFirstColumn="0" w:firstRowLastColumn="0" w:lastRowFirstColumn="0" w:lastRowLastColumn="0"/>
            <w:tcW w:w="3502" w:type="dxa"/>
          </w:tcPr>
          <w:p w:rsidR="00E3736E" w:rsidRPr="00E3736E" w:rsidRDefault="00E3736E" w:rsidP="00C2185B">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General Fund Reserve</w:t>
            </w:r>
          </w:p>
        </w:tc>
        <w:tc>
          <w:tcPr>
            <w:tcW w:w="1328" w:type="dxa"/>
          </w:tcPr>
          <w:p w:rsidR="00E3736E" w:rsidRPr="0050394E" w:rsidRDefault="00E3736E" w:rsidP="0020346F">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highlight w:val="yellow"/>
              </w:rPr>
            </w:pPr>
            <w:r w:rsidRPr="0050394E">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5" w:type="dxa"/>
          </w:tcPr>
          <w:p w:rsidR="00E3736E" w:rsidRPr="00983A20" w:rsidRDefault="00983A20" w:rsidP="0020346F">
            <w:pPr>
              <w:pStyle w:val="ExampleSub"/>
              <w:keepNext w:val="0"/>
              <w:keepLines w:val="0"/>
              <w:ind w:left="0"/>
              <w:jc w:val="center"/>
              <w:rPr>
                <w:rFonts w:ascii="Arial" w:hAnsi="Arial" w:cs="Arial"/>
                <w:bCs w:val="0"/>
                <w:color w:val="auto"/>
                <w:sz w:val="20"/>
                <w:szCs w:val="20"/>
              </w:rPr>
            </w:pPr>
            <w:r w:rsidRPr="00983A20">
              <w:rPr>
                <w:rFonts w:ascii="Arial" w:hAnsi="Arial" w:cs="Arial"/>
                <w:bCs w:val="0"/>
                <w:color w:val="auto"/>
                <w:sz w:val="20"/>
                <w:szCs w:val="20"/>
              </w:rPr>
              <w:t>0</w:t>
            </w:r>
          </w:p>
        </w:tc>
        <w:tc>
          <w:tcPr>
            <w:tcW w:w="1276" w:type="dxa"/>
          </w:tcPr>
          <w:p w:rsidR="00E3736E" w:rsidRPr="00983A20" w:rsidRDefault="00983A20" w:rsidP="00983A20">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983A20">
              <w:rPr>
                <w:rFonts w:ascii="Arial" w:hAnsi="Arial" w:cs="Arial"/>
                <w:bCs w:val="0"/>
                <w:color w:val="auto"/>
                <w:sz w:val="20"/>
                <w:szCs w:val="20"/>
              </w:rPr>
              <w:t>4.6</w:t>
            </w:r>
          </w:p>
        </w:tc>
      </w:tr>
      <w:tr w:rsidR="00E3736E" w:rsidRPr="0005794A" w:rsidTr="00D4089F">
        <w:tc>
          <w:tcPr>
            <w:cnfStyle w:val="001000000000" w:firstRow="0" w:lastRow="0" w:firstColumn="1" w:lastColumn="0" w:oddVBand="0" w:evenVBand="0" w:oddHBand="0" w:evenHBand="0" w:firstRowFirstColumn="0" w:firstRowLastColumn="0" w:lastRowFirstColumn="0" w:lastRowLastColumn="0"/>
            <w:tcW w:w="126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23.0</w:t>
            </w:r>
          </w:p>
        </w:tc>
        <w:tc>
          <w:tcPr>
            <w:cnfStyle w:val="000010000000" w:firstRow="0" w:lastRow="0" w:firstColumn="0" w:lastColumn="0" w:oddVBand="1" w:evenVBand="0" w:oddHBand="0" w:evenHBand="0" w:firstRowFirstColumn="0" w:firstRowLastColumn="0" w:lastRowFirstColumn="0" w:lastRowLastColumn="0"/>
            <w:tcW w:w="3502" w:type="dxa"/>
          </w:tcPr>
          <w:p w:rsidR="00E3736E" w:rsidRPr="00E3736E" w:rsidRDefault="00E3736E" w:rsidP="00580843">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Earmarked Reserves</w:t>
            </w:r>
          </w:p>
        </w:tc>
        <w:tc>
          <w:tcPr>
            <w:tcW w:w="1328" w:type="dxa"/>
          </w:tcPr>
          <w:p w:rsidR="00E3736E" w:rsidRPr="0050394E" w:rsidRDefault="00E3736E" w:rsidP="00661F5C">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highlight w:val="yellow"/>
              </w:rPr>
            </w:pPr>
            <w:r w:rsidRPr="0050394E">
              <w:rPr>
                <w:rFonts w:ascii="Arial" w:hAnsi="Arial" w:cs="Arial"/>
                <w:b w:val="0"/>
                <w:bCs w:val="0"/>
                <w:color w:val="auto"/>
                <w:sz w:val="20"/>
                <w:szCs w:val="20"/>
              </w:rPr>
              <w:t>10</w:t>
            </w:r>
          </w:p>
        </w:tc>
        <w:tc>
          <w:tcPr>
            <w:cnfStyle w:val="000010000000" w:firstRow="0" w:lastRow="0" w:firstColumn="0" w:lastColumn="0" w:oddVBand="1" w:evenVBand="0" w:oddHBand="0" w:evenHBand="0" w:firstRowFirstColumn="0" w:firstRowLastColumn="0" w:lastRowFirstColumn="0" w:lastRowLastColumn="0"/>
            <w:tcW w:w="1275" w:type="dxa"/>
          </w:tcPr>
          <w:p w:rsidR="00E3736E" w:rsidRPr="00983A20" w:rsidRDefault="00271248" w:rsidP="00271248">
            <w:pPr>
              <w:pStyle w:val="ExampleSub"/>
              <w:keepNext w:val="0"/>
              <w:keepLines w:val="0"/>
              <w:ind w:left="0"/>
              <w:jc w:val="center"/>
              <w:rPr>
                <w:rFonts w:ascii="Arial" w:hAnsi="Arial" w:cs="Arial"/>
                <w:bCs w:val="0"/>
                <w:color w:val="auto"/>
                <w:sz w:val="20"/>
                <w:szCs w:val="20"/>
              </w:rPr>
            </w:pPr>
            <w:r>
              <w:rPr>
                <w:rFonts w:ascii="Arial" w:hAnsi="Arial" w:cs="Arial"/>
                <w:bCs w:val="0"/>
                <w:color w:val="auto"/>
                <w:sz w:val="20"/>
                <w:szCs w:val="20"/>
              </w:rPr>
              <w:t>2.1</w:t>
            </w:r>
          </w:p>
        </w:tc>
        <w:tc>
          <w:tcPr>
            <w:tcW w:w="1276" w:type="dxa"/>
          </w:tcPr>
          <w:p w:rsidR="00E3736E" w:rsidRPr="00983A20" w:rsidRDefault="00983A20" w:rsidP="0027124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983A20">
              <w:rPr>
                <w:rFonts w:ascii="Arial" w:hAnsi="Arial" w:cs="Arial"/>
                <w:bCs w:val="0"/>
                <w:color w:val="auto"/>
                <w:sz w:val="20"/>
                <w:szCs w:val="20"/>
              </w:rPr>
              <w:t>2</w:t>
            </w:r>
            <w:r w:rsidR="00271248">
              <w:rPr>
                <w:rFonts w:ascii="Arial" w:hAnsi="Arial" w:cs="Arial"/>
                <w:bCs w:val="0"/>
                <w:color w:val="auto"/>
                <w:sz w:val="20"/>
                <w:szCs w:val="20"/>
              </w:rPr>
              <w:t>5.1</w:t>
            </w:r>
          </w:p>
        </w:tc>
      </w:tr>
      <w:tr w:rsidR="00E3736E" w:rsidRPr="0005794A" w:rsidTr="00D4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2.1</w:t>
            </w:r>
          </w:p>
        </w:tc>
        <w:tc>
          <w:tcPr>
            <w:cnfStyle w:val="000010000000" w:firstRow="0" w:lastRow="0" w:firstColumn="0" w:lastColumn="0" w:oddVBand="1" w:evenVBand="0" w:oddHBand="0" w:evenHBand="0" w:firstRowFirstColumn="0" w:firstRowLastColumn="0" w:lastRowFirstColumn="0" w:lastRowLastColumn="0"/>
            <w:tcW w:w="3502" w:type="dxa"/>
          </w:tcPr>
          <w:p w:rsidR="00E3736E" w:rsidRPr="00E3736E" w:rsidRDefault="00E3736E" w:rsidP="00C2185B">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Usable Capital Receipts  Reserve</w:t>
            </w:r>
          </w:p>
        </w:tc>
        <w:tc>
          <w:tcPr>
            <w:tcW w:w="1328" w:type="dxa"/>
          </w:tcPr>
          <w:p w:rsidR="00E3736E" w:rsidRPr="0050394E" w:rsidRDefault="00E3736E" w:rsidP="00C12934">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highlight w:val="yellow"/>
              </w:rPr>
            </w:pPr>
            <w:r w:rsidRPr="0050394E">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5" w:type="dxa"/>
          </w:tcPr>
          <w:p w:rsidR="00E3736E" w:rsidRPr="00983A20" w:rsidRDefault="00983A20" w:rsidP="00795CAE">
            <w:pPr>
              <w:pStyle w:val="ExampleSub"/>
              <w:keepNext w:val="0"/>
              <w:keepLines w:val="0"/>
              <w:ind w:left="0"/>
              <w:jc w:val="center"/>
              <w:rPr>
                <w:rFonts w:ascii="Arial" w:hAnsi="Arial" w:cs="Arial"/>
                <w:bCs w:val="0"/>
                <w:color w:val="auto"/>
                <w:sz w:val="20"/>
                <w:szCs w:val="20"/>
              </w:rPr>
            </w:pPr>
            <w:r w:rsidRPr="00983A20">
              <w:rPr>
                <w:rFonts w:ascii="Arial" w:hAnsi="Arial" w:cs="Arial"/>
                <w:bCs w:val="0"/>
                <w:color w:val="auto"/>
                <w:sz w:val="20"/>
                <w:szCs w:val="20"/>
              </w:rPr>
              <w:t>0.</w:t>
            </w:r>
            <w:r w:rsidR="00795CAE">
              <w:rPr>
                <w:rFonts w:ascii="Arial" w:hAnsi="Arial" w:cs="Arial"/>
                <w:bCs w:val="0"/>
                <w:color w:val="auto"/>
                <w:sz w:val="20"/>
                <w:szCs w:val="20"/>
              </w:rPr>
              <w:t>7</w:t>
            </w:r>
          </w:p>
        </w:tc>
        <w:tc>
          <w:tcPr>
            <w:tcW w:w="1276" w:type="dxa"/>
          </w:tcPr>
          <w:p w:rsidR="00E3736E" w:rsidRPr="00983A20" w:rsidRDefault="00983A20" w:rsidP="00795CA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983A20">
              <w:rPr>
                <w:rFonts w:ascii="Arial" w:hAnsi="Arial" w:cs="Arial"/>
                <w:bCs w:val="0"/>
                <w:color w:val="auto"/>
                <w:sz w:val="20"/>
                <w:szCs w:val="20"/>
              </w:rPr>
              <w:t>2.</w:t>
            </w:r>
            <w:r w:rsidR="00795CAE">
              <w:rPr>
                <w:rFonts w:ascii="Arial" w:hAnsi="Arial" w:cs="Arial"/>
                <w:bCs w:val="0"/>
                <w:color w:val="auto"/>
                <w:sz w:val="20"/>
                <w:szCs w:val="20"/>
              </w:rPr>
              <w:t>8</w:t>
            </w:r>
          </w:p>
        </w:tc>
      </w:tr>
      <w:tr w:rsidR="00E3736E" w:rsidRPr="0005794A" w:rsidTr="00D4089F">
        <w:tc>
          <w:tcPr>
            <w:cnfStyle w:val="001000000000" w:firstRow="0" w:lastRow="0" w:firstColumn="1" w:lastColumn="0" w:oddVBand="0" w:evenVBand="0" w:oddHBand="0" w:evenHBand="0" w:firstRowFirstColumn="0" w:firstRowLastColumn="0" w:lastRowFirstColumn="0" w:lastRowLastColumn="0"/>
            <w:tcW w:w="126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7.2</w:t>
            </w:r>
          </w:p>
        </w:tc>
        <w:tc>
          <w:tcPr>
            <w:cnfStyle w:val="000010000000" w:firstRow="0" w:lastRow="0" w:firstColumn="0" w:lastColumn="0" w:oddVBand="1" w:evenVBand="0" w:oddHBand="0" w:evenHBand="0" w:firstRowFirstColumn="0" w:firstRowLastColumn="0" w:lastRowFirstColumn="0" w:lastRowLastColumn="0"/>
            <w:tcW w:w="3502" w:type="dxa"/>
          </w:tcPr>
          <w:p w:rsidR="00E3736E" w:rsidRPr="00E3736E" w:rsidRDefault="00E3736E" w:rsidP="00C2185B">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Capital Grants &amp; Contributions Unapplied</w:t>
            </w:r>
          </w:p>
        </w:tc>
        <w:tc>
          <w:tcPr>
            <w:tcW w:w="1328" w:type="dxa"/>
          </w:tcPr>
          <w:p w:rsidR="00E3736E" w:rsidRPr="0050394E" w:rsidRDefault="00E3736E" w:rsidP="003558B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highlight w:val="yellow"/>
              </w:rPr>
            </w:pPr>
            <w:r w:rsidRPr="0050394E">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5" w:type="dxa"/>
          </w:tcPr>
          <w:p w:rsidR="00E3736E" w:rsidRPr="00983A20" w:rsidRDefault="00983A20" w:rsidP="003558B1">
            <w:pPr>
              <w:pStyle w:val="ExampleSub"/>
              <w:keepNext w:val="0"/>
              <w:keepLines w:val="0"/>
              <w:ind w:left="0"/>
              <w:jc w:val="center"/>
              <w:rPr>
                <w:rFonts w:ascii="Arial" w:hAnsi="Arial" w:cs="Arial"/>
                <w:bCs w:val="0"/>
                <w:color w:val="auto"/>
                <w:sz w:val="20"/>
                <w:szCs w:val="20"/>
              </w:rPr>
            </w:pPr>
            <w:r w:rsidRPr="00983A20">
              <w:rPr>
                <w:rFonts w:ascii="Arial" w:hAnsi="Arial" w:cs="Arial"/>
                <w:bCs w:val="0"/>
                <w:color w:val="auto"/>
                <w:sz w:val="20"/>
                <w:szCs w:val="20"/>
              </w:rPr>
              <w:t>1.9</w:t>
            </w:r>
          </w:p>
        </w:tc>
        <w:tc>
          <w:tcPr>
            <w:tcW w:w="1276" w:type="dxa"/>
          </w:tcPr>
          <w:p w:rsidR="00E3736E" w:rsidRPr="00983A20" w:rsidRDefault="00983A20" w:rsidP="003B79FC">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983A20">
              <w:rPr>
                <w:rFonts w:ascii="Arial" w:hAnsi="Arial" w:cs="Arial"/>
                <w:bCs w:val="0"/>
                <w:color w:val="auto"/>
                <w:sz w:val="20"/>
                <w:szCs w:val="20"/>
              </w:rPr>
              <w:t>9.1</w:t>
            </w:r>
          </w:p>
        </w:tc>
      </w:tr>
      <w:tr w:rsidR="00E3736E" w:rsidRPr="0005794A" w:rsidTr="00D40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36.9</w:t>
            </w:r>
          </w:p>
        </w:tc>
        <w:tc>
          <w:tcPr>
            <w:cnfStyle w:val="000010000000" w:firstRow="0" w:lastRow="0" w:firstColumn="0" w:lastColumn="0" w:oddVBand="1" w:evenVBand="0" w:oddHBand="0" w:evenHBand="0" w:firstRowFirstColumn="0" w:firstRowLastColumn="0" w:lastRowFirstColumn="0" w:lastRowLastColumn="0"/>
            <w:tcW w:w="3502" w:type="dxa"/>
          </w:tcPr>
          <w:p w:rsidR="00E3736E" w:rsidRPr="00E3736E" w:rsidRDefault="00E3736E" w:rsidP="00C2185B">
            <w:pPr>
              <w:pStyle w:val="ExampleSub"/>
              <w:keepNext w:val="0"/>
              <w:keepLines w:val="0"/>
              <w:ind w:left="0"/>
              <w:rPr>
                <w:rFonts w:ascii="Arial" w:hAnsi="Arial" w:cs="Arial"/>
                <w:bCs w:val="0"/>
                <w:color w:val="auto"/>
                <w:sz w:val="20"/>
                <w:szCs w:val="20"/>
              </w:rPr>
            </w:pPr>
            <w:r w:rsidRPr="00E3736E">
              <w:rPr>
                <w:rFonts w:ascii="Arial" w:hAnsi="Arial" w:cs="Arial"/>
                <w:bCs w:val="0"/>
                <w:color w:val="auto"/>
                <w:sz w:val="20"/>
                <w:szCs w:val="20"/>
              </w:rPr>
              <w:t>Total Usable Reserves</w:t>
            </w:r>
          </w:p>
        </w:tc>
        <w:tc>
          <w:tcPr>
            <w:tcW w:w="1328" w:type="dxa"/>
          </w:tcPr>
          <w:p w:rsidR="00E3736E" w:rsidRPr="0005794A" w:rsidRDefault="00E3736E" w:rsidP="003558B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1275" w:type="dxa"/>
          </w:tcPr>
          <w:p w:rsidR="00E3736E" w:rsidRPr="00983A20" w:rsidRDefault="00983A20" w:rsidP="00795CAE">
            <w:pPr>
              <w:pStyle w:val="ExampleSub"/>
              <w:keepNext w:val="0"/>
              <w:keepLines w:val="0"/>
              <w:ind w:left="0"/>
              <w:jc w:val="center"/>
              <w:rPr>
                <w:rFonts w:ascii="Arial" w:hAnsi="Arial" w:cs="Arial"/>
                <w:bCs w:val="0"/>
                <w:color w:val="auto"/>
                <w:sz w:val="20"/>
                <w:szCs w:val="20"/>
              </w:rPr>
            </w:pPr>
            <w:r w:rsidRPr="00983A20">
              <w:rPr>
                <w:rFonts w:ascii="Arial" w:hAnsi="Arial" w:cs="Arial"/>
                <w:bCs w:val="0"/>
                <w:color w:val="auto"/>
                <w:sz w:val="20"/>
                <w:szCs w:val="20"/>
              </w:rPr>
              <w:t>4.</w:t>
            </w:r>
            <w:r w:rsidR="00795CAE">
              <w:rPr>
                <w:rFonts w:ascii="Arial" w:hAnsi="Arial" w:cs="Arial"/>
                <w:bCs w:val="0"/>
                <w:color w:val="auto"/>
                <w:sz w:val="20"/>
                <w:szCs w:val="20"/>
              </w:rPr>
              <w:t>7</w:t>
            </w:r>
          </w:p>
        </w:tc>
        <w:tc>
          <w:tcPr>
            <w:tcW w:w="1276" w:type="dxa"/>
          </w:tcPr>
          <w:p w:rsidR="00E3736E" w:rsidRPr="00983A20" w:rsidRDefault="00983A20" w:rsidP="00795CA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983A20">
              <w:rPr>
                <w:rFonts w:ascii="Arial" w:hAnsi="Arial" w:cs="Arial"/>
                <w:bCs w:val="0"/>
                <w:color w:val="auto"/>
                <w:sz w:val="20"/>
                <w:szCs w:val="20"/>
              </w:rPr>
              <w:t>41.</w:t>
            </w:r>
            <w:r w:rsidR="00795CAE">
              <w:rPr>
                <w:rFonts w:ascii="Arial" w:hAnsi="Arial" w:cs="Arial"/>
                <w:bCs w:val="0"/>
                <w:color w:val="auto"/>
                <w:sz w:val="20"/>
                <w:szCs w:val="20"/>
              </w:rPr>
              <w:t>6</w:t>
            </w:r>
          </w:p>
        </w:tc>
      </w:tr>
    </w:tbl>
    <w:p w:rsidR="00E51139" w:rsidRPr="0005794A" w:rsidRDefault="003C7AC7" w:rsidP="00A809DE">
      <w:pPr>
        <w:pStyle w:val="ExampleText"/>
        <w:ind w:left="0"/>
        <w:rPr>
          <w:rFonts w:ascii="Arial" w:hAnsi="Arial" w:cs="Arial"/>
          <w:color w:val="548DD4" w:themeColor="text2" w:themeTint="99"/>
        </w:rPr>
      </w:pPr>
      <w:r w:rsidRPr="0005794A">
        <w:rPr>
          <w:rFonts w:ascii="Arial" w:hAnsi="Arial" w:cs="Arial"/>
          <w:color w:val="548DD4" w:themeColor="text2" w:themeTint="99"/>
        </w:rPr>
        <w:tab/>
      </w:r>
      <w:r w:rsidR="00E51139" w:rsidRPr="0005794A">
        <w:rPr>
          <w:rFonts w:ascii="Arial" w:hAnsi="Arial" w:cs="Arial"/>
          <w:color w:val="548DD4" w:themeColor="text2" w:themeTint="99"/>
        </w:rPr>
        <w:t xml:space="preserve"> </w:t>
      </w:r>
    </w:p>
    <w:p w:rsidR="00E51139" w:rsidRPr="00E3736E" w:rsidRDefault="00E51139" w:rsidP="00D4089F">
      <w:pPr>
        <w:pStyle w:val="Subtitle"/>
        <w:ind w:left="567" w:hanging="567"/>
        <w:rPr>
          <w:b/>
          <w:color w:val="auto"/>
          <w:sz w:val="22"/>
          <w:szCs w:val="22"/>
        </w:rPr>
      </w:pPr>
      <w:r w:rsidRPr="00024C29">
        <w:rPr>
          <w:b/>
          <w:color w:val="auto"/>
          <w:sz w:val="22"/>
          <w:szCs w:val="22"/>
        </w:rPr>
        <w:t>2</w:t>
      </w:r>
      <w:r w:rsidR="00CD0754" w:rsidRPr="00024C29">
        <w:rPr>
          <w:b/>
          <w:color w:val="auto"/>
          <w:sz w:val="22"/>
          <w:szCs w:val="22"/>
        </w:rPr>
        <w:t>6</w:t>
      </w:r>
      <w:r w:rsidRPr="00024C29">
        <w:rPr>
          <w:b/>
          <w:color w:val="auto"/>
          <w:sz w:val="22"/>
          <w:szCs w:val="22"/>
        </w:rPr>
        <w:t>.</w:t>
      </w:r>
      <w:r w:rsidRPr="00024C29">
        <w:rPr>
          <w:b/>
          <w:color w:val="auto"/>
          <w:sz w:val="22"/>
          <w:szCs w:val="22"/>
        </w:rPr>
        <w:tab/>
        <w:t>Unusable Reserves</w:t>
      </w:r>
    </w:p>
    <w:p w:rsidR="003C7AC7" w:rsidRDefault="003C7AC7" w:rsidP="003C7AC7">
      <w:pPr>
        <w:pStyle w:val="BodyText"/>
        <w:ind w:left="567"/>
        <w:rPr>
          <w:rFonts w:eastAsia="Times New Roman" w:cs="Arial"/>
          <w:color w:val="auto"/>
          <w:sz w:val="20"/>
          <w:szCs w:val="20"/>
          <w:lang w:eastAsia="en-GB"/>
        </w:rPr>
      </w:pPr>
      <w:r w:rsidRPr="00E3736E">
        <w:rPr>
          <w:rFonts w:eastAsia="Times New Roman" w:cs="Arial"/>
          <w:color w:val="auto"/>
          <w:sz w:val="20"/>
          <w:szCs w:val="20"/>
          <w:lang w:eastAsia="en-GB"/>
        </w:rPr>
        <w:t>Movements in the Council’s unusable reserves are detailed in the Movement in Reserves Statement and each reserve is shown in the table below</w:t>
      </w:r>
      <w:r w:rsidR="00EC29EC" w:rsidRPr="00E3736E">
        <w:rPr>
          <w:rFonts w:eastAsia="Times New Roman" w:cs="Arial"/>
          <w:color w:val="auto"/>
          <w:sz w:val="20"/>
          <w:szCs w:val="20"/>
          <w:lang w:eastAsia="en-GB"/>
        </w:rPr>
        <w:t>. A full description of each reserve is available in the glossary</w:t>
      </w:r>
      <w:r w:rsidRPr="00E3736E">
        <w:rPr>
          <w:rFonts w:eastAsia="Times New Roman" w:cs="Arial"/>
          <w:color w:val="auto"/>
          <w:sz w:val="20"/>
          <w:szCs w:val="20"/>
          <w:lang w:eastAsia="en-GB"/>
        </w:rPr>
        <w:t>:</w:t>
      </w:r>
    </w:p>
    <w:p w:rsidR="0050394E" w:rsidRDefault="0050394E" w:rsidP="003C7AC7">
      <w:pPr>
        <w:pStyle w:val="BodyText"/>
        <w:ind w:left="567"/>
        <w:rPr>
          <w:rFonts w:eastAsia="Times New Roman" w:cs="Arial"/>
          <w:color w:val="auto"/>
          <w:sz w:val="20"/>
          <w:szCs w:val="20"/>
          <w:lang w:eastAsia="en-GB"/>
        </w:rPr>
      </w:pPr>
    </w:p>
    <w:p w:rsidR="0050394E" w:rsidRDefault="0050394E" w:rsidP="003C7AC7">
      <w:pPr>
        <w:pStyle w:val="BodyText"/>
        <w:ind w:left="567"/>
        <w:rPr>
          <w:rFonts w:eastAsia="Times New Roman" w:cs="Arial"/>
          <w:color w:val="auto"/>
          <w:sz w:val="20"/>
          <w:szCs w:val="20"/>
          <w:lang w:eastAsia="en-GB"/>
        </w:rPr>
      </w:pPr>
    </w:p>
    <w:p w:rsidR="0050394E" w:rsidRDefault="0050394E" w:rsidP="003C7AC7">
      <w:pPr>
        <w:pStyle w:val="BodyText"/>
        <w:ind w:left="567"/>
        <w:rPr>
          <w:rFonts w:eastAsia="Times New Roman" w:cs="Arial"/>
          <w:color w:val="auto"/>
          <w:sz w:val="20"/>
          <w:szCs w:val="20"/>
          <w:lang w:eastAsia="en-GB"/>
        </w:rPr>
      </w:pPr>
    </w:p>
    <w:p w:rsidR="0050394E" w:rsidRDefault="0050394E" w:rsidP="003C7AC7">
      <w:pPr>
        <w:pStyle w:val="BodyText"/>
        <w:ind w:left="567"/>
        <w:rPr>
          <w:rFonts w:eastAsia="Times New Roman" w:cs="Arial"/>
          <w:color w:val="auto"/>
          <w:sz w:val="20"/>
          <w:szCs w:val="20"/>
          <w:lang w:eastAsia="en-GB"/>
        </w:rPr>
      </w:pPr>
    </w:p>
    <w:p w:rsidR="0050394E" w:rsidRDefault="0050394E" w:rsidP="003C7AC7">
      <w:pPr>
        <w:pStyle w:val="BodyText"/>
        <w:ind w:left="567"/>
        <w:rPr>
          <w:rFonts w:eastAsia="Times New Roman" w:cs="Arial"/>
          <w:color w:val="auto"/>
          <w:sz w:val="20"/>
          <w:szCs w:val="20"/>
          <w:lang w:eastAsia="en-GB"/>
        </w:rPr>
      </w:pPr>
    </w:p>
    <w:p w:rsidR="0050394E" w:rsidRDefault="0050394E" w:rsidP="003C7AC7">
      <w:pPr>
        <w:pStyle w:val="BodyText"/>
        <w:ind w:left="567"/>
        <w:rPr>
          <w:rFonts w:eastAsia="Times New Roman" w:cs="Arial"/>
          <w:color w:val="auto"/>
          <w:sz w:val="20"/>
          <w:szCs w:val="20"/>
          <w:lang w:eastAsia="en-GB"/>
        </w:rPr>
      </w:pPr>
    </w:p>
    <w:p w:rsidR="0050394E" w:rsidRPr="00E3736E" w:rsidRDefault="0050394E" w:rsidP="003C7AC7">
      <w:pPr>
        <w:pStyle w:val="BodyText"/>
        <w:ind w:left="567"/>
        <w:rPr>
          <w:rFonts w:eastAsia="Times New Roman" w:cs="Arial"/>
          <w:color w:val="auto"/>
          <w:sz w:val="20"/>
          <w:szCs w:val="20"/>
          <w:lang w:eastAsia="en-GB"/>
        </w:rPr>
      </w:pPr>
    </w:p>
    <w:tbl>
      <w:tblPr>
        <w:tblStyle w:val="ListTable3-Accent51"/>
        <w:tblW w:w="9242" w:type="dxa"/>
        <w:tblInd w:w="392" w:type="dxa"/>
        <w:tblLayout w:type="fixed"/>
        <w:tblLook w:val="00A0" w:firstRow="1" w:lastRow="0" w:firstColumn="1" w:lastColumn="0" w:noHBand="0" w:noVBand="0"/>
      </w:tblPr>
      <w:tblGrid>
        <w:gridCol w:w="1276"/>
        <w:gridCol w:w="4110"/>
        <w:gridCol w:w="1418"/>
        <w:gridCol w:w="1276"/>
        <w:gridCol w:w="1162"/>
      </w:tblGrid>
      <w:tr w:rsidR="003C7AC7" w:rsidRPr="0005794A" w:rsidTr="002712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rsidR="003C7AC7" w:rsidRPr="00E3736E" w:rsidRDefault="003C7AC7" w:rsidP="003C7AC7">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lastRenderedPageBreak/>
              <w:t>31</w:t>
            </w:r>
            <w:r w:rsidRPr="00E3736E">
              <w:rPr>
                <w:rFonts w:ascii="Arial" w:hAnsi="Arial" w:cs="Arial"/>
                <w:color w:val="auto"/>
                <w:sz w:val="20"/>
                <w:szCs w:val="20"/>
                <w:vertAlign w:val="superscript"/>
              </w:rPr>
              <w:t>st</w:t>
            </w:r>
            <w:r w:rsidRPr="00E3736E">
              <w:rPr>
                <w:rFonts w:ascii="Arial" w:hAnsi="Arial" w:cs="Arial"/>
                <w:color w:val="auto"/>
                <w:sz w:val="20"/>
                <w:szCs w:val="20"/>
              </w:rPr>
              <w:t xml:space="preserve"> March 201</w:t>
            </w:r>
            <w:r w:rsidR="00E3736E" w:rsidRPr="00E3736E">
              <w:rPr>
                <w:rFonts w:ascii="Arial" w:hAnsi="Arial" w:cs="Arial"/>
                <w:color w:val="auto"/>
                <w:sz w:val="20"/>
                <w:szCs w:val="20"/>
              </w:rPr>
              <w:t>7</w:t>
            </w:r>
          </w:p>
          <w:p w:rsidR="00150724" w:rsidRPr="00E3736E" w:rsidRDefault="00150724" w:rsidP="003C7AC7">
            <w:pPr>
              <w:pStyle w:val="ExampleSub"/>
              <w:keepNext w:val="0"/>
              <w:keepLines w:val="0"/>
              <w:ind w:left="0"/>
              <w:jc w:val="center"/>
              <w:rPr>
                <w:rFonts w:ascii="Arial" w:hAnsi="Arial" w:cs="Arial"/>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110" w:type="dxa"/>
          </w:tcPr>
          <w:p w:rsidR="003C7AC7" w:rsidRPr="00E3736E" w:rsidRDefault="003C7AC7" w:rsidP="003C7AC7">
            <w:pPr>
              <w:pStyle w:val="ExampleSub"/>
              <w:keepNext w:val="0"/>
              <w:keepLines w:val="0"/>
              <w:ind w:left="0"/>
              <w:rPr>
                <w:rFonts w:ascii="Arial" w:hAnsi="Arial" w:cs="Arial"/>
                <w:color w:val="auto"/>
                <w:sz w:val="20"/>
                <w:szCs w:val="20"/>
              </w:rPr>
            </w:pPr>
          </w:p>
        </w:tc>
        <w:tc>
          <w:tcPr>
            <w:tcW w:w="1418" w:type="dxa"/>
          </w:tcPr>
          <w:p w:rsidR="003C7AC7" w:rsidRPr="00E3736E" w:rsidRDefault="003C7AC7" w:rsidP="003C7AC7">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3736E">
              <w:rPr>
                <w:rFonts w:ascii="Arial" w:hAnsi="Arial" w:cs="Arial"/>
                <w:color w:val="auto"/>
                <w:sz w:val="20"/>
                <w:szCs w:val="20"/>
              </w:rPr>
              <w:t>For in year movements see Note:-</w:t>
            </w:r>
          </w:p>
        </w:tc>
        <w:tc>
          <w:tcPr>
            <w:cnfStyle w:val="000010000000" w:firstRow="0" w:lastRow="0" w:firstColumn="0" w:lastColumn="0" w:oddVBand="1" w:evenVBand="0" w:oddHBand="0" w:evenHBand="0" w:firstRowFirstColumn="0" w:firstRowLastColumn="0" w:lastRowFirstColumn="0" w:lastRowLastColumn="0"/>
            <w:tcW w:w="1276" w:type="dxa"/>
          </w:tcPr>
          <w:p w:rsidR="003C7AC7" w:rsidRPr="00E3736E" w:rsidRDefault="003C7AC7" w:rsidP="00A95188">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201</w:t>
            </w:r>
            <w:r w:rsidR="00E3736E" w:rsidRPr="00E3736E">
              <w:rPr>
                <w:rFonts w:ascii="Arial" w:hAnsi="Arial" w:cs="Arial"/>
                <w:color w:val="auto"/>
                <w:sz w:val="20"/>
                <w:szCs w:val="20"/>
              </w:rPr>
              <w:t>7</w:t>
            </w:r>
            <w:r w:rsidRPr="00E3736E">
              <w:rPr>
                <w:rFonts w:ascii="Arial" w:hAnsi="Arial" w:cs="Arial"/>
                <w:color w:val="auto"/>
                <w:sz w:val="20"/>
                <w:szCs w:val="20"/>
              </w:rPr>
              <w:t>/1</w:t>
            </w:r>
            <w:r w:rsidR="00E3736E" w:rsidRPr="00E3736E">
              <w:rPr>
                <w:rFonts w:ascii="Arial" w:hAnsi="Arial" w:cs="Arial"/>
                <w:color w:val="auto"/>
                <w:sz w:val="20"/>
                <w:szCs w:val="20"/>
              </w:rPr>
              <w:t>8</w:t>
            </w:r>
            <w:r w:rsidRPr="00E3736E">
              <w:rPr>
                <w:rFonts w:ascii="Arial" w:hAnsi="Arial" w:cs="Arial"/>
                <w:color w:val="auto"/>
                <w:sz w:val="20"/>
                <w:szCs w:val="20"/>
              </w:rPr>
              <w:t xml:space="preserve"> movement</w:t>
            </w:r>
          </w:p>
        </w:tc>
        <w:tc>
          <w:tcPr>
            <w:tcW w:w="1162" w:type="dxa"/>
          </w:tcPr>
          <w:p w:rsidR="003C7AC7" w:rsidRPr="00E3736E" w:rsidRDefault="003C7AC7" w:rsidP="00436163">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E3736E">
              <w:rPr>
                <w:rFonts w:ascii="Arial" w:hAnsi="Arial" w:cs="Arial"/>
                <w:color w:val="auto"/>
                <w:sz w:val="20"/>
                <w:szCs w:val="20"/>
              </w:rPr>
              <w:t>31</w:t>
            </w:r>
            <w:r w:rsidRPr="00E3736E">
              <w:rPr>
                <w:rFonts w:ascii="Arial" w:hAnsi="Arial" w:cs="Arial"/>
                <w:color w:val="auto"/>
                <w:sz w:val="20"/>
                <w:szCs w:val="20"/>
                <w:vertAlign w:val="superscript"/>
              </w:rPr>
              <w:t>st</w:t>
            </w:r>
            <w:r w:rsidRPr="00E3736E">
              <w:rPr>
                <w:rFonts w:ascii="Arial" w:hAnsi="Arial" w:cs="Arial"/>
                <w:color w:val="auto"/>
                <w:sz w:val="20"/>
                <w:szCs w:val="20"/>
              </w:rPr>
              <w:t xml:space="preserve">  March 201</w:t>
            </w:r>
            <w:r w:rsidR="00E3736E" w:rsidRPr="00E3736E">
              <w:rPr>
                <w:rFonts w:ascii="Arial" w:hAnsi="Arial" w:cs="Arial"/>
                <w:color w:val="auto"/>
                <w:sz w:val="20"/>
                <w:szCs w:val="20"/>
              </w:rPr>
              <w:t>8</w:t>
            </w:r>
          </w:p>
        </w:tc>
      </w:tr>
      <w:tr w:rsidR="003C7AC7" w:rsidRPr="0005794A" w:rsidTr="00271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4BACC6" w:themeFill="accent5"/>
          </w:tcPr>
          <w:p w:rsidR="003C7AC7" w:rsidRPr="00E3736E" w:rsidRDefault="003C7AC7" w:rsidP="003C7AC7">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110" w:type="dxa"/>
            <w:shd w:val="clear" w:color="auto" w:fill="4BACC6" w:themeFill="accent5"/>
          </w:tcPr>
          <w:p w:rsidR="003C7AC7" w:rsidRPr="00E3736E" w:rsidRDefault="003C7AC7" w:rsidP="003C7AC7">
            <w:pPr>
              <w:pStyle w:val="ExampleSub"/>
              <w:keepNext w:val="0"/>
              <w:keepLines w:val="0"/>
              <w:ind w:left="0"/>
              <w:rPr>
                <w:rFonts w:ascii="Arial" w:hAnsi="Arial" w:cs="Arial"/>
                <w:b w:val="0"/>
                <w:bCs w:val="0"/>
                <w:color w:val="auto"/>
                <w:sz w:val="20"/>
                <w:szCs w:val="20"/>
              </w:rPr>
            </w:pPr>
          </w:p>
        </w:tc>
        <w:tc>
          <w:tcPr>
            <w:tcW w:w="1418" w:type="dxa"/>
            <w:shd w:val="clear" w:color="auto" w:fill="4BACC6" w:themeFill="accent5"/>
          </w:tcPr>
          <w:p w:rsidR="003C7AC7" w:rsidRPr="00E3736E" w:rsidRDefault="003C7AC7"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3C7AC7" w:rsidRPr="00E3736E" w:rsidRDefault="003C7AC7" w:rsidP="003C7AC7">
            <w:pPr>
              <w:pStyle w:val="ExampleSub"/>
              <w:keepNext w:val="0"/>
              <w:keepLines w:val="0"/>
              <w:ind w:left="0"/>
              <w:jc w:val="center"/>
              <w:rPr>
                <w:rFonts w:ascii="Arial" w:hAnsi="Arial" w:cs="Arial"/>
                <w:bCs w:val="0"/>
                <w:color w:val="auto"/>
                <w:sz w:val="20"/>
                <w:szCs w:val="20"/>
              </w:rPr>
            </w:pPr>
            <w:r w:rsidRPr="00E3736E">
              <w:rPr>
                <w:rFonts w:ascii="Arial" w:hAnsi="Arial" w:cs="Arial"/>
                <w:bCs w:val="0"/>
                <w:color w:val="auto"/>
                <w:sz w:val="20"/>
                <w:szCs w:val="20"/>
              </w:rPr>
              <w:t>£m</w:t>
            </w:r>
          </w:p>
        </w:tc>
        <w:tc>
          <w:tcPr>
            <w:tcW w:w="1162" w:type="dxa"/>
            <w:shd w:val="clear" w:color="auto" w:fill="4BACC6" w:themeFill="accent5"/>
          </w:tcPr>
          <w:p w:rsidR="003C7AC7" w:rsidRPr="00E3736E" w:rsidRDefault="003C7AC7"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E3736E">
              <w:rPr>
                <w:rFonts w:ascii="Arial" w:hAnsi="Arial" w:cs="Arial"/>
                <w:bCs w:val="0"/>
                <w:color w:val="auto"/>
                <w:sz w:val="20"/>
                <w:szCs w:val="20"/>
              </w:rPr>
              <w:t>£m</w:t>
            </w:r>
          </w:p>
        </w:tc>
      </w:tr>
      <w:tr w:rsidR="00E3736E" w:rsidRPr="0005794A" w:rsidTr="00271248">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61.9</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7AC7">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Revaluation Reserve</w:t>
            </w:r>
          </w:p>
        </w:tc>
        <w:tc>
          <w:tcPr>
            <w:tcW w:w="1418" w:type="dxa"/>
          </w:tcPr>
          <w:p w:rsidR="00E3736E" w:rsidRPr="0005794A" w:rsidRDefault="00E3736E" w:rsidP="003C7AC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548DD4" w:themeColor="text2" w:themeTint="99"/>
                <w:sz w:val="20"/>
                <w:szCs w:val="20"/>
                <w:highlight w:val="yellow"/>
              </w:rPr>
            </w:pPr>
            <w:r w:rsidRPr="00271248">
              <w:rPr>
                <w:rFonts w:ascii="Arial" w:hAnsi="Arial" w:cs="Arial"/>
                <w:b w:val="0"/>
                <w:bCs w:val="0"/>
                <w:color w:val="auto"/>
                <w:sz w:val="20"/>
                <w:szCs w:val="20"/>
              </w:rPr>
              <w:t>26.1</w:t>
            </w:r>
          </w:p>
        </w:tc>
        <w:tc>
          <w:tcPr>
            <w:cnfStyle w:val="000010000000" w:firstRow="0" w:lastRow="0" w:firstColumn="0" w:lastColumn="0" w:oddVBand="1" w:evenVBand="0" w:oddHBand="0" w:evenHBand="0" w:firstRowFirstColumn="0" w:firstRowLastColumn="0" w:lastRowFirstColumn="0" w:lastRowLastColumn="0"/>
            <w:tcW w:w="1276" w:type="dxa"/>
          </w:tcPr>
          <w:p w:rsidR="00E3736E" w:rsidRPr="00024C29" w:rsidRDefault="00271248" w:rsidP="00DC10AE">
            <w:pPr>
              <w:pStyle w:val="ExampleSub"/>
              <w:keepNext w:val="0"/>
              <w:keepLines w:val="0"/>
              <w:ind w:left="0"/>
              <w:jc w:val="center"/>
              <w:rPr>
                <w:rFonts w:ascii="Arial" w:hAnsi="Arial" w:cs="Arial"/>
                <w:b w:val="0"/>
                <w:bCs w:val="0"/>
                <w:color w:val="auto"/>
                <w:sz w:val="20"/>
                <w:szCs w:val="20"/>
              </w:rPr>
            </w:pPr>
            <w:r>
              <w:rPr>
                <w:rFonts w:ascii="Arial" w:hAnsi="Arial" w:cs="Arial"/>
                <w:b w:val="0"/>
                <w:bCs w:val="0"/>
                <w:color w:val="auto"/>
                <w:sz w:val="20"/>
                <w:szCs w:val="20"/>
              </w:rPr>
              <w:t>9.8</w:t>
            </w:r>
          </w:p>
        </w:tc>
        <w:tc>
          <w:tcPr>
            <w:tcW w:w="1162" w:type="dxa"/>
          </w:tcPr>
          <w:p w:rsidR="00E3736E" w:rsidRPr="00024C29" w:rsidRDefault="00271248" w:rsidP="0027124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71.7</w:t>
            </w:r>
          </w:p>
        </w:tc>
      </w:tr>
      <w:tr w:rsidR="00E3736E" w:rsidRPr="0005794A" w:rsidTr="00271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102.9</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7AC7">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Capital Adjustment Account</w:t>
            </w:r>
          </w:p>
        </w:tc>
        <w:tc>
          <w:tcPr>
            <w:tcW w:w="1418" w:type="dxa"/>
          </w:tcPr>
          <w:p w:rsidR="00E3736E" w:rsidRPr="00271248" w:rsidRDefault="00E3736E"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highlight w:val="yellow"/>
              </w:rPr>
            </w:pPr>
            <w:r w:rsidRPr="0027124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6" w:type="dxa"/>
          </w:tcPr>
          <w:p w:rsidR="00E3736E" w:rsidRPr="00024C29" w:rsidRDefault="006D7388" w:rsidP="00795CAE">
            <w:pPr>
              <w:pStyle w:val="ExampleSub"/>
              <w:keepNext w:val="0"/>
              <w:keepLines w:val="0"/>
              <w:ind w:left="0"/>
              <w:jc w:val="center"/>
              <w:rPr>
                <w:rFonts w:ascii="Arial" w:hAnsi="Arial" w:cs="Arial"/>
                <w:b w:val="0"/>
                <w:bCs w:val="0"/>
                <w:color w:val="auto"/>
                <w:sz w:val="20"/>
                <w:szCs w:val="20"/>
              </w:rPr>
            </w:pPr>
            <w:r>
              <w:rPr>
                <w:rFonts w:ascii="Arial" w:hAnsi="Arial" w:cs="Arial"/>
                <w:b w:val="0"/>
                <w:bCs w:val="0"/>
                <w:color w:val="auto"/>
                <w:sz w:val="20"/>
                <w:szCs w:val="20"/>
              </w:rPr>
              <w:t>(1</w:t>
            </w:r>
            <w:r w:rsidR="00271248">
              <w:rPr>
                <w:rFonts w:ascii="Arial" w:hAnsi="Arial" w:cs="Arial"/>
                <w:b w:val="0"/>
                <w:bCs w:val="0"/>
                <w:color w:val="auto"/>
                <w:sz w:val="20"/>
                <w:szCs w:val="20"/>
              </w:rPr>
              <w:t>7.</w:t>
            </w:r>
            <w:r w:rsidR="00795CAE">
              <w:rPr>
                <w:rFonts w:ascii="Arial" w:hAnsi="Arial" w:cs="Arial"/>
                <w:b w:val="0"/>
                <w:bCs w:val="0"/>
                <w:color w:val="auto"/>
                <w:sz w:val="20"/>
                <w:szCs w:val="20"/>
              </w:rPr>
              <w:t>8</w:t>
            </w:r>
            <w:r>
              <w:rPr>
                <w:rFonts w:ascii="Arial" w:hAnsi="Arial" w:cs="Arial"/>
                <w:b w:val="0"/>
                <w:bCs w:val="0"/>
                <w:color w:val="auto"/>
                <w:sz w:val="20"/>
                <w:szCs w:val="20"/>
              </w:rPr>
              <w:t>)</w:t>
            </w:r>
          </w:p>
        </w:tc>
        <w:tc>
          <w:tcPr>
            <w:tcW w:w="1162" w:type="dxa"/>
          </w:tcPr>
          <w:p w:rsidR="00E3736E" w:rsidRPr="00024C29" w:rsidRDefault="00271248" w:rsidP="00795CAE">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85.</w:t>
            </w:r>
            <w:r w:rsidR="00795CAE">
              <w:rPr>
                <w:rFonts w:ascii="Arial" w:hAnsi="Arial" w:cs="Arial"/>
                <w:bCs w:val="0"/>
                <w:color w:val="auto"/>
                <w:sz w:val="20"/>
                <w:szCs w:val="20"/>
              </w:rPr>
              <w:t>1</w:t>
            </w:r>
          </w:p>
        </w:tc>
      </w:tr>
      <w:tr w:rsidR="00E3736E" w:rsidRPr="0005794A" w:rsidTr="00271248">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(0.2)</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7AC7">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Financial Instruments: Available for Sale</w:t>
            </w:r>
          </w:p>
        </w:tc>
        <w:tc>
          <w:tcPr>
            <w:tcW w:w="1418" w:type="dxa"/>
          </w:tcPr>
          <w:p w:rsidR="00E3736E" w:rsidRPr="00271248" w:rsidRDefault="00E3736E" w:rsidP="003C7AC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rsidR="00E3736E" w:rsidRPr="00024C29" w:rsidRDefault="00271248" w:rsidP="006D7388">
            <w:pPr>
              <w:pStyle w:val="ExampleSub"/>
              <w:keepNext w:val="0"/>
              <w:keepLines w:val="0"/>
              <w:ind w:left="0"/>
              <w:jc w:val="center"/>
              <w:rPr>
                <w:rFonts w:ascii="Arial" w:hAnsi="Arial" w:cs="Arial"/>
                <w:b w:val="0"/>
                <w:bCs w:val="0"/>
                <w:color w:val="auto"/>
                <w:sz w:val="20"/>
                <w:szCs w:val="20"/>
              </w:rPr>
            </w:pPr>
            <w:r>
              <w:rPr>
                <w:rFonts w:ascii="Arial" w:hAnsi="Arial" w:cs="Arial"/>
                <w:b w:val="0"/>
                <w:bCs w:val="0"/>
                <w:color w:val="auto"/>
                <w:sz w:val="20"/>
                <w:szCs w:val="20"/>
              </w:rPr>
              <w:t>0</w:t>
            </w:r>
          </w:p>
        </w:tc>
        <w:tc>
          <w:tcPr>
            <w:tcW w:w="1162" w:type="dxa"/>
          </w:tcPr>
          <w:p w:rsidR="00E3736E" w:rsidRPr="00024C29" w:rsidRDefault="00653F55" w:rsidP="0027124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024C29">
              <w:rPr>
                <w:rFonts w:ascii="Arial" w:hAnsi="Arial" w:cs="Arial"/>
                <w:bCs w:val="0"/>
                <w:color w:val="auto"/>
                <w:sz w:val="20"/>
                <w:szCs w:val="20"/>
              </w:rPr>
              <w:t>(0.</w:t>
            </w:r>
            <w:r w:rsidR="00271248">
              <w:rPr>
                <w:rFonts w:ascii="Arial" w:hAnsi="Arial" w:cs="Arial"/>
                <w:bCs w:val="0"/>
                <w:color w:val="auto"/>
                <w:sz w:val="20"/>
                <w:szCs w:val="20"/>
              </w:rPr>
              <w:t>2</w:t>
            </w:r>
            <w:r w:rsidRPr="00024C29">
              <w:rPr>
                <w:rFonts w:ascii="Arial" w:hAnsi="Arial" w:cs="Arial"/>
                <w:bCs w:val="0"/>
                <w:color w:val="auto"/>
                <w:sz w:val="20"/>
                <w:szCs w:val="20"/>
              </w:rPr>
              <w:t>)</w:t>
            </w:r>
          </w:p>
        </w:tc>
      </w:tr>
      <w:tr w:rsidR="00E3736E" w:rsidRPr="0005794A" w:rsidTr="00271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(211.7)</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595800">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Pensions Reserve (Funded and Unfunded)</w:t>
            </w:r>
          </w:p>
        </w:tc>
        <w:tc>
          <w:tcPr>
            <w:tcW w:w="1418" w:type="dxa"/>
          </w:tcPr>
          <w:p w:rsidR="00E3736E" w:rsidRPr="00271248" w:rsidRDefault="00E3736E"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highlight w:val="yellow"/>
              </w:rPr>
            </w:pPr>
            <w:r w:rsidRPr="0027124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6" w:type="dxa"/>
          </w:tcPr>
          <w:p w:rsidR="00E3736E" w:rsidRPr="00024C29" w:rsidRDefault="00024C29" w:rsidP="003C7AC7">
            <w:pPr>
              <w:pStyle w:val="ExampleSub"/>
              <w:keepNext w:val="0"/>
              <w:keepLines w:val="0"/>
              <w:ind w:left="0"/>
              <w:jc w:val="center"/>
              <w:rPr>
                <w:rFonts w:ascii="Arial" w:hAnsi="Arial" w:cs="Arial"/>
                <w:b w:val="0"/>
                <w:bCs w:val="0"/>
                <w:color w:val="auto"/>
                <w:sz w:val="20"/>
                <w:szCs w:val="20"/>
              </w:rPr>
            </w:pPr>
            <w:r>
              <w:rPr>
                <w:rFonts w:ascii="Arial" w:hAnsi="Arial" w:cs="Arial"/>
                <w:b w:val="0"/>
                <w:bCs w:val="0"/>
                <w:color w:val="auto"/>
                <w:sz w:val="20"/>
                <w:szCs w:val="20"/>
              </w:rPr>
              <w:t>16.8</w:t>
            </w:r>
          </w:p>
        </w:tc>
        <w:tc>
          <w:tcPr>
            <w:tcW w:w="1162" w:type="dxa"/>
          </w:tcPr>
          <w:p w:rsidR="00E3736E" w:rsidRPr="00024C29" w:rsidRDefault="00024C29"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(194.9)</w:t>
            </w:r>
          </w:p>
        </w:tc>
      </w:tr>
      <w:tr w:rsidR="00E3736E" w:rsidRPr="0005794A" w:rsidTr="00271248">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1.9</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7AC7">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Collection Fund Adjustment Account</w:t>
            </w:r>
          </w:p>
        </w:tc>
        <w:tc>
          <w:tcPr>
            <w:tcW w:w="1418" w:type="dxa"/>
          </w:tcPr>
          <w:p w:rsidR="00E3736E" w:rsidRPr="00271248" w:rsidRDefault="00E3736E" w:rsidP="003C7AC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highlight w:val="yellow"/>
              </w:rPr>
            </w:pPr>
            <w:r w:rsidRPr="0027124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6" w:type="dxa"/>
          </w:tcPr>
          <w:p w:rsidR="00E3736E" w:rsidRPr="00024C29" w:rsidRDefault="00653F55" w:rsidP="002C2493">
            <w:pPr>
              <w:pStyle w:val="ExampleSub"/>
              <w:keepNext w:val="0"/>
              <w:keepLines w:val="0"/>
              <w:ind w:left="0"/>
              <w:jc w:val="center"/>
              <w:rPr>
                <w:rFonts w:ascii="Arial" w:hAnsi="Arial" w:cs="Arial"/>
                <w:b w:val="0"/>
                <w:bCs w:val="0"/>
                <w:color w:val="auto"/>
                <w:sz w:val="20"/>
                <w:szCs w:val="20"/>
              </w:rPr>
            </w:pPr>
            <w:r w:rsidRPr="00024C29">
              <w:rPr>
                <w:rFonts w:ascii="Arial" w:hAnsi="Arial" w:cs="Arial"/>
                <w:b w:val="0"/>
                <w:bCs w:val="0"/>
                <w:color w:val="auto"/>
                <w:sz w:val="20"/>
                <w:szCs w:val="20"/>
              </w:rPr>
              <w:t>(0.</w:t>
            </w:r>
            <w:r w:rsidR="002C2493">
              <w:rPr>
                <w:rFonts w:ascii="Arial" w:hAnsi="Arial" w:cs="Arial"/>
                <w:b w:val="0"/>
                <w:bCs w:val="0"/>
                <w:color w:val="auto"/>
                <w:sz w:val="20"/>
                <w:szCs w:val="20"/>
              </w:rPr>
              <w:t>4</w:t>
            </w:r>
            <w:r w:rsidRPr="00024C29">
              <w:rPr>
                <w:rFonts w:ascii="Arial" w:hAnsi="Arial" w:cs="Arial"/>
                <w:b w:val="0"/>
                <w:bCs w:val="0"/>
                <w:color w:val="auto"/>
                <w:sz w:val="20"/>
                <w:szCs w:val="20"/>
              </w:rPr>
              <w:t>)</w:t>
            </w:r>
          </w:p>
        </w:tc>
        <w:tc>
          <w:tcPr>
            <w:tcW w:w="1162" w:type="dxa"/>
          </w:tcPr>
          <w:p w:rsidR="00E3736E" w:rsidRPr="00024C29" w:rsidRDefault="00653F55" w:rsidP="002C2493">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024C29">
              <w:rPr>
                <w:rFonts w:ascii="Arial" w:hAnsi="Arial" w:cs="Arial"/>
                <w:bCs w:val="0"/>
                <w:color w:val="auto"/>
                <w:sz w:val="20"/>
                <w:szCs w:val="20"/>
              </w:rPr>
              <w:t>1.</w:t>
            </w:r>
            <w:r w:rsidR="002C2493">
              <w:rPr>
                <w:rFonts w:ascii="Arial" w:hAnsi="Arial" w:cs="Arial"/>
                <w:bCs w:val="0"/>
                <w:color w:val="auto"/>
                <w:sz w:val="20"/>
                <w:szCs w:val="20"/>
              </w:rPr>
              <w:t>5</w:t>
            </w:r>
          </w:p>
        </w:tc>
      </w:tr>
      <w:tr w:rsidR="00E3736E" w:rsidRPr="0005794A" w:rsidTr="00271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(1.3)</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7AC7">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Accumulating Compensated Absences Adjustment Account</w:t>
            </w:r>
          </w:p>
        </w:tc>
        <w:tc>
          <w:tcPr>
            <w:tcW w:w="1418" w:type="dxa"/>
          </w:tcPr>
          <w:p w:rsidR="00E3736E" w:rsidRPr="00271248" w:rsidRDefault="00E3736E"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val="0"/>
                <w:bCs w:val="0"/>
                <w:color w:val="auto"/>
                <w:sz w:val="20"/>
                <w:szCs w:val="20"/>
                <w:highlight w:val="yellow"/>
              </w:rPr>
            </w:pPr>
            <w:r w:rsidRPr="00271248">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276" w:type="dxa"/>
          </w:tcPr>
          <w:p w:rsidR="00E3736E" w:rsidRPr="00024C29" w:rsidRDefault="00653F55" w:rsidP="003C7AC7">
            <w:pPr>
              <w:pStyle w:val="ExampleSub"/>
              <w:keepNext w:val="0"/>
              <w:keepLines w:val="0"/>
              <w:ind w:left="0"/>
              <w:jc w:val="center"/>
              <w:rPr>
                <w:rFonts w:ascii="Arial" w:hAnsi="Arial" w:cs="Arial"/>
                <w:b w:val="0"/>
                <w:bCs w:val="0"/>
                <w:color w:val="auto"/>
                <w:sz w:val="20"/>
                <w:szCs w:val="20"/>
              </w:rPr>
            </w:pPr>
            <w:r w:rsidRPr="00024C29">
              <w:rPr>
                <w:rFonts w:ascii="Arial" w:hAnsi="Arial" w:cs="Arial"/>
                <w:b w:val="0"/>
                <w:bCs w:val="0"/>
                <w:color w:val="auto"/>
                <w:sz w:val="20"/>
                <w:szCs w:val="20"/>
              </w:rPr>
              <w:t>0</w:t>
            </w:r>
          </w:p>
        </w:tc>
        <w:tc>
          <w:tcPr>
            <w:tcW w:w="1162" w:type="dxa"/>
          </w:tcPr>
          <w:p w:rsidR="00E3736E" w:rsidRPr="00024C29" w:rsidRDefault="00653F55" w:rsidP="003C7AC7">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024C29">
              <w:rPr>
                <w:rFonts w:ascii="Arial" w:hAnsi="Arial" w:cs="Arial"/>
                <w:bCs w:val="0"/>
                <w:color w:val="auto"/>
                <w:sz w:val="20"/>
                <w:szCs w:val="20"/>
              </w:rPr>
              <w:t>(1.3)</w:t>
            </w:r>
          </w:p>
        </w:tc>
      </w:tr>
      <w:tr w:rsidR="00E3736E" w:rsidRPr="0005794A" w:rsidTr="00271248">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(46.5)</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7AC7">
            <w:pPr>
              <w:pStyle w:val="ExampleSub"/>
              <w:keepNext w:val="0"/>
              <w:keepLines w:val="0"/>
              <w:ind w:left="0"/>
              <w:rPr>
                <w:rFonts w:ascii="Arial" w:hAnsi="Arial" w:cs="Arial"/>
                <w:bCs w:val="0"/>
                <w:color w:val="auto"/>
                <w:sz w:val="20"/>
                <w:szCs w:val="20"/>
              </w:rPr>
            </w:pPr>
            <w:r w:rsidRPr="00E3736E">
              <w:rPr>
                <w:rFonts w:ascii="Arial" w:hAnsi="Arial" w:cs="Arial"/>
                <w:bCs w:val="0"/>
                <w:color w:val="auto"/>
                <w:sz w:val="20"/>
                <w:szCs w:val="20"/>
              </w:rPr>
              <w:t>Total Unusable Reserves</w:t>
            </w:r>
          </w:p>
        </w:tc>
        <w:tc>
          <w:tcPr>
            <w:tcW w:w="1418" w:type="dxa"/>
          </w:tcPr>
          <w:p w:rsidR="00E3736E" w:rsidRPr="0005794A" w:rsidRDefault="00E3736E" w:rsidP="003C7AC7">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Pr>
          <w:p w:rsidR="00E3736E" w:rsidRPr="00024C29" w:rsidRDefault="00271248" w:rsidP="00795CAE">
            <w:pPr>
              <w:pStyle w:val="ExampleSub"/>
              <w:keepNext w:val="0"/>
              <w:keepLines w:val="0"/>
              <w:ind w:left="0"/>
              <w:jc w:val="center"/>
              <w:rPr>
                <w:rFonts w:ascii="Arial" w:hAnsi="Arial" w:cs="Arial"/>
                <w:b w:val="0"/>
                <w:bCs w:val="0"/>
                <w:color w:val="auto"/>
                <w:sz w:val="20"/>
                <w:szCs w:val="20"/>
              </w:rPr>
            </w:pPr>
            <w:r>
              <w:rPr>
                <w:rFonts w:ascii="Arial" w:hAnsi="Arial" w:cs="Arial"/>
                <w:b w:val="0"/>
                <w:bCs w:val="0"/>
                <w:color w:val="auto"/>
                <w:sz w:val="20"/>
                <w:szCs w:val="20"/>
              </w:rPr>
              <w:t>8.</w:t>
            </w:r>
            <w:r w:rsidR="00795CAE">
              <w:rPr>
                <w:rFonts w:ascii="Arial" w:hAnsi="Arial" w:cs="Arial"/>
                <w:b w:val="0"/>
                <w:bCs w:val="0"/>
                <w:color w:val="auto"/>
                <w:sz w:val="20"/>
                <w:szCs w:val="20"/>
              </w:rPr>
              <w:t>4</w:t>
            </w:r>
          </w:p>
        </w:tc>
        <w:tc>
          <w:tcPr>
            <w:tcW w:w="1162" w:type="dxa"/>
          </w:tcPr>
          <w:p w:rsidR="00E3736E" w:rsidRPr="00024C29" w:rsidRDefault="00024C29" w:rsidP="00795CAE">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sidRPr="00024C29">
              <w:rPr>
                <w:rFonts w:ascii="Arial" w:hAnsi="Arial" w:cs="Arial"/>
                <w:bCs w:val="0"/>
                <w:color w:val="auto"/>
                <w:sz w:val="20"/>
                <w:szCs w:val="20"/>
              </w:rPr>
              <w:t>(</w:t>
            </w:r>
            <w:r w:rsidR="00271248">
              <w:rPr>
                <w:rFonts w:ascii="Arial" w:hAnsi="Arial" w:cs="Arial"/>
                <w:bCs w:val="0"/>
                <w:color w:val="auto"/>
                <w:sz w:val="20"/>
                <w:szCs w:val="20"/>
              </w:rPr>
              <w:t>3</w:t>
            </w:r>
            <w:r w:rsidR="00795CAE">
              <w:rPr>
                <w:rFonts w:ascii="Arial" w:hAnsi="Arial" w:cs="Arial"/>
                <w:bCs w:val="0"/>
                <w:color w:val="auto"/>
                <w:sz w:val="20"/>
                <w:szCs w:val="20"/>
              </w:rPr>
              <w:t>8</w:t>
            </w:r>
            <w:r w:rsidR="00271248">
              <w:rPr>
                <w:rFonts w:ascii="Arial" w:hAnsi="Arial" w:cs="Arial"/>
                <w:bCs w:val="0"/>
                <w:color w:val="auto"/>
                <w:sz w:val="20"/>
                <w:szCs w:val="20"/>
              </w:rPr>
              <w:t>.</w:t>
            </w:r>
            <w:r w:rsidR="00795CAE">
              <w:rPr>
                <w:rFonts w:ascii="Arial" w:hAnsi="Arial" w:cs="Arial"/>
                <w:bCs w:val="0"/>
                <w:color w:val="auto"/>
                <w:sz w:val="20"/>
                <w:szCs w:val="20"/>
              </w:rPr>
              <w:t>1</w:t>
            </w:r>
            <w:r w:rsidRPr="00024C29">
              <w:rPr>
                <w:rFonts w:ascii="Arial" w:hAnsi="Arial" w:cs="Arial"/>
                <w:bCs w:val="0"/>
                <w:color w:val="auto"/>
                <w:sz w:val="20"/>
                <w:szCs w:val="20"/>
              </w:rPr>
              <w:t>)</w:t>
            </w:r>
          </w:p>
        </w:tc>
      </w:tr>
    </w:tbl>
    <w:p w:rsidR="00223D20" w:rsidRPr="0005794A" w:rsidRDefault="00223D20" w:rsidP="00C574BC">
      <w:pPr>
        <w:pStyle w:val="ExampleText"/>
        <w:ind w:hanging="567"/>
        <w:outlineLvl w:val="0"/>
        <w:rPr>
          <w:rFonts w:ascii="Arial" w:hAnsi="Arial" w:cs="Arial"/>
          <w:b/>
          <w:color w:val="548DD4" w:themeColor="text2" w:themeTint="99"/>
        </w:rPr>
      </w:pPr>
    </w:p>
    <w:p w:rsidR="00E51139" w:rsidRPr="00E3736E" w:rsidRDefault="006D3DC4" w:rsidP="00C574BC">
      <w:pPr>
        <w:pStyle w:val="ExampleText"/>
        <w:ind w:hanging="567"/>
        <w:outlineLvl w:val="0"/>
        <w:rPr>
          <w:rFonts w:ascii="Arial" w:hAnsi="Arial" w:cs="Arial"/>
          <w:b/>
          <w:color w:val="auto"/>
        </w:rPr>
      </w:pPr>
      <w:r w:rsidRPr="00DC6CB5">
        <w:rPr>
          <w:rFonts w:ascii="Arial" w:hAnsi="Arial" w:cs="Arial"/>
          <w:b/>
          <w:color w:val="auto"/>
        </w:rPr>
        <w:t>2</w:t>
      </w:r>
      <w:r w:rsidR="00CD0754" w:rsidRPr="00DC6CB5">
        <w:rPr>
          <w:rFonts w:ascii="Arial" w:hAnsi="Arial" w:cs="Arial"/>
          <w:b/>
          <w:color w:val="auto"/>
        </w:rPr>
        <w:t>6</w:t>
      </w:r>
      <w:r w:rsidRPr="00DC6CB5">
        <w:rPr>
          <w:rFonts w:ascii="Arial" w:hAnsi="Arial" w:cs="Arial"/>
          <w:b/>
          <w:color w:val="auto"/>
        </w:rPr>
        <w:t>.1</w:t>
      </w:r>
      <w:r w:rsidR="00C574BC" w:rsidRPr="00DC6CB5">
        <w:rPr>
          <w:rFonts w:ascii="Arial" w:hAnsi="Arial" w:cs="Arial"/>
          <w:b/>
          <w:color w:val="auto"/>
        </w:rPr>
        <w:tab/>
      </w:r>
      <w:r w:rsidR="00E51139" w:rsidRPr="00DC6CB5">
        <w:rPr>
          <w:rFonts w:ascii="Arial" w:hAnsi="Arial" w:cs="Arial"/>
          <w:b/>
          <w:color w:val="auto"/>
        </w:rPr>
        <w:t>Revaluation Reserve</w:t>
      </w:r>
    </w:p>
    <w:p w:rsidR="00E51139" w:rsidRPr="0005794A" w:rsidRDefault="00E51139" w:rsidP="00B63E46">
      <w:pPr>
        <w:pStyle w:val="ExampleText"/>
        <w:spacing w:before="0"/>
        <w:rPr>
          <w:rFonts w:ascii="Arial" w:hAnsi="Arial" w:cs="Arial"/>
          <w:color w:val="548DD4" w:themeColor="text2" w:themeTint="99"/>
        </w:rPr>
      </w:pPr>
    </w:p>
    <w:tbl>
      <w:tblPr>
        <w:tblStyle w:val="ListTable3-Accent51"/>
        <w:tblW w:w="9072" w:type="dxa"/>
        <w:tblInd w:w="392" w:type="dxa"/>
        <w:tblLook w:val="00A0" w:firstRow="1" w:lastRow="0" w:firstColumn="1" w:lastColumn="0" w:noHBand="0" w:noVBand="0"/>
      </w:tblPr>
      <w:tblGrid>
        <w:gridCol w:w="1276"/>
        <w:gridCol w:w="4110"/>
        <w:gridCol w:w="1381"/>
        <w:gridCol w:w="123"/>
        <w:gridCol w:w="1190"/>
        <w:gridCol w:w="992"/>
      </w:tblGrid>
      <w:tr w:rsidR="00267C78" w:rsidRPr="00E3736E" w:rsidTr="00B41F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rsidR="00267C78" w:rsidRPr="00E3736E" w:rsidRDefault="00267C78" w:rsidP="003C5E34">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201</w:t>
            </w:r>
            <w:r w:rsidR="00E3736E" w:rsidRPr="00E3736E">
              <w:rPr>
                <w:rFonts w:ascii="Arial" w:hAnsi="Arial" w:cs="Arial"/>
                <w:color w:val="auto"/>
                <w:sz w:val="20"/>
                <w:szCs w:val="20"/>
              </w:rPr>
              <w:t>6</w:t>
            </w:r>
            <w:r w:rsidRPr="00E3736E">
              <w:rPr>
                <w:rFonts w:ascii="Arial" w:hAnsi="Arial" w:cs="Arial"/>
                <w:color w:val="auto"/>
                <w:sz w:val="20"/>
                <w:szCs w:val="20"/>
              </w:rPr>
              <w:t>/1</w:t>
            </w:r>
            <w:r w:rsidR="00E3736E" w:rsidRPr="00E3736E">
              <w:rPr>
                <w:rFonts w:ascii="Arial" w:hAnsi="Arial" w:cs="Arial"/>
                <w:color w:val="auto"/>
                <w:sz w:val="20"/>
                <w:szCs w:val="20"/>
              </w:rPr>
              <w:t>7</w:t>
            </w:r>
          </w:p>
          <w:p w:rsidR="00267C78" w:rsidRPr="00E3736E" w:rsidRDefault="00267C78" w:rsidP="003C5E34">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4110" w:type="dxa"/>
          </w:tcPr>
          <w:p w:rsidR="00267C78" w:rsidRPr="00E3736E" w:rsidRDefault="00267C78" w:rsidP="003C5E34">
            <w:pPr>
              <w:pStyle w:val="ExampleSub"/>
              <w:keepNext w:val="0"/>
              <w:keepLines w:val="0"/>
              <w:ind w:left="0"/>
              <w:rPr>
                <w:rFonts w:ascii="Arial" w:hAnsi="Arial" w:cs="Arial"/>
                <w:color w:val="auto"/>
                <w:sz w:val="20"/>
                <w:szCs w:val="20"/>
              </w:rPr>
            </w:pPr>
          </w:p>
        </w:tc>
        <w:tc>
          <w:tcPr>
            <w:tcW w:w="1504" w:type="dxa"/>
            <w:gridSpan w:val="2"/>
          </w:tcPr>
          <w:p w:rsidR="00267C78" w:rsidRPr="00E3736E" w:rsidRDefault="00267C78" w:rsidP="003C5E34">
            <w:pPr>
              <w:pStyle w:val="ExampleSub"/>
              <w:keepNext w:val="0"/>
              <w:keepLines w:val="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182" w:type="dxa"/>
            <w:gridSpan w:val="2"/>
          </w:tcPr>
          <w:p w:rsidR="00267C78" w:rsidRPr="00E3736E" w:rsidRDefault="00267C78" w:rsidP="003C5E34">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201</w:t>
            </w:r>
            <w:r w:rsidR="00E3736E" w:rsidRPr="00E3736E">
              <w:rPr>
                <w:rFonts w:ascii="Arial" w:hAnsi="Arial" w:cs="Arial"/>
                <w:color w:val="auto"/>
                <w:sz w:val="20"/>
                <w:szCs w:val="20"/>
              </w:rPr>
              <w:t>7</w:t>
            </w:r>
            <w:r w:rsidRPr="00E3736E">
              <w:rPr>
                <w:rFonts w:ascii="Arial" w:hAnsi="Arial" w:cs="Arial"/>
                <w:color w:val="auto"/>
                <w:sz w:val="20"/>
                <w:szCs w:val="20"/>
              </w:rPr>
              <w:t>/1</w:t>
            </w:r>
            <w:r w:rsidR="00E3736E" w:rsidRPr="00E3736E">
              <w:rPr>
                <w:rFonts w:ascii="Arial" w:hAnsi="Arial" w:cs="Arial"/>
                <w:color w:val="auto"/>
                <w:sz w:val="20"/>
                <w:szCs w:val="20"/>
              </w:rPr>
              <w:t>8</w:t>
            </w:r>
          </w:p>
          <w:p w:rsidR="00267C78" w:rsidRPr="00E3736E" w:rsidRDefault="00267C78" w:rsidP="003C5E34">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£m</w:t>
            </w:r>
          </w:p>
        </w:tc>
      </w:tr>
      <w:tr w:rsidR="00E3736E" w:rsidRPr="00E3736E" w:rsidTr="00B4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60.5</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5E34">
            <w:pPr>
              <w:pStyle w:val="ExampleSub"/>
              <w:keepNext w:val="0"/>
              <w:keepLines w:val="0"/>
              <w:ind w:left="0"/>
              <w:rPr>
                <w:rFonts w:ascii="Arial" w:hAnsi="Arial" w:cs="Arial"/>
                <w:bCs w:val="0"/>
                <w:color w:val="auto"/>
                <w:sz w:val="20"/>
                <w:szCs w:val="20"/>
              </w:rPr>
            </w:pPr>
            <w:r w:rsidRPr="00E3736E">
              <w:rPr>
                <w:rFonts w:ascii="Arial" w:hAnsi="Arial" w:cs="Arial"/>
                <w:bCs w:val="0"/>
                <w:color w:val="auto"/>
                <w:sz w:val="20"/>
                <w:szCs w:val="20"/>
              </w:rPr>
              <w:t xml:space="preserve">Balance at 1 April </w:t>
            </w:r>
          </w:p>
        </w:tc>
        <w:tc>
          <w:tcPr>
            <w:tcW w:w="1381" w:type="dxa"/>
          </w:tcPr>
          <w:p w:rsidR="00E3736E" w:rsidRPr="00E3736E" w:rsidRDefault="00E3736E" w:rsidP="00DF7E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sidRPr="00E3736E">
              <w:rPr>
                <w:rFonts w:ascii="Arial" w:hAnsi="Arial" w:cs="Arial"/>
                <w:bCs w:val="0"/>
                <w:color w:val="auto"/>
                <w:sz w:val="20"/>
                <w:szCs w:val="20"/>
              </w:rPr>
              <w:t>Note</w:t>
            </w: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E3736E" w:rsidRDefault="00E3736E" w:rsidP="00753F19">
            <w:pPr>
              <w:pStyle w:val="ExampleSub"/>
              <w:keepNext w:val="0"/>
              <w:keepLines w:val="0"/>
              <w:ind w:left="0"/>
              <w:jc w:val="center"/>
              <w:rPr>
                <w:rFonts w:ascii="Arial" w:hAnsi="Arial" w:cs="Arial"/>
                <w:bCs w:val="0"/>
                <w:color w:val="auto"/>
                <w:sz w:val="20"/>
                <w:szCs w:val="20"/>
              </w:rPr>
            </w:pPr>
          </w:p>
        </w:tc>
        <w:tc>
          <w:tcPr>
            <w:tcW w:w="992" w:type="dxa"/>
          </w:tcPr>
          <w:p w:rsidR="00E3736E" w:rsidRPr="00E3736E" w:rsidRDefault="00D50C16" w:rsidP="00753F19">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61.9</w:t>
            </w:r>
          </w:p>
        </w:tc>
      </w:tr>
      <w:tr w:rsidR="00E3736E" w:rsidRPr="00E3736E" w:rsidTr="00B41FED">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2.6</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FA6C11">
            <w:pPr>
              <w:pStyle w:val="ExampleSub"/>
              <w:keepNext w:val="0"/>
              <w:keepLines w:val="0"/>
              <w:ind w:left="0"/>
              <w:rPr>
                <w:rFonts w:ascii="Arial" w:hAnsi="Arial" w:cs="Arial"/>
                <w:b w:val="0"/>
                <w:bCs w:val="0"/>
                <w:color w:val="auto"/>
                <w:sz w:val="20"/>
                <w:szCs w:val="20"/>
              </w:rPr>
            </w:pPr>
            <w:r w:rsidRPr="00E3736E">
              <w:rPr>
                <w:rFonts w:ascii="Arial" w:hAnsi="Arial" w:cs="Arial"/>
                <w:b w:val="0"/>
                <w:bCs w:val="0"/>
                <w:color w:val="auto"/>
                <w:sz w:val="20"/>
                <w:szCs w:val="20"/>
              </w:rPr>
              <w:t>Revaluation of assets</w:t>
            </w:r>
          </w:p>
        </w:tc>
        <w:tc>
          <w:tcPr>
            <w:tcW w:w="1381" w:type="dxa"/>
          </w:tcPr>
          <w:p w:rsidR="00E3736E" w:rsidRPr="00E3736E" w:rsidRDefault="00E3736E" w:rsidP="005222FD">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E3736E" w:rsidRDefault="00271248" w:rsidP="003378F2">
            <w:pPr>
              <w:pStyle w:val="ExampleSub"/>
              <w:keepNext w:val="0"/>
              <w:keepLines w:val="0"/>
              <w:ind w:left="0"/>
              <w:jc w:val="center"/>
              <w:rPr>
                <w:rFonts w:ascii="Arial" w:hAnsi="Arial" w:cs="Arial"/>
                <w:bCs w:val="0"/>
                <w:color w:val="auto"/>
                <w:sz w:val="20"/>
                <w:szCs w:val="20"/>
              </w:rPr>
            </w:pPr>
            <w:r>
              <w:rPr>
                <w:rFonts w:ascii="Arial" w:hAnsi="Arial" w:cs="Arial"/>
                <w:bCs w:val="0"/>
                <w:color w:val="auto"/>
                <w:sz w:val="20"/>
                <w:szCs w:val="20"/>
              </w:rPr>
              <w:t>13.3</w:t>
            </w:r>
          </w:p>
        </w:tc>
        <w:tc>
          <w:tcPr>
            <w:tcW w:w="992" w:type="dxa"/>
          </w:tcPr>
          <w:p w:rsidR="00E3736E" w:rsidRPr="00E3736E" w:rsidRDefault="00E3736E" w:rsidP="00DF7E0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r>
      <w:tr w:rsidR="00E3736E" w:rsidRPr="00E3736E" w:rsidTr="00B4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2.6</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5E34">
            <w:pPr>
              <w:pStyle w:val="ExampleSub"/>
              <w:keepNext w:val="0"/>
              <w:keepLines w:val="0"/>
              <w:ind w:left="0"/>
              <w:rPr>
                <w:rFonts w:ascii="Arial" w:hAnsi="Arial" w:cs="Arial"/>
                <w:b w:val="0"/>
                <w:bCs w:val="0"/>
                <w:color w:val="auto"/>
                <w:sz w:val="20"/>
                <w:szCs w:val="20"/>
              </w:rPr>
            </w:pPr>
            <w:r w:rsidRPr="00E3736E">
              <w:rPr>
                <w:rFonts w:ascii="Arial" w:hAnsi="Arial" w:cs="Arial"/>
                <w:b w:val="0"/>
                <w:color w:val="auto"/>
                <w:sz w:val="20"/>
                <w:szCs w:val="20"/>
              </w:rPr>
              <w:t>Surplus or deficit on revaluation of non-current assets not posted to the Surplus or Deficit on the Provision of Services</w:t>
            </w:r>
          </w:p>
        </w:tc>
        <w:tc>
          <w:tcPr>
            <w:tcW w:w="1381" w:type="dxa"/>
          </w:tcPr>
          <w:p w:rsidR="00E3736E" w:rsidRPr="00E3736E" w:rsidRDefault="00E3736E" w:rsidP="00DF7E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E3736E" w:rsidRDefault="00E3736E" w:rsidP="00F83EEF">
            <w:pPr>
              <w:pStyle w:val="ExampleSub"/>
              <w:keepNext w:val="0"/>
              <w:keepLines w:val="0"/>
              <w:ind w:left="0"/>
              <w:jc w:val="center"/>
              <w:rPr>
                <w:rFonts w:ascii="Arial" w:hAnsi="Arial" w:cs="Arial"/>
                <w:bCs w:val="0"/>
                <w:color w:val="auto"/>
                <w:sz w:val="20"/>
                <w:szCs w:val="20"/>
              </w:rPr>
            </w:pPr>
          </w:p>
        </w:tc>
        <w:tc>
          <w:tcPr>
            <w:tcW w:w="992" w:type="dxa"/>
          </w:tcPr>
          <w:p w:rsidR="00E3736E" w:rsidRPr="00E3736E" w:rsidRDefault="00271248" w:rsidP="003378F2">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13.3</w:t>
            </w:r>
          </w:p>
        </w:tc>
      </w:tr>
      <w:tr w:rsidR="00E3736E" w:rsidRPr="00E3736E" w:rsidTr="00B41FED">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(0.9)</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5E34">
            <w:pPr>
              <w:pStyle w:val="ExampleSub"/>
              <w:keepNext w:val="0"/>
              <w:keepLines w:val="0"/>
              <w:ind w:left="0"/>
              <w:rPr>
                <w:rFonts w:ascii="Arial" w:hAnsi="Arial" w:cs="Arial"/>
                <w:b w:val="0"/>
                <w:color w:val="auto"/>
                <w:sz w:val="20"/>
                <w:szCs w:val="20"/>
              </w:rPr>
            </w:pPr>
            <w:r w:rsidRPr="00E3736E">
              <w:rPr>
                <w:rFonts w:ascii="Arial" w:hAnsi="Arial" w:cs="Arial"/>
                <w:b w:val="0"/>
                <w:color w:val="auto"/>
                <w:sz w:val="20"/>
                <w:szCs w:val="20"/>
              </w:rPr>
              <w:t>Difference between fair value depreciation and historical cost depreciation</w:t>
            </w:r>
          </w:p>
        </w:tc>
        <w:tc>
          <w:tcPr>
            <w:tcW w:w="1381" w:type="dxa"/>
          </w:tcPr>
          <w:p w:rsidR="00E3736E" w:rsidRPr="00E3736E" w:rsidRDefault="00E3736E" w:rsidP="003A3C96">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E3736E" w:rsidRDefault="002C2493" w:rsidP="00271248">
            <w:pPr>
              <w:pStyle w:val="ExampleSub"/>
              <w:keepNext w:val="0"/>
              <w:keepLines w:val="0"/>
              <w:ind w:left="0"/>
              <w:jc w:val="center"/>
              <w:rPr>
                <w:rFonts w:ascii="Arial" w:hAnsi="Arial" w:cs="Arial"/>
                <w:bCs w:val="0"/>
                <w:color w:val="auto"/>
                <w:sz w:val="20"/>
                <w:szCs w:val="20"/>
              </w:rPr>
            </w:pPr>
            <w:r>
              <w:rPr>
                <w:rFonts w:ascii="Arial" w:hAnsi="Arial" w:cs="Arial"/>
                <w:bCs w:val="0"/>
                <w:color w:val="auto"/>
                <w:sz w:val="20"/>
                <w:szCs w:val="20"/>
              </w:rPr>
              <w:t>(1.</w:t>
            </w:r>
            <w:r w:rsidR="00271248">
              <w:rPr>
                <w:rFonts w:ascii="Arial" w:hAnsi="Arial" w:cs="Arial"/>
                <w:bCs w:val="0"/>
                <w:color w:val="auto"/>
                <w:sz w:val="20"/>
                <w:szCs w:val="20"/>
              </w:rPr>
              <w:t>0</w:t>
            </w:r>
            <w:r>
              <w:rPr>
                <w:rFonts w:ascii="Arial" w:hAnsi="Arial" w:cs="Arial"/>
                <w:bCs w:val="0"/>
                <w:color w:val="auto"/>
                <w:sz w:val="20"/>
                <w:szCs w:val="20"/>
              </w:rPr>
              <w:t>)</w:t>
            </w:r>
          </w:p>
        </w:tc>
        <w:tc>
          <w:tcPr>
            <w:tcW w:w="992" w:type="dxa"/>
          </w:tcPr>
          <w:p w:rsidR="00E3736E" w:rsidRPr="00E3736E" w:rsidRDefault="00E3736E" w:rsidP="00DF7E0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p>
        </w:tc>
      </w:tr>
      <w:tr w:rsidR="00E3736E" w:rsidRPr="00E3736E" w:rsidTr="00B4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(0.3)</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5E34">
            <w:pPr>
              <w:pStyle w:val="ExampleSub"/>
              <w:keepNext w:val="0"/>
              <w:keepLines w:val="0"/>
              <w:ind w:left="0"/>
              <w:rPr>
                <w:rFonts w:ascii="Arial" w:hAnsi="Arial" w:cs="Arial"/>
                <w:b w:val="0"/>
                <w:color w:val="auto"/>
                <w:sz w:val="20"/>
                <w:szCs w:val="20"/>
              </w:rPr>
            </w:pPr>
            <w:r w:rsidRPr="00E3736E">
              <w:rPr>
                <w:rFonts w:ascii="Arial" w:hAnsi="Arial" w:cs="Arial"/>
                <w:b w:val="0"/>
                <w:color w:val="auto"/>
                <w:sz w:val="20"/>
                <w:szCs w:val="20"/>
              </w:rPr>
              <w:t>Accumulated gains on assets sold or scrapped</w:t>
            </w:r>
          </w:p>
        </w:tc>
        <w:tc>
          <w:tcPr>
            <w:tcW w:w="1381" w:type="dxa"/>
          </w:tcPr>
          <w:p w:rsidR="00E3736E" w:rsidRPr="00E3736E" w:rsidRDefault="00E3736E" w:rsidP="00676A68">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E3736E" w:rsidRDefault="002C2493" w:rsidP="007275AF">
            <w:pPr>
              <w:pStyle w:val="ExampleSub"/>
              <w:keepNext w:val="0"/>
              <w:keepLines w:val="0"/>
              <w:ind w:left="0"/>
              <w:jc w:val="center"/>
              <w:rPr>
                <w:rFonts w:ascii="Arial" w:hAnsi="Arial" w:cs="Arial"/>
                <w:bCs w:val="0"/>
                <w:color w:val="auto"/>
                <w:sz w:val="20"/>
                <w:szCs w:val="20"/>
              </w:rPr>
            </w:pPr>
            <w:r>
              <w:rPr>
                <w:rFonts w:ascii="Arial" w:hAnsi="Arial" w:cs="Arial"/>
                <w:bCs w:val="0"/>
                <w:color w:val="auto"/>
                <w:sz w:val="20"/>
                <w:szCs w:val="20"/>
              </w:rPr>
              <w:t>(2.5)</w:t>
            </w:r>
          </w:p>
        </w:tc>
        <w:tc>
          <w:tcPr>
            <w:tcW w:w="992" w:type="dxa"/>
          </w:tcPr>
          <w:p w:rsidR="00E3736E" w:rsidRPr="00E3736E" w:rsidRDefault="00E3736E" w:rsidP="00DF7E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r>
      <w:tr w:rsidR="00E3736E" w:rsidRPr="00E3736E" w:rsidTr="00B41FED">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(1.2)</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5E34">
            <w:pPr>
              <w:pStyle w:val="ExampleSub"/>
              <w:keepNext w:val="0"/>
              <w:keepLines w:val="0"/>
              <w:ind w:left="0"/>
              <w:rPr>
                <w:rFonts w:ascii="Arial" w:hAnsi="Arial" w:cs="Arial"/>
                <w:b w:val="0"/>
                <w:color w:val="auto"/>
                <w:sz w:val="20"/>
                <w:szCs w:val="20"/>
              </w:rPr>
            </w:pPr>
            <w:r w:rsidRPr="00E3736E">
              <w:rPr>
                <w:rFonts w:ascii="Arial" w:hAnsi="Arial" w:cs="Arial"/>
                <w:b w:val="0"/>
                <w:color w:val="auto"/>
                <w:sz w:val="20"/>
                <w:szCs w:val="20"/>
              </w:rPr>
              <w:t>Amount written off to the Capital Adjustment Account</w:t>
            </w:r>
          </w:p>
        </w:tc>
        <w:tc>
          <w:tcPr>
            <w:tcW w:w="1381" w:type="dxa"/>
          </w:tcPr>
          <w:p w:rsidR="00E3736E" w:rsidRPr="00E3736E" w:rsidRDefault="00615A0E" w:rsidP="00DF7E01">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802ABC">
              <w:rPr>
                <w:rFonts w:ascii="Arial" w:hAnsi="Arial" w:cs="Arial"/>
                <w:b w:val="0"/>
                <w:bCs w:val="0"/>
                <w:color w:val="auto"/>
                <w:sz w:val="20"/>
                <w:szCs w:val="20"/>
              </w:rPr>
              <w:t>9</w:t>
            </w: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E3736E" w:rsidRDefault="00E3736E" w:rsidP="003A3C96">
            <w:pPr>
              <w:pStyle w:val="ExampleSub"/>
              <w:keepNext w:val="0"/>
              <w:keepLines w:val="0"/>
              <w:ind w:left="0"/>
              <w:jc w:val="center"/>
              <w:rPr>
                <w:rFonts w:ascii="Arial" w:hAnsi="Arial" w:cs="Arial"/>
                <w:bCs w:val="0"/>
                <w:color w:val="auto"/>
                <w:sz w:val="20"/>
                <w:szCs w:val="20"/>
              </w:rPr>
            </w:pPr>
          </w:p>
        </w:tc>
        <w:tc>
          <w:tcPr>
            <w:tcW w:w="992" w:type="dxa"/>
          </w:tcPr>
          <w:p w:rsidR="00E3736E" w:rsidRPr="00E3736E" w:rsidRDefault="002C2493" w:rsidP="00271248">
            <w:pPr>
              <w:pStyle w:val="ExampleSub"/>
              <w:keepNext w:val="0"/>
              <w:keepLines w:val="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(3.</w:t>
            </w:r>
            <w:r w:rsidR="00271248">
              <w:rPr>
                <w:rFonts w:ascii="Arial" w:hAnsi="Arial" w:cs="Arial"/>
                <w:bCs w:val="0"/>
                <w:color w:val="auto"/>
                <w:sz w:val="20"/>
                <w:szCs w:val="20"/>
              </w:rPr>
              <w:t>5</w:t>
            </w:r>
            <w:r>
              <w:rPr>
                <w:rFonts w:ascii="Arial" w:hAnsi="Arial" w:cs="Arial"/>
                <w:bCs w:val="0"/>
                <w:color w:val="auto"/>
                <w:sz w:val="20"/>
                <w:szCs w:val="20"/>
              </w:rPr>
              <w:t>)</w:t>
            </w:r>
          </w:p>
        </w:tc>
      </w:tr>
      <w:tr w:rsidR="00E3736E" w:rsidRPr="00E3736E" w:rsidTr="00B4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E3736E" w:rsidRPr="00E3736E" w:rsidRDefault="00E3736E" w:rsidP="00E3736E">
            <w:pPr>
              <w:pStyle w:val="ExampleSub"/>
              <w:keepNext w:val="0"/>
              <w:keepLines w:val="0"/>
              <w:ind w:left="0"/>
              <w:jc w:val="center"/>
              <w:rPr>
                <w:rFonts w:ascii="Arial" w:hAnsi="Arial" w:cs="Arial"/>
                <w:color w:val="auto"/>
                <w:sz w:val="20"/>
                <w:szCs w:val="20"/>
              </w:rPr>
            </w:pPr>
            <w:r w:rsidRPr="00E3736E">
              <w:rPr>
                <w:rFonts w:ascii="Arial" w:hAnsi="Arial" w:cs="Arial"/>
                <w:color w:val="auto"/>
                <w:sz w:val="20"/>
                <w:szCs w:val="20"/>
              </w:rPr>
              <w:t>61.9</w:t>
            </w:r>
          </w:p>
        </w:tc>
        <w:tc>
          <w:tcPr>
            <w:cnfStyle w:val="000010000000" w:firstRow="0" w:lastRow="0" w:firstColumn="0" w:lastColumn="0" w:oddVBand="1" w:evenVBand="0" w:oddHBand="0" w:evenHBand="0" w:firstRowFirstColumn="0" w:firstRowLastColumn="0" w:lastRowFirstColumn="0" w:lastRowLastColumn="0"/>
            <w:tcW w:w="4110" w:type="dxa"/>
          </w:tcPr>
          <w:p w:rsidR="00E3736E" w:rsidRPr="00E3736E" w:rsidRDefault="00E3736E" w:rsidP="003C5E34">
            <w:pPr>
              <w:pStyle w:val="ExampleSub"/>
              <w:keepNext w:val="0"/>
              <w:keepLines w:val="0"/>
              <w:ind w:left="0"/>
              <w:rPr>
                <w:rFonts w:ascii="Arial" w:hAnsi="Arial" w:cs="Arial"/>
                <w:bCs w:val="0"/>
                <w:color w:val="auto"/>
                <w:sz w:val="20"/>
                <w:szCs w:val="20"/>
              </w:rPr>
            </w:pPr>
            <w:r w:rsidRPr="00E3736E">
              <w:rPr>
                <w:rFonts w:ascii="Arial" w:hAnsi="Arial" w:cs="Arial"/>
                <w:bCs w:val="0"/>
                <w:color w:val="auto"/>
                <w:sz w:val="20"/>
                <w:szCs w:val="20"/>
              </w:rPr>
              <w:t>Balance at 31 March</w:t>
            </w:r>
          </w:p>
        </w:tc>
        <w:tc>
          <w:tcPr>
            <w:tcW w:w="1381" w:type="dxa"/>
          </w:tcPr>
          <w:p w:rsidR="00E3736E" w:rsidRPr="00E3736E" w:rsidRDefault="00E3736E" w:rsidP="00DF7E01">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313" w:type="dxa"/>
            <w:gridSpan w:val="2"/>
          </w:tcPr>
          <w:p w:rsidR="00E3736E" w:rsidRPr="00E3736E" w:rsidRDefault="00E3736E" w:rsidP="003A3C96">
            <w:pPr>
              <w:pStyle w:val="ExampleSub"/>
              <w:keepNext w:val="0"/>
              <w:keepLines w:val="0"/>
              <w:ind w:left="0"/>
              <w:jc w:val="center"/>
              <w:rPr>
                <w:rFonts w:ascii="Arial" w:hAnsi="Arial" w:cs="Arial"/>
                <w:bCs w:val="0"/>
                <w:color w:val="auto"/>
                <w:sz w:val="20"/>
                <w:szCs w:val="20"/>
              </w:rPr>
            </w:pPr>
          </w:p>
        </w:tc>
        <w:tc>
          <w:tcPr>
            <w:tcW w:w="992" w:type="dxa"/>
          </w:tcPr>
          <w:p w:rsidR="00E3736E" w:rsidRPr="00E3736E" w:rsidRDefault="00271248" w:rsidP="00220C5D">
            <w:pPr>
              <w:pStyle w:val="ExampleSub"/>
              <w:keepNext w:val="0"/>
              <w:keepLines w:val="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Cs w:val="0"/>
                <w:color w:val="auto"/>
                <w:sz w:val="20"/>
                <w:szCs w:val="20"/>
              </w:rPr>
            </w:pPr>
            <w:r>
              <w:rPr>
                <w:rFonts w:ascii="Arial" w:hAnsi="Arial" w:cs="Arial"/>
                <w:bCs w:val="0"/>
                <w:color w:val="auto"/>
                <w:sz w:val="20"/>
                <w:szCs w:val="20"/>
              </w:rPr>
              <w:t>71.7</w:t>
            </w:r>
          </w:p>
        </w:tc>
      </w:tr>
    </w:tbl>
    <w:p w:rsidR="00A57A31" w:rsidRPr="00E3736E" w:rsidRDefault="00A57A31">
      <w:pPr>
        <w:rPr>
          <w:color w:val="auto"/>
        </w:rPr>
      </w:pPr>
    </w:p>
    <w:p w:rsidR="008121B1" w:rsidRPr="0005794A" w:rsidRDefault="008121B1" w:rsidP="008121B1">
      <w:pPr>
        <w:spacing w:after="0" w:line="240" w:lineRule="auto"/>
        <w:rPr>
          <w:bCs/>
          <w:color w:val="548DD4" w:themeColor="text2" w:themeTint="99"/>
        </w:rPr>
        <w:sectPr w:rsidR="008121B1" w:rsidRPr="0005794A" w:rsidSect="005253A3">
          <w:pgSz w:w="11906" w:h="16838" w:code="9"/>
          <w:pgMar w:top="1440" w:right="1440" w:bottom="1440" w:left="1440" w:header="544" w:footer="544" w:gutter="0"/>
          <w:cols w:space="708"/>
          <w:titlePg/>
          <w:docGrid w:linePitch="360"/>
        </w:sectPr>
      </w:pPr>
    </w:p>
    <w:p w:rsidR="00E51139" w:rsidRPr="00A84AA4" w:rsidRDefault="005C68D8" w:rsidP="00CD0754">
      <w:pPr>
        <w:pStyle w:val="Subtitle"/>
        <w:rPr>
          <w:b/>
          <w:color w:val="auto"/>
          <w:sz w:val="22"/>
          <w:szCs w:val="22"/>
        </w:rPr>
      </w:pPr>
      <w:r w:rsidRPr="00A84AA4">
        <w:rPr>
          <w:b/>
          <w:color w:val="auto"/>
          <w:sz w:val="22"/>
          <w:szCs w:val="22"/>
        </w:rPr>
        <w:lastRenderedPageBreak/>
        <w:t>2</w:t>
      </w:r>
      <w:r w:rsidR="00CD0754" w:rsidRPr="00A84AA4">
        <w:rPr>
          <w:b/>
          <w:color w:val="auto"/>
          <w:sz w:val="22"/>
          <w:szCs w:val="22"/>
        </w:rPr>
        <w:t>7</w:t>
      </w:r>
      <w:r w:rsidR="008121B1" w:rsidRPr="00A84AA4">
        <w:rPr>
          <w:b/>
          <w:color w:val="auto"/>
          <w:sz w:val="22"/>
          <w:szCs w:val="22"/>
        </w:rPr>
        <w:t>.</w:t>
      </w:r>
      <w:r w:rsidR="00E51139" w:rsidRPr="00A84AA4">
        <w:rPr>
          <w:b/>
          <w:color w:val="auto"/>
          <w:sz w:val="22"/>
          <w:szCs w:val="22"/>
        </w:rPr>
        <w:tab/>
        <w:t>Pooled Budgets</w:t>
      </w:r>
    </w:p>
    <w:p w:rsidR="002D2769" w:rsidRPr="00A84AA4" w:rsidRDefault="002D2769" w:rsidP="008D0906">
      <w:pPr>
        <w:pStyle w:val="CodeNotesExampleHead"/>
        <w:widowControl w:val="0"/>
        <w:ind w:left="567"/>
        <w:outlineLvl w:val="0"/>
        <w:rPr>
          <w:rFonts w:cs="Arial"/>
          <w:b w:val="0"/>
          <w:color w:val="auto"/>
          <w:sz w:val="20"/>
          <w:szCs w:val="20"/>
          <w:u w:val="single"/>
          <w:lang w:eastAsia="en-GB"/>
        </w:rPr>
      </w:pPr>
      <w:r w:rsidRPr="00A84AA4">
        <w:rPr>
          <w:rFonts w:cs="Arial"/>
          <w:b w:val="0"/>
          <w:color w:val="auto"/>
          <w:sz w:val="20"/>
          <w:szCs w:val="20"/>
          <w:u w:val="single"/>
          <w:lang w:eastAsia="en-GB"/>
        </w:rPr>
        <w:t>Joint Equipment Store</w:t>
      </w:r>
    </w:p>
    <w:p w:rsidR="002D2769" w:rsidRPr="00A84AA4" w:rsidRDefault="002D2769" w:rsidP="008121B1">
      <w:pPr>
        <w:pStyle w:val="CodeNotesExampleHead"/>
        <w:widowControl w:val="0"/>
        <w:ind w:left="567"/>
        <w:rPr>
          <w:rFonts w:cs="Arial"/>
          <w:b w:val="0"/>
          <w:color w:val="auto"/>
          <w:sz w:val="20"/>
          <w:szCs w:val="20"/>
          <w:lang w:eastAsia="en-GB"/>
        </w:rPr>
      </w:pPr>
    </w:p>
    <w:p w:rsidR="002B7CA0" w:rsidRPr="00802ABC" w:rsidRDefault="00E51139" w:rsidP="008121B1">
      <w:pPr>
        <w:pStyle w:val="CodeNotesExampleHead"/>
        <w:widowControl w:val="0"/>
        <w:ind w:left="567"/>
        <w:rPr>
          <w:rFonts w:cs="Arial"/>
          <w:b w:val="0"/>
          <w:color w:val="548DD4" w:themeColor="text2" w:themeTint="99"/>
          <w:sz w:val="20"/>
          <w:szCs w:val="20"/>
          <w:lang w:eastAsia="en-GB"/>
        </w:rPr>
      </w:pPr>
      <w:r w:rsidRPr="00A84AA4">
        <w:rPr>
          <w:rFonts w:cs="Arial"/>
          <w:b w:val="0"/>
          <w:color w:val="auto"/>
          <w:sz w:val="20"/>
          <w:szCs w:val="20"/>
          <w:lang w:eastAsia="en-GB"/>
        </w:rPr>
        <w:t xml:space="preserve">Under section 75 of the NHS Act 2006, the Council </w:t>
      </w:r>
      <w:r w:rsidR="00BE6A7D" w:rsidRPr="00A84AA4">
        <w:rPr>
          <w:rFonts w:cs="Arial"/>
          <w:b w:val="0"/>
          <w:color w:val="auto"/>
          <w:sz w:val="20"/>
          <w:szCs w:val="20"/>
          <w:lang w:eastAsia="en-GB"/>
        </w:rPr>
        <w:t>has</w:t>
      </w:r>
      <w:r w:rsidRPr="00A84AA4">
        <w:rPr>
          <w:rFonts w:cs="Arial"/>
          <w:b w:val="0"/>
          <w:color w:val="auto"/>
          <w:sz w:val="20"/>
          <w:szCs w:val="20"/>
          <w:lang w:eastAsia="en-GB"/>
        </w:rPr>
        <w:t xml:space="preserve"> a pooled budget arrangement with </w:t>
      </w:r>
      <w:r w:rsidR="00BE6A7D" w:rsidRPr="00A84AA4">
        <w:rPr>
          <w:rFonts w:cs="Arial"/>
          <w:b w:val="0"/>
          <w:color w:val="auto"/>
          <w:sz w:val="20"/>
          <w:szCs w:val="20"/>
          <w:lang w:eastAsia="en-GB"/>
        </w:rPr>
        <w:t>NHS South Devon and Torbay Clinical Commissioning Group (CCG)</w:t>
      </w:r>
      <w:r w:rsidRPr="00A84AA4">
        <w:rPr>
          <w:rFonts w:cs="Arial"/>
          <w:b w:val="0"/>
          <w:color w:val="auto"/>
          <w:sz w:val="20"/>
          <w:szCs w:val="20"/>
          <w:lang w:eastAsia="en-GB"/>
        </w:rPr>
        <w:t xml:space="preserve"> for the joint provision of an equipment store for the purchase and distribution of items to meet the social care and health needs of people living in the Torbay area. </w:t>
      </w:r>
      <w:r w:rsidR="00AB522B" w:rsidRPr="00A84AA4">
        <w:rPr>
          <w:rFonts w:cs="Arial"/>
          <w:b w:val="0"/>
          <w:color w:val="auto"/>
          <w:sz w:val="20"/>
          <w:szCs w:val="20"/>
          <w:lang w:eastAsia="en-GB"/>
        </w:rPr>
        <w:t xml:space="preserve">The pooled budget is hosted by the Council as the lead body on behalf of the two partners to the agreement. </w:t>
      </w:r>
      <w:r w:rsidRPr="00A84AA4">
        <w:rPr>
          <w:rFonts w:cs="Arial"/>
          <w:b w:val="0"/>
          <w:color w:val="auto"/>
          <w:sz w:val="20"/>
          <w:szCs w:val="20"/>
          <w:lang w:eastAsia="en-GB"/>
        </w:rPr>
        <w:t xml:space="preserve">The Council and </w:t>
      </w:r>
      <w:r w:rsidR="00456C4B" w:rsidRPr="00A84AA4">
        <w:rPr>
          <w:rFonts w:cs="Arial"/>
          <w:b w:val="0"/>
          <w:color w:val="auto"/>
          <w:sz w:val="20"/>
          <w:szCs w:val="20"/>
          <w:lang w:eastAsia="en-GB"/>
        </w:rPr>
        <w:t>the CCG</w:t>
      </w:r>
      <w:r w:rsidRPr="00A84AA4">
        <w:rPr>
          <w:rFonts w:cs="Arial"/>
          <w:b w:val="0"/>
          <w:color w:val="auto"/>
          <w:sz w:val="20"/>
          <w:szCs w:val="20"/>
          <w:lang w:eastAsia="en-GB"/>
        </w:rPr>
        <w:t xml:space="preserve"> have an agreement in place for funding these with </w:t>
      </w:r>
      <w:r w:rsidR="001C5EB7" w:rsidRPr="00A84AA4">
        <w:rPr>
          <w:rFonts w:cs="Arial"/>
          <w:b w:val="0"/>
          <w:color w:val="auto"/>
          <w:sz w:val="20"/>
          <w:szCs w:val="20"/>
          <w:lang w:eastAsia="en-GB"/>
        </w:rPr>
        <w:t>each</w:t>
      </w:r>
      <w:r w:rsidRPr="00A84AA4">
        <w:rPr>
          <w:rFonts w:cs="Arial"/>
          <w:b w:val="0"/>
          <w:color w:val="auto"/>
          <w:sz w:val="20"/>
          <w:szCs w:val="20"/>
          <w:lang w:eastAsia="en-GB"/>
        </w:rPr>
        <w:t xml:space="preserve"> contributing funds to the agreed budget equal to a 50% split</w:t>
      </w:r>
      <w:r w:rsidR="001C5EB7" w:rsidRPr="00A84AA4">
        <w:rPr>
          <w:rFonts w:cs="Arial"/>
          <w:b w:val="0"/>
          <w:color w:val="auto"/>
          <w:sz w:val="20"/>
          <w:szCs w:val="20"/>
          <w:lang w:eastAsia="en-GB"/>
        </w:rPr>
        <w:t>.</w:t>
      </w:r>
      <w:r w:rsidRPr="0005794A">
        <w:rPr>
          <w:rFonts w:cs="Arial"/>
          <w:b w:val="0"/>
          <w:color w:val="548DD4" w:themeColor="text2" w:themeTint="99"/>
          <w:sz w:val="20"/>
          <w:szCs w:val="20"/>
          <w:lang w:eastAsia="en-GB"/>
        </w:rPr>
        <w:t xml:space="preserve"> </w:t>
      </w:r>
      <w:r w:rsidR="00AB522B" w:rsidRPr="00A84AA4">
        <w:rPr>
          <w:rFonts w:cs="Arial"/>
          <w:b w:val="0"/>
          <w:color w:val="auto"/>
          <w:sz w:val="20"/>
          <w:szCs w:val="20"/>
          <w:lang w:eastAsia="en-GB"/>
        </w:rPr>
        <w:t>However, any overspend on the agreed budget is split equally between the two partners and Torbay and South Devon Foundation Trust (ICO)</w:t>
      </w:r>
      <w:r w:rsidR="007C5CB4" w:rsidRPr="00A84AA4">
        <w:rPr>
          <w:rFonts w:cs="Arial"/>
          <w:b w:val="0"/>
          <w:color w:val="auto"/>
          <w:sz w:val="20"/>
          <w:szCs w:val="20"/>
          <w:lang w:eastAsia="en-GB"/>
        </w:rPr>
        <w:t>.</w:t>
      </w:r>
      <w:r w:rsidR="00A34492" w:rsidRPr="00A84AA4">
        <w:rPr>
          <w:rFonts w:cs="Arial"/>
          <w:b w:val="0"/>
          <w:color w:val="auto"/>
          <w:sz w:val="20"/>
          <w:szCs w:val="20"/>
          <w:lang w:eastAsia="en-GB"/>
        </w:rPr>
        <w:t xml:space="preserve"> The </w:t>
      </w:r>
      <w:r w:rsidR="00742351" w:rsidRPr="00A84AA4">
        <w:rPr>
          <w:rFonts w:cs="Arial"/>
          <w:b w:val="0"/>
          <w:color w:val="auto"/>
          <w:sz w:val="20"/>
          <w:szCs w:val="20"/>
          <w:lang w:eastAsia="en-GB"/>
        </w:rPr>
        <w:t>total expenditure on the pooled</w:t>
      </w:r>
      <w:r w:rsidR="00A34492" w:rsidRPr="00A84AA4">
        <w:rPr>
          <w:rFonts w:cs="Arial"/>
          <w:b w:val="0"/>
          <w:color w:val="auto"/>
          <w:sz w:val="20"/>
          <w:szCs w:val="20"/>
          <w:lang w:eastAsia="en-GB"/>
        </w:rPr>
        <w:t xml:space="preserve"> budget for 201</w:t>
      </w:r>
      <w:r w:rsidR="00A84AA4" w:rsidRPr="00A84AA4">
        <w:rPr>
          <w:rFonts w:cs="Arial"/>
          <w:b w:val="0"/>
          <w:color w:val="auto"/>
          <w:sz w:val="20"/>
          <w:szCs w:val="20"/>
          <w:lang w:eastAsia="en-GB"/>
        </w:rPr>
        <w:t>7</w:t>
      </w:r>
      <w:r w:rsidR="00A34492" w:rsidRPr="00A84AA4">
        <w:rPr>
          <w:rFonts w:cs="Arial"/>
          <w:b w:val="0"/>
          <w:color w:val="auto"/>
          <w:sz w:val="20"/>
          <w:szCs w:val="20"/>
          <w:lang w:eastAsia="en-GB"/>
        </w:rPr>
        <w:t>/</w:t>
      </w:r>
      <w:r w:rsidR="00A34492" w:rsidRPr="00802ABC">
        <w:rPr>
          <w:rFonts w:cs="Arial"/>
          <w:b w:val="0"/>
          <w:color w:val="auto"/>
          <w:sz w:val="20"/>
          <w:szCs w:val="20"/>
          <w:lang w:eastAsia="en-GB"/>
        </w:rPr>
        <w:t>1</w:t>
      </w:r>
      <w:r w:rsidR="00A84AA4" w:rsidRPr="00802ABC">
        <w:rPr>
          <w:rFonts w:cs="Arial"/>
          <w:b w:val="0"/>
          <w:color w:val="auto"/>
          <w:sz w:val="20"/>
          <w:szCs w:val="20"/>
          <w:lang w:eastAsia="en-GB"/>
        </w:rPr>
        <w:t>8</w:t>
      </w:r>
      <w:r w:rsidR="00A34492" w:rsidRPr="00802ABC">
        <w:rPr>
          <w:rFonts w:cs="Arial"/>
          <w:b w:val="0"/>
          <w:color w:val="auto"/>
          <w:sz w:val="20"/>
          <w:szCs w:val="20"/>
          <w:lang w:eastAsia="en-GB"/>
        </w:rPr>
        <w:t xml:space="preserve"> was </w:t>
      </w:r>
      <w:r w:rsidR="00615A0E" w:rsidRPr="00802ABC">
        <w:rPr>
          <w:rFonts w:cs="Arial"/>
          <w:b w:val="0"/>
          <w:color w:val="auto"/>
          <w:sz w:val="20"/>
          <w:szCs w:val="20"/>
          <w:lang w:eastAsia="en-GB"/>
        </w:rPr>
        <w:t>£</w:t>
      </w:r>
      <w:r w:rsidR="00AB522B" w:rsidRPr="00802ABC">
        <w:rPr>
          <w:rFonts w:cs="Arial"/>
          <w:b w:val="0"/>
          <w:color w:val="auto"/>
          <w:sz w:val="20"/>
          <w:szCs w:val="20"/>
          <w:lang w:eastAsia="en-GB"/>
        </w:rPr>
        <w:t>1.</w:t>
      </w:r>
      <w:r w:rsidR="00A84AA4" w:rsidRPr="00802ABC">
        <w:rPr>
          <w:rFonts w:cs="Arial"/>
          <w:b w:val="0"/>
          <w:color w:val="auto"/>
          <w:sz w:val="20"/>
          <w:szCs w:val="20"/>
          <w:lang w:eastAsia="en-GB"/>
        </w:rPr>
        <w:t>2</w:t>
      </w:r>
      <w:r w:rsidR="006F3F43" w:rsidRPr="00802ABC">
        <w:rPr>
          <w:rFonts w:cs="Arial"/>
          <w:b w:val="0"/>
          <w:color w:val="auto"/>
          <w:sz w:val="20"/>
          <w:szCs w:val="20"/>
          <w:lang w:eastAsia="en-GB"/>
        </w:rPr>
        <w:t>m (</w:t>
      </w:r>
      <w:r w:rsidR="00742351" w:rsidRPr="00802ABC">
        <w:rPr>
          <w:rFonts w:cs="Arial"/>
          <w:b w:val="0"/>
          <w:color w:val="auto"/>
          <w:sz w:val="20"/>
          <w:szCs w:val="20"/>
          <w:lang w:eastAsia="en-GB"/>
        </w:rPr>
        <w:t>£1.</w:t>
      </w:r>
      <w:r w:rsidR="006B3449" w:rsidRPr="00802ABC">
        <w:rPr>
          <w:rFonts w:cs="Arial"/>
          <w:b w:val="0"/>
          <w:color w:val="auto"/>
          <w:sz w:val="20"/>
          <w:szCs w:val="20"/>
          <w:lang w:eastAsia="en-GB"/>
        </w:rPr>
        <w:t>3</w:t>
      </w:r>
      <w:r w:rsidR="00742351" w:rsidRPr="00802ABC">
        <w:rPr>
          <w:rFonts w:cs="Arial"/>
          <w:b w:val="0"/>
          <w:color w:val="auto"/>
          <w:sz w:val="20"/>
          <w:szCs w:val="20"/>
          <w:lang w:eastAsia="en-GB"/>
        </w:rPr>
        <w:t>m</w:t>
      </w:r>
      <w:r w:rsidR="006F3F43" w:rsidRPr="00802ABC">
        <w:rPr>
          <w:rFonts w:cs="Arial"/>
          <w:b w:val="0"/>
          <w:color w:val="auto"/>
          <w:sz w:val="20"/>
          <w:szCs w:val="20"/>
          <w:lang w:eastAsia="en-GB"/>
        </w:rPr>
        <w:t xml:space="preserve"> 1</w:t>
      </w:r>
      <w:r w:rsidR="0028635B" w:rsidRPr="00802ABC">
        <w:rPr>
          <w:rFonts w:cs="Arial"/>
          <w:b w:val="0"/>
          <w:color w:val="auto"/>
          <w:sz w:val="20"/>
          <w:szCs w:val="20"/>
          <w:lang w:eastAsia="en-GB"/>
        </w:rPr>
        <w:t>6</w:t>
      </w:r>
      <w:r w:rsidR="006F3F43" w:rsidRPr="00802ABC">
        <w:rPr>
          <w:rFonts w:cs="Arial"/>
          <w:b w:val="0"/>
          <w:color w:val="auto"/>
          <w:sz w:val="20"/>
          <w:szCs w:val="20"/>
          <w:lang w:eastAsia="en-GB"/>
        </w:rPr>
        <w:t>/1</w:t>
      </w:r>
      <w:r w:rsidR="0028635B" w:rsidRPr="00802ABC">
        <w:rPr>
          <w:rFonts w:cs="Arial"/>
          <w:b w:val="0"/>
          <w:color w:val="auto"/>
          <w:sz w:val="20"/>
          <w:szCs w:val="20"/>
          <w:lang w:eastAsia="en-GB"/>
        </w:rPr>
        <w:t>7</w:t>
      </w:r>
      <w:r w:rsidR="006F3F43" w:rsidRPr="00802ABC">
        <w:rPr>
          <w:rFonts w:cs="Arial"/>
          <w:b w:val="0"/>
          <w:color w:val="auto"/>
          <w:sz w:val="20"/>
          <w:szCs w:val="20"/>
          <w:lang w:eastAsia="en-GB"/>
        </w:rPr>
        <w:t>)</w:t>
      </w:r>
      <w:r w:rsidR="00742351" w:rsidRPr="00802ABC">
        <w:rPr>
          <w:rFonts w:cs="Arial"/>
          <w:b w:val="0"/>
          <w:color w:val="auto"/>
          <w:sz w:val="20"/>
          <w:szCs w:val="20"/>
          <w:lang w:eastAsia="en-GB"/>
        </w:rPr>
        <w:t xml:space="preserve">, of which </w:t>
      </w:r>
      <w:r w:rsidR="006F3F43" w:rsidRPr="00802ABC">
        <w:rPr>
          <w:rFonts w:cs="Arial"/>
          <w:b w:val="0"/>
          <w:color w:val="auto"/>
          <w:sz w:val="20"/>
          <w:szCs w:val="20"/>
          <w:lang w:eastAsia="en-GB"/>
        </w:rPr>
        <w:t>£</w:t>
      </w:r>
      <w:r w:rsidR="00AB522B" w:rsidRPr="00802ABC">
        <w:rPr>
          <w:rFonts w:cs="Arial"/>
          <w:b w:val="0"/>
          <w:color w:val="auto"/>
          <w:sz w:val="20"/>
          <w:szCs w:val="20"/>
          <w:lang w:eastAsia="en-GB"/>
        </w:rPr>
        <w:t>0.6</w:t>
      </w:r>
      <w:r w:rsidR="006F3F43" w:rsidRPr="00802ABC">
        <w:rPr>
          <w:rFonts w:cs="Arial"/>
          <w:b w:val="0"/>
          <w:color w:val="auto"/>
          <w:sz w:val="20"/>
          <w:szCs w:val="20"/>
          <w:lang w:eastAsia="en-GB"/>
        </w:rPr>
        <w:t>m (</w:t>
      </w:r>
      <w:r w:rsidR="009A73F1" w:rsidRPr="00802ABC">
        <w:rPr>
          <w:rFonts w:cs="Arial"/>
          <w:b w:val="0"/>
          <w:color w:val="auto"/>
          <w:sz w:val="20"/>
          <w:szCs w:val="20"/>
          <w:lang w:eastAsia="en-GB"/>
        </w:rPr>
        <w:t>£0.</w:t>
      </w:r>
      <w:r w:rsidR="006B3449" w:rsidRPr="00802ABC">
        <w:rPr>
          <w:rFonts w:cs="Arial"/>
          <w:b w:val="0"/>
          <w:color w:val="auto"/>
          <w:sz w:val="20"/>
          <w:szCs w:val="20"/>
          <w:lang w:eastAsia="en-GB"/>
        </w:rPr>
        <w:t>6</w:t>
      </w:r>
      <w:r w:rsidR="00742351" w:rsidRPr="00802ABC">
        <w:rPr>
          <w:rFonts w:cs="Arial"/>
          <w:b w:val="0"/>
          <w:color w:val="auto"/>
          <w:sz w:val="20"/>
          <w:szCs w:val="20"/>
          <w:lang w:eastAsia="en-GB"/>
        </w:rPr>
        <w:t xml:space="preserve">m </w:t>
      </w:r>
      <w:r w:rsidR="006F3F43" w:rsidRPr="00802ABC">
        <w:rPr>
          <w:rFonts w:cs="Arial"/>
          <w:b w:val="0"/>
          <w:color w:val="auto"/>
          <w:sz w:val="20"/>
          <w:szCs w:val="20"/>
          <w:lang w:eastAsia="en-GB"/>
        </w:rPr>
        <w:t>1</w:t>
      </w:r>
      <w:r w:rsidR="0028635B" w:rsidRPr="00802ABC">
        <w:rPr>
          <w:rFonts w:cs="Arial"/>
          <w:b w:val="0"/>
          <w:color w:val="auto"/>
          <w:sz w:val="20"/>
          <w:szCs w:val="20"/>
          <w:lang w:eastAsia="en-GB"/>
        </w:rPr>
        <w:t>6</w:t>
      </w:r>
      <w:r w:rsidR="006F3F43" w:rsidRPr="00802ABC">
        <w:rPr>
          <w:rFonts w:cs="Arial"/>
          <w:b w:val="0"/>
          <w:color w:val="auto"/>
          <w:sz w:val="20"/>
          <w:szCs w:val="20"/>
          <w:lang w:eastAsia="en-GB"/>
        </w:rPr>
        <w:t>/1</w:t>
      </w:r>
      <w:r w:rsidR="0028635B" w:rsidRPr="00802ABC">
        <w:rPr>
          <w:rFonts w:cs="Arial"/>
          <w:b w:val="0"/>
          <w:color w:val="auto"/>
          <w:sz w:val="20"/>
          <w:szCs w:val="20"/>
          <w:lang w:eastAsia="en-GB"/>
        </w:rPr>
        <w:t>7</w:t>
      </w:r>
      <w:r w:rsidR="006F3F43" w:rsidRPr="00802ABC">
        <w:rPr>
          <w:rFonts w:cs="Arial"/>
          <w:b w:val="0"/>
          <w:color w:val="auto"/>
          <w:sz w:val="20"/>
          <w:szCs w:val="20"/>
          <w:lang w:eastAsia="en-GB"/>
        </w:rPr>
        <w:t xml:space="preserve">) </w:t>
      </w:r>
      <w:r w:rsidR="00A34492" w:rsidRPr="00802ABC">
        <w:rPr>
          <w:rFonts w:cs="Arial"/>
          <w:b w:val="0"/>
          <w:color w:val="auto"/>
          <w:sz w:val="20"/>
          <w:szCs w:val="20"/>
          <w:lang w:eastAsia="en-GB"/>
        </w:rPr>
        <w:t>was borne by the Council.</w:t>
      </w:r>
    </w:p>
    <w:p w:rsidR="008121B1" w:rsidRPr="00802ABC" w:rsidRDefault="008121B1" w:rsidP="008121B1">
      <w:pPr>
        <w:pStyle w:val="CodeNotesExampleHead"/>
        <w:widowControl w:val="0"/>
        <w:ind w:left="567"/>
        <w:rPr>
          <w:rFonts w:cs="Arial"/>
          <w:b w:val="0"/>
          <w:color w:val="548DD4" w:themeColor="text2" w:themeTint="99"/>
          <w:sz w:val="20"/>
          <w:szCs w:val="20"/>
          <w:lang w:eastAsia="en-GB"/>
        </w:rPr>
      </w:pPr>
    </w:p>
    <w:p w:rsidR="002D2769" w:rsidRPr="00802ABC" w:rsidRDefault="002D2769" w:rsidP="008D0906">
      <w:pPr>
        <w:pStyle w:val="CodeNotesExampleHead"/>
        <w:widowControl w:val="0"/>
        <w:ind w:left="567"/>
        <w:outlineLvl w:val="0"/>
        <w:rPr>
          <w:rFonts w:cs="Arial"/>
          <w:b w:val="0"/>
          <w:color w:val="auto"/>
          <w:sz w:val="20"/>
          <w:szCs w:val="20"/>
          <w:u w:val="single"/>
          <w:lang w:eastAsia="en-GB"/>
        </w:rPr>
      </w:pPr>
      <w:r w:rsidRPr="00802ABC">
        <w:rPr>
          <w:rFonts w:cs="Arial"/>
          <w:b w:val="0"/>
          <w:color w:val="auto"/>
          <w:sz w:val="20"/>
          <w:szCs w:val="20"/>
          <w:u w:val="single"/>
          <w:lang w:eastAsia="en-GB"/>
        </w:rPr>
        <w:t>Better Care Fund</w:t>
      </w:r>
    </w:p>
    <w:p w:rsidR="002D2769" w:rsidRPr="00802ABC" w:rsidRDefault="002D2769" w:rsidP="00B644DE">
      <w:pPr>
        <w:pStyle w:val="CodeNotesExampleHead"/>
        <w:widowControl w:val="0"/>
        <w:ind w:left="567"/>
        <w:rPr>
          <w:rFonts w:cs="Arial"/>
          <w:b w:val="0"/>
          <w:color w:val="auto"/>
          <w:sz w:val="20"/>
          <w:szCs w:val="20"/>
          <w:lang w:eastAsia="en-GB"/>
        </w:rPr>
      </w:pPr>
    </w:p>
    <w:p w:rsidR="00B644DE" w:rsidRPr="00802ABC" w:rsidRDefault="007E33E1" w:rsidP="00B644DE">
      <w:pPr>
        <w:pStyle w:val="CodeNotesExampleHead"/>
        <w:widowControl w:val="0"/>
        <w:ind w:left="567"/>
        <w:rPr>
          <w:rFonts w:cs="Arial"/>
          <w:b w:val="0"/>
          <w:color w:val="548DD4" w:themeColor="text2" w:themeTint="99"/>
          <w:sz w:val="20"/>
          <w:szCs w:val="20"/>
          <w:lang w:eastAsia="en-GB"/>
        </w:rPr>
      </w:pPr>
      <w:r w:rsidRPr="00802ABC">
        <w:rPr>
          <w:rFonts w:cs="Arial"/>
          <w:b w:val="0"/>
          <w:color w:val="auto"/>
          <w:sz w:val="20"/>
          <w:szCs w:val="20"/>
          <w:lang w:eastAsia="en-GB"/>
        </w:rPr>
        <w:t xml:space="preserve">Under section 75 of the NHS Act 2006, the Council has a pooled budget arrangement with NHS South Devon and Torbay Clinical Commissioning Group (CCG) for the revenue elements of the Better Care Fund for the integrated supply of social care and health needs of people living in the Torbay area. </w:t>
      </w:r>
      <w:r w:rsidR="00B644DE" w:rsidRPr="00802ABC">
        <w:rPr>
          <w:rFonts w:cs="Arial"/>
          <w:b w:val="0"/>
          <w:color w:val="auto"/>
          <w:sz w:val="20"/>
          <w:szCs w:val="20"/>
          <w:lang w:eastAsia="en-GB"/>
        </w:rPr>
        <w:t>The Council and the CCG have an agreement in place</w:t>
      </w:r>
      <w:r w:rsidR="00C352FE" w:rsidRPr="00802ABC">
        <w:rPr>
          <w:rFonts w:cs="Arial"/>
          <w:b w:val="0"/>
          <w:color w:val="auto"/>
          <w:sz w:val="20"/>
          <w:szCs w:val="20"/>
          <w:lang w:eastAsia="en-GB"/>
        </w:rPr>
        <w:t xml:space="preserve">. The </w:t>
      </w:r>
      <w:r w:rsidRPr="00802ABC">
        <w:rPr>
          <w:rFonts w:cs="Arial"/>
          <w:b w:val="0"/>
          <w:color w:val="auto"/>
          <w:sz w:val="20"/>
          <w:szCs w:val="20"/>
          <w:lang w:eastAsia="en-GB"/>
        </w:rPr>
        <w:t>agreement</w:t>
      </w:r>
      <w:r w:rsidR="00C352FE" w:rsidRPr="00802ABC">
        <w:rPr>
          <w:rFonts w:cs="Arial"/>
          <w:b w:val="0"/>
          <w:color w:val="auto"/>
          <w:sz w:val="20"/>
          <w:szCs w:val="20"/>
          <w:lang w:eastAsia="en-GB"/>
        </w:rPr>
        <w:t xml:space="preserve"> is that 100% of the </w:t>
      </w:r>
      <w:r w:rsidRPr="00802ABC">
        <w:rPr>
          <w:rFonts w:cs="Arial"/>
          <w:b w:val="0"/>
          <w:color w:val="auto"/>
          <w:sz w:val="20"/>
          <w:szCs w:val="20"/>
          <w:lang w:eastAsia="en-GB"/>
        </w:rPr>
        <w:t>contributions</w:t>
      </w:r>
      <w:r w:rsidR="00C352FE" w:rsidRPr="00802ABC">
        <w:rPr>
          <w:rFonts w:cs="Arial"/>
          <w:b w:val="0"/>
          <w:color w:val="auto"/>
          <w:sz w:val="20"/>
          <w:szCs w:val="20"/>
          <w:lang w:eastAsia="en-GB"/>
        </w:rPr>
        <w:t xml:space="preserve"> are funded by the CCG</w:t>
      </w:r>
      <w:r w:rsidR="00DA3051" w:rsidRPr="00802ABC">
        <w:rPr>
          <w:rFonts w:cs="Arial"/>
          <w:b w:val="0"/>
          <w:color w:val="auto"/>
          <w:sz w:val="20"/>
          <w:szCs w:val="20"/>
          <w:lang w:eastAsia="en-GB"/>
        </w:rPr>
        <w:t xml:space="preserve"> </w:t>
      </w:r>
      <w:r w:rsidR="00C352FE" w:rsidRPr="00802ABC">
        <w:rPr>
          <w:rFonts w:cs="Arial"/>
          <w:b w:val="0"/>
          <w:color w:val="auto"/>
          <w:sz w:val="20"/>
          <w:szCs w:val="20"/>
          <w:lang w:eastAsia="en-GB"/>
        </w:rPr>
        <w:t xml:space="preserve">with a 50/50 risk share of any under/overspends in the year. </w:t>
      </w:r>
      <w:r w:rsidR="00B644DE" w:rsidRPr="00802ABC">
        <w:rPr>
          <w:rFonts w:cs="Arial"/>
          <w:b w:val="0"/>
          <w:color w:val="auto"/>
          <w:sz w:val="20"/>
          <w:szCs w:val="20"/>
          <w:lang w:eastAsia="en-GB"/>
        </w:rPr>
        <w:t xml:space="preserve"> The pooled budget is hosted by the C</w:t>
      </w:r>
      <w:r w:rsidR="00C352FE" w:rsidRPr="00802ABC">
        <w:rPr>
          <w:rFonts w:cs="Arial"/>
          <w:b w:val="0"/>
          <w:color w:val="auto"/>
          <w:sz w:val="20"/>
          <w:szCs w:val="20"/>
          <w:lang w:eastAsia="en-GB"/>
        </w:rPr>
        <w:t>CG</w:t>
      </w:r>
      <w:r w:rsidR="00B644DE" w:rsidRPr="00802ABC">
        <w:rPr>
          <w:rFonts w:cs="Arial"/>
          <w:b w:val="0"/>
          <w:color w:val="auto"/>
          <w:sz w:val="20"/>
          <w:szCs w:val="20"/>
          <w:lang w:eastAsia="en-GB"/>
        </w:rPr>
        <w:t xml:space="preserve"> as the lead body on behalf of the two partners to the agreement. The total expenditure on the pooled budget for 201</w:t>
      </w:r>
      <w:r w:rsidR="00A84AA4" w:rsidRPr="00802ABC">
        <w:rPr>
          <w:rFonts w:cs="Arial"/>
          <w:b w:val="0"/>
          <w:color w:val="auto"/>
          <w:sz w:val="20"/>
          <w:szCs w:val="20"/>
          <w:lang w:eastAsia="en-GB"/>
        </w:rPr>
        <w:t>7</w:t>
      </w:r>
      <w:r w:rsidR="00B644DE" w:rsidRPr="00802ABC">
        <w:rPr>
          <w:rFonts w:cs="Arial"/>
          <w:b w:val="0"/>
          <w:color w:val="auto"/>
          <w:sz w:val="20"/>
          <w:szCs w:val="20"/>
          <w:lang w:eastAsia="en-GB"/>
        </w:rPr>
        <w:t>/1</w:t>
      </w:r>
      <w:r w:rsidR="00A84AA4" w:rsidRPr="00802ABC">
        <w:rPr>
          <w:rFonts w:cs="Arial"/>
          <w:b w:val="0"/>
          <w:color w:val="auto"/>
          <w:sz w:val="20"/>
          <w:szCs w:val="20"/>
          <w:lang w:eastAsia="en-GB"/>
        </w:rPr>
        <w:t>8</w:t>
      </w:r>
      <w:r w:rsidR="00B644DE" w:rsidRPr="00802ABC">
        <w:rPr>
          <w:rFonts w:cs="Arial"/>
          <w:b w:val="0"/>
          <w:color w:val="auto"/>
          <w:sz w:val="20"/>
          <w:szCs w:val="20"/>
          <w:lang w:eastAsia="en-GB"/>
        </w:rPr>
        <w:t xml:space="preserve"> was £</w:t>
      </w:r>
      <w:r w:rsidR="006C4C43" w:rsidRPr="00802ABC">
        <w:rPr>
          <w:rFonts w:cs="Arial"/>
          <w:b w:val="0"/>
          <w:color w:val="auto"/>
          <w:sz w:val="20"/>
          <w:szCs w:val="20"/>
          <w:lang w:eastAsia="en-GB"/>
        </w:rPr>
        <w:t>10.</w:t>
      </w:r>
      <w:r w:rsidR="00A84AA4" w:rsidRPr="00802ABC">
        <w:rPr>
          <w:rFonts w:cs="Arial"/>
          <w:b w:val="0"/>
          <w:color w:val="auto"/>
          <w:sz w:val="20"/>
          <w:szCs w:val="20"/>
          <w:lang w:eastAsia="en-GB"/>
        </w:rPr>
        <w:t>5</w:t>
      </w:r>
      <w:r w:rsidR="006C4C43" w:rsidRPr="00802ABC">
        <w:rPr>
          <w:rFonts w:cs="Arial"/>
          <w:b w:val="0"/>
          <w:color w:val="auto"/>
          <w:sz w:val="20"/>
          <w:szCs w:val="20"/>
          <w:lang w:eastAsia="en-GB"/>
        </w:rPr>
        <w:t>m</w:t>
      </w:r>
      <w:r w:rsidR="00B644DE" w:rsidRPr="00802ABC">
        <w:rPr>
          <w:rFonts w:cs="Arial"/>
          <w:b w:val="0"/>
          <w:color w:val="auto"/>
          <w:sz w:val="20"/>
          <w:szCs w:val="20"/>
          <w:lang w:eastAsia="en-GB"/>
        </w:rPr>
        <w:t xml:space="preserve"> (</w:t>
      </w:r>
      <w:r w:rsidR="006B3449" w:rsidRPr="00802ABC">
        <w:rPr>
          <w:rFonts w:cs="Arial"/>
          <w:b w:val="0"/>
          <w:color w:val="auto"/>
          <w:sz w:val="20"/>
          <w:szCs w:val="20"/>
          <w:lang w:eastAsia="en-GB"/>
        </w:rPr>
        <w:t>£10.</w:t>
      </w:r>
      <w:r w:rsidR="00A84AA4" w:rsidRPr="00802ABC">
        <w:rPr>
          <w:rFonts w:cs="Arial"/>
          <w:b w:val="0"/>
          <w:color w:val="auto"/>
          <w:sz w:val="20"/>
          <w:szCs w:val="20"/>
          <w:lang w:eastAsia="en-GB"/>
        </w:rPr>
        <w:t>4</w:t>
      </w:r>
      <w:r w:rsidR="006B3449" w:rsidRPr="00802ABC">
        <w:rPr>
          <w:rFonts w:cs="Arial"/>
          <w:b w:val="0"/>
          <w:color w:val="auto"/>
          <w:sz w:val="20"/>
          <w:szCs w:val="20"/>
          <w:lang w:eastAsia="en-GB"/>
        </w:rPr>
        <w:t>m</w:t>
      </w:r>
      <w:r w:rsidR="00490201" w:rsidRPr="00802ABC">
        <w:rPr>
          <w:rFonts w:cs="Arial"/>
          <w:b w:val="0"/>
          <w:color w:val="auto"/>
          <w:sz w:val="20"/>
          <w:szCs w:val="20"/>
          <w:lang w:eastAsia="en-GB"/>
        </w:rPr>
        <w:t xml:space="preserve"> </w:t>
      </w:r>
      <w:r w:rsidR="00B644DE" w:rsidRPr="00802ABC">
        <w:rPr>
          <w:rFonts w:cs="Arial"/>
          <w:b w:val="0"/>
          <w:color w:val="auto"/>
          <w:sz w:val="20"/>
          <w:szCs w:val="20"/>
          <w:lang w:eastAsia="en-GB"/>
        </w:rPr>
        <w:t>1</w:t>
      </w:r>
      <w:r w:rsidR="00A84AA4" w:rsidRPr="00802ABC">
        <w:rPr>
          <w:rFonts w:cs="Arial"/>
          <w:b w:val="0"/>
          <w:color w:val="auto"/>
          <w:sz w:val="20"/>
          <w:szCs w:val="20"/>
          <w:lang w:eastAsia="en-GB"/>
        </w:rPr>
        <w:t>6</w:t>
      </w:r>
      <w:r w:rsidR="00B644DE" w:rsidRPr="00802ABC">
        <w:rPr>
          <w:rFonts w:cs="Arial"/>
          <w:b w:val="0"/>
          <w:color w:val="auto"/>
          <w:sz w:val="20"/>
          <w:szCs w:val="20"/>
          <w:lang w:eastAsia="en-GB"/>
        </w:rPr>
        <w:t>/1</w:t>
      </w:r>
      <w:r w:rsidR="00A84AA4" w:rsidRPr="00802ABC">
        <w:rPr>
          <w:rFonts w:cs="Arial"/>
          <w:b w:val="0"/>
          <w:color w:val="auto"/>
          <w:sz w:val="20"/>
          <w:szCs w:val="20"/>
          <w:lang w:eastAsia="en-GB"/>
        </w:rPr>
        <w:t>7</w:t>
      </w:r>
      <w:r w:rsidR="00B644DE" w:rsidRPr="00802ABC">
        <w:rPr>
          <w:rFonts w:cs="Arial"/>
          <w:b w:val="0"/>
          <w:color w:val="auto"/>
          <w:sz w:val="20"/>
          <w:szCs w:val="20"/>
          <w:lang w:eastAsia="en-GB"/>
        </w:rPr>
        <w:t>), of which £</w:t>
      </w:r>
      <w:r w:rsidR="00900862" w:rsidRPr="00802ABC">
        <w:rPr>
          <w:rFonts w:cs="Arial"/>
          <w:b w:val="0"/>
          <w:color w:val="auto"/>
          <w:sz w:val="20"/>
          <w:szCs w:val="20"/>
          <w:lang w:eastAsia="en-GB"/>
        </w:rPr>
        <w:t>3.0</w:t>
      </w:r>
      <w:r w:rsidR="00B644DE" w:rsidRPr="00802ABC">
        <w:rPr>
          <w:rFonts w:cs="Arial"/>
          <w:b w:val="0"/>
          <w:color w:val="auto"/>
          <w:sz w:val="20"/>
          <w:szCs w:val="20"/>
          <w:lang w:eastAsia="en-GB"/>
        </w:rPr>
        <w:t>m (</w:t>
      </w:r>
      <w:r w:rsidR="006B3449" w:rsidRPr="00802ABC">
        <w:rPr>
          <w:rFonts w:cs="Arial"/>
          <w:b w:val="0"/>
          <w:color w:val="auto"/>
          <w:sz w:val="20"/>
          <w:szCs w:val="20"/>
          <w:lang w:eastAsia="en-GB"/>
        </w:rPr>
        <w:t>£3.0m</w:t>
      </w:r>
      <w:r w:rsidR="00490201" w:rsidRPr="00802ABC">
        <w:rPr>
          <w:rFonts w:cs="Arial"/>
          <w:b w:val="0"/>
          <w:color w:val="auto"/>
          <w:sz w:val="20"/>
          <w:szCs w:val="20"/>
          <w:lang w:eastAsia="en-GB"/>
        </w:rPr>
        <w:t xml:space="preserve"> </w:t>
      </w:r>
      <w:r w:rsidR="00B644DE" w:rsidRPr="00802ABC">
        <w:rPr>
          <w:rFonts w:cs="Arial"/>
          <w:b w:val="0"/>
          <w:color w:val="auto"/>
          <w:sz w:val="20"/>
          <w:szCs w:val="20"/>
          <w:lang w:eastAsia="en-GB"/>
        </w:rPr>
        <w:t>1</w:t>
      </w:r>
      <w:r w:rsidR="0028635B" w:rsidRPr="00802ABC">
        <w:rPr>
          <w:rFonts w:cs="Arial"/>
          <w:b w:val="0"/>
          <w:color w:val="auto"/>
          <w:sz w:val="20"/>
          <w:szCs w:val="20"/>
          <w:lang w:eastAsia="en-GB"/>
        </w:rPr>
        <w:t>6</w:t>
      </w:r>
      <w:r w:rsidR="00B644DE" w:rsidRPr="00802ABC">
        <w:rPr>
          <w:rFonts w:cs="Arial"/>
          <w:b w:val="0"/>
          <w:color w:val="auto"/>
          <w:sz w:val="20"/>
          <w:szCs w:val="20"/>
          <w:lang w:eastAsia="en-GB"/>
        </w:rPr>
        <w:t>/1</w:t>
      </w:r>
      <w:r w:rsidR="0028635B" w:rsidRPr="00802ABC">
        <w:rPr>
          <w:rFonts w:cs="Arial"/>
          <w:b w:val="0"/>
          <w:color w:val="auto"/>
          <w:sz w:val="20"/>
          <w:szCs w:val="20"/>
          <w:lang w:eastAsia="en-GB"/>
        </w:rPr>
        <w:t>7</w:t>
      </w:r>
      <w:r w:rsidR="00B644DE" w:rsidRPr="00802ABC">
        <w:rPr>
          <w:rFonts w:cs="Arial"/>
          <w:b w:val="0"/>
          <w:color w:val="auto"/>
          <w:sz w:val="20"/>
          <w:szCs w:val="20"/>
          <w:lang w:eastAsia="en-GB"/>
        </w:rPr>
        <w:t xml:space="preserve">) was </w:t>
      </w:r>
      <w:r w:rsidR="00490201" w:rsidRPr="00802ABC">
        <w:rPr>
          <w:rFonts w:cs="Arial"/>
          <w:b w:val="0"/>
          <w:color w:val="auto"/>
          <w:sz w:val="20"/>
          <w:szCs w:val="20"/>
          <w:lang w:eastAsia="en-GB"/>
        </w:rPr>
        <w:t xml:space="preserve">paid </w:t>
      </w:r>
      <w:r w:rsidR="001C0245" w:rsidRPr="00802ABC">
        <w:rPr>
          <w:rFonts w:cs="Arial"/>
          <w:b w:val="0"/>
          <w:color w:val="auto"/>
          <w:sz w:val="20"/>
          <w:szCs w:val="20"/>
          <w:lang w:eastAsia="en-GB"/>
        </w:rPr>
        <w:t xml:space="preserve">to </w:t>
      </w:r>
      <w:r w:rsidR="00490201" w:rsidRPr="00802ABC">
        <w:rPr>
          <w:rFonts w:cs="Arial"/>
          <w:b w:val="0"/>
          <w:color w:val="auto"/>
          <w:sz w:val="20"/>
          <w:szCs w:val="20"/>
          <w:lang w:eastAsia="en-GB"/>
        </w:rPr>
        <w:t xml:space="preserve">the </w:t>
      </w:r>
      <w:r w:rsidRPr="00802ABC">
        <w:rPr>
          <w:rFonts w:cs="Arial"/>
          <w:b w:val="0"/>
          <w:color w:val="auto"/>
          <w:sz w:val="20"/>
          <w:szCs w:val="20"/>
          <w:lang w:eastAsia="en-GB"/>
        </w:rPr>
        <w:t>Council</w:t>
      </w:r>
      <w:r w:rsidR="00490201" w:rsidRPr="00802ABC">
        <w:rPr>
          <w:rFonts w:cs="Arial"/>
          <w:b w:val="0"/>
          <w:color w:val="auto"/>
          <w:sz w:val="20"/>
          <w:szCs w:val="20"/>
          <w:lang w:eastAsia="en-GB"/>
        </w:rPr>
        <w:t xml:space="preserve"> to </w:t>
      </w:r>
      <w:r w:rsidRPr="00802ABC">
        <w:rPr>
          <w:rFonts w:cs="Arial"/>
          <w:b w:val="0"/>
          <w:color w:val="auto"/>
          <w:sz w:val="20"/>
          <w:szCs w:val="20"/>
          <w:lang w:eastAsia="en-GB"/>
        </w:rPr>
        <w:t>commission</w:t>
      </w:r>
      <w:r w:rsidR="00490201" w:rsidRPr="00802ABC">
        <w:rPr>
          <w:rFonts w:cs="Arial"/>
          <w:b w:val="0"/>
          <w:color w:val="auto"/>
          <w:sz w:val="20"/>
          <w:szCs w:val="20"/>
          <w:lang w:eastAsia="en-GB"/>
        </w:rPr>
        <w:t xml:space="preserve"> adult social care services</w:t>
      </w:r>
      <w:r w:rsidR="00D95A9E" w:rsidRPr="00802ABC">
        <w:rPr>
          <w:rFonts w:cs="Arial"/>
          <w:b w:val="0"/>
          <w:color w:val="auto"/>
          <w:sz w:val="20"/>
          <w:szCs w:val="20"/>
          <w:lang w:eastAsia="en-GB"/>
        </w:rPr>
        <w:t xml:space="preserve"> and £</w:t>
      </w:r>
      <w:r w:rsidR="006C4C43" w:rsidRPr="00802ABC">
        <w:rPr>
          <w:rFonts w:cs="Arial"/>
          <w:b w:val="0"/>
          <w:color w:val="auto"/>
          <w:sz w:val="20"/>
          <w:szCs w:val="20"/>
          <w:lang w:eastAsia="en-GB"/>
        </w:rPr>
        <w:t>7.</w:t>
      </w:r>
      <w:r w:rsidR="00A84AA4" w:rsidRPr="00802ABC">
        <w:rPr>
          <w:rFonts w:cs="Arial"/>
          <w:b w:val="0"/>
          <w:color w:val="auto"/>
          <w:sz w:val="20"/>
          <w:szCs w:val="20"/>
          <w:lang w:eastAsia="en-GB"/>
        </w:rPr>
        <w:t>5</w:t>
      </w:r>
      <w:r w:rsidR="006C4C43" w:rsidRPr="00802ABC">
        <w:rPr>
          <w:rFonts w:cs="Arial"/>
          <w:b w:val="0"/>
          <w:color w:val="auto"/>
          <w:sz w:val="20"/>
          <w:szCs w:val="20"/>
          <w:lang w:eastAsia="en-GB"/>
        </w:rPr>
        <w:t>m</w:t>
      </w:r>
      <w:r w:rsidR="00D95A9E" w:rsidRPr="00802ABC">
        <w:rPr>
          <w:rFonts w:cs="Arial"/>
          <w:b w:val="0"/>
          <w:color w:val="auto"/>
          <w:sz w:val="20"/>
          <w:szCs w:val="20"/>
          <w:lang w:eastAsia="en-GB"/>
        </w:rPr>
        <w:t xml:space="preserve"> </w:t>
      </w:r>
      <w:r w:rsidR="008626BD" w:rsidRPr="00802ABC">
        <w:rPr>
          <w:rFonts w:cs="Arial"/>
          <w:b w:val="0"/>
          <w:color w:val="auto"/>
          <w:sz w:val="20"/>
          <w:szCs w:val="20"/>
          <w:lang w:eastAsia="en-GB"/>
        </w:rPr>
        <w:t>(</w:t>
      </w:r>
      <w:r w:rsidR="006B3449" w:rsidRPr="00802ABC">
        <w:rPr>
          <w:rFonts w:cs="Arial"/>
          <w:b w:val="0"/>
          <w:color w:val="auto"/>
          <w:sz w:val="20"/>
          <w:szCs w:val="20"/>
          <w:lang w:eastAsia="en-GB"/>
        </w:rPr>
        <w:t>£7.</w:t>
      </w:r>
      <w:r w:rsidR="00A84AA4" w:rsidRPr="00802ABC">
        <w:rPr>
          <w:rFonts w:cs="Arial"/>
          <w:b w:val="0"/>
          <w:color w:val="auto"/>
          <w:sz w:val="20"/>
          <w:szCs w:val="20"/>
          <w:lang w:eastAsia="en-GB"/>
        </w:rPr>
        <w:t>4</w:t>
      </w:r>
      <w:r w:rsidR="006B3449" w:rsidRPr="00802ABC">
        <w:rPr>
          <w:rFonts w:cs="Arial"/>
          <w:b w:val="0"/>
          <w:color w:val="auto"/>
          <w:sz w:val="20"/>
          <w:szCs w:val="20"/>
          <w:lang w:eastAsia="en-GB"/>
        </w:rPr>
        <w:t>m</w:t>
      </w:r>
      <w:r w:rsidR="008626BD" w:rsidRPr="00802ABC">
        <w:rPr>
          <w:rFonts w:cs="Arial"/>
          <w:b w:val="0"/>
          <w:color w:val="auto"/>
          <w:sz w:val="20"/>
          <w:szCs w:val="20"/>
          <w:lang w:eastAsia="en-GB"/>
        </w:rPr>
        <w:t xml:space="preserve"> 1</w:t>
      </w:r>
      <w:r w:rsidR="0028635B" w:rsidRPr="00802ABC">
        <w:rPr>
          <w:rFonts w:cs="Arial"/>
          <w:b w:val="0"/>
          <w:color w:val="auto"/>
          <w:sz w:val="20"/>
          <w:szCs w:val="20"/>
          <w:lang w:eastAsia="en-GB"/>
        </w:rPr>
        <w:t>6</w:t>
      </w:r>
      <w:r w:rsidR="008626BD" w:rsidRPr="00802ABC">
        <w:rPr>
          <w:rFonts w:cs="Arial"/>
          <w:b w:val="0"/>
          <w:color w:val="auto"/>
          <w:sz w:val="20"/>
          <w:szCs w:val="20"/>
          <w:lang w:eastAsia="en-GB"/>
        </w:rPr>
        <w:t>/1</w:t>
      </w:r>
      <w:r w:rsidR="0028635B" w:rsidRPr="00802ABC">
        <w:rPr>
          <w:rFonts w:cs="Arial"/>
          <w:b w:val="0"/>
          <w:color w:val="auto"/>
          <w:sz w:val="20"/>
          <w:szCs w:val="20"/>
          <w:lang w:eastAsia="en-GB"/>
        </w:rPr>
        <w:t>7</w:t>
      </w:r>
      <w:r w:rsidR="008626BD" w:rsidRPr="00802ABC">
        <w:rPr>
          <w:rFonts w:cs="Arial"/>
          <w:b w:val="0"/>
          <w:color w:val="auto"/>
          <w:sz w:val="20"/>
          <w:szCs w:val="20"/>
          <w:lang w:eastAsia="en-GB"/>
        </w:rPr>
        <w:t xml:space="preserve">) </w:t>
      </w:r>
      <w:r w:rsidR="00D95A9E" w:rsidRPr="00802ABC">
        <w:rPr>
          <w:rFonts w:cs="Arial"/>
          <w:b w:val="0"/>
          <w:color w:val="auto"/>
          <w:sz w:val="20"/>
          <w:szCs w:val="20"/>
          <w:lang w:eastAsia="en-GB"/>
        </w:rPr>
        <w:t xml:space="preserve">was used by the CCG to </w:t>
      </w:r>
      <w:r w:rsidRPr="00802ABC">
        <w:rPr>
          <w:rFonts w:cs="Arial"/>
          <w:b w:val="0"/>
          <w:color w:val="auto"/>
          <w:sz w:val="20"/>
          <w:szCs w:val="20"/>
          <w:lang w:eastAsia="en-GB"/>
        </w:rPr>
        <w:t>commission</w:t>
      </w:r>
      <w:r w:rsidR="00D95A9E" w:rsidRPr="00802ABC">
        <w:rPr>
          <w:rFonts w:cs="Arial"/>
          <w:b w:val="0"/>
          <w:color w:val="auto"/>
          <w:sz w:val="20"/>
          <w:szCs w:val="20"/>
          <w:lang w:eastAsia="en-GB"/>
        </w:rPr>
        <w:t xml:space="preserve"> </w:t>
      </w:r>
      <w:r w:rsidRPr="00802ABC">
        <w:rPr>
          <w:rFonts w:cs="Arial"/>
          <w:b w:val="0"/>
          <w:color w:val="auto"/>
          <w:sz w:val="20"/>
          <w:szCs w:val="20"/>
          <w:lang w:eastAsia="en-GB"/>
        </w:rPr>
        <w:t>health</w:t>
      </w:r>
      <w:r w:rsidR="00D95A9E" w:rsidRPr="00802ABC">
        <w:rPr>
          <w:rFonts w:cs="Arial"/>
          <w:b w:val="0"/>
          <w:color w:val="auto"/>
          <w:sz w:val="20"/>
          <w:szCs w:val="20"/>
          <w:lang w:eastAsia="en-GB"/>
        </w:rPr>
        <w:t xml:space="preserve"> related services.</w:t>
      </w:r>
      <w:r w:rsidR="000144C0" w:rsidRPr="00802ABC">
        <w:rPr>
          <w:rFonts w:cs="Arial"/>
          <w:b w:val="0"/>
          <w:color w:val="auto"/>
          <w:sz w:val="20"/>
          <w:szCs w:val="20"/>
          <w:lang w:eastAsia="en-GB"/>
        </w:rPr>
        <w:t xml:space="preserve"> </w:t>
      </w:r>
    </w:p>
    <w:p w:rsidR="008121B1" w:rsidRPr="00802ABC" w:rsidRDefault="008121B1" w:rsidP="008121B1">
      <w:pPr>
        <w:pStyle w:val="CodeNotesExampleHead"/>
        <w:widowControl w:val="0"/>
        <w:ind w:left="567"/>
        <w:rPr>
          <w:rFonts w:cs="Arial"/>
          <w:b w:val="0"/>
          <w:color w:val="548DD4" w:themeColor="text2" w:themeTint="99"/>
          <w:sz w:val="20"/>
          <w:szCs w:val="20"/>
          <w:lang w:eastAsia="en-GB"/>
        </w:rPr>
      </w:pPr>
    </w:p>
    <w:p w:rsidR="00A84AA4" w:rsidRPr="00802ABC" w:rsidRDefault="00A84AA4" w:rsidP="008121B1">
      <w:pPr>
        <w:pStyle w:val="CodeNotesExampleHead"/>
        <w:widowControl w:val="0"/>
        <w:ind w:left="567"/>
        <w:rPr>
          <w:rFonts w:cs="Arial"/>
          <w:b w:val="0"/>
          <w:color w:val="auto"/>
          <w:sz w:val="20"/>
          <w:szCs w:val="20"/>
          <w:u w:val="single"/>
          <w:lang w:eastAsia="en-GB"/>
        </w:rPr>
      </w:pPr>
      <w:r w:rsidRPr="00802ABC">
        <w:rPr>
          <w:rFonts w:cs="Arial"/>
          <w:b w:val="0"/>
          <w:color w:val="auto"/>
          <w:sz w:val="20"/>
          <w:szCs w:val="20"/>
          <w:u w:val="single"/>
          <w:lang w:eastAsia="en-GB"/>
        </w:rPr>
        <w:t>Improved Better Care Fund</w:t>
      </w:r>
    </w:p>
    <w:p w:rsidR="00A84AA4" w:rsidRPr="00802ABC" w:rsidRDefault="00A84AA4" w:rsidP="008121B1">
      <w:pPr>
        <w:pStyle w:val="CodeNotesExampleHead"/>
        <w:widowControl w:val="0"/>
        <w:ind w:left="567"/>
        <w:rPr>
          <w:rFonts w:cs="Arial"/>
          <w:b w:val="0"/>
          <w:color w:val="548DD4" w:themeColor="text2" w:themeTint="99"/>
          <w:sz w:val="20"/>
          <w:szCs w:val="20"/>
          <w:lang w:eastAsia="en-GB"/>
        </w:rPr>
      </w:pPr>
    </w:p>
    <w:p w:rsidR="00A84AA4" w:rsidRPr="00A84AA4" w:rsidRDefault="00A84AA4" w:rsidP="008121B1">
      <w:pPr>
        <w:pStyle w:val="CodeNotesExampleHead"/>
        <w:widowControl w:val="0"/>
        <w:ind w:left="567"/>
        <w:rPr>
          <w:rFonts w:cs="Arial"/>
          <w:b w:val="0"/>
          <w:color w:val="auto"/>
          <w:sz w:val="20"/>
          <w:szCs w:val="20"/>
          <w:lang w:eastAsia="en-GB"/>
        </w:rPr>
      </w:pPr>
      <w:r w:rsidRPr="00802ABC">
        <w:rPr>
          <w:rFonts w:cs="Arial"/>
          <w:b w:val="0"/>
          <w:color w:val="auto"/>
          <w:sz w:val="20"/>
          <w:szCs w:val="20"/>
          <w:lang w:eastAsia="en-GB"/>
        </w:rPr>
        <w:t>The Cou</w:t>
      </w:r>
      <w:r w:rsidR="00615A0E" w:rsidRPr="00802ABC">
        <w:rPr>
          <w:rFonts w:cs="Arial"/>
          <w:b w:val="0"/>
          <w:color w:val="auto"/>
          <w:sz w:val="20"/>
          <w:szCs w:val="20"/>
          <w:lang w:eastAsia="en-GB"/>
        </w:rPr>
        <w:t>nc</w:t>
      </w:r>
      <w:r w:rsidRPr="00802ABC">
        <w:rPr>
          <w:rFonts w:cs="Arial"/>
          <w:b w:val="0"/>
          <w:color w:val="auto"/>
          <w:sz w:val="20"/>
          <w:szCs w:val="20"/>
          <w:lang w:eastAsia="en-GB"/>
        </w:rPr>
        <w:t>il rec</w:t>
      </w:r>
      <w:r w:rsidR="00615A0E" w:rsidRPr="00802ABC">
        <w:rPr>
          <w:rFonts w:cs="Arial"/>
          <w:b w:val="0"/>
          <w:color w:val="auto"/>
          <w:sz w:val="20"/>
          <w:szCs w:val="20"/>
          <w:lang w:eastAsia="en-GB"/>
        </w:rPr>
        <w:t>ei</w:t>
      </w:r>
      <w:r w:rsidRPr="00802ABC">
        <w:rPr>
          <w:rFonts w:cs="Arial"/>
          <w:b w:val="0"/>
          <w:color w:val="auto"/>
          <w:sz w:val="20"/>
          <w:szCs w:val="20"/>
          <w:lang w:eastAsia="en-GB"/>
        </w:rPr>
        <w:t xml:space="preserve">ved £4.4m of Improved Better Care Fund in 2017/18 (nil 16/17) which is reported </w:t>
      </w:r>
      <w:r w:rsidR="000144C0" w:rsidRPr="00802ABC">
        <w:rPr>
          <w:rFonts w:cs="Arial"/>
          <w:b w:val="0"/>
          <w:color w:val="auto"/>
          <w:sz w:val="20"/>
          <w:szCs w:val="20"/>
          <w:lang w:eastAsia="en-GB"/>
        </w:rPr>
        <w:t>as part of t</w:t>
      </w:r>
      <w:r w:rsidRPr="00802ABC">
        <w:rPr>
          <w:rFonts w:cs="Arial"/>
          <w:b w:val="0"/>
          <w:color w:val="auto"/>
          <w:sz w:val="20"/>
          <w:szCs w:val="20"/>
          <w:lang w:eastAsia="en-GB"/>
        </w:rPr>
        <w:t>he</w:t>
      </w:r>
      <w:r w:rsidRPr="00A84AA4">
        <w:rPr>
          <w:rFonts w:cs="Arial"/>
          <w:b w:val="0"/>
          <w:color w:val="auto"/>
          <w:sz w:val="20"/>
          <w:szCs w:val="20"/>
          <w:lang w:eastAsia="en-GB"/>
        </w:rPr>
        <w:t xml:space="preserve"> Bett</w:t>
      </w:r>
      <w:r>
        <w:rPr>
          <w:rFonts w:cs="Arial"/>
          <w:b w:val="0"/>
          <w:color w:val="auto"/>
          <w:sz w:val="20"/>
          <w:szCs w:val="20"/>
          <w:lang w:eastAsia="en-GB"/>
        </w:rPr>
        <w:t>er</w:t>
      </w:r>
      <w:r w:rsidRPr="00A84AA4">
        <w:rPr>
          <w:rFonts w:cs="Arial"/>
          <w:b w:val="0"/>
          <w:color w:val="auto"/>
          <w:sz w:val="20"/>
          <w:szCs w:val="20"/>
          <w:lang w:eastAsia="en-GB"/>
        </w:rPr>
        <w:t xml:space="preserve"> Care </w:t>
      </w:r>
      <w:r>
        <w:rPr>
          <w:rFonts w:cs="Arial"/>
          <w:b w:val="0"/>
          <w:color w:val="auto"/>
          <w:sz w:val="20"/>
          <w:szCs w:val="20"/>
          <w:lang w:eastAsia="en-GB"/>
        </w:rPr>
        <w:t>F</w:t>
      </w:r>
      <w:r w:rsidRPr="00A84AA4">
        <w:rPr>
          <w:rFonts w:cs="Arial"/>
          <w:b w:val="0"/>
          <w:color w:val="auto"/>
          <w:sz w:val="20"/>
          <w:szCs w:val="20"/>
          <w:lang w:eastAsia="en-GB"/>
        </w:rPr>
        <w:t>und</w:t>
      </w:r>
      <w:r>
        <w:rPr>
          <w:rFonts w:cs="Arial"/>
          <w:b w:val="0"/>
          <w:color w:val="auto"/>
          <w:sz w:val="20"/>
          <w:szCs w:val="20"/>
          <w:lang w:eastAsia="en-GB"/>
        </w:rPr>
        <w:t xml:space="preserve">, </w:t>
      </w:r>
      <w:r w:rsidRPr="00A84AA4">
        <w:rPr>
          <w:rFonts w:cs="Arial"/>
          <w:b w:val="0"/>
          <w:color w:val="auto"/>
          <w:sz w:val="20"/>
          <w:szCs w:val="20"/>
          <w:lang w:eastAsia="en-GB"/>
        </w:rPr>
        <w:t xml:space="preserve">but is </w:t>
      </w:r>
      <w:r>
        <w:rPr>
          <w:rFonts w:cs="Arial"/>
          <w:b w:val="0"/>
          <w:color w:val="auto"/>
          <w:sz w:val="20"/>
          <w:szCs w:val="20"/>
          <w:lang w:eastAsia="en-GB"/>
        </w:rPr>
        <w:t>managed by the Cou</w:t>
      </w:r>
      <w:r w:rsidR="00615A0E">
        <w:rPr>
          <w:rFonts w:cs="Arial"/>
          <w:b w:val="0"/>
          <w:color w:val="auto"/>
          <w:sz w:val="20"/>
          <w:szCs w:val="20"/>
          <w:lang w:eastAsia="en-GB"/>
        </w:rPr>
        <w:t>nc</w:t>
      </w:r>
      <w:r>
        <w:rPr>
          <w:rFonts w:cs="Arial"/>
          <w:b w:val="0"/>
          <w:color w:val="auto"/>
          <w:sz w:val="20"/>
          <w:szCs w:val="20"/>
          <w:lang w:eastAsia="en-GB"/>
        </w:rPr>
        <w:t xml:space="preserve">il separate from </w:t>
      </w:r>
      <w:r w:rsidRPr="00A84AA4">
        <w:rPr>
          <w:rFonts w:cs="Arial"/>
          <w:b w:val="0"/>
          <w:color w:val="auto"/>
          <w:sz w:val="20"/>
          <w:szCs w:val="20"/>
          <w:lang w:eastAsia="en-GB"/>
        </w:rPr>
        <w:t>the pooled budget.</w:t>
      </w:r>
    </w:p>
    <w:p w:rsidR="00A84AA4" w:rsidRPr="0005794A" w:rsidRDefault="00A84AA4" w:rsidP="008121B1">
      <w:pPr>
        <w:pStyle w:val="CodeNotesExampleHead"/>
        <w:widowControl w:val="0"/>
        <w:ind w:left="567"/>
        <w:rPr>
          <w:rFonts w:cs="Arial"/>
          <w:b w:val="0"/>
          <w:color w:val="548DD4" w:themeColor="text2" w:themeTint="99"/>
          <w:sz w:val="20"/>
          <w:szCs w:val="20"/>
          <w:lang w:eastAsia="en-GB"/>
        </w:rPr>
      </w:pPr>
    </w:p>
    <w:p w:rsidR="00E51139" w:rsidRPr="00E65B4F" w:rsidRDefault="005C68D8" w:rsidP="008121B1">
      <w:pPr>
        <w:pStyle w:val="Subtitle"/>
        <w:ind w:left="567" w:hanging="567"/>
        <w:rPr>
          <w:b/>
          <w:color w:val="auto"/>
          <w:sz w:val="22"/>
          <w:szCs w:val="22"/>
        </w:rPr>
      </w:pPr>
      <w:r w:rsidRPr="00E65B4F">
        <w:rPr>
          <w:b/>
          <w:color w:val="auto"/>
          <w:sz w:val="22"/>
          <w:szCs w:val="22"/>
        </w:rPr>
        <w:t>2</w:t>
      </w:r>
      <w:r w:rsidR="00CD0754" w:rsidRPr="00E65B4F">
        <w:rPr>
          <w:b/>
          <w:color w:val="auto"/>
          <w:sz w:val="22"/>
          <w:szCs w:val="22"/>
        </w:rPr>
        <w:t>8</w:t>
      </w:r>
      <w:r w:rsidR="00E51139" w:rsidRPr="00E65B4F">
        <w:rPr>
          <w:b/>
          <w:color w:val="auto"/>
          <w:sz w:val="22"/>
          <w:szCs w:val="22"/>
        </w:rPr>
        <w:t>.</w:t>
      </w:r>
      <w:r w:rsidR="00E51139" w:rsidRPr="00E65B4F">
        <w:rPr>
          <w:b/>
          <w:color w:val="auto"/>
          <w:sz w:val="22"/>
          <w:szCs w:val="22"/>
        </w:rPr>
        <w:tab/>
        <w:t>Members’ Allowances</w:t>
      </w:r>
    </w:p>
    <w:p w:rsidR="00E51139" w:rsidRPr="0005794A" w:rsidRDefault="00E51139" w:rsidP="00A34492">
      <w:pPr>
        <w:pStyle w:val="CodeNotesExampleHead"/>
        <w:widowControl w:val="0"/>
        <w:ind w:left="567"/>
        <w:outlineLvl w:val="0"/>
        <w:rPr>
          <w:rFonts w:cs="Arial"/>
          <w:b w:val="0"/>
          <w:color w:val="548DD4" w:themeColor="text2" w:themeTint="99"/>
          <w:sz w:val="20"/>
          <w:szCs w:val="20"/>
          <w:lang w:eastAsia="en-GB"/>
        </w:rPr>
      </w:pPr>
      <w:r w:rsidRPr="00E65B4F">
        <w:rPr>
          <w:rFonts w:cs="Arial"/>
          <w:b w:val="0"/>
          <w:color w:val="auto"/>
          <w:sz w:val="20"/>
          <w:szCs w:val="20"/>
          <w:lang w:eastAsia="en-GB"/>
        </w:rPr>
        <w:t xml:space="preserve">Under the Council’s Members Allowances scheme </w:t>
      </w:r>
      <w:r w:rsidR="00A34492" w:rsidRPr="00E65B4F">
        <w:rPr>
          <w:rFonts w:cs="Arial"/>
          <w:b w:val="0"/>
          <w:color w:val="auto"/>
          <w:sz w:val="20"/>
          <w:szCs w:val="20"/>
          <w:lang w:eastAsia="en-GB"/>
        </w:rPr>
        <w:t>£</w:t>
      </w:r>
      <w:r w:rsidR="009C3790" w:rsidRPr="00E65B4F">
        <w:rPr>
          <w:rFonts w:cs="Arial"/>
          <w:b w:val="0"/>
          <w:color w:val="auto"/>
          <w:sz w:val="20"/>
          <w:szCs w:val="20"/>
          <w:lang w:eastAsia="en-GB"/>
        </w:rPr>
        <w:t>44</w:t>
      </w:r>
      <w:r w:rsidR="00E65B4F" w:rsidRPr="00E65B4F">
        <w:rPr>
          <w:rFonts w:cs="Arial"/>
          <w:b w:val="0"/>
          <w:color w:val="auto"/>
          <w:sz w:val="20"/>
          <w:szCs w:val="20"/>
          <w:lang w:eastAsia="en-GB"/>
        </w:rPr>
        <w:t>3</w:t>
      </w:r>
      <w:r w:rsidR="00617F5B" w:rsidRPr="00E65B4F">
        <w:rPr>
          <w:rFonts w:cs="Arial"/>
          <w:b w:val="0"/>
          <w:color w:val="auto"/>
          <w:sz w:val="20"/>
          <w:szCs w:val="20"/>
          <w:lang w:eastAsia="en-GB"/>
        </w:rPr>
        <w:t>,000</w:t>
      </w:r>
      <w:r w:rsidR="00A34492" w:rsidRPr="00E65B4F">
        <w:rPr>
          <w:rFonts w:cs="Arial"/>
          <w:b w:val="0"/>
          <w:color w:val="auto"/>
          <w:sz w:val="20"/>
          <w:szCs w:val="20"/>
          <w:lang w:eastAsia="en-GB"/>
        </w:rPr>
        <w:t xml:space="preserve"> (£4</w:t>
      </w:r>
      <w:r w:rsidR="00880227" w:rsidRPr="00E65B4F">
        <w:rPr>
          <w:rFonts w:cs="Arial"/>
          <w:b w:val="0"/>
          <w:color w:val="auto"/>
          <w:sz w:val="20"/>
          <w:szCs w:val="20"/>
          <w:lang w:eastAsia="en-GB"/>
        </w:rPr>
        <w:t>47</w:t>
      </w:r>
      <w:r w:rsidR="00A34492" w:rsidRPr="00E65B4F">
        <w:rPr>
          <w:rFonts w:cs="Arial"/>
          <w:b w:val="0"/>
          <w:color w:val="auto"/>
          <w:sz w:val="20"/>
          <w:szCs w:val="20"/>
          <w:lang w:eastAsia="en-GB"/>
        </w:rPr>
        <w:t>,000 201</w:t>
      </w:r>
      <w:r w:rsidR="00880227" w:rsidRPr="00E65B4F">
        <w:rPr>
          <w:rFonts w:cs="Arial"/>
          <w:b w:val="0"/>
          <w:color w:val="auto"/>
          <w:sz w:val="20"/>
          <w:szCs w:val="20"/>
          <w:lang w:eastAsia="en-GB"/>
        </w:rPr>
        <w:t>6</w:t>
      </w:r>
      <w:r w:rsidR="00A34492" w:rsidRPr="00E65B4F">
        <w:rPr>
          <w:rFonts w:cs="Arial"/>
          <w:b w:val="0"/>
          <w:color w:val="auto"/>
          <w:sz w:val="20"/>
          <w:szCs w:val="20"/>
          <w:lang w:eastAsia="en-GB"/>
        </w:rPr>
        <w:t>/1</w:t>
      </w:r>
      <w:r w:rsidR="00880227" w:rsidRPr="00E65B4F">
        <w:rPr>
          <w:rFonts w:cs="Arial"/>
          <w:b w:val="0"/>
          <w:color w:val="auto"/>
          <w:sz w:val="20"/>
          <w:szCs w:val="20"/>
          <w:lang w:eastAsia="en-GB"/>
        </w:rPr>
        <w:t>7</w:t>
      </w:r>
      <w:r w:rsidR="00A34492" w:rsidRPr="00E65B4F">
        <w:rPr>
          <w:rFonts w:cs="Arial"/>
          <w:b w:val="0"/>
          <w:color w:val="auto"/>
          <w:sz w:val="20"/>
          <w:szCs w:val="20"/>
          <w:lang w:eastAsia="en-GB"/>
        </w:rPr>
        <w:t xml:space="preserve">) </w:t>
      </w:r>
      <w:r w:rsidRPr="00E65B4F">
        <w:rPr>
          <w:rFonts w:cs="Arial"/>
          <w:b w:val="0"/>
          <w:color w:val="auto"/>
          <w:sz w:val="20"/>
          <w:szCs w:val="20"/>
          <w:lang w:eastAsia="en-GB"/>
        </w:rPr>
        <w:t>w</w:t>
      </w:r>
      <w:r w:rsidR="00A70FCC" w:rsidRPr="00E65B4F">
        <w:rPr>
          <w:rFonts w:cs="Arial"/>
          <w:b w:val="0"/>
          <w:color w:val="auto"/>
          <w:sz w:val="20"/>
          <w:szCs w:val="20"/>
          <w:lang w:eastAsia="en-GB"/>
        </w:rPr>
        <w:t>ere</w:t>
      </w:r>
      <w:r w:rsidRPr="00E65B4F">
        <w:rPr>
          <w:rFonts w:cs="Arial"/>
          <w:b w:val="0"/>
          <w:color w:val="auto"/>
          <w:sz w:val="20"/>
          <w:szCs w:val="20"/>
          <w:lang w:eastAsia="en-GB"/>
        </w:rPr>
        <w:t xml:space="preserve"> paid to members of the Council during the year</w:t>
      </w:r>
      <w:r w:rsidR="00A34492" w:rsidRPr="00E65B4F">
        <w:rPr>
          <w:rFonts w:cs="Arial"/>
          <w:b w:val="0"/>
          <w:color w:val="auto"/>
          <w:sz w:val="20"/>
          <w:szCs w:val="20"/>
          <w:lang w:eastAsia="en-GB"/>
        </w:rPr>
        <w:t>. In addition £</w:t>
      </w:r>
      <w:r w:rsidR="00E65B4F" w:rsidRPr="00E65B4F">
        <w:rPr>
          <w:rFonts w:cs="Arial"/>
          <w:b w:val="0"/>
          <w:color w:val="auto"/>
          <w:sz w:val="20"/>
          <w:szCs w:val="20"/>
          <w:lang w:eastAsia="en-GB"/>
        </w:rPr>
        <w:t>3</w:t>
      </w:r>
      <w:r w:rsidR="00617F5B" w:rsidRPr="00E65B4F">
        <w:rPr>
          <w:rFonts w:cs="Arial"/>
          <w:b w:val="0"/>
          <w:color w:val="auto"/>
          <w:sz w:val="20"/>
          <w:szCs w:val="20"/>
          <w:lang w:eastAsia="en-GB"/>
        </w:rPr>
        <w:t>,000</w:t>
      </w:r>
      <w:r w:rsidR="00A34492" w:rsidRPr="00E65B4F">
        <w:rPr>
          <w:rFonts w:cs="Arial"/>
          <w:b w:val="0"/>
          <w:color w:val="auto"/>
          <w:sz w:val="20"/>
          <w:szCs w:val="20"/>
          <w:lang w:eastAsia="en-GB"/>
        </w:rPr>
        <w:t xml:space="preserve"> of approved expenses </w:t>
      </w:r>
      <w:r w:rsidR="007E33E1" w:rsidRPr="00E65B4F">
        <w:rPr>
          <w:rFonts w:cs="Arial"/>
          <w:b w:val="0"/>
          <w:color w:val="auto"/>
          <w:sz w:val="20"/>
          <w:szCs w:val="20"/>
          <w:lang w:eastAsia="en-GB"/>
        </w:rPr>
        <w:t>was</w:t>
      </w:r>
      <w:r w:rsidR="00A34492" w:rsidRPr="00E65B4F">
        <w:rPr>
          <w:rFonts w:cs="Arial"/>
          <w:b w:val="0"/>
          <w:color w:val="auto"/>
          <w:sz w:val="20"/>
          <w:szCs w:val="20"/>
          <w:lang w:eastAsia="en-GB"/>
        </w:rPr>
        <w:t xml:space="preserve"> paid (£</w:t>
      </w:r>
      <w:r w:rsidR="00880227" w:rsidRPr="00E65B4F">
        <w:rPr>
          <w:rFonts w:cs="Arial"/>
          <w:b w:val="0"/>
          <w:color w:val="auto"/>
          <w:sz w:val="20"/>
          <w:szCs w:val="20"/>
          <w:lang w:eastAsia="en-GB"/>
        </w:rPr>
        <w:t>5</w:t>
      </w:r>
      <w:r w:rsidR="00A34492" w:rsidRPr="00E65B4F">
        <w:rPr>
          <w:rFonts w:cs="Arial"/>
          <w:b w:val="0"/>
          <w:color w:val="auto"/>
          <w:sz w:val="20"/>
          <w:szCs w:val="20"/>
          <w:lang w:eastAsia="en-GB"/>
        </w:rPr>
        <w:t>,000 201</w:t>
      </w:r>
      <w:r w:rsidR="00880227" w:rsidRPr="00E65B4F">
        <w:rPr>
          <w:rFonts w:cs="Arial"/>
          <w:b w:val="0"/>
          <w:color w:val="auto"/>
          <w:sz w:val="20"/>
          <w:szCs w:val="20"/>
          <w:lang w:eastAsia="en-GB"/>
        </w:rPr>
        <w:t>6</w:t>
      </w:r>
      <w:r w:rsidR="00A34492" w:rsidRPr="00E65B4F">
        <w:rPr>
          <w:rFonts w:cs="Arial"/>
          <w:b w:val="0"/>
          <w:color w:val="auto"/>
          <w:sz w:val="20"/>
          <w:szCs w:val="20"/>
          <w:lang w:eastAsia="en-GB"/>
        </w:rPr>
        <w:t>/1</w:t>
      </w:r>
      <w:r w:rsidR="00880227" w:rsidRPr="00E65B4F">
        <w:rPr>
          <w:rFonts w:cs="Arial"/>
          <w:b w:val="0"/>
          <w:color w:val="auto"/>
          <w:sz w:val="20"/>
          <w:szCs w:val="20"/>
          <w:lang w:eastAsia="en-GB"/>
        </w:rPr>
        <w:t>7</w:t>
      </w:r>
      <w:r w:rsidR="00A34492" w:rsidRPr="00E65B4F">
        <w:rPr>
          <w:rFonts w:cs="Arial"/>
          <w:b w:val="0"/>
          <w:color w:val="auto"/>
          <w:sz w:val="20"/>
          <w:szCs w:val="20"/>
          <w:lang w:eastAsia="en-GB"/>
        </w:rPr>
        <w:t>).</w:t>
      </w:r>
      <w:r w:rsidR="00A34492" w:rsidRPr="0005794A">
        <w:rPr>
          <w:rFonts w:cs="Arial"/>
          <w:b w:val="0"/>
          <w:color w:val="548DD4" w:themeColor="text2" w:themeTint="99"/>
          <w:sz w:val="20"/>
          <w:szCs w:val="20"/>
          <w:lang w:eastAsia="en-GB"/>
        </w:rPr>
        <w:t xml:space="preserve"> </w:t>
      </w:r>
      <w:r w:rsidRPr="00E377A3">
        <w:rPr>
          <w:rFonts w:cs="Arial"/>
          <w:b w:val="0"/>
          <w:color w:val="auto"/>
          <w:sz w:val="20"/>
          <w:szCs w:val="20"/>
          <w:lang w:eastAsia="en-GB"/>
        </w:rPr>
        <w:t>The current Allowances’ scheme can be found on the Council’s website</w:t>
      </w:r>
      <w:r w:rsidR="00E377A3" w:rsidRPr="00E377A3">
        <w:rPr>
          <w:rFonts w:cs="Arial"/>
          <w:b w:val="0"/>
          <w:color w:val="auto"/>
          <w:sz w:val="20"/>
          <w:szCs w:val="20"/>
          <w:lang w:eastAsia="en-GB"/>
        </w:rPr>
        <w:t>.</w:t>
      </w:r>
      <w:r w:rsidRPr="0005794A">
        <w:rPr>
          <w:rFonts w:cs="Arial"/>
          <w:b w:val="0"/>
          <w:color w:val="548DD4" w:themeColor="text2" w:themeTint="99"/>
          <w:sz w:val="20"/>
          <w:szCs w:val="20"/>
          <w:lang w:eastAsia="en-GB"/>
        </w:rPr>
        <w:t xml:space="preserve"> </w:t>
      </w:r>
    </w:p>
    <w:p w:rsidR="00A34492" w:rsidRPr="0005794A" w:rsidRDefault="00A34492" w:rsidP="00A34492">
      <w:pPr>
        <w:pStyle w:val="CodeNotesExampleHead"/>
        <w:widowControl w:val="0"/>
        <w:ind w:left="567"/>
        <w:outlineLvl w:val="0"/>
        <w:rPr>
          <w:color w:val="548DD4" w:themeColor="text2" w:themeTint="99"/>
          <w:sz w:val="20"/>
          <w:szCs w:val="20"/>
        </w:rPr>
      </w:pPr>
    </w:p>
    <w:p w:rsidR="00E51139" w:rsidRPr="00170982" w:rsidRDefault="005C68D8" w:rsidP="00403335">
      <w:pPr>
        <w:pStyle w:val="Subtitle"/>
        <w:ind w:left="567" w:hanging="567"/>
        <w:rPr>
          <w:b/>
          <w:color w:val="auto"/>
          <w:sz w:val="22"/>
          <w:szCs w:val="22"/>
        </w:rPr>
      </w:pPr>
      <w:bookmarkStart w:id="2" w:name="OLE_LINK1"/>
      <w:r w:rsidRPr="00170982">
        <w:rPr>
          <w:b/>
          <w:color w:val="auto"/>
          <w:sz w:val="22"/>
          <w:szCs w:val="22"/>
        </w:rPr>
        <w:t>2</w:t>
      </w:r>
      <w:r w:rsidR="00CD0754" w:rsidRPr="00170982">
        <w:rPr>
          <w:b/>
          <w:color w:val="auto"/>
          <w:sz w:val="22"/>
          <w:szCs w:val="22"/>
        </w:rPr>
        <w:t>9</w:t>
      </w:r>
      <w:r w:rsidR="00E51139" w:rsidRPr="00170982">
        <w:rPr>
          <w:b/>
          <w:color w:val="auto"/>
          <w:sz w:val="22"/>
          <w:szCs w:val="22"/>
        </w:rPr>
        <w:t>.</w:t>
      </w:r>
      <w:r w:rsidR="00E51139" w:rsidRPr="00170982">
        <w:rPr>
          <w:b/>
          <w:color w:val="auto"/>
          <w:sz w:val="22"/>
          <w:szCs w:val="22"/>
        </w:rPr>
        <w:tab/>
        <w:t xml:space="preserve">Officers’ Remuneration </w:t>
      </w:r>
    </w:p>
    <w:p w:rsidR="00E51139" w:rsidRPr="0005794A" w:rsidRDefault="00E51139" w:rsidP="003C5E34">
      <w:pPr>
        <w:pStyle w:val="CodeNotesExampleHead"/>
        <w:widowControl w:val="0"/>
        <w:ind w:left="567"/>
        <w:rPr>
          <w:rFonts w:cs="Arial"/>
          <w:b w:val="0"/>
          <w:color w:val="548DD4" w:themeColor="text2" w:themeTint="99"/>
          <w:sz w:val="20"/>
          <w:szCs w:val="20"/>
          <w:lang w:eastAsia="en-GB"/>
        </w:rPr>
      </w:pPr>
      <w:r w:rsidRPr="00170982">
        <w:rPr>
          <w:rFonts w:cs="Arial"/>
          <w:b w:val="0"/>
          <w:color w:val="auto"/>
          <w:sz w:val="20"/>
          <w:szCs w:val="20"/>
          <w:lang w:eastAsia="en-GB"/>
        </w:rPr>
        <w:t>The remuneration paid to the Council’s senior employees is as follows:</w:t>
      </w: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320187" w:rsidRPr="0005794A" w:rsidRDefault="00320187" w:rsidP="003C5E34">
      <w:pPr>
        <w:pStyle w:val="CodeNotesExampleHead"/>
        <w:widowControl w:val="0"/>
        <w:ind w:left="567"/>
        <w:rPr>
          <w:rFonts w:cs="Arial"/>
          <w:b w:val="0"/>
          <w:color w:val="548DD4" w:themeColor="text2" w:themeTint="99"/>
          <w:sz w:val="20"/>
          <w:szCs w:val="20"/>
          <w:lang w:eastAsia="en-GB"/>
        </w:rPr>
      </w:pPr>
    </w:p>
    <w:p w:rsidR="00E51139" w:rsidRPr="0005794A" w:rsidRDefault="00E51139" w:rsidP="003C5E34">
      <w:pPr>
        <w:pStyle w:val="CodeNotesExampleHead"/>
        <w:widowControl w:val="0"/>
        <w:ind w:left="567"/>
        <w:rPr>
          <w:rFonts w:cs="Arial"/>
          <w:b w:val="0"/>
          <w:color w:val="548DD4" w:themeColor="text2" w:themeTint="99"/>
          <w:sz w:val="20"/>
          <w:szCs w:val="20"/>
          <w:lang w:eastAsia="en-GB"/>
        </w:rPr>
      </w:pPr>
    </w:p>
    <w:tbl>
      <w:tblPr>
        <w:tblStyle w:val="ListTable3-Accent51"/>
        <w:tblW w:w="9072" w:type="dxa"/>
        <w:tblLayout w:type="fixed"/>
        <w:tblLook w:val="01E0" w:firstRow="1" w:lastRow="1" w:firstColumn="1" w:lastColumn="1" w:noHBand="0" w:noVBand="0"/>
      </w:tblPr>
      <w:tblGrid>
        <w:gridCol w:w="2268"/>
        <w:gridCol w:w="993"/>
        <w:gridCol w:w="992"/>
        <w:gridCol w:w="1134"/>
        <w:gridCol w:w="1276"/>
        <w:gridCol w:w="1417"/>
        <w:gridCol w:w="992"/>
      </w:tblGrid>
      <w:tr w:rsidR="004A3CDB" w:rsidRPr="0005794A" w:rsidTr="001C0245">
        <w:trPr>
          <w:cnfStyle w:val="100000000000" w:firstRow="1" w:lastRow="0" w:firstColumn="0" w:lastColumn="0" w:oddVBand="0" w:evenVBand="0" w:oddHBand="0" w:evenHBand="0" w:firstRowFirstColumn="0" w:firstRowLastColumn="0" w:lastRowFirstColumn="0" w:lastRowLastColumn="0"/>
          <w:trHeight w:val="944"/>
        </w:trPr>
        <w:tc>
          <w:tcPr>
            <w:cnfStyle w:val="001000000100" w:firstRow="0" w:lastRow="0" w:firstColumn="1" w:lastColumn="0" w:oddVBand="0" w:evenVBand="0" w:oddHBand="0" w:evenHBand="0" w:firstRowFirstColumn="1" w:firstRowLastColumn="0" w:lastRowFirstColumn="0" w:lastRowLastColumn="0"/>
            <w:tcW w:w="2268" w:type="dxa"/>
          </w:tcPr>
          <w:p w:rsidR="00E51139" w:rsidRPr="0005794A" w:rsidRDefault="00E51139" w:rsidP="003C5E34">
            <w:pPr>
              <w:widowControl w:val="0"/>
              <w:spacing w:before="60" w:after="60" w:line="240" w:lineRule="auto"/>
              <w:jc w:val="center"/>
              <w:rPr>
                <w:rStyle w:val="ParaNumber"/>
                <w:rFonts w:ascii="Arial" w:hAnsi="Arial" w:cs="Arial"/>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E51139" w:rsidRPr="0005794A" w:rsidRDefault="00E51139" w:rsidP="003C5E34">
            <w:pPr>
              <w:widowControl w:val="0"/>
              <w:spacing w:before="60" w:after="60" w:line="240" w:lineRule="auto"/>
              <w:jc w:val="center"/>
              <w:rPr>
                <w:rStyle w:val="ParaNumber"/>
                <w:rFonts w:ascii="Arial" w:hAnsi="Arial" w:cs="Arial"/>
                <w:b w:val="0"/>
                <w:color w:val="548DD4" w:themeColor="text2" w:themeTint="99"/>
                <w:sz w:val="20"/>
                <w:szCs w:val="20"/>
              </w:rPr>
            </w:pPr>
          </w:p>
        </w:tc>
        <w:tc>
          <w:tcPr>
            <w:tcW w:w="992" w:type="dxa"/>
          </w:tcPr>
          <w:p w:rsidR="00E51139" w:rsidRPr="00E3736E" w:rsidRDefault="00E51139" w:rsidP="003C5E34">
            <w:pPr>
              <w:widowControl w:val="0"/>
              <w:spacing w:before="60" w:after="60" w:line="240" w:lineRule="auto"/>
              <w:jc w:val="center"/>
              <w:cnfStyle w:val="100000000000" w:firstRow="1" w:lastRow="0"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r w:rsidRPr="00E3736E">
              <w:rPr>
                <w:rStyle w:val="ParaNumber"/>
                <w:rFonts w:ascii="Arial" w:hAnsi="Arial" w:cs="Arial"/>
                <w:b w:val="0"/>
                <w:color w:val="auto"/>
                <w:sz w:val="20"/>
                <w:szCs w:val="20"/>
              </w:rPr>
              <w:t>Salary</w:t>
            </w:r>
          </w:p>
          <w:p w:rsidR="00403335" w:rsidRPr="00E3736E" w:rsidRDefault="00403335" w:rsidP="003C5E34">
            <w:pPr>
              <w:widowControl w:val="0"/>
              <w:spacing w:before="60" w:after="60" w:line="240" w:lineRule="auto"/>
              <w:jc w:val="center"/>
              <w:cnfStyle w:val="100000000000" w:firstRow="1" w:lastRow="0"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p>
          <w:p w:rsidR="00E51139" w:rsidRPr="00E3736E" w:rsidRDefault="00E51139" w:rsidP="00403335">
            <w:pPr>
              <w:widowControl w:val="0"/>
              <w:spacing w:before="60" w:after="60" w:line="240" w:lineRule="auto"/>
              <w:cnfStyle w:val="100000000000" w:firstRow="1" w:lastRow="0"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E51139" w:rsidRPr="00E3736E" w:rsidRDefault="00E51139" w:rsidP="003C5E34">
            <w:pPr>
              <w:widowControl w:val="0"/>
              <w:spacing w:before="60" w:after="60" w:line="240" w:lineRule="auto"/>
              <w:jc w:val="center"/>
              <w:rPr>
                <w:rStyle w:val="ParaNumber"/>
                <w:rFonts w:ascii="Arial" w:hAnsi="Arial" w:cs="Arial"/>
                <w:b w:val="0"/>
                <w:color w:val="auto"/>
                <w:sz w:val="20"/>
                <w:szCs w:val="20"/>
              </w:rPr>
            </w:pPr>
            <w:r w:rsidRPr="00E3736E">
              <w:rPr>
                <w:rStyle w:val="ParaNumber"/>
                <w:rFonts w:ascii="Arial" w:hAnsi="Arial" w:cs="Arial"/>
                <w:b w:val="0"/>
                <w:color w:val="auto"/>
                <w:sz w:val="20"/>
                <w:szCs w:val="20"/>
              </w:rPr>
              <w:t xml:space="preserve">Expenses  </w:t>
            </w:r>
          </w:p>
          <w:p w:rsidR="00E51139" w:rsidRPr="00E3736E" w:rsidRDefault="00E51139" w:rsidP="00403335">
            <w:pPr>
              <w:widowControl w:val="0"/>
              <w:spacing w:before="60" w:after="60" w:line="240" w:lineRule="auto"/>
              <w:rPr>
                <w:rStyle w:val="ParaNumber"/>
                <w:rFonts w:ascii="Arial" w:hAnsi="Arial" w:cs="Arial"/>
                <w:b w:val="0"/>
                <w:color w:val="auto"/>
                <w:sz w:val="20"/>
                <w:szCs w:val="20"/>
              </w:rPr>
            </w:pPr>
          </w:p>
        </w:tc>
        <w:tc>
          <w:tcPr>
            <w:tcW w:w="1276" w:type="dxa"/>
          </w:tcPr>
          <w:p w:rsidR="00E51139" w:rsidRPr="00E3736E" w:rsidRDefault="00E51139" w:rsidP="00403335">
            <w:pPr>
              <w:widowControl w:val="0"/>
              <w:spacing w:before="60" w:after="60" w:line="240" w:lineRule="auto"/>
              <w:jc w:val="center"/>
              <w:cnfStyle w:val="100000000000" w:firstRow="1" w:lastRow="0"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proofErr w:type="spellStart"/>
            <w:r w:rsidRPr="00E3736E">
              <w:rPr>
                <w:rStyle w:val="ParaNumber"/>
                <w:rFonts w:ascii="Arial" w:hAnsi="Arial" w:cs="Arial"/>
                <w:b w:val="0"/>
                <w:color w:val="auto"/>
                <w:sz w:val="20"/>
                <w:szCs w:val="20"/>
              </w:rPr>
              <w:t>Compen-sation</w:t>
            </w:r>
            <w:proofErr w:type="spellEnd"/>
            <w:r w:rsidRPr="00E3736E">
              <w:rPr>
                <w:rStyle w:val="ParaNumber"/>
                <w:rFonts w:ascii="Arial" w:hAnsi="Arial" w:cs="Arial"/>
                <w:b w:val="0"/>
                <w:color w:val="auto"/>
                <w:sz w:val="20"/>
                <w:szCs w:val="20"/>
              </w:rPr>
              <w:t xml:space="preserve"> for Loss of Office</w:t>
            </w:r>
          </w:p>
        </w:tc>
        <w:tc>
          <w:tcPr>
            <w:cnfStyle w:val="000010000000" w:firstRow="0" w:lastRow="0" w:firstColumn="0" w:lastColumn="0" w:oddVBand="1" w:evenVBand="0" w:oddHBand="0" w:evenHBand="0" w:firstRowFirstColumn="0" w:firstRowLastColumn="0" w:lastRowFirstColumn="0" w:lastRowLastColumn="0"/>
            <w:tcW w:w="1417" w:type="dxa"/>
          </w:tcPr>
          <w:p w:rsidR="00E51139" w:rsidRPr="00E3736E" w:rsidRDefault="00E51139" w:rsidP="00403335">
            <w:pPr>
              <w:widowControl w:val="0"/>
              <w:spacing w:before="60" w:after="60" w:line="240" w:lineRule="auto"/>
              <w:jc w:val="center"/>
              <w:rPr>
                <w:rStyle w:val="ParaNumber"/>
                <w:rFonts w:ascii="Arial" w:hAnsi="Arial" w:cs="Arial"/>
                <w:b w:val="0"/>
                <w:color w:val="auto"/>
                <w:sz w:val="20"/>
                <w:szCs w:val="20"/>
              </w:rPr>
            </w:pPr>
            <w:r w:rsidRPr="00E3736E">
              <w:rPr>
                <w:rStyle w:val="ParaNumber"/>
                <w:rFonts w:ascii="Arial" w:hAnsi="Arial" w:cs="Arial"/>
                <w:b w:val="0"/>
                <w:color w:val="auto"/>
                <w:sz w:val="20"/>
                <w:szCs w:val="20"/>
              </w:rPr>
              <w:t>Pension Contribution at “common rate”</w:t>
            </w:r>
          </w:p>
        </w:tc>
        <w:tc>
          <w:tcPr>
            <w:cnfStyle w:val="000100001000" w:firstRow="0" w:lastRow="0" w:firstColumn="0" w:lastColumn="1" w:oddVBand="0" w:evenVBand="0" w:oddHBand="0" w:evenHBand="0" w:firstRowFirstColumn="0" w:firstRowLastColumn="1" w:lastRowFirstColumn="0" w:lastRowLastColumn="0"/>
            <w:tcW w:w="992" w:type="dxa"/>
          </w:tcPr>
          <w:p w:rsidR="00E51139" w:rsidRPr="00E3736E" w:rsidRDefault="00E51139" w:rsidP="003C5E34">
            <w:pPr>
              <w:widowControl w:val="0"/>
              <w:spacing w:before="60" w:after="60" w:line="240" w:lineRule="auto"/>
              <w:jc w:val="center"/>
              <w:rPr>
                <w:rStyle w:val="ParaNumber"/>
                <w:rFonts w:ascii="Arial" w:hAnsi="Arial" w:cs="Arial"/>
                <w:b w:val="0"/>
                <w:color w:val="auto"/>
                <w:sz w:val="20"/>
                <w:szCs w:val="20"/>
              </w:rPr>
            </w:pPr>
            <w:r w:rsidRPr="00E3736E">
              <w:rPr>
                <w:rStyle w:val="ParaNumber"/>
                <w:rFonts w:ascii="Arial" w:hAnsi="Arial" w:cs="Arial"/>
                <w:b w:val="0"/>
                <w:color w:val="auto"/>
                <w:sz w:val="20"/>
                <w:szCs w:val="20"/>
              </w:rPr>
              <w:t>Total</w:t>
            </w:r>
          </w:p>
          <w:p w:rsidR="00E51139" w:rsidRPr="00E3736E" w:rsidRDefault="00E51139" w:rsidP="003C5E34">
            <w:pPr>
              <w:widowControl w:val="0"/>
              <w:spacing w:before="60" w:after="60" w:line="240" w:lineRule="auto"/>
              <w:jc w:val="center"/>
              <w:rPr>
                <w:rStyle w:val="ParaNumber"/>
                <w:rFonts w:ascii="Arial" w:hAnsi="Arial" w:cs="Arial"/>
                <w:b w:val="0"/>
                <w:color w:val="auto"/>
                <w:sz w:val="20"/>
                <w:szCs w:val="20"/>
              </w:rPr>
            </w:pPr>
          </w:p>
        </w:tc>
      </w:tr>
      <w:tr w:rsidR="004A3CDB" w:rsidRPr="0005794A" w:rsidTr="001C024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68" w:type="dxa"/>
            <w:shd w:val="clear" w:color="auto" w:fill="4BACC6" w:themeFill="accent5"/>
          </w:tcPr>
          <w:p w:rsidR="00403335" w:rsidRPr="0005794A" w:rsidRDefault="00403335" w:rsidP="00D80758">
            <w:pPr>
              <w:widowControl w:val="0"/>
              <w:spacing w:before="60" w:after="60" w:line="240" w:lineRule="auto"/>
              <w:rPr>
                <w:rStyle w:val="ParaNumber"/>
                <w:rFonts w:ascii="Arial" w:hAnsi="Arial" w:cs="Arial"/>
                <w:b w:val="0"/>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993" w:type="dxa"/>
            <w:shd w:val="clear" w:color="auto" w:fill="4BACC6" w:themeFill="accent5"/>
          </w:tcPr>
          <w:p w:rsidR="00403335" w:rsidRPr="0005794A" w:rsidRDefault="00403335" w:rsidP="00D80758">
            <w:pPr>
              <w:widowControl w:val="0"/>
              <w:spacing w:before="60" w:after="60" w:line="240" w:lineRule="auto"/>
              <w:jc w:val="center"/>
              <w:rPr>
                <w:rStyle w:val="ParaNumber"/>
                <w:rFonts w:ascii="Arial" w:hAnsi="Arial" w:cs="Arial"/>
                <w:color w:val="548DD4" w:themeColor="text2" w:themeTint="99"/>
                <w:sz w:val="20"/>
                <w:szCs w:val="20"/>
              </w:rPr>
            </w:pPr>
          </w:p>
        </w:tc>
        <w:tc>
          <w:tcPr>
            <w:tcW w:w="992" w:type="dxa"/>
            <w:shd w:val="clear" w:color="auto" w:fill="4BACC6" w:themeFill="accent5"/>
          </w:tcPr>
          <w:p w:rsidR="00403335" w:rsidRPr="00E3736E" w:rsidRDefault="00403335" w:rsidP="00D80758">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E3736E">
              <w:rPr>
                <w:rStyle w:val="ParaNumber"/>
                <w:rFonts w:ascii="Arial" w:hAnsi="Arial" w:cs="Arial"/>
                <w:color w:val="auto"/>
                <w:sz w:val="20"/>
                <w:szCs w:val="20"/>
              </w:rPr>
              <w:t>£000’s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403335" w:rsidRPr="00E3736E" w:rsidRDefault="00403335" w:rsidP="00D80758">
            <w:pPr>
              <w:widowControl w:val="0"/>
              <w:spacing w:before="60" w:after="60" w:line="240" w:lineRule="auto"/>
              <w:jc w:val="center"/>
              <w:rPr>
                <w:rStyle w:val="ParaNumber"/>
                <w:rFonts w:ascii="Arial" w:hAnsi="Arial" w:cs="Arial"/>
                <w:color w:val="auto"/>
                <w:sz w:val="20"/>
                <w:szCs w:val="20"/>
              </w:rPr>
            </w:pPr>
            <w:r w:rsidRPr="00E3736E">
              <w:rPr>
                <w:rStyle w:val="ParaNumber"/>
                <w:rFonts w:ascii="Arial" w:hAnsi="Arial" w:cs="Arial"/>
                <w:color w:val="auto"/>
                <w:sz w:val="20"/>
                <w:szCs w:val="20"/>
              </w:rPr>
              <w:t>£000’s</w:t>
            </w:r>
          </w:p>
        </w:tc>
        <w:tc>
          <w:tcPr>
            <w:tcW w:w="1276" w:type="dxa"/>
            <w:shd w:val="clear" w:color="auto" w:fill="4BACC6" w:themeFill="accent5"/>
          </w:tcPr>
          <w:p w:rsidR="00403335" w:rsidRPr="00E3736E" w:rsidRDefault="00403335" w:rsidP="00D80758">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E3736E">
              <w:rPr>
                <w:rStyle w:val="ParaNumber"/>
                <w:rFonts w:ascii="Arial" w:hAnsi="Arial" w:cs="Arial"/>
                <w:color w:val="auto"/>
                <w:sz w:val="20"/>
                <w:szCs w:val="20"/>
              </w:rPr>
              <w:t>£000’s</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4BACC6" w:themeFill="accent5"/>
          </w:tcPr>
          <w:p w:rsidR="00403335" w:rsidRPr="00E3736E" w:rsidRDefault="00403335" w:rsidP="00D80758">
            <w:pPr>
              <w:widowControl w:val="0"/>
              <w:spacing w:before="60" w:after="60" w:line="240" w:lineRule="auto"/>
              <w:jc w:val="center"/>
              <w:rPr>
                <w:rStyle w:val="ParaNumber"/>
                <w:rFonts w:ascii="Arial" w:hAnsi="Arial" w:cs="Arial"/>
                <w:color w:val="auto"/>
                <w:sz w:val="20"/>
                <w:szCs w:val="20"/>
              </w:rPr>
            </w:pPr>
            <w:r w:rsidRPr="00E3736E">
              <w:rPr>
                <w:rStyle w:val="ParaNumber"/>
                <w:rFonts w:ascii="Arial" w:hAnsi="Arial" w:cs="Arial"/>
                <w:color w:val="auto"/>
                <w:sz w:val="20"/>
                <w:szCs w:val="20"/>
              </w:rPr>
              <w:t>£000’s</w:t>
            </w:r>
          </w:p>
        </w:tc>
        <w:tc>
          <w:tcPr>
            <w:cnfStyle w:val="000100000000" w:firstRow="0" w:lastRow="0" w:firstColumn="0" w:lastColumn="1" w:oddVBand="0" w:evenVBand="0" w:oddHBand="0" w:evenHBand="0" w:firstRowFirstColumn="0" w:firstRowLastColumn="0" w:lastRowFirstColumn="0" w:lastRowLastColumn="0"/>
            <w:tcW w:w="992" w:type="dxa"/>
            <w:shd w:val="clear" w:color="auto" w:fill="4BACC6" w:themeFill="accent5"/>
          </w:tcPr>
          <w:p w:rsidR="00403335" w:rsidRPr="00E3736E" w:rsidRDefault="00403335" w:rsidP="00D80758">
            <w:pPr>
              <w:widowControl w:val="0"/>
              <w:spacing w:before="60" w:after="60" w:line="240" w:lineRule="auto"/>
              <w:jc w:val="center"/>
              <w:rPr>
                <w:rStyle w:val="ParaNumber"/>
                <w:rFonts w:ascii="Arial" w:hAnsi="Arial" w:cs="Arial"/>
                <w:b w:val="0"/>
                <w:color w:val="auto"/>
                <w:sz w:val="20"/>
                <w:szCs w:val="20"/>
              </w:rPr>
            </w:pPr>
            <w:r w:rsidRPr="00E3736E">
              <w:rPr>
                <w:rStyle w:val="ParaNumber"/>
                <w:rFonts w:ascii="Arial" w:hAnsi="Arial" w:cs="Arial"/>
                <w:b w:val="0"/>
                <w:color w:val="auto"/>
                <w:sz w:val="20"/>
                <w:szCs w:val="20"/>
              </w:rPr>
              <w:t>£000’s</w:t>
            </w:r>
          </w:p>
        </w:tc>
      </w:tr>
      <w:tr w:rsidR="00C71DD9" w:rsidRPr="0005794A" w:rsidTr="001C0245">
        <w:trPr>
          <w:trHeight w:val="318"/>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C71DD9" w:rsidRPr="004D7219" w:rsidRDefault="00C71DD9" w:rsidP="001678D5">
            <w:pPr>
              <w:widowControl w:val="0"/>
              <w:spacing w:before="60" w:after="60" w:line="240" w:lineRule="auto"/>
              <w:rPr>
                <w:rStyle w:val="ParaNumber"/>
                <w:rFonts w:ascii="Arial" w:hAnsi="Arial" w:cs="Arial"/>
                <w:b w:val="0"/>
                <w:color w:val="auto"/>
                <w:sz w:val="20"/>
                <w:szCs w:val="20"/>
              </w:rPr>
            </w:pPr>
            <w:r w:rsidRPr="004D7219">
              <w:rPr>
                <w:rStyle w:val="ParaNumber"/>
                <w:rFonts w:ascii="Arial" w:hAnsi="Arial" w:cs="Arial"/>
                <w:b w:val="0"/>
                <w:color w:val="auto"/>
                <w:sz w:val="20"/>
                <w:szCs w:val="20"/>
              </w:rPr>
              <w:t>Steve Parrock – Chief Executive (4 days per week)</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2608A9">
            <w:pPr>
              <w:widowControl w:val="0"/>
              <w:spacing w:before="60" w:after="60" w:line="240" w:lineRule="auto"/>
              <w:jc w:val="center"/>
              <w:rPr>
                <w:rStyle w:val="ParaNumber"/>
                <w:rFonts w:ascii="Arial" w:hAnsi="Arial" w:cs="Arial"/>
                <w:b/>
                <w:color w:val="auto"/>
                <w:sz w:val="20"/>
                <w:szCs w:val="20"/>
              </w:rPr>
            </w:pPr>
            <w:r w:rsidRPr="004D7219">
              <w:rPr>
                <w:rStyle w:val="ParaNumber"/>
                <w:rFonts w:ascii="Arial" w:hAnsi="Arial" w:cs="Arial"/>
                <w:b/>
                <w:color w:val="auto"/>
                <w:sz w:val="20"/>
                <w:szCs w:val="20"/>
              </w:rPr>
              <w:t>2017/18</w:t>
            </w:r>
          </w:p>
        </w:tc>
        <w:tc>
          <w:tcPr>
            <w:tcW w:w="992" w:type="dxa"/>
          </w:tcPr>
          <w:p w:rsidR="00C71DD9" w:rsidRPr="004D7219" w:rsidRDefault="00200EA9" w:rsidP="00D80758">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Pr>
                <w:rStyle w:val="ParaNumber"/>
                <w:rFonts w:ascii="Arial" w:hAnsi="Arial" w:cs="Arial"/>
                <w:b/>
                <w:color w:val="auto"/>
                <w:sz w:val="20"/>
                <w:szCs w:val="20"/>
              </w:rPr>
              <w:t>107</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4D7219" w:rsidRDefault="00200EA9" w:rsidP="00D80758">
            <w:pPr>
              <w:widowControl w:val="0"/>
              <w:spacing w:before="60" w:after="60" w:line="240" w:lineRule="auto"/>
              <w:jc w:val="center"/>
              <w:rPr>
                <w:rStyle w:val="ParaNumber"/>
                <w:rFonts w:ascii="Arial" w:hAnsi="Arial" w:cs="Arial"/>
                <w:b/>
                <w:color w:val="auto"/>
                <w:sz w:val="20"/>
                <w:szCs w:val="20"/>
              </w:rPr>
            </w:pPr>
            <w:r>
              <w:rPr>
                <w:rStyle w:val="ParaNumber"/>
                <w:rFonts w:ascii="Arial" w:hAnsi="Arial" w:cs="Arial"/>
                <w:b/>
                <w:color w:val="auto"/>
                <w:sz w:val="20"/>
                <w:szCs w:val="20"/>
              </w:rPr>
              <w:t>0</w:t>
            </w:r>
          </w:p>
        </w:tc>
        <w:tc>
          <w:tcPr>
            <w:tcW w:w="1276" w:type="dxa"/>
          </w:tcPr>
          <w:p w:rsidR="00C71DD9" w:rsidRPr="004D7219" w:rsidRDefault="00200EA9" w:rsidP="00D80758">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4D7219" w:rsidRDefault="00200EA9" w:rsidP="00D80758">
            <w:pPr>
              <w:widowControl w:val="0"/>
              <w:spacing w:before="60" w:after="60" w:line="240" w:lineRule="auto"/>
              <w:jc w:val="center"/>
              <w:rPr>
                <w:rStyle w:val="ParaNumber"/>
                <w:rFonts w:ascii="Arial" w:hAnsi="Arial" w:cs="Arial"/>
                <w:b/>
                <w:color w:val="auto"/>
                <w:sz w:val="20"/>
                <w:szCs w:val="20"/>
              </w:rPr>
            </w:pPr>
            <w:r>
              <w:rPr>
                <w:rStyle w:val="ParaNumber"/>
                <w:rFonts w:ascii="Arial" w:hAnsi="Arial" w:cs="Arial"/>
                <w:b/>
                <w:color w:val="auto"/>
                <w:sz w:val="20"/>
                <w:szCs w:val="20"/>
              </w:rPr>
              <w:t>16</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4D7219" w:rsidRDefault="00200EA9" w:rsidP="00D80758">
            <w:pPr>
              <w:widowControl w:val="0"/>
              <w:spacing w:before="60" w:after="60" w:line="240" w:lineRule="auto"/>
              <w:jc w:val="center"/>
              <w:rPr>
                <w:rStyle w:val="ParaNumber"/>
                <w:rFonts w:ascii="Arial" w:hAnsi="Arial" w:cs="Arial"/>
                <w:color w:val="auto"/>
                <w:sz w:val="20"/>
                <w:szCs w:val="20"/>
              </w:rPr>
            </w:pPr>
            <w:r>
              <w:rPr>
                <w:rStyle w:val="ParaNumber"/>
                <w:rFonts w:ascii="Arial" w:hAnsi="Arial" w:cs="Arial"/>
                <w:color w:val="auto"/>
                <w:sz w:val="20"/>
                <w:szCs w:val="20"/>
              </w:rPr>
              <w:t>123</w:t>
            </w:r>
          </w:p>
        </w:tc>
      </w:tr>
      <w:tr w:rsidR="00C71DD9" w:rsidRPr="0005794A" w:rsidTr="001C024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68" w:type="dxa"/>
            <w:vMerge/>
          </w:tcPr>
          <w:p w:rsidR="00C71DD9" w:rsidRPr="004D7219" w:rsidRDefault="00C71DD9" w:rsidP="00D80758">
            <w:pPr>
              <w:widowControl w:val="0"/>
              <w:spacing w:before="60" w:after="60" w:line="240" w:lineRule="auto"/>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2608A9">
            <w:pPr>
              <w:widowControl w:val="0"/>
              <w:spacing w:before="60" w:after="60" w:line="240" w:lineRule="auto"/>
              <w:jc w:val="center"/>
              <w:rPr>
                <w:rStyle w:val="ParaNumber"/>
                <w:rFonts w:ascii="Arial" w:hAnsi="Arial" w:cs="Arial"/>
                <w:color w:val="auto"/>
                <w:sz w:val="20"/>
                <w:szCs w:val="20"/>
              </w:rPr>
            </w:pPr>
            <w:r w:rsidRPr="004D7219">
              <w:rPr>
                <w:rStyle w:val="ParaNumber"/>
                <w:rFonts w:ascii="Arial" w:hAnsi="Arial" w:cs="Arial"/>
                <w:color w:val="auto"/>
                <w:sz w:val="20"/>
                <w:szCs w:val="20"/>
              </w:rPr>
              <w:t>2016/17</w:t>
            </w:r>
          </w:p>
        </w:tc>
        <w:tc>
          <w:tcPr>
            <w:tcW w:w="992" w:type="dxa"/>
          </w:tcPr>
          <w:p w:rsidR="00C71DD9" w:rsidRPr="00C71DD9" w:rsidRDefault="00C71DD9" w:rsidP="00E3736E">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104</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C71DD9" w:rsidRDefault="00C71DD9" w:rsidP="00E3736E">
            <w:pPr>
              <w:widowControl w:val="0"/>
              <w:spacing w:before="60" w:after="60" w:line="240" w:lineRule="auto"/>
              <w:jc w:val="center"/>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tcW w:w="1276" w:type="dxa"/>
          </w:tcPr>
          <w:p w:rsidR="00C71DD9" w:rsidRPr="00C71DD9" w:rsidRDefault="00C71DD9" w:rsidP="00E3736E">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C71DD9" w:rsidRDefault="00C71DD9" w:rsidP="00E3736E">
            <w:pPr>
              <w:widowControl w:val="0"/>
              <w:spacing w:before="60" w:after="60" w:line="240" w:lineRule="auto"/>
              <w:jc w:val="center"/>
              <w:rPr>
                <w:rStyle w:val="ParaNumber"/>
                <w:rFonts w:ascii="Arial" w:hAnsi="Arial" w:cs="Arial"/>
                <w:color w:val="auto"/>
                <w:sz w:val="20"/>
                <w:szCs w:val="20"/>
              </w:rPr>
            </w:pPr>
            <w:r w:rsidRPr="00C71DD9">
              <w:rPr>
                <w:rStyle w:val="ParaNumber"/>
                <w:rFonts w:ascii="Arial" w:hAnsi="Arial" w:cs="Arial"/>
                <w:color w:val="auto"/>
                <w:sz w:val="20"/>
                <w:szCs w:val="20"/>
              </w:rPr>
              <w:t>14</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C71DD9" w:rsidRDefault="00C71DD9" w:rsidP="00E3736E">
            <w:pPr>
              <w:widowControl w:val="0"/>
              <w:spacing w:before="60" w:after="60" w:line="240" w:lineRule="auto"/>
              <w:jc w:val="center"/>
              <w:rPr>
                <w:rStyle w:val="ParaNumber"/>
                <w:rFonts w:ascii="Arial" w:hAnsi="Arial" w:cs="Arial"/>
                <w:b w:val="0"/>
                <w:color w:val="auto"/>
                <w:sz w:val="20"/>
                <w:szCs w:val="20"/>
              </w:rPr>
            </w:pPr>
            <w:r w:rsidRPr="00C71DD9">
              <w:rPr>
                <w:rStyle w:val="ParaNumber"/>
                <w:rFonts w:ascii="Arial" w:hAnsi="Arial" w:cs="Arial"/>
                <w:b w:val="0"/>
                <w:color w:val="auto"/>
                <w:sz w:val="20"/>
                <w:szCs w:val="20"/>
              </w:rPr>
              <w:t>118</w:t>
            </w:r>
          </w:p>
        </w:tc>
      </w:tr>
      <w:tr w:rsidR="00C71DD9" w:rsidRPr="0005794A" w:rsidTr="001C0245">
        <w:trPr>
          <w:trHeight w:val="522"/>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C71DD9" w:rsidRPr="004D7219" w:rsidRDefault="00C71DD9" w:rsidP="009054CB">
            <w:pPr>
              <w:widowControl w:val="0"/>
              <w:spacing w:before="60" w:after="60" w:line="240" w:lineRule="auto"/>
              <w:rPr>
                <w:rStyle w:val="ParaNumber"/>
                <w:rFonts w:ascii="Arial" w:hAnsi="Arial" w:cs="Arial"/>
                <w:b w:val="0"/>
                <w:color w:val="auto"/>
                <w:sz w:val="20"/>
                <w:szCs w:val="20"/>
              </w:rPr>
            </w:pPr>
            <w:r w:rsidRPr="004D7219">
              <w:rPr>
                <w:rStyle w:val="ParaNumber"/>
                <w:rFonts w:ascii="Arial" w:hAnsi="Arial" w:cs="Arial"/>
                <w:b w:val="0"/>
                <w:color w:val="auto"/>
                <w:sz w:val="20"/>
                <w:szCs w:val="20"/>
              </w:rPr>
              <w:t>Director of Adult Social Care</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2608A9">
            <w:pPr>
              <w:widowControl w:val="0"/>
              <w:spacing w:before="60" w:after="60" w:line="240" w:lineRule="auto"/>
              <w:jc w:val="center"/>
              <w:rPr>
                <w:rStyle w:val="ParaNumber"/>
                <w:rFonts w:ascii="Arial" w:hAnsi="Arial" w:cs="Arial"/>
                <w:b/>
                <w:color w:val="auto"/>
                <w:sz w:val="20"/>
                <w:szCs w:val="20"/>
              </w:rPr>
            </w:pPr>
            <w:r w:rsidRPr="004D7219">
              <w:rPr>
                <w:rStyle w:val="ParaNumber"/>
                <w:rFonts w:ascii="Arial" w:hAnsi="Arial" w:cs="Arial"/>
                <w:b/>
                <w:color w:val="auto"/>
                <w:sz w:val="20"/>
                <w:szCs w:val="20"/>
              </w:rPr>
              <w:t>2017/18</w:t>
            </w:r>
          </w:p>
        </w:tc>
        <w:tc>
          <w:tcPr>
            <w:tcW w:w="992" w:type="dxa"/>
          </w:tcPr>
          <w:p w:rsidR="00C71DD9" w:rsidRPr="00170982" w:rsidRDefault="00200EA9" w:rsidP="00D80758">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sidRPr="00170982">
              <w:rPr>
                <w:rStyle w:val="ParaNumber"/>
                <w:rFonts w:ascii="Arial" w:hAnsi="Arial" w:cs="Arial"/>
                <w:b/>
                <w:color w:val="auto"/>
                <w:sz w:val="20"/>
                <w:szCs w:val="20"/>
              </w:rPr>
              <w:t>117</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170982" w:rsidRDefault="00200EA9" w:rsidP="00D80758">
            <w:pPr>
              <w:widowControl w:val="0"/>
              <w:spacing w:before="60" w:after="60" w:line="240" w:lineRule="auto"/>
              <w:jc w:val="center"/>
              <w:rPr>
                <w:rStyle w:val="ParaNumber"/>
                <w:rFonts w:ascii="Arial" w:hAnsi="Arial" w:cs="Arial"/>
                <w:b/>
                <w:color w:val="auto"/>
                <w:sz w:val="20"/>
                <w:szCs w:val="20"/>
              </w:rPr>
            </w:pPr>
            <w:r w:rsidRPr="00170982">
              <w:rPr>
                <w:rStyle w:val="ParaNumber"/>
                <w:rFonts w:ascii="Arial" w:hAnsi="Arial" w:cs="Arial"/>
                <w:b/>
                <w:color w:val="auto"/>
                <w:sz w:val="20"/>
                <w:szCs w:val="20"/>
              </w:rPr>
              <w:t>1</w:t>
            </w:r>
          </w:p>
        </w:tc>
        <w:tc>
          <w:tcPr>
            <w:tcW w:w="1276" w:type="dxa"/>
          </w:tcPr>
          <w:p w:rsidR="00C71DD9" w:rsidRPr="00170982" w:rsidRDefault="00200EA9" w:rsidP="00D80758">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sidRPr="00170982">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170982" w:rsidRDefault="00200EA9" w:rsidP="00D80758">
            <w:pPr>
              <w:widowControl w:val="0"/>
              <w:spacing w:before="60" w:after="60" w:line="240" w:lineRule="auto"/>
              <w:jc w:val="center"/>
              <w:rPr>
                <w:rStyle w:val="ParaNumber"/>
                <w:rFonts w:ascii="Arial" w:hAnsi="Arial" w:cs="Arial"/>
                <w:b/>
                <w:color w:val="auto"/>
                <w:sz w:val="20"/>
                <w:szCs w:val="20"/>
              </w:rPr>
            </w:pPr>
            <w:r w:rsidRPr="00170982">
              <w:rPr>
                <w:rStyle w:val="ParaNumber"/>
                <w:rFonts w:ascii="Arial" w:hAnsi="Arial" w:cs="Arial"/>
                <w:b/>
                <w:color w:val="auto"/>
                <w:sz w:val="20"/>
                <w:szCs w:val="20"/>
              </w:rPr>
              <w:t>18</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170982" w:rsidRDefault="00200EA9" w:rsidP="00D80758">
            <w:pPr>
              <w:widowControl w:val="0"/>
              <w:spacing w:before="60" w:after="60" w:line="240" w:lineRule="auto"/>
              <w:jc w:val="center"/>
              <w:rPr>
                <w:rStyle w:val="ParaNumber"/>
                <w:rFonts w:ascii="Arial" w:hAnsi="Arial" w:cs="Arial"/>
                <w:color w:val="auto"/>
                <w:sz w:val="20"/>
                <w:szCs w:val="20"/>
              </w:rPr>
            </w:pPr>
            <w:r w:rsidRPr="00170982">
              <w:rPr>
                <w:rStyle w:val="ParaNumber"/>
                <w:rFonts w:ascii="Arial" w:hAnsi="Arial" w:cs="Arial"/>
                <w:color w:val="auto"/>
                <w:sz w:val="20"/>
                <w:szCs w:val="20"/>
              </w:rPr>
              <w:t>136</w:t>
            </w:r>
          </w:p>
        </w:tc>
      </w:tr>
      <w:tr w:rsidR="00C71DD9" w:rsidRPr="0005794A" w:rsidTr="001C024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268" w:type="dxa"/>
            <w:vMerge/>
          </w:tcPr>
          <w:p w:rsidR="00C71DD9" w:rsidRPr="004D7219" w:rsidRDefault="00C71DD9" w:rsidP="0061474B">
            <w:pPr>
              <w:widowControl w:val="0"/>
              <w:spacing w:before="60" w:after="60" w:line="240" w:lineRule="auto"/>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4F0545">
            <w:pPr>
              <w:widowControl w:val="0"/>
              <w:spacing w:before="60" w:after="60" w:line="240" w:lineRule="auto"/>
              <w:jc w:val="center"/>
              <w:rPr>
                <w:rStyle w:val="ParaNumber"/>
                <w:rFonts w:ascii="Arial" w:hAnsi="Arial" w:cs="Arial"/>
                <w:color w:val="auto"/>
                <w:sz w:val="20"/>
                <w:szCs w:val="20"/>
              </w:rPr>
            </w:pPr>
            <w:r w:rsidRPr="004D7219">
              <w:rPr>
                <w:rStyle w:val="ParaNumber"/>
                <w:rFonts w:ascii="Arial" w:hAnsi="Arial" w:cs="Arial"/>
                <w:color w:val="auto"/>
                <w:sz w:val="20"/>
                <w:szCs w:val="20"/>
              </w:rPr>
              <w:t>2016/17</w:t>
            </w:r>
          </w:p>
        </w:tc>
        <w:tc>
          <w:tcPr>
            <w:tcW w:w="992" w:type="dxa"/>
          </w:tcPr>
          <w:p w:rsidR="00C71DD9" w:rsidRPr="00C71DD9" w:rsidRDefault="00C71DD9" w:rsidP="004D721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113</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C71DD9" w:rsidRDefault="00C71DD9" w:rsidP="004D7219">
            <w:pPr>
              <w:widowControl w:val="0"/>
              <w:spacing w:before="60" w:after="60" w:line="240" w:lineRule="auto"/>
              <w:jc w:val="center"/>
              <w:rPr>
                <w:rStyle w:val="ParaNumber"/>
                <w:rFonts w:ascii="Arial" w:hAnsi="Arial" w:cs="Arial"/>
                <w:color w:val="auto"/>
                <w:sz w:val="20"/>
                <w:szCs w:val="20"/>
              </w:rPr>
            </w:pPr>
            <w:r w:rsidRPr="00C71DD9">
              <w:rPr>
                <w:rStyle w:val="ParaNumber"/>
                <w:rFonts w:ascii="Arial" w:hAnsi="Arial" w:cs="Arial"/>
                <w:color w:val="auto"/>
                <w:sz w:val="20"/>
                <w:szCs w:val="20"/>
              </w:rPr>
              <w:t>1</w:t>
            </w:r>
          </w:p>
        </w:tc>
        <w:tc>
          <w:tcPr>
            <w:tcW w:w="1276" w:type="dxa"/>
          </w:tcPr>
          <w:p w:rsidR="00C71DD9" w:rsidRPr="00C71DD9" w:rsidRDefault="00C71DD9" w:rsidP="004D721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C71DD9" w:rsidRDefault="00C71DD9" w:rsidP="004D7219">
            <w:pPr>
              <w:widowControl w:val="0"/>
              <w:spacing w:before="60" w:after="60" w:line="240" w:lineRule="auto"/>
              <w:jc w:val="center"/>
              <w:rPr>
                <w:rStyle w:val="ParaNumber"/>
                <w:rFonts w:ascii="Arial" w:hAnsi="Arial" w:cs="Arial"/>
                <w:color w:val="auto"/>
                <w:sz w:val="20"/>
                <w:szCs w:val="20"/>
              </w:rPr>
            </w:pPr>
            <w:r w:rsidRPr="00C71DD9">
              <w:rPr>
                <w:rStyle w:val="ParaNumber"/>
                <w:rFonts w:ascii="Arial" w:hAnsi="Arial" w:cs="Arial"/>
                <w:color w:val="auto"/>
                <w:sz w:val="20"/>
                <w:szCs w:val="20"/>
              </w:rPr>
              <w:t>15</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C71DD9" w:rsidRDefault="00C71DD9" w:rsidP="004D7219">
            <w:pPr>
              <w:widowControl w:val="0"/>
              <w:spacing w:before="60" w:after="60" w:line="240" w:lineRule="auto"/>
              <w:jc w:val="center"/>
              <w:rPr>
                <w:rStyle w:val="ParaNumber"/>
                <w:rFonts w:ascii="Arial" w:hAnsi="Arial" w:cs="Arial"/>
                <w:b w:val="0"/>
                <w:color w:val="auto"/>
                <w:sz w:val="20"/>
                <w:szCs w:val="20"/>
              </w:rPr>
            </w:pPr>
            <w:r w:rsidRPr="00C71DD9">
              <w:rPr>
                <w:rStyle w:val="ParaNumber"/>
                <w:rFonts w:ascii="Arial" w:hAnsi="Arial" w:cs="Arial"/>
                <w:b w:val="0"/>
                <w:color w:val="auto"/>
                <w:sz w:val="20"/>
                <w:szCs w:val="20"/>
              </w:rPr>
              <w:t>129</w:t>
            </w:r>
          </w:p>
        </w:tc>
      </w:tr>
      <w:tr w:rsidR="009A73F1" w:rsidRPr="0005794A" w:rsidTr="001C0245">
        <w:trPr>
          <w:trHeight w:val="354"/>
        </w:trPr>
        <w:tc>
          <w:tcPr>
            <w:cnfStyle w:val="001000000000" w:firstRow="0" w:lastRow="0" w:firstColumn="1" w:lastColumn="0" w:oddVBand="0" w:evenVBand="0" w:oddHBand="0" w:evenHBand="0" w:firstRowFirstColumn="0" w:firstRowLastColumn="0" w:lastRowFirstColumn="0" w:lastRowLastColumn="0"/>
            <w:tcW w:w="2268" w:type="dxa"/>
          </w:tcPr>
          <w:p w:rsidR="009A73F1" w:rsidRPr="00C71DD9" w:rsidRDefault="00C607DE" w:rsidP="00C71DD9">
            <w:pPr>
              <w:widowControl w:val="0"/>
              <w:spacing w:before="60" w:after="60"/>
              <w:rPr>
                <w:rStyle w:val="ParaNumber"/>
                <w:rFonts w:ascii="Arial" w:hAnsi="Arial" w:cs="Arial"/>
                <w:b w:val="0"/>
                <w:color w:val="auto"/>
                <w:sz w:val="20"/>
                <w:szCs w:val="20"/>
              </w:rPr>
            </w:pPr>
            <w:r w:rsidRPr="00C71DD9">
              <w:rPr>
                <w:rStyle w:val="ParaNumber"/>
                <w:rFonts w:ascii="Arial" w:hAnsi="Arial" w:cs="Arial"/>
                <w:b w:val="0"/>
                <w:color w:val="auto"/>
                <w:sz w:val="20"/>
                <w:szCs w:val="20"/>
              </w:rPr>
              <w:t>Director of Children’s Services</w:t>
            </w:r>
            <w:r w:rsidR="00DB1F69" w:rsidRPr="00C71DD9">
              <w:rPr>
                <w:rStyle w:val="ParaNumber"/>
                <w:rFonts w:ascii="Arial" w:hAnsi="Arial" w:cs="Arial"/>
                <w:b w:val="0"/>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93" w:type="dxa"/>
          </w:tcPr>
          <w:p w:rsidR="009A73F1" w:rsidRPr="004D7219" w:rsidRDefault="009A73F1" w:rsidP="00C607DE">
            <w:pPr>
              <w:widowControl w:val="0"/>
              <w:spacing w:before="60" w:after="60" w:line="240" w:lineRule="auto"/>
              <w:jc w:val="center"/>
              <w:rPr>
                <w:rStyle w:val="ParaNumber"/>
                <w:rFonts w:ascii="Arial" w:hAnsi="Arial" w:cs="Arial"/>
                <w:b/>
                <w:color w:val="auto"/>
                <w:sz w:val="20"/>
                <w:szCs w:val="20"/>
              </w:rPr>
            </w:pPr>
            <w:r w:rsidRPr="004D7219">
              <w:rPr>
                <w:rStyle w:val="ParaNumber"/>
                <w:rFonts w:ascii="Arial" w:hAnsi="Arial" w:cs="Arial"/>
                <w:b/>
                <w:color w:val="auto"/>
                <w:sz w:val="20"/>
                <w:szCs w:val="20"/>
              </w:rPr>
              <w:t>201</w:t>
            </w:r>
            <w:r w:rsidR="004D7219" w:rsidRPr="004D7219">
              <w:rPr>
                <w:rStyle w:val="ParaNumber"/>
                <w:rFonts w:ascii="Arial" w:hAnsi="Arial" w:cs="Arial"/>
                <w:b/>
                <w:color w:val="auto"/>
                <w:sz w:val="20"/>
                <w:szCs w:val="20"/>
              </w:rPr>
              <w:t>7</w:t>
            </w:r>
            <w:r w:rsidRPr="004D7219">
              <w:rPr>
                <w:rStyle w:val="ParaNumber"/>
                <w:rFonts w:ascii="Arial" w:hAnsi="Arial" w:cs="Arial"/>
                <w:b/>
                <w:color w:val="auto"/>
                <w:sz w:val="20"/>
                <w:szCs w:val="20"/>
              </w:rPr>
              <w:t>/1</w:t>
            </w:r>
            <w:r w:rsidR="004D7219" w:rsidRPr="004D7219">
              <w:rPr>
                <w:rStyle w:val="ParaNumber"/>
                <w:rFonts w:ascii="Arial" w:hAnsi="Arial" w:cs="Arial"/>
                <w:b/>
                <w:color w:val="auto"/>
                <w:sz w:val="20"/>
                <w:szCs w:val="20"/>
              </w:rPr>
              <w:t>8</w:t>
            </w:r>
          </w:p>
        </w:tc>
        <w:tc>
          <w:tcPr>
            <w:tcW w:w="992" w:type="dxa"/>
          </w:tcPr>
          <w:p w:rsidR="009A73F1" w:rsidRPr="00170982" w:rsidRDefault="00200EA9" w:rsidP="00060A7C">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sidRPr="00170982">
              <w:rPr>
                <w:rStyle w:val="ParaNumber"/>
                <w:rFonts w:ascii="Arial" w:hAnsi="Arial" w:cs="Arial"/>
                <w:b/>
                <w:color w:val="auto"/>
                <w:sz w:val="20"/>
                <w:szCs w:val="20"/>
              </w:rPr>
              <w:t>115</w:t>
            </w:r>
          </w:p>
        </w:tc>
        <w:tc>
          <w:tcPr>
            <w:cnfStyle w:val="000010000000" w:firstRow="0" w:lastRow="0" w:firstColumn="0" w:lastColumn="0" w:oddVBand="1" w:evenVBand="0" w:oddHBand="0" w:evenHBand="0" w:firstRowFirstColumn="0" w:firstRowLastColumn="0" w:lastRowFirstColumn="0" w:lastRowLastColumn="0"/>
            <w:tcW w:w="1134" w:type="dxa"/>
          </w:tcPr>
          <w:p w:rsidR="009A73F1" w:rsidRPr="00170982" w:rsidRDefault="00200EA9" w:rsidP="00060A7C">
            <w:pPr>
              <w:widowControl w:val="0"/>
              <w:spacing w:before="60" w:after="60"/>
              <w:jc w:val="center"/>
              <w:rPr>
                <w:rStyle w:val="ParaNumber"/>
                <w:rFonts w:ascii="Arial" w:hAnsi="Arial" w:cs="Arial"/>
                <w:b/>
                <w:color w:val="auto"/>
                <w:sz w:val="20"/>
                <w:szCs w:val="20"/>
              </w:rPr>
            </w:pPr>
            <w:r w:rsidRPr="00170982">
              <w:rPr>
                <w:rStyle w:val="ParaNumber"/>
                <w:rFonts w:ascii="Arial" w:hAnsi="Arial" w:cs="Arial"/>
                <w:b/>
                <w:color w:val="auto"/>
                <w:sz w:val="20"/>
                <w:szCs w:val="20"/>
              </w:rPr>
              <w:t>0</w:t>
            </w:r>
          </w:p>
        </w:tc>
        <w:tc>
          <w:tcPr>
            <w:tcW w:w="1276" w:type="dxa"/>
          </w:tcPr>
          <w:p w:rsidR="009A73F1" w:rsidRPr="00170982" w:rsidRDefault="00200EA9" w:rsidP="00060A7C">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b/>
                <w:color w:val="auto"/>
                <w:sz w:val="20"/>
                <w:szCs w:val="20"/>
              </w:rPr>
            </w:pPr>
            <w:r w:rsidRPr="00170982">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9A73F1" w:rsidRPr="00170982" w:rsidRDefault="00200EA9" w:rsidP="00060A7C">
            <w:pPr>
              <w:widowControl w:val="0"/>
              <w:spacing w:before="60" w:after="60"/>
              <w:jc w:val="center"/>
              <w:rPr>
                <w:rStyle w:val="ParaNumber"/>
                <w:rFonts w:ascii="Arial" w:hAnsi="Arial" w:cs="Arial"/>
                <w:b/>
                <w:color w:val="auto"/>
                <w:sz w:val="20"/>
                <w:szCs w:val="20"/>
              </w:rPr>
            </w:pPr>
            <w:r w:rsidRPr="00170982">
              <w:rPr>
                <w:rStyle w:val="ParaNumber"/>
                <w:rFonts w:ascii="Arial" w:hAnsi="Arial" w:cs="Arial"/>
                <w:b/>
                <w:color w:val="auto"/>
                <w:sz w:val="20"/>
                <w:szCs w:val="20"/>
              </w:rPr>
              <w:t>17</w:t>
            </w:r>
          </w:p>
        </w:tc>
        <w:tc>
          <w:tcPr>
            <w:cnfStyle w:val="000100000000" w:firstRow="0" w:lastRow="0" w:firstColumn="0" w:lastColumn="1" w:oddVBand="0" w:evenVBand="0" w:oddHBand="0" w:evenHBand="0" w:firstRowFirstColumn="0" w:firstRowLastColumn="0" w:lastRowFirstColumn="0" w:lastRowLastColumn="0"/>
            <w:tcW w:w="992" w:type="dxa"/>
          </w:tcPr>
          <w:p w:rsidR="009A73F1" w:rsidRPr="00170982" w:rsidRDefault="00200EA9" w:rsidP="00060A7C">
            <w:pPr>
              <w:widowControl w:val="0"/>
              <w:spacing w:before="60" w:after="60"/>
              <w:jc w:val="center"/>
              <w:rPr>
                <w:rStyle w:val="ParaNumber"/>
                <w:rFonts w:ascii="Arial" w:hAnsi="Arial" w:cs="Arial"/>
                <w:color w:val="auto"/>
                <w:sz w:val="20"/>
                <w:szCs w:val="20"/>
              </w:rPr>
            </w:pPr>
            <w:r w:rsidRPr="00170982">
              <w:rPr>
                <w:rStyle w:val="ParaNumber"/>
                <w:rFonts w:ascii="Arial" w:hAnsi="Arial" w:cs="Arial"/>
                <w:color w:val="auto"/>
                <w:sz w:val="20"/>
                <w:szCs w:val="20"/>
              </w:rPr>
              <w:t>132</w:t>
            </w:r>
          </w:p>
        </w:tc>
      </w:tr>
      <w:tr w:rsidR="00C71DD9" w:rsidRPr="0005794A" w:rsidTr="001C0245">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268" w:type="dxa"/>
          </w:tcPr>
          <w:p w:rsidR="00C71DD9" w:rsidRPr="00C71DD9" w:rsidRDefault="00C71DD9" w:rsidP="00C71DD9">
            <w:pPr>
              <w:widowControl w:val="0"/>
              <w:spacing w:before="60" w:after="60"/>
              <w:rPr>
                <w:rStyle w:val="ParaNumber"/>
                <w:rFonts w:ascii="Arial" w:hAnsi="Arial" w:cs="Arial"/>
                <w:b w:val="0"/>
                <w:color w:val="auto"/>
                <w:sz w:val="20"/>
                <w:szCs w:val="20"/>
              </w:rPr>
            </w:pPr>
            <w:r w:rsidRPr="00C71DD9">
              <w:rPr>
                <w:rStyle w:val="ParaNumber"/>
                <w:rFonts w:ascii="Arial" w:hAnsi="Arial" w:cs="Arial"/>
                <w:b w:val="0"/>
                <w:color w:val="auto"/>
                <w:sz w:val="20"/>
                <w:szCs w:val="20"/>
              </w:rPr>
              <w:t>from July 2016</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C71DD9">
            <w:pPr>
              <w:widowControl w:val="0"/>
              <w:spacing w:before="60" w:after="60" w:line="240" w:lineRule="auto"/>
              <w:jc w:val="center"/>
              <w:rPr>
                <w:rStyle w:val="ParaNumber"/>
                <w:rFonts w:ascii="Arial" w:hAnsi="Arial" w:cs="Arial"/>
                <w:color w:val="auto"/>
                <w:sz w:val="20"/>
                <w:szCs w:val="20"/>
              </w:rPr>
            </w:pPr>
            <w:r w:rsidRPr="004D7219">
              <w:rPr>
                <w:rStyle w:val="ParaNumber"/>
                <w:rFonts w:ascii="Arial" w:hAnsi="Arial" w:cs="Arial"/>
                <w:color w:val="auto"/>
                <w:sz w:val="20"/>
                <w:szCs w:val="20"/>
              </w:rPr>
              <w:t>2016/17</w:t>
            </w:r>
          </w:p>
        </w:tc>
        <w:tc>
          <w:tcPr>
            <w:tcW w:w="992" w:type="dxa"/>
          </w:tcPr>
          <w:p w:rsidR="00C71DD9" w:rsidRPr="00C71DD9" w:rsidRDefault="00C71DD9" w:rsidP="00C71DD9">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84</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C71DD9" w:rsidRDefault="00C71DD9" w:rsidP="00C71DD9">
            <w:pPr>
              <w:widowControl w:val="0"/>
              <w:spacing w:before="60" w:after="60"/>
              <w:jc w:val="center"/>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tcW w:w="1276" w:type="dxa"/>
          </w:tcPr>
          <w:p w:rsidR="00C71DD9" w:rsidRPr="00C71DD9" w:rsidRDefault="00C71DD9" w:rsidP="00C71DD9">
            <w:pPr>
              <w:widowControl w:val="0"/>
              <w:spacing w:before="60" w:after="60"/>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C71DD9" w:rsidRDefault="00C71DD9" w:rsidP="00C71DD9">
            <w:pPr>
              <w:widowControl w:val="0"/>
              <w:spacing w:before="60" w:after="60"/>
              <w:jc w:val="center"/>
              <w:rPr>
                <w:rStyle w:val="ParaNumber"/>
                <w:rFonts w:ascii="Arial" w:hAnsi="Arial" w:cs="Arial"/>
                <w:color w:val="auto"/>
                <w:sz w:val="20"/>
                <w:szCs w:val="20"/>
              </w:rPr>
            </w:pPr>
            <w:r w:rsidRPr="00C71DD9">
              <w:rPr>
                <w:rStyle w:val="ParaNumber"/>
                <w:rFonts w:ascii="Arial" w:hAnsi="Arial" w:cs="Arial"/>
                <w:color w:val="auto"/>
                <w:sz w:val="20"/>
                <w:szCs w:val="20"/>
              </w:rPr>
              <w:t>11</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C71DD9" w:rsidRDefault="00C71DD9" w:rsidP="00C71DD9">
            <w:pPr>
              <w:widowControl w:val="0"/>
              <w:spacing w:before="60" w:after="60"/>
              <w:jc w:val="center"/>
              <w:rPr>
                <w:rStyle w:val="ParaNumber"/>
                <w:rFonts w:ascii="Arial" w:hAnsi="Arial" w:cs="Arial"/>
                <w:b w:val="0"/>
                <w:color w:val="auto"/>
                <w:sz w:val="20"/>
                <w:szCs w:val="20"/>
              </w:rPr>
            </w:pPr>
            <w:r w:rsidRPr="00C71DD9">
              <w:rPr>
                <w:rStyle w:val="ParaNumber"/>
                <w:rFonts w:ascii="Arial" w:hAnsi="Arial" w:cs="Arial"/>
                <w:b w:val="0"/>
                <w:color w:val="auto"/>
                <w:sz w:val="20"/>
                <w:szCs w:val="20"/>
              </w:rPr>
              <w:t>95</w:t>
            </w:r>
          </w:p>
        </w:tc>
      </w:tr>
      <w:tr w:rsidR="00C71DD9" w:rsidRPr="0005794A" w:rsidTr="001C0245">
        <w:trPr>
          <w:trHeight w:val="354"/>
        </w:trPr>
        <w:tc>
          <w:tcPr>
            <w:cnfStyle w:val="001000000000" w:firstRow="0" w:lastRow="0" w:firstColumn="1" w:lastColumn="0" w:oddVBand="0" w:evenVBand="0" w:oddHBand="0" w:evenHBand="0" w:firstRowFirstColumn="0" w:firstRowLastColumn="0" w:lastRowFirstColumn="0" w:lastRowLastColumn="0"/>
            <w:tcW w:w="2268" w:type="dxa"/>
          </w:tcPr>
          <w:p w:rsidR="00C71DD9" w:rsidRPr="00C71DD9" w:rsidRDefault="00C71DD9" w:rsidP="00C71DD9">
            <w:pPr>
              <w:widowControl w:val="0"/>
              <w:spacing w:before="60" w:after="60"/>
              <w:rPr>
                <w:rStyle w:val="ParaNumber"/>
                <w:rFonts w:ascii="Arial" w:hAnsi="Arial" w:cs="Arial"/>
                <w:b w:val="0"/>
                <w:color w:val="auto"/>
                <w:sz w:val="20"/>
                <w:szCs w:val="20"/>
              </w:rPr>
            </w:pPr>
            <w:r w:rsidRPr="00C71DD9">
              <w:rPr>
                <w:rStyle w:val="ParaNumber"/>
                <w:rFonts w:ascii="Arial" w:hAnsi="Arial" w:cs="Arial"/>
                <w:b w:val="0"/>
                <w:color w:val="auto"/>
                <w:sz w:val="20"/>
                <w:szCs w:val="20"/>
              </w:rPr>
              <w:t>To July 2016</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C71DD9">
            <w:pPr>
              <w:widowControl w:val="0"/>
              <w:spacing w:before="60" w:after="60" w:line="240" w:lineRule="auto"/>
              <w:jc w:val="center"/>
              <w:rPr>
                <w:rStyle w:val="ParaNumber"/>
                <w:rFonts w:ascii="Arial" w:hAnsi="Arial" w:cs="Arial"/>
                <w:color w:val="auto"/>
                <w:sz w:val="20"/>
                <w:szCs w:val="20"/>
              </w:rPr>
            </w:pPr>
            <w:r w:rsidRPr="004D7219">
              <w:rPr>
                <w:rStyle w:val="ParaNumber"/>
                <w:rFonts w:ascii="Arial" w:hAnsi="Arial" w:cs="Arial"/>
                <w:color w:val="auto"/>
                <w:sz w:val="20"/>
                <w:szCs w:val="20"/>
              </w:rPr>
              <w:t>2016/17</w:t>
            </w:r>
          </w:p>
        </w:tc>
        <w:tc>
          <w:tcPr>
            <w:tcW w:w="992" w:type="dxa"/>
          </w:tcPr>
          <w:p w:rsidR="00C71DD9" w:rsidRPr="00C71DD9" w:rsidRDefault="00C71DD9" w:rsidP="00C71DD9">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23</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C71DD9" w:rsidRDefault="00C71DD9" w:rsidP="00C71DD9">
            <w:pPr>
              <w:widowControl w:val="0"/>
              <w:spacing w:before="60" w:after="60"/>
              <w:jc w:val="center"/>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tcW w:w="1276" w:type="dxa"/>
          </w:tcPr>
          <w:p w:rsidR="00C71DD9" w:rsidRPr="00C71DD9" w:rsidRDefault="00C71DD9" w:rsidP="00C71DD9">
            <w:pPr>
              <w:widowControl w:val="0"/>
              <w:spacing w:before="60" w:after="60"/>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49</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C71DD9" w:rsidRDefault="00C71DD9" w:rsidP="00C71DD9">
            <w:pPr>
              <w:widowControl w:val="0"/>
              <w:spacing w:before="60" w:after="60"/>
              <w:jc w:val="center"/>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C71DD9" w:rsidRDefault="00C71DD9" w:rsidP="00C71DD9">
            <w:pPr>
              <w:widowControl w:val="0"/>
              <w:spacing w:before="60" w:after="60"/>
              <w:jc w:val="center"/>
              <w:rPr>
                <w:rStyle w:val="ParaNumber"/>
                <w:rFonts w:ascii="Arial" w:hAnsi="Arial" w:cs="Arial"/>
                <w:b w:val="0"/>
                <w:color w:val="auto"/>
                <w:sz w:val="20"/>
                <w:szCs w:val="20"/>
              </w:rPr>
            </w:pPr>
            <w:r w:rsidRPr="00C71DD9">
              <w:rPr>
                <w:rStyle w:val="ParaNumber"/>
                <w:rFonts w:ascii="Arial" w:hAnsi="Arial" w:cs="Arial"/>
                <w:b w:val="0"/>
                <w:color w:val="auto"/>
                <w:sz w:val="20"/>
                <w:szCs w:val="20"/>
              </w:rPr>
              <w:t>72</w:t>
            </w:r>
          </w:p>
        </w:tc>
      </w:tr>
      <w:tr w:rsidR="00C71DD9" w:rsidRPr="0005794A" w:rsidTr="001C0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C71DD9" w:rsidRPr="00C71DD9" w:rsidRDefault="00C71DD9" w:rsidP="00C71DD9">
            <w:pPr>
              <w:widowControl w:val="0"/>
              <w:spacing w:before="60" w:after="60" w:line="240" w:lineRule="auto"/>
              <w:rPr>
                <w:rStyle w:val="ParaNumber"/>
                <w:rFonts w:ascii="Arial" w:hAnsi="Arial" w:cs="Arial"/>
                <w:b w:val="0"/>
                <w:color w:val="auto"/>
                <w:sz w:val="20"/>
                <w:szCs w:val="20"/>
              </w:rPr>
            </w:pPr>
            <w:r w:rsidRPr="00C71DD9">
              <w:rPr>
                <w:rStyle w:val="ParaNumber"/>
                <w:rFonts w:ascii="Arial" w:hAnsi="Arial" w:cs="Arial"/>
                <w:b w:val="0"/>
                <w:color w:val="auto"/>
                <w:sz w:val="20"/>
                <w:szCs w:val="20"/>
              </w:rPr>
              <w:t>Assistant Director –Community &amp; Customer Services</w:t>
            </w:r>
            <w:r w:rsidR="00170982">
              <w:rPr>
                <w:rStyle w:val="ParaNumber"/>
                <w:rFonts w:ascii="Arial" w:hAnsi="Arial" w:cs="Arial"/>
                <w:b w:val="0"/>
                <w:color w:val="auto"/>
                <w:sz w:val="20"/>
                <w:szCs w:val="20"/>
              </w:rPr>
              <w:t xml:space="preserve"> (to Dec 2017)</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C71DD9">
            <w:pPr>
              <w:widowControl w:val="0"/>
              <w:spacing w:before="60" w:after="60" w:line="240" w:lineRule="auto"/>
              <w:jc w:val="center"/>
              <w:rPr>
                <w:rStyle w:val="ParaNumber"/>
                <w:rFonts w:ascii="Arial" w:hAnsi="Arial" w:cs="Arial"/>
                <w:b/>
                <w:color w:val="auto"/>
                <w:sz w:val="20"/>
                <w:szCs w:val="20"/>
              </w:rPr>
            </w:pPr>
            <w:r w:rsidRPr="004D7219">
              <w:rPr>
                <w:rStyle w:val="ParaNumber"/>
                <w:rFonts w:ascii="Arial" w:hAnsi="Arial" w:cs="Arial"/>
                <w:b/>
                <w:color w:val="auto"/>
                <w:sz w:val="20"/>
                <w:szCs w:val="20"/>
              </w:rPr>
              <w:t>2017/18</w:t>
            </w:r>
          </w:p>
        </w:tc>
        <w:tc>
          <w:tcPr>
            <w:tcW w:w="992" w:type="dxa"/>
          </w:tcPr>
          <w:p w:rsidR="00C71DD9" w:rsidRPr="00170982" w:rsidRDefault="00200EA9"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170982">
              <w:rPr>
                <w:rStyle w:val="ParaNumber"/>
                <w:rFonts w:ascii="Arial" w:hAnsi="Arial" w:cs="Arial"/>
                <w:b/>
                <w:color w:val="auto"/>
                <w:sz w:val="20"/>
                <w:szCs w:val="20"/>
              </w:rPr>
              <w:t>51</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170982" w:rsidRDefault="00200EA9" w:rsidP="00C71DD9">
            <w:pPr>
              <w:widowControl w:val="0"/>
              <w:spacing w:before="60" w:after="60" w:line="240" w:lineRule="auto"/>
              <w:jc w:val="center"/>
              <w:rPr>
                <w:rStyle w:val="ParaNumber"/>
                <w:rFonts w:ascii="Arial" w:hAnsi="Arial" w:cs="Arial"/>
                <w:b/>
                <w:color w:val="auto"/>
                <w:sz w:val="20"/>
                <w:szCs w:val="20"/>
              </w:rPr>
            </w:pPr>
            <w:r w:rsidRPr="00170982">
              <w:rPr>
                <w:rStyle w:val="ParaNumber"/>
                <w:rFonts w:ascii="Arial" w:hAnsi="Arial" w:cs="Arial"/>
                <w:b/>
                <w:color w:val="auto"/>
                <w:sz w:val="20"/>
                <w:szCs w:val="20"/>
              </w:rPr>
              <w:t>0</w:t>
            </w:r>
          </w:p>
        </w:tc>
        <w:tc>
          <w:tcPr>
            <w:tcW w:w="1276" w:type="dxa"/>
          </w:tcPr>
          <w:p w:rsidR="00C71DD9" w:rsidRPr="00170982" w:rsidRDefault="00200EA9"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170982">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170982" w:rsidRDefault="00200EA9" w:rsidP="00C71DD9">
            <w:pPr>
              <w:widowControl w:val="0"/>
              <w:spacing w:before="60" w:after="60" w:line="240" w:lineRule="auto"/>
              <w:jc w:val="center"/>
              <w:rPr>
                <w:rStyle w:val="ParaNumber"/>
                <w:rFonts w:ascii="Arial" w:hAnsi="Arial" w:cs="Arial"/>
                <w:b/>
                <w:color w:val="auto"/>
                <w:sz w:val="20"/>
                <w:szCs w:val="20"/>
              </w:rPr>
            </w:pPr>
            <w:r w:rsidRPr="00170982">
              <w:rPr>
                <w:rStyle w:val="ParaNumber"/>
                <w:rFonts w:ascii="Arial" w:hAnsi="Arial" w:cs="Arial"/>
                <w:b/>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170982" w:rsidRDefault="00200EA9" w:rsidP="00C71DD9">
            <w:pPr>
              <w:widowControl w:val="0"/>
              <w:spacing w:before="60" w:after="60" w:line="240" w:lineRule="auto"/>
              <w:jc w:val="center"/>
              <w:rPr>
                <w:rStyle w:val="ParaNumber"/>
                <w:rFonts w:ascii="Arial" w:hAnsi="Arial" w:cs="Arial"/>
                <w:color w:val="auto"/>
                <w:sz w:val="20"/>
                <w:szCs w:val="20"/>
              </w:rPr>
            </w:pPr>
            <w:r w:rsidRPr="00170982">
              <w:rPr>
                <w:rStyle w:val="ParaNumber"/>
                <w:rFonts w:ascii="Arial" w:hAnsi="Arial" w:cs="Arial"/>
                <w:color w:val="auto"/>
                <w:sz w:val="20"/>
                <w:szCs w:val="20"/>
              </w:rPr>
              <w:t>59</w:t>
            </w:r>
          </w:p>
        </w:tc>
      </w:tr>
      <w:tr w:rsidR="00C71DD9" w:rsidRPr="0005794A" w:rsidTr="001C0245">
        <w:tc>
          <w:tcPr>
            <w:cnfStyle w:val="001000000000" w:firstRow="0" w:lastRow="0" w:firstColumn="1" w:lastColumn="0" w:oddVBand="0" w:evenVBand="0" w:oddHBand="0" w:evenHBand="0" w:firstRowFirstColumn="0" w:firstRowLastColumn="0" w:lastRowFirstColumn="0" w:lastRowLastColumn="0"/>
            <w:tcW w:w="2268" w:type="dxa"/>
            <w:vMerge/>
          </w:tcPr>
          <w:p w:rsidR="00C71DD9" w:rsidRPr="0005794A" w:rsidRDefault="00C71DD9" w:rsidP="00C71DD9">
            <w:pPr>
              <w:widowControl w:val="0"/>
              <w:spacing w:before="60" w:after="60" w:line="240" w:lineRule="auto"/>
              <w:rPr>
                <w:rStyle w:val="ParaNumber"/>
                <w:rFonts w:ascii="Arial" w:hAnsi="Arial" w:cs="Arial"/>
                <w:b w:val="0"/>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C71DD9">
            <w:pPr>
              <w:widowControl w:val="0"/>
              <w:spacing w:before="60" w:after="60" w:line="240" w:lineRule="auto"/>
              <w:jc w:val="center"/>
              <w:rPr>
                <w:rStyle w:val="ParaNumber"/>
                <w:rFonts w:ascii="Arial" w:hAnsi="Arial" w:cs="Arial"/>
                <w:color w:val="auto"/>
                <w:sz w:val="20"/>
                <w:szCs w:val="20"/>
              </w:rPr>
            </w:pPr>
            <w:r w:rsidRPr="004D7219">
              <w:rPr>
                <w:rStyle w:val="ParaNumber"/>
                <w:rFonts w:ascii="Arial" w:hAnsi="Arial" w:cs="Arial"/>
                <w:color w:val="auto"/>
                <w:sz w:val="20"/>
                <w:szCs w:val="20"/>
              </w:rPr>
              <w:t>2016/17</w:t>
            </w:r>
          </w:p>
        </w:tc>
        <w:tc>
          <w:tcPr>
            <w:tcW w:w="992" w:type="dxa"/>
          </w:tcPr>
          <w:p w:rsidR="00C71DD9" w:rsidRPr="00C71DD9" w:rsidRDefault="00C71DD9" w:rsidP="00C71DD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81</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C71DD9" w:rsidRDefault="00C71DD9" w:rsidP="00C71DD9">
            <w:pPr>
              <w:widowControl w:val="0"/>
              <w:spacing w:before="60" w:after="60" w:line="240" w:lineRule="auto"/>
              <w:jc w:val="center"/>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tcW w:w="1276" w:type="dxa"/>
          </w:tcPr>
          <w:p w:rsidR="00C71DD9" w:rsidRPr="00C71DD9" w:rsidRDefault="00C71DD9" w:rsidP="00C71DD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C71DD9" w:rsidRDefault="00C71DD9" w:rsidP="00C71DD9">
            <w:pPr>
              <w:widowControl w:val="0"/>
              <w:spacing w:before="60" w:after="60" w:line="240" w:lineRule="auto"/>
              <w:jc w:val="center"/>
              <w:rPr>
                <w:rStyle w:val="ParaNumber"/>
                <w:rFonts w:ascii="Arial" w:hAnsi="Arial" w:cs="Arial"/>
                <w:color w:val="auto"/>
                <w:sz w:val="20"/>
                <w:szCs w:val="20"/>
              </w:rPr>
            </w:pPr>
            <w:r w:rsidRPr="00C71DD9">
              <w:rPr>
                <w:rStyle w:val="ParaNumber"/>
                <w:rFonts w:ascii="Arial" w:hAnsi="Arial" w:cs="Arial"/>
                <w:color w:val="auto"/>
                <w:sz w:val="20"/>
                <w:szCs w:val="20"/>
              </w:rPr>
              <w:t>11</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C71DD9" w:rsidRDefault="00C71DD9" w:rsidP="00C71DD9">
            <w:pPr>
              <w:widowControl w:val="0"/>
              <w:spacing w:before="60" w:after="60" w:line="240" w:lineRule="auto"/>
              <w:jc w:val="center"/>
              <w:rPr>
                <w:rStyle w:val="ParaNumber"/>
                <w:rFonts w:ascii="Arial" w:hAnsi="Arial" w:cs="Arial"/>
                <w:b w:val="0"/>
                <w:color w:val="auto"/>
                <w:sz w:val="20"/>
                <w:szCs w:val="20"/>
              </w:rPr>
            </w:pPr>
            <w:r w:rsidRPr="00C71DD9">
              <w:rPr>
                <w:rStyle w:val="ParaNumber"/>
                <w:rFonts w:ascii="Arial" w:hAnsi="Arial" w:cs="Arial"/>
                <w:b w:val="0"/>
                <w:color w:val="auto"/>
                <w:sz w:val="20"/>
                <w:szCs w:val="20"/>
              </w:rPr>
              <w:t>92</w:t>
            </w:r>
          </w:p>
        </w:tc>
      </w:tr>
      <w:tr w:rsidR="00C71DD9" w:rsidRPr="0005794A" w:rsidTr="001C0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C71DD9" w:rsidRPr="00C71DD9" w:rsidRDefault="00C71DD9" w:rsidP="00C71DD9">
            <w:pPr>
              <w:widowControl w:val="0"/>
              <w:spacing w:before="60" w:after="60" w:line="240" w:lineRule="auto"/>
              <w:rPr>
                <w:rStyle w:val="ParaNumber"/>
                <w:rFonts w:ascii="Arial" w:hAnsi="Arial" w:cs="Arial"/>
                <w:color w:val="auto"/>
                <w:sz w:val="20"/>
                <w:szCs w:val="20"/>
              </w:rPr>
            </w:pPr>
            <w:r w:rsidRPr="00C71DD9">
              <w:rPr>
                <w:rStyle w:val="ParaNumber"/>
                <w:rFonts w:ascii="Arial" w:hAnsi="Arial" w:cs="Arial"/>
                <w:b w:val="0"/>
                <w:color w:val="auto"/>
                <w:sz w:val="20"/>
                <w:szCs w:val="20"/>
              </w:rPr>
              <w:t>Chief Finance Officer (s151)</w:t>
            </w: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C71DD9">
            <w:pPr>
              <w:widowControl w:val="0"/>
              <w:spacing w:before="60" w:after="60" w:line="240" w:lineRule="auto"/>
              <w:jc w:val="center"/>
              <w:rPr>
                <w:rStyle w:val="ParaNumber"/>
                <w:rFonts w:ascii="Arial" w:hAnsi="Arial" w:cs="Arial"/>
                <w:b/>
                <w:color w:val="auto"/>
                <w:sz w:val="20"/>
                <w:szCs w:val="20"/>
              </w:rPr>
            </w:pPr>
            <w:r w:rsidRPr="004D7219">
              <w:rPr>
                <w:rStyle w:val="ParaNumber"/>
                <w:rFonts w:ascii="Arial" w:hAnsi="Arial" w:cs="Arial"/>
                <w:b/>
                <w:color w:val="auto"/>
                <w:sz w:val="20"/>
                <w:szCs w:val="20"/>
              </w:rPr>
              <w:t>2017/18</w:t>
            </w:r>
          </w:p>
        </w:tc>
        <w:tc>
          <w:tcPr>
            <w:tcW w:w="992" w:type="dxa"/>
          </w:tcPr>
          <w:p w:rsidR="00C71DD9" w:rsidRPr="00170982" w:rsidRDefault="00200EA9"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170982">
              <w:rPr>
                <w:rStyle w:val="ParaNumber"/>
                <w:rFonts w:ascii="Arial" w:hAnsi="Arial" w:cs="Arial"/>
                <w:b/>
                <w:color w:val="auto"/>
                <w:sz w:val="20"/>
                <w:szCs w:val="20"/>
              </w:rPr>
              <w:t>67</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170982" w:rsidRDefault="00200EA9" w:rsidP="00C71DD9">
            <w:pPr>
              <w:widowControl w:val="0"/>
              <w:spacing w:before="60" w:after="60" w:line="240" w:lineRule="auto"/>
              <w:jc w:val="center"/>
              <w:rPr>
                <w:rStyle w:val="ParaNumber"/>
                <w:rFonts w:ascii="Arial" w:hAnsi="Arial" w:cs="Arial"/>
                <w:b/>
                <w:color w:val="auto"/>
                <w:sz w:val="20"/>
                <w:szCs w:val="20"/>
              </w:rPr>
            </w:pPr>
            <w:r w:rsidRPr="00170982">
              <w:rPr>
                <w:rStyle w:val="ParaNumber"/>
                <w:rFonts w:ascii="Arial" w:hAnsi="Arial" w:cs="Arial"/>
                <w:b/>
                <w:color w:val="auto"/>
                <w:sz w:val="20"/>
                <w:szCs w:val="20"/>
              </w:rPr>
              <w:t>0</w:t>
            </w:r>
          </w:p>
        </w:tc>
        <w:tc>
          <w:tcPr>
            <w:tcW w:w="1276" w:type="dxa"/>
          </w:tcPr>
          <w:p w:rsidR="00C71DD9" w:rsidRPr="00170982" w:rsidRDefault="00200EA9"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sidRPr="00170982">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170982" w:rsidRDefault="00200EA9" w:rsidP="00C71DD9">
            <w:pPr>
              <w:widowControl w:val="0"/>
              <w:spacing w:before="60" w:after="60" w:line="240" w:lineRule="auto"/>
              <w:jc w:val="center"/>
              <w:rPr>
                <w:rStyle w:val="ParaNumber"/>
                <w:rFonts w:ascii="Arial" w:hAnsi="Arial" w:cs="Arial"/>
                <w:b/>
                <w:color w:val="auto"/>
                <w:sz w:val="20"/>
                <w:szCs w:val="20"/>
              </w:rPr>
            </w:pPr>
            <w:r w:rsidRPr="00170982">
              <w:rPr>
                <w:rStyle w:val="ParaNumber"/>
                <w:rFonts w:ascii="Arial" w:hAnsi="Arial" w:cs="Arial"/>
                <w:b/>
                <w:color w:val="auto"/>
                <w:sz w:val="20"/>
                <w:szCs w:val="20"/>
              </w:rPr>
              <w:t>10</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170982" w:rsidRDefault="00200EA9" w:rsidP="00C71DD9">
            <w:pPr>
              <w:widowControl w:val="0"/>
              <w:spacing w:before="60" w:after="60" w:line="240" w:lineRule="auto"/>
              <w:jc w:val="center"/>
              <w:rPr>
                <w:rStyle w:val="ParaNumber"/>
                <w:rFonts w:ascii="Arial" w:hAnsi="Arial" w:cs="Arial"/>
                <w:color w:val="auto"/>
                <w:sz w:val="20"/>
                <w:szCs w:val="20"/>
              </w:rPr>
            </w:pPr>
            <w:r w:rsidRPr="00170982">
              <w:rPr>
                <w:rStyle w:val="ParaNumber"/>
                <w:rFonts w:ascii="Arial" w:hAnsi="Arial" w:cs="Arial"/>
                <w:color w:val="auto"/>
                <w:sz w:val="20"/>
                <w:szCs w:val="20"/>
              </w:rPr>
              <w:t>77</w:t>
            </w:r>
          </w:p>
        </w:tc>
      </w:tr>
      <w:tr w:rsidR="00C71DD9" w:rsidRPr="0005794A" w:rsidTr="001C0245">
        <w:tc>
          <w:tcPr>
            <w:cnfStyle w:val="001000000000" w:firstRow="0" w:lastRow="0" w:firstColumn="1" w:lastColumn="0" w:oddVBand="0" w:evenVBand="0" w:oddHBand="0" w:evenHBand="0" w:firstRowFirstColumn="0" w:firstRowLastColumn="0" w:lastRowFirstColumn="0" w:lastRowLastColumn="0"/>
            <w:tcW w:w="2268" w:type="dxa"/>
            <w:vMerge/>
          </w:tcPr>
          <w:p w:rsidR="00C71DD9" w:rsidRPr="0005794A" w:rsidRDefault="00C71DD9" w:rsidP="00C71DD9">
            <w:pPr>
              <w:widowControl w:val="0"/>
              <w:spacing w:before="60" w:after="60" w:line="240" w:lineRule="auto"/>
              <w:rPr>
                <w:rStyle w:val="ParaNumber"/>
                <w:rFonts w:ascii="Arial" w:hAnsi="Arial" w:cs="Arial"/>
                <w:b w:val="0"/>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C71DD9">
            <w:pPr>
              <w:widowControl w:val="0"/>
              <w:spacing w:before="60" w:after="60" w:line="240" w:lineRule="auto"/>
              <w:jc w:val="center"/>
              <w:rPr>
                <w:rStyle w:val="ParaNumber"/>
                <w:rFonts w:ascii="Arial" w:hAnsi="Arial" w:cs="Arial"/>
                <w:color w:val="auto"/>
                <w:sz w:val="20"/>
                <w:szCs w:val="20"/>
              </w:rPr>
            </w:pPr>
            <w:r w:rsidRPr="004D7219">
              <w:rPr>
                <w:rStyle w:val="ParaNumber"/>
                <w:rFonts w:ascii="Arial" w:hAnsi="Arial" w:cs="Arial"/>
                <w:color w:val="auto"/>
                <w:sz w:val="20"/>
                <w:szCs w:val="20"/>
              </w:rPr>
              <w:t>2016/17</w:t>
            </w:r>
          </w:p>
        </w:tc>
        <w:tc>
          <w:tcPr>
            <w:tcW w:w="992" w:type="dxa"/>
          </w:tcPr>
          <w:p w:rsidR="00C71DD9" w:rsidRPr="00C71DD9" w:rsidRDefault="00C71DD9" w:rsidP="00C71DD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64</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C71DD9" w:rsidRDefault="00C71DD9" w:rsidP="00C71DD9">
            <w:pPr>
              <w:widowControl w:val="0"/>
              <w:spacing w:before="60" w:after="60" w:line="240" w:lineRule="auto"/>
              <w:jc w:val="center"/>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tcW w:w="1276" w:type="dxa"/>
          </w:tcPr>
          <w:p w:rsidR="00C71DD9" w:rsidRPr="00C71DD9" w:rsidRDefault="00C71DD9" w:rsidP="00C71DD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C71DD9" w:rsidRDefault="00C71DD9" w:rsidP="00C71DD9">
            <w:pPr>
              <w:widowControl w:val="0"/>
              <w:spacing w:before="60" w:after="60" w:line="240" w:lineRule="auto"/>
              <w:jc w:val="center"/>
              <w:rPr>
                <w:rStyle w:val="ParaNumber"/>
                <w:rFonts w:ascii="Arial" w:hAnsi="Arial" w:cs="Arial"/>
                <w:color w:val="auto"/>
                <w:sz w:val="20"/>
                <w:szCs w:val="20"/>
              </w:rPr>
            </w:pPr>
            <w:r w:rsidRPr="00C71DD9">
              <w:rPr>
                <w:rStyle w:val="ParaNumber"/>
                <w:rFonts w:ascii="Arial" w:hAnsi="Arial" w:cs="Arial"/>
                <w:color w:val="auto"/>
                <w:sz w:val="20"/>
                <w:szCs w:val="20"/>
              </w:rPr>
              <w:t>8</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C71DD9" w:rsidRDefault="00C71DD9" w:rsidP="00C71DD9">
            <w:pPr>
              <w:widowControl w:val="0"/>
              <w:spacing w:before="60" w:after="60" w:line="240" w:lineRule="auto"/>
              <w:jc w:val="center"/>
              <w:rPr>
                <w:rStyle w:val="ParaNumber"/>
                <w:rFonts w:ascii="Arial" w:hAnsi="Arial" w:cs="Arial"/>
                <w:b w:val="0"/>
                <w:color w:val="auto"/>
                <w:sz w:val="20"/>
                <w:szCs w:val="20"/>
              </w:rPr>
            </w:pPr>
            <w:r w:rsidRPr="00C71DD9">
              <w:rPr>
                <w:rStyle w:val="ParaNumber"/>
                <w:rFonts w:ascii="Arial" w:hAnsi="Arial" w:cs="Arial"/>
                <w:b w:val="0"/>
                <w:color w:val="auto"/>
                <w:sz w:val="20"/>
                <w:szCs w:val="20"/>
              </w:rPr>
              <w:t>72</w:t>
            </w:r>
          </w:p>
        </w:tc>
      </w:tr>
      <w:tr w:rsidR="00C71DD9" w:rsidRPr="0005794A" w:rsidTr="001C024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C71DD9" w:rsidRPr="004D7219" w:rsidRDefault="00C71DD9" w:rsidP="00C71DD9">
            <w:pPr>
              <w:widowControl w:val="0"/>
              <w:spacing w:before="60" w:after="60" w:line="240" w:lineRule="auto"/>
              <w:rPr>
                <w:rStyle w:val="ParaNumber"/>
                <w:rFonts w:ascii="Arial" w:hAnsi="Arial" w:cs="Arial"/>
                <w:bCs w:val="0"/>
                <w:color w:val="auto"/>
                <w:sz w:val="20"/>
                <w:szCs w:val="20"/>
              </w:rPr>
            </w:pPr>
            <w:r w:rsidRPr="004D7219">
              <w:rPr>
                <w:rStyle w:val="ParaNumber"/>
                <w:rFonts w:ascii="Arial" w:hAnsi="Arial" w:cs="Arial"/>
                <w:b w:val="0"/>
                <w:color w:val="auto"/>
                <w:sz w:val="20"/>
                <w:szCs w:val="20"/>
              </w:rPr>
              <w:t xml:space="preserve">Director of Public Health </w:t>
            </w:r>
          </w:p>
          <w:p w:rsidR="00C71DD9" w:rsidRPr="004D7219" w:rsidRDefault="00C71DD9" w:rsidP="00C71DD9">
            <w:pPr>
              <w:widowControl w:val="0"/>
              <w:spacing w:before="60" w:after="60" w:line="240" w:lineRule="auto"/>
              <w:rPr>
                <w:rStyle w:val="ParaNumber"/>
                <w:rFonts w:ascii="Arial" w:hAnsi="Arial"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C71DD9">
            <w:pPr>
              <w:widowControl w:val="0"/>
              <w:spacing w:before="60" w:after="60" w:line="240" w:lineRule="auto"/>
              <w:jc w:val="center"/>
              <w:rPr>
                <w:rStyle w:val="ParaNumber"/>
                <w:rFonts w:ascii="Arial" w:hAnsi="Arial" w:cs="Arial"/>
                <w:b/>
                <w:color w:val="auto"/>
                <w:sz w:val="20"/>
                <w:szCs w:val="20"/>
              </w:rPr>
            </w:pPr>
            <w:r w:rsidRPr="004D7219">
              <w:rPr>
                <w:rStyle w:val="ParaNumber"/>
                <w:rFonts w:ascii="Arial" w:hAnsi="Arial" w:cs="Arial"/>
                <w:b/>
                <w:color w:val="auto"/>
                <w:sz w:val="20"/>
                <w:szCs w:val="20"/>
              </w:rPr>
              <w:t>2017/18</w:t>
            </w:r>
          </w:p>
        </w:tc>
        <w:tc>
          <w:tcPr>
            <w:tcW w:w="992" w:type="dxa"/>
          </w:tcPr>
          <w:p w:rsidR="00C71DD9" w:rsidRPr="004D7219" w:rsidRDefault="00200EA9"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Pr>
                <w:rStyle w:val="ParaNumber"/>
                <w:rFonts w:ascii="Arial" w:hAnsi="Arial" w:cs="Arial"/>
                <w:b/>
                <w:color w:val="auto"/>
                <w:sz w:val="20"/>
                <w:szCs w:val="20"/>
              </w:rPr>
              <w:t>101</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4D7219" w:rsidRDefault="00200EA9" w:rsidP="00C71DD9">
            <w:pPr>
              <w:widowControl w:val="0"/>
              <w:spacing w:before="60" w:after="60" w:line="240" w:lineRule="auto"/>
              <w:jc w:val="center"/>
              <w:rPr>
                <w:rStyle w:val="ParaNumber"/>
                <w:rFonts w:ascii="Arial" w:hAnsi="Arial" w:cs="Arial"/>
                <w:b/>
                <w:color w:val="auto"/>
                <w:sz w:val="20"/>
                <w:szCs w:val="20"/>
              </w:rPr>
            </w:pPr>
            <w:r>
              <w:rPr>
                <w:rStyle w:val="ParaNumber"/>
                <w:rFonts w:ascii="Arial" w:hAnsi="Arial" w:cs="Arial"/>
                <w:b/>
                <w:color w:val="auto"/>
                <w:sz w:val="20"/>
                <w:szCs w:val="20"/>
              </w:rPr>
              <w:t>0</w:t>
            </w:r>
          </w:p>
        </w:tc>
        <w:tc>
          <w:tcPr>
            <w:tcW w:w="1276" w:type="dxa"/>
          </w:tcPr>
          <w:p w:rsidR="00C71DD9" w:rsidRPr="004D7219" w:rsidRDefault="00200EA9"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4D7219" w:rsidRDefault="00200EA9" w:rsidP="00C71DD9">
            <w:pPr>
              <w:widowControl w:val="0"/>
              <w:spacing w:before="60" w:after="60" w:line="240" w:lineRule="auto"/>
              <w:jc w:val="center"/>
              <w:rPr>
                <w:rStyle w:val="ParaNumber"/>
                <w:rFonts w:ascii="Arial" w:hAnsi="Arial" w:cs="Arial"/>
                <w:b/>
                <w:color w:val="auto"/>
                <w:sz w:val="20"/>
                <w:szCs w:val="20"/>
              </w:rPr>
            </w:pPr>
            <w:r>
              <w:rPr>
                <w:rStyle w:val="ParaNumber"/>
                <w:rFonts w:ascii="Arial" w:hAnsi="Arial" w:cs="Arial"/>
                <w:b/>
                <w:color w:val="auto"/>
                <w:sz w:val="20"/>
                <w:szCs w:val="20"/>
              </w:rPr>
              <w:t>15</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4D7219" w:rsidRDefault="00200EA9" w:rsidP="00C71DD9">
            <w:pPr>
              <w:widowControl w:val="0"/>
              <w:spacing w:before="60" w:after="60" w:line="240" w:lineRule="auto"/>
              <w:jc w:val="center"/>
              <w:rPr>
                <w:rStyle w:val="ParaNumber"/>
                <w:rFonts w:ascii="Arial" w:hAnsi="Arial" w:cs="Arial"/>
                <w:color w:val="auto"/>
                <w:sz w:val="20"/>
                <w:szCs w:val="20"/>
              </w:rPr>
            </w:pPr>
            <w:r>
              <w:rPr>
                <w:rStyle w:val="ParaNumber"/>
                <w:rFonts w:ascii="Arial" w:hAnsi="Arial" w:cs="Arial"/>
                <w:color w:val="auto"/>
                <w:sz w:val="20"/>
                <w:szCs w:val="20"/>
              </w:rPr>
              <w:t>116</w:t>
            </w:r>
          </w:p>
        </w:tc>
      </w:tr>
      <w:tr w:rsidR="00C71DD9" w:rsidRPr="0005794A" w:rsidTr="001C0245">
        <w:trPr>
          <w:trHeight w:val="318"/>
        </w:trPr>
        <w:tc>
          <w:tcPr>
            <w:cnfStyle w:val="001000000000" w:firstRow="0" w:lastRow="0" w:firstColumn="1" w:lastColumn="0" w:oddVBand="0" w:evenVBand="0" w:oddHBand="0" w:evenHBand="0" w:firstRowFirstColumn="0" w:firstRowLastColumn="0" w:lastRowFirstColumn="0" w:lastRowLastColumn="0"/>
            <w:tcW w:w="2268" w:type="dxa"/>
            <w:vMerge/>
          </w:tcPr>
          <w:p w:rsidR="00C71DD9" w:rsidRPr="004D7219" w:rsidRDefault="00C71DD9" w:rsidP="00C71DD9">
            <w:pPr>
              <w:widowControl w:val="0"/>
              <w:spacing w:before="60" w:after="60" w:line="240" w:lineRule="auto"/>
              <w:rPr>
                <w:rStyle w:val="ParaNumbe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Pr>
          <w:p w:rsidR="00C71DD9" w:rsidRPr="004D7219" w:rsidRDefault="00C71DD9" w:rsidP="00C71DD9">
            <w:pPr>
              <w:widowControl w:val="0"/>
              <w:spacing w:before="60" w:after="60" w:line="240" w:lineRule="auto"/>
              <w:jc w:val="center"/>
              <w:rPr>
                <w:rStyle w:val="ParaNumber"/>
                <w:rFonts w:ascii="Arial" w:hAnsi="Arial" w:cs="Arial"/>
                <w:color w:val="auto"/>
                <w:sz w:val="20"/>
                <w:szCs w:val="20"/>
              </w:rPr>
            </w:pPr>
            <w:r w:rsidRPr="004D7219">
              <w:rPr>
                <w:rStyle w:val="ParaNumber"/>
                <w:rFonts w:ascii="Arial" w:hAnsi="Arial" w:cs="Arial"/>
                <w:color w:val="auto"/>
                <w:sz w:val="20"/>
                <w:szCs w:val="20"/>
              </w:rPr>
              <w:t>2016/17</w:t>
            </w:r>
          </w:p>
        </w:tc>
        <w:tc>
          <w:tcPr>
            <w:tcW w:w="992" w:type="dxa"/>
          </w:tcPr>
          <w:p w:rsidR="00C71DD9" w:rsidRPr="00C71DD9" w:rsidRDefault="00C71DD9" w:rsidP="00C71DD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113</w:t>
            </w:r>
          </w:p>
        </w:tc>
        <w:tc>
          <w:tcPr>
            <w:cnfStyle w:val="000010000000" w:firstRow="0" w:lastRow="0" w:firstColumn="0" w:lastColumn="0" w:oddVBand="1" w:evenVBand="0" w:oddHBand="0" w:evenHBand="0" w:firstRowFirstColumn="0" w:firstRowLastColumn="0" w:lastRowFirstColumn="0" w:lastRowLastColumn="0"/>
            <w:tcW w:w="1134" w:type="dxa"/>
          </w:tcPr>
          <w:p w:rsidR="00C71DD9" w:rsidRPr="00C71DD9" w:rsidRDefault="00C71DD9" w:rsidP="00C71DD9">
            <w:pPr>
              <w:widowControl w:val="0"/>
              <w:spacing w:before="60" w:after="60" w:line="240" w:lineRule="auto"/>
              <w:jc w:val="center"/>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tcW w:w="1276" w:type="dxa"/>
          </w:tcPr>
          <w:p w:rsidR="00C71DD9" w:rsidRPr="00C71DD9" w:rsidRDefault="00C71DD9" w:rsidP="00C71DD9">
            <w:pPr>
              <w:widowControl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Style w:val="ParaNumber"/>
                <w:rFonts w:ascii="Arial" w:hAnsi="Arial" w:cs="Arial"/>
                <w:color w:val="auto"/>
                <w:sz w:val="20"/>
                <w:szCs w:val="20"/>
              </w:rPr>
            </w:pPr>
            <w:r w:rsidRPr="00C71DD9">
              <w:rPr>
                <w:rStyle w:val="ParaNumber"/>
                <w:rFonts w:ascii="Arial" w:hAnsi="Arial"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Pr>
          <w:p w:rsidR="00C71DD9" w:rsidRPr="00C71DD9" w:rsidRDefault="00C71DD9" w:rsidP="00C71DD9">
            <w:pPr>
              <w:widowControl w:val="0"/>
              <w:spacing w:before="60" w:after="60" w:line="240" w:lineRule="auto"/>
              <w:jc w:val="center"/>
              <w:rPr>
                <w:rStyle w:val="ParaNumber"/>
                <w:rFonts w:ascii="Arial" w:hAnsi="Arial" w:cs="Arial"/>
                <w:color w:val="auto"/>
                <w:sz w:val="20"/>
                <w:szCs w:val="20"/>
              </w:rPr>
            </w:pPr>
            <w:r w:rsidRPr="00C71DD9">
              <w:rPr>
                <w:rStyle w:val="ParaNumber"/>
                <w:rFonts w:ascii="Arial" w:hAnsi="Arial" w:cs="Arial"/>
                <w:color w:val="auto"/>
                <w:sz w:val="20"/>
                <w:szCs w:val="20"/>
              </w:rPr>
              <w:t>16</w:t>
            </w:r>
          </w:p>
        </w:tc>
        <w:tc>
          <w:tcPr>
            <w:cnfStyle w:val="000100000000" w:firstRow="0" w:lastRow="0" w:firstColumn="0" w:lastColumn="1" w:oddVBand="0" w:evenVBand="0" w:oddHBand="0" w:evenHBand="0" w:firstRowFirstColumn="0" w:firstRowLastColumn="0" w:lastRowFirstColumn="0" w:lastRowLastColumn="0"/>
            <w:tcW w:w="992" w:type="dxa"/>
          </w:tcPr>
          <w:p w:rsidR="00C71DD9" w:rsidRPr="00C71DD9" w:rsidRDefault="00C71DD9" w:rsidP="00C71DD9">
            <w:pPr>
              <w:widowControl w:val="0"/>
              <w:spacing w:before="60" w:after="60" w:line="240" w:lineRule="auto"/>
              <w:jc w:val="center"/>
              <w:rPr>
                <w:rStyle w:val="ParaNumber"/>
                <w:rFonts w:ascii="Arial" w:hAnsi="Arial" w:cs="Arial"/>
                <w:b w:val="0"/>
                <w:color w:val="auto"/>
                <w:sz w:val="20"/>
                <w:szCs w:val="20"/>
              </w:rPr>
            </w:pPr>
            <w:r w:rsidRPr="00C71DD9">
              <w:rPr>
                <w:rStyle w:val="ParaNumber"/>
                <w:rFonts w:ascii="Arial" w:hAnsi="Arial" w:cs="Arial"/>
                <w:b w:val="0"/>
                <w:color w:val="auto"/>
                <w:sz w:val="20"/>
                <w:szCs w:val="20"/>
              </w:rPr>
              <w:t>129</w:t>
            </w:r>
          </w:p>
        </w:tc>
      </w:tr>
      <w:tr w:rsidR="00C71DD9" w:rsidRPr="0005794A" w:rsidTr="0028635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C71DD9" w:rsidRPr="004D7219" w:rsidRDefault="00C71DD9" w:rsidP="00170982">
            <w:pPr>
              <w:widowControl w:val="0"/>
              <w:spacing w:before="60" w:after="60" w:line="240" w:lineRule="auto"/>
              <w:rPr>
                <w:rStyle w:val="ParaNumber"/>
                <w:rFonts w:ascii="Arial" w:hAnsi="Arial" w:cs="Arial"/>
                <w:b w:val="0"/>
                <w:color w:val="auto"/>
                <w:sz w:val="20"/>
                <w:szCs w:val="20"/>
              </w:rPr>
            </w:pPr>
            <w:r w:rsidRPr="004D7219">
              <w:rPr>
                <w:rStyle w:val="ParaNumber"/>
                <w:rFonts w:ascii="Arial" w:hAnsi="Arial" w:cs="Arial"/>
                <w:b w:val="0"/>
                <w:color w:val="auto"/>
                <w:sz w:val="20"/>
                <w:szCs w:val="20"/>
              </w:rPr>
              <w:t xml:space="preserve">Assistant Director </w:t>
            </w:r>
            <w:r w:rsidR="00170982">
              <w:rPr>
                <w:rStyle w:val="ParaNumber"/>
                <w:rFonts w:ascii="Arial" w:hAnsi="Arial" w:cs="Arial"/>
                <w:b w:val="0"/>
                <w:color w:val="auto"/>
                <w:sz w:val="20"/>
                <w:szCs w:val="20"/>
              </w:rPr>
              <w:t xml:space="preserve">–Corporate Services </w:t>
            </w:r>
            <w:r w:rsidRPr="004D7219">
              <w:rPr>
                <w:rStyle w:val="ParaNumber"/>
                <w:rFonts w:ascii="Arial" w:hAnsi="Arial" w:cs="Arial"/>
                <w:b w:val="0"/>
                <w:color w:val="auto"/>
                <w:sz w:val="20"/>
                <w:szCs w:val="20"/>
              </w:rPr>
              <w:t xml:space="preserve">&amp; </w:t>
            </w:r>
            <w:r w:rsidR="00170982">
              <w:rPr>
                <w:rStyle w:val="ParaNumber"/>
                <w:rFonts w:ascii="Arial" w:hAnsi="Arial" w:cs="Arial"/>
                <w:b w:val="0"/>
                <w:color w:val="auto"/>
                <w:sz w:val="20"/>
                <w:szCs w:val="20"/>
              </w:rPr>
              <w:t>Operations</w:t>
            </w:r>
            <w:r w:rsidRPr="004D7219">
              <w:rPr>
                <w:rStyle w:val="ParaNumber"/>
                <w:rFonts w:ascii="Arial" w:hAnsi="Arial" w:cs="Arial"/>
                <w:b w:val="0"/>
                <w:color w:val="auto"/>
                <w:sz w:val="20"/>
                <w:szCs w:val="20"/>
              </w:rPr>
              <w:t xml:space="preserve"> &amp; Monitoring Officer </w:t>
            </w:r>
          </w:p>
        </w:tc>
        <w:tc>
          <w:tcPr>
            <w:cnfStyle w:val="000010000000" w:firstRow="0" w:lastRow="0" w:firstColumn="0" w:lastColumn="0" w:oddVBand="1" w:evenVBand="0" w:oddHBand="0" w:evenHBand="0" w:firstRowFirstColumn="0" w:firstRowLastColumn="0" w:lastRowFirstColumn="0" w:lastRowLastColumn="0"/>
            <w:tcW w:w="993" w:type="dxa"/>
            <w:tcBorders>
              <w:bottom w:val="single" w:sz="4" w:space="0" w:color="8064A2" w:themeColor="accent4"/>
            </w:tcBorders>
          </w:tcPr>
          <w:p w:rsidR="00C71DD9" w:rsidRPr="004D7219" w:rsidRDefault="00C71DD9" w:rsidP="00C71DD9">
            <w:pPr>
              <w:widowControl w:val="0"/>
              <w:spacing w:before="60" w:after="60" w:line="240" w:lineRule="auto"/>
              <w:jc w:val="center"/>
              <w:rPr>
                <w:rStyle w:val="ParaNumber"/>
                <w:rFonts w:ascii="Arial" w:hAnsi="Arial" w:cs="Arial"/>
                <w:b/>
                <w:color w:val="auto"/>
                <w:sz w:val="20"/>
                <w:szCs w:val="20"/>
              </w:rPr>
            </w:pPr>
            <w:r w:rsidRPr="004D7219">
              <w:rPr>
                <w:rStyle w:val="ParaNumber"/>
                <w:rFonts w:ascii="Arial" w:hAnsi="Arial" w:cs="Arial"/>
                <w:b/>
                <w:color w:val="auto"/>
                <w:sz w:val="20"/>
                <w:szCs w:val="20"/>
              </w:rPr>
              <w:t>2017/18</w:t>
            </w:r>
          </w:p>
        </w:tc>
        <w:tc>
          <w:tcPr>
            <w:tcW w:w="992" w:type="dxa"/>
            <w:tcBorders>
              <w:bottom w:val="single" w:sz="4" w:space="0" w:color="8064A2" w:themeColor="accent4"/>
            </w:tcBorders>
          </w:tcPr>
          <w:p w:rsidR="00C71DD9" w:rsidRPr="004D7219" w:rsidRDefault="00200EA9"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Pr>
                <w:rStyle w:val="ParaNumber"/>
                <w:rFonts w:ascii="Arial" w:hAnsi="Arial" w:cs="Arial"/>
                <w:b/>
                <w:color w:val="auto"/>
                <w:sz w:val="20"/>
                <w:szCs w:val="20"/>
              </w:rPr>
              <w:t>96</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8064A2" w:themeColor="accent4"/>
            </w:tcBorders>
          </w:tcPr>
          <w:p w:rsidR="00C71DD9" w:rsidRPr="004D7219" w:rsidRDefault="00200EA9" w:rsidP="00C71DD9">
            <w:pPr>
              <w:widowControl w:val="0"/>
              <w:spacing w:before="60" w:after="60" w:line="240" w:lineRule="auto"/>
              <w:jc w:val="center"/>
              <w:rPr>
                <w:rStyle w:val="ParaNumber"/>
                <w:rFonts w:ascii="Arial" w:hAnsi="Arial" w:cs="Arial"/>
                <w:b/>
                <w:color w:val="auto"/>
                <w:sz w:val="20"/>
                <w:szCs w:val="20"/>
              </w:rPr>
            </w:pPr>
            <w:r>
              <w:rPr>
                <w:rStyle w:val="ParaNumber"/>
                <w:rFonts w:ascii="Arial" w:hAnsi="Arial" w:cs="Arial"/>
                <w:b/>
                <w:color w:val="auto"/>
                <w:sz w:val="20"/>
                <w:szCs w:val="20"/>
              </w:rPr>
              <w:t>0</w:t>
            </w:r>
          </w:p>
        </w:tc>
        <w:tc>
          <w:tcPr>
            <w:tcW w:w="1276" w:type="dxa"/>
            <w:tcBorders>
              <w:bottom w:val="single" w:sz="4" w:space="0" w:color="8064A2" w:themeColor="accent4"/>
            </w:tcBorders>
          </w:tcPr>
          <w:p w:rsidR="00C71DD9" w:rsidRPr="004D7219" w:rsidRDefault="00200EA9" w:rsidP="00C71DD9">
            <w:pPr>
              <w:widowControl w:val="0"/>
              <w:spacing w:before="60" w:after="60" w:line="240" w:lineRule="auto"/>
              <w:jc w:val="center"/>
              <w:cnfStyle w:val="000000100000" w:firstRow="0" w:lastRow="0" w:firstColumn="0" w:lastColumn="0" w:oddVBand="0" w:evenVBand="0" w:oddHBand="1" w:evenHBand="0" w:firstRowFirstColumn="0" w:firstRowLastColumn="0" w:lastRowFirstColumn="0" w:lastRowLastColumn="0"/>
              <w:rPr>
                <w:rStyle w:val="ParaNumber"/>
                <w:rFonts w:ascii="Arial" w:hAnsi="Arial" w:cs="Arial"/>
                <w:b/>
                <w:color w:val="auto"/>
                <w:sz w:val="20"/>
                <w:szCs w:val="20"/>
              </w:rPr>
            </w:pPr>
            <w:r>
              <w:rPr>
                <w:rStyle w:val="ParaNumber"/>
                <w:rFonts w:ascii="Arial" w:hAnsi="Arial"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Borders>
              <w:bottom w:val="single" w:sz="4" w:space="0" w:color="8064A2" w:themeColor="accent4"/>
            </w:tcBorders>
          </w:tcPr>
          <w:p w:rsidR="00C71DD9" w:rsidRPr="004D7219" w:rsidRDefault="00200EA9" w:rsidP="00C71DD9">
            <w:pPr>
              <w:widowControl w:val="0"/>
              <w:spacing w:before="60" w:after="60" w:line="240" w:lineRule="auto"/>
              <w:jc w:val="center"/>
              <w:rPr>
                <w:rStyle w:val="ParaNumber"/>
                <w:rFonts w:ascii="Arial" w:hAnsi="Arial" w:cs="Arial"/>
                <w:b/>
                <w:color w:val="auto"/>
                <w:sz w:val="20"/>
                <w:szCs w:val="20"/>
              </w:rPr>
            </w:pPr>
            <w:r>
              <w:rPr>
                <w:rStyle w:val="ParaNumber"/>
                <w:rFonts w:ascii="Arial" w:hAnsi="Arial" w:cs="Arial"/>
                <w:b/>
                <w:color w:val="auto"/>
                <w:sz w:val="20"/>
                <w:szCs w:val="20"/>
              </w:rPr>
              <w:t>14</w:t>
            </w:r>
          </w:p>
        </w:tc>
        <w:tc>
          <w:tcPr>
            <w:cnfStyle w:val="000100000000" w:firstRow="0" w:lastRow="0" w:firstColumn="0" w:lastColumn="1" w:oddVBand="0" w:evenVBand="0" w:oddHBand="0" w:evenHBand="0" w:firstRowFirstColumn="0" w:firstRowLastColumn="0" w:lastRowFirstColumn="0" w:lastRowLastColumn="0"/>
            <w:tcW w:w="992" w:type="dxa"/>
            <w:tcBorders>
              <w:bottom w:val="single" w:sz="4" w:space="0" w:color="8064A2" w:themeColor="accent4"/>
            </w:tcBorders>
          </w:tcPr>
          <w:p w:rsidR="00C71DD9" w:rsidRPr="004D7219" w:rsidRDefault="00200EA9" w:rsidP="00C71DD9">
            <w:pPr>
              <w:widowControl w:val="0"/>
              <w:spacing w:before="60" w:after="60" w:line="240" w:lineRule="auto"/>
              <w:jc w:val="center"/>
              <w:rPr>
                <w:rStyle w:val="ParaNumber"/>
                <w:rFonts w:ascii="Arial" w:hAnsi="Arial" w:cs="Arial"/>
                <w:bCs w:val="0"/>
                <w:color w:val="auto"/>
                <w:sz w:val="20"/>
                <w:szCs w:val="20"/>
              </w:rPr>
            </w:pPr>
            <w:r>
              <w:rPr>
                <w:rStyle w:val="ParaNumber"/>
                <w:rFonts w:ascii="Arial" w:hAnsi="Arial" w:cs="Arial"/>
                <w:bCs w:val="0"/>
                <w:color w:val="auto"/>
                <w:sz w:val="20"/>
                <w:szCs w:val="20"/>
              </w:rPr>
              <w:t>110</w:t>
            </w:r>
          </w:p>
        </w:tc>
      </w:tr>
      <w:tr w:rsidR="00C71DD9" w:rsidRPr="0005794A" w:rsidTr="0028635B">
        <w:trPr>
          <w:cnfStyle w:val="010000000000" w:firstRow="0" w:lastRow="1" w:firstColumn="0" w:lastColumn="0" w:oddVBand="0" w:evenVBand="0" w:oddHBand="0" w:evenHBand="0" w:firstRowFirstColumn="0" w:firstRowLastColumn="0" w:lastRowFirstColumn="0" w:lastRowLastColumn="0"/>
          <w:trHeight w:val="318"/>
        </w:trPr>
        <w:tc>
          <w:tcPr>
            <w:cnfStyle w:val="001000000001" w:firstRow="0" w:lastRow="0" w:firstColumn="1" w:lastColumn="0" w:oddVBand="0" w:evenVBand="0" w:oddHBand="0" w:evenHBand="0" w:firstRowFirstColumn="0" w:firstRowLastColumn="0" w:lastRowFirstColumn="1" w:lastRowLastColumn="0"/>
            <w:tcW w:w="2268" w:type="dxa"/>
            <w:vMerge/>
          </w:tcPr>
          <w:p w:rsidR="00C71DD9" w:rsidRPr="004D7219" w:rsidRDefault="00C71DD9" w:rsidP="00C71DD9">
            <w:pPr>
              <w:widowControl w:val="0"/>
              <w:spacing w:before="60" w:after="60" w:line="240" w:lineRule="auto"/>
              <w:rPr>
                <w:rStyle w:val="ParaNumbe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93" w:type="dxa"/>
            <w:tcBorders>
              <w:top w:val="single" w:sz="4" w:space="0" w:color="8064A2" w:themeColor="accent4"/>
            </w:tcBorders>
          </w:tcPr>
          <w:p w:rsidR="00C71DD9" w:rsidRPr="00C71DD9" w:rsidRDefault="00C71DD9" w:rsidP="00C71DD9">
            <w:pPr>
              <w:widowControl w:val="0"/>
              <w:spacing w:before="60" w:after="60" w:line="240" w:lineRule="auto"/>
              <w:jc w:val="center"/>
              <w:rPr>
                <w:rStyle w:val="ParaNumber"/>
                <w:rFonts w:ascii="Arial" w:hAnsi="Arial" w:cs="Arial"/>
                <w:b w:val="0"/>
                <w:color w:val="auto"/>
                <w:sz w:val="20"/>
                <w:szCs w:val="20"/>
              </w:rPr>
            </w:pPr>
            <w:r w:rsidRPr="00C71DD9">
              <w:rPr>
                <w:rStyle w:val="ParaNumber"/>
                <w:rFonts w:ascii="Arial" w:hAnsi="Arial" w:cs="Arial"/>
                <w:b w:val="0"/>
                <w:color w:val="auto"/>
                <w:sz w:val="20"/>
                <w:szCs w:val="20"/>
              </w:rPr>
              <w:t>2016/17</w:t>
            </w:r>
          </w:p>
        </w:tc>
        <w:tc>
          <w:tcPr>
            <w:tcW w:w="992" w:type="dxa"/>
            <w:tcBorders>
              <w:top w:val="single" w:sz="4" w:space="0" w:color="8064A2" w:themeColor="accent4"/>
            </w:tcBorders>
          </w:tcPr>
          <w:p w:rsidR="00C71DD9" w:rsidRPr="00C71DD9" w:rsidRDefault="00C71DD9" w:rsidP="00C71DD9">
            <w:pPr>
              <w:widowControl w:val="0"/>
              <w:spacing w:before="60" w:after="60" w:line="240" w:lineRule="auto"/>
              <w:jc w:val="center"/>
              <w:cnfStyle w:val="010000000000" w:firstRow="0" w:lastRow="1"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r w:rsidRPr="00C71DD9">
              <w:rPr>
                <w:rStyle w:val="ParaNumber"/>
                <w:rFonts w:ascii="Arial" w:hAnsi="Arial" w:cs="Arial"/>
                <w:b w:val="0"/>
                <w:color w:val="auto"/>
                <w:sz w:val="20"/>
                <w:szCs w:val="20"/>
              </w:rPr>
              <w:t>81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8064A2" w:themeColor="accent4"/>
            </w:tcBorders>
          </w:tcPr>
          <w:p w:rsidR="00C71DD9" w:rsidRPr="00C71DD9" w:rsidRDefault="00C71DD9" w:rsidP="00C71DD9">
            <w:pPr>
              <w:widowControl w:val="0"/>
              <w:spacing w:before="60" w:after="60" w:line="240" w:lineRule="auto"/>
              <w:jc w:val="center"/>
              <w:rPr>
                <w:rStyle w:val="ParaNumber"/>
                <w:rFonts w:ascii="Arial" w:hAnsi="Arial" w:cs="Arial"/>
                <w:b w:val="0"/>
                <w:color w:val="auto"/>
                <w:sz w:val="20"/>
                <w:szCs w:val="20"/>
              </w:rPr>
            </w:pPr>
            <w:r w:rsidRPr="00C71DD9">
              <w:rPr>
                <w:rStyle w:val="ParaNumber"/>
                <w:rFonts w:ascii="Arial" w:hAnsi="Arial" w:cs="Arial"/>
                <w:b w:val="0"/>
                <w:color w:val="auto"/>
                <w:sz w:val="20"/>
                <w:szCs w:val="20"/>
              </w:rPr>
              <w:t>0</w:t>
            </w:r>
          </w:p>
        </w:tc>
        <w:tc>
          <w:tcPr>
            <w:tcW w:w="1276" w:type="dxa"/>
            <w:tcBorders>
              <w:top w:val="single" w:sz="4" w:space="0" w:color="8064A2" w:themeColor="accent4"/>
            </w:tcBorders>
          </w:tcPr>
          <w:p w:rsidR="00C71DD9" w:rsidRPr="00C71DD9" w:rsidRDefault="00C71DD9" w:rsidP="00C71DD9">
            <w:pPr>
              <w:widowControl w:val="0"/>
              <w:spacing w:before="60" w:after="60" w:line="240" w:lineRule="auto"/>
              <w:jc w:val="center"/>
              <w:cnfStyle w:val="010000000000" w:firstRow="0" w:lastRow="1" w:firstColumn="0" w:lastColumn="0" w:oddVBand="0" w:evenVBand="0" w:oddHBand="0" w:evenHBand="0" w:firstRowFirstColumn="0" w:firstRowLastColumn="0" w:lastRowFirstColumn="0" w:lastRowLastColumn="0"/>
              <w:rPr>
                <w:rStyle w:val="ParaNumber"/>
                <w:rFonts w:ascii="Arial" w:hAnsi="Arial" w:cs="Arial"/>
                <w:b w:val="0"/>
                <w:color w:val="auto"/>
                <w:sz w:val="20"/>
                <w:szCs w:val="20"/>
              </w:rPr>
            </w:pPr>
            <w:r w:rsidRPr="00C71DD9">
              <w:rPr>
                <w:rStyle w:val="ParaNumber"/>
                <w:rFonts w:ascii="Arial" w:hAnsi="Arial" w:cs="Arial"/>
                <w:b w:val="0"/>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8064A2" w:themeColor="accent4"/>
            </w:tcBorders>
          </w:tcPr>
          <w:p w:rsidR="00C71DD9" w:rsidRPr="00C71DD9" w:rsidRDefault="00C71DD9" w:rsidP="00C71DD9">
            <w:pPr>
              <w:widowControl w:val="0"/>
              <w:spacing w:before="60" w:after="60" w:line="240" w:lineRule="auto"/>
              <w:jc w:val="center"/>
              <w:rPr>
                <w:rStyle w:val="ParaNumber"/>
                <w:rFonts w:ascii="Arial" w:hAnsi="Arial" w:cs="Arial"/>
                <w:b w:val="0"/>
                <w:color w:val="auto"/>
                <w:sz w:val="20"/>
                <w:szCs w:val="20"/>
              </w:rPr>
            </w:pPr>
            <w:r w:rsidRPr="00C71DD9">
              <w:rPr>
                <w:rStyle w:val="ParaNumber"/>
                <w:rFonts w:ascii="Arial" w:hAnsi="Arial" w:cs="Arial"/>
                <w:b w:val="0"/>
                <w:color w:val="auto"/>
                <w:sz w:val="20"/>
                <w:szCs w:val="20"/>
              </w:rPr>
              <w:t>11</w:t>
            </w:r>
          </w:p>
        </w:tc>
        <w:tc>
          <w:tcPr>
            <w:cnfStyle w:val="000100000010" w:firstRow="0" w:lastRow="0" w:firstColumn="0" w:lastColumn="1" w:oddVBand="0" w:evenVBand="0" w:oddHBand="0" w:evenHBand="0" w:firstRowFirstColumn="0" w:firstRowLastColumn="0" w:lastRowFirstColumn="0" w:lastRowLastColumn="1"/>
            <w:tcW w:w="992" w:type="dxa"/>
            <w:tcBorders>
              <w:top w:val="single" w:sz="4" w:space="0" w:color="8064A2" w:themeColor="accent4"/>
            </w:tcBorders>
          </w:tcPr>
          <w:p w:rsidR="00C71DD9" w:rsidRPr="00C71DD9" w:rsidRDefault="00C71DD9" w:rsidP="00C71DD9">
            <w:pPr>
              <w:widowControl w:val="0"/>
              <w:spacing w:before="60" w:after="60" w:line="240" w:lineRule="auto"/>
              <w:jc w:val="center"/>
              <w:rPr>
                <w:rStyle w:val="ParaNumber"/>
                <w:rFonts w:ascii="Arial" w:hAnsi="Arial" w:cs="Arial"/>
                <w:b w:val="0"/>
                <w:bCs w:val="0"/>
                <w:color w:val="auto"/>
                <w:sz w:val="20"/>
                <w:szCs w:val="20"/>
              </w:rPr>
            </w:pPr>
            <w:r w:rsidRPr="00C71DD9">
              <w:rPr>
                <w:rStyle w:val="ParaNumber"/>
                <w:rFonts w:ascii="Arial" w:hAnsi="Arial" w:cs="Arial"/>
                <w:b w:val="0"/>
                <w:bCs w:val="0"/>
                <w:color w:val="auto"/>
                <w:sz w:val="20"/>
                <w:szCs w:val="20"/>
              </w:rPr>
              <w:t>92</w:t>
            </w:r>
          </w:p>
        </w:tc>
      </w:tr>
    </w:tbl>
    <w:p w:rsidR="002F43B9" w:rsidRPr="0005794A" w:rsidRDefault="002F43B9" w:rsidP="00E95BB6">
      <w:pPr>
        <w:pStyle w:val="CodeNotesExampleHead"/>
        <w:widowControl w:val="0"/>
        <w:ind w:left="1440" w:hanging="1080"/>
        <w:rPr>
          <w:rFonts w:cs="Arial"/>
          <w:b w:val="0"/>
          <w:color w:val="548DD4" w:themeColor="text2" w:themeTint="99"/>
          <w:sz w:val="20"/>
          <w:szCs w:val="20"/>
          <w:lang w:eastAsia="en-GB"/>
        </w:rPr>
      </w:pPr>
    </w:p>
    <w:p w:rsidR="00DB1F69" w:rsidRPr="0005794A" w:rsidRDefault="00DB1F69" w:rsidP="00845AAC">
      <w:pPr>
        <w:pStyle w:val="CodeNotesExampleHead"/>
        <w:widowControl w:val="0"/>
        <w:ind w:left="567"/>
        <w:rPr>
          <w:rFonts w:cs="Arial"/>
          <w:b w:val="0"/>
          <w:color w:val="548DD4" w:themeColor="text2" w:themeTint="99"/>
          <w:sz w:val="20"/>
          <w:szCs w:val="20"/>
          <w:lang w:eastAsia="en-GB"/>
        </w:rPr>
      </w:pPr>
    </w:p>
    <w:p w:rsidR="004A3CDB" w:rsidRDefault="004A3CDB" w:rsidP="00845AAC">
      <w:pPr>
        <w:pStyle w:val="CodeNotesExampleHead"/>
        <w:widowControl w:val="0"/>
        <w:ind w:left="567"/>
        <w:rPr>
          <w:rFonts w:cs="Arial"/>
          <w:b w:val="0"/>
          <w:color w:val="auto"/>
          <w:sz w:val="20"/>
          <w:szCs w:val="20"/>
          <w:lang w:eastAsia="en-GB"/>
        </w:rPr>
      </w:pPr>
      <w:r w:rsidRPr="00DD6562">
        <w:rPr>
          <w:rFonts w:cs="Arial"/>
          <w:b w:val="0"/>
          <w:color w:val="auto"/>
          <w:sz w:val="20"/>
          <w:szCs w:val="20"/>
          <w:lang w:eastAsia="en-GB"/>
        </w:rPr>
        <w:t xml:space="preserve">The number of employees, including the </w:t>
      </w:r>
      <w:proofErr w:type="spellStart"/>
      <w:r w:rsidRPr="00DD6562">
        <w:rPr>
          <w:rFonts w:cs="Arial"/>
          <w:b w:val="0"/>
          <w:color w:val="auto"/>
          <w:sz w:val="20"/>
          <w:szCs w:val="20"/>
          <w:lang w:eastAsia="en-GB"/>
        </w:rPr>
        <w:t>senor</w:t>
      </w:r>
      <w:proofErr w:type="spellEnd"/>
      <w:r w:rsidRPr="00DD6562">
        <w:rPr>
          <w:rFonts w:cs="Arial"/>
          <w:b w:val="0"/>
          <w:color w:val="auto"/>
          <w:sz w:val="20"/>
          <w:szCs w:val="20"/>
          <w:lang w:eastAsia="en-GB"/>
        </w:rPr>
        <w:t xml:space="preserve"> officers disclosed above, receiving more than £50,000 remuneration, excluding employer’s pension contributions, while employed by Torbay Council is set out in the table below in bands of £5,000. Remuneration for these purposes includes all sums paid or receivable by an employee and sums due by way of and the money value of any other benefits received other than in cash.   School employees are reducing linked to conversion to Academy status. Employees had a pay award in 201</w:t>
      </w:r>
      <w:r w:rsidR="00DD6562" w:rsidRPr="00DD6562">
        <w:rPr>
          <w:rFonts w:cs="Arial"/>
          <w:b w:val="0"/>
          <w:color w:val="auto"/>
          <w:sz w:val="20"/>
          <w:szCs w:val="20"/>
          <w:lang w:eastAsia="en-GB"/>
        </w:rPr>
        <w:t>7</w:t>
      </w:r>
      <w:r w:rsidRPr="00DD6562">
        <w:rPr>
          <w:rFonts w:cs="Arial"/>
          <w:b w:val="0"/>
          <w:color w:val="auto"/>
          <w:sz w:val="20"/>
          <w:szCs w:val="20"/>
          <w:lang w:eastAsia="en-GB"/>
        </w:rPr>
        <w:t>/1</w:t>
      </w:r>
      <w:r w:rsidR="00DD6562" w:rsidRPr="00DD6562">
        <w:rPr>
          <w:rFonts w:cs="Arial"/>
          <w:b w:val="0"/>
          <w:color w:val="auto"/>
          <w:sz w:val="20"/>
          <w:szCs w:val="20"/>
          <w:lang w:eastAsia="en-GB"/>
        </w:rPr>
        <w:t>8</w:t>
      </w:r>
      <w:r w:rsidRPr="00DD6562">
        <w:rPr>
          <w:rFonts w:cs="Arial"/>
          <w:b w:val="0"/>
          <w:color w:val="auto"/>
          <w:sz w:val="20"/>
          <w:szCs w:val="20"/>
          <w:lang w:eastAsia="en-GB"/>
        </w:rPr>
        <w:t xml:space="preserve"> which </w:t>
      </w:r>
      <w:r w:rsidR="0025588B" w:rsidRPr="00DD6562">
        <w:rPr>
          <w:rFonts w:cs="Arial"/>
          <w:b w:val="0"/>
          <w:color w:val="auto"/>
          <w:sz w:val="20"/>
          <w:szCs w:val="20"/>
          <w:lang w:eastAsia="en-GB"/>
        </w:rPr>
        <w:t xml:space="preserve">would impact on the </w:t>
      </w:r>
      <w:r w:rsidRPr="00DD6562">
        <w:rPr>
          <w:rFonts w:cs="Arial"/>
          <w:b w:val="0"/>
          <w:color w:val="auto"/>
          <w:sz w:val="20"/>
          <w:szCs w:val="20"/>
          <w:lang w:eastAsia="en-GB"/>
        </w:rPr>
        <w:t>lower band as the banding has not been inflated.</w:t>
      </w:r>
    </w:p>
    <w:p w:rsidR="0050394E" w:rsidRDefault="0050394E" w:rsidP="00845AAC">
      <w:pPr>
        <w:pStyle w:val="CodeNotesExampleHead"/>
        <w:widowControl w:val="0"/>
        <w:ind w:left="567"/>
        <w:rPr>
          <w:rFonts w:cs="Arial"/>
          <w:b w:val="0"/>
          <w:color w:val="auto"/>
          <w:sz w:val="20"/>
          <w:szCs w:val="20"/>
          <w:lang w:eastAsia="en-GB"/>
        </w:rPr>
      </w:pPr>
    </w:p>
    <w:p w:rsidR="0050394E" w:rsidRDefault="0050394E" w:rsidP="00845AAC">
      <w:pPr>
        <w:pStyle w:val="CodeNotesExampleHead"/>
        <w:widowControl w:val="0"/>
        <w:ind w:left="567"/>
        <w:rPr>
          <w:rFonts w:cs="Arial"/>
          <w:b w:val="0"/>
          <w:color w:val="auto"/>
          <w:sz w:val="20"/>
          <w:szCs w:val="20"/>
          <w:lang w:eastAsia="en-GB"/>
        </w:rPr>
      </w:pPr>
    </w:p>
    <w:p w:rsidR="0050394E" w:rsidRDefault="0050394E" w:rsidP="00845AAC">
      <w:pPr>
        <w:pStyle w:val="CodeNotesExampleHead"/>
        <w:widowControl w:val="0"/>
        <w:ind w:left="567"/>
        <w:rPr>
          <w:rFonts w:cs="Arial"/>
          <w:b w:val="0"/>
          <w:color w:val="auto"/>
          <w:sz w:val="20"/>
          <w:szCs w:val="20"/>
          <w:lang w:eastAsia="en-GB"/>
        </w:rPr>
      </w:pPr>
    </w:p>
    <w:p w:rsidR="0050394E" w:rsidRDefault="0050394E" w:rsidP="00845AAC">
      <w:pPr>
        <w:pStyle w:val="CodeNotesExampleHead"/>
        <w:widowControl w:val="0"/>
        <w:ind w:left="567"/>
        <w:rPr>
          <w:rFonts w:cs="Arial"/>
          <w:b w:val="0"/>
          <w:color w:val="auto"/>
          <w:sz w:val="20"/>
          <w:szCs w:val="20"/>
          <w:lang w:eastAsia="en-GB"/>
        </w:rPr>
      </w:pPr>
    </w:p>
    <w:p w:rsidR="0050394E" w:rsidRDefault="0050394E" w:rsidP="00845AAC">
      <w:pPr>
        <w:pStyle w:val="CodeNotesExampleHead"/>
        <w:widowControl w:val="0"/>
        <w:ind w:left="567"/>
        <w:rPr>
          <w:rFonts w:cs="Arial"/>
          <w:b w:val="0"/>
          <w:color w:val="auto"/>
          <w:sz w:val="20"/>
          <w:szCs w:val="20"/>
          <w:lang w:eastAsia="en-GB"/>
        </w:rPr>
      </w:pPr>
    </w:p>
    <w:p w:rsidR="0050394E" w:rsidRDefault="0050394E" w:rsidP="00845AAC">
      <w:pPr>
        <w:pStyle w:val="CodeNotesExampleHead"/>
        <w:widowControl w:val="0"/>
        <w:ind w:left="567"/>
        <w:rPr>
          <w:rFonts w:cs="Arial"/>
          <w:b w:val="0"/>
          <w:color w:val="auto"/>
          <w:sz w:val="20"/>
          <w:szCs w:val="20"/>
          <w:lang w:eastAsia="en-GB"/>
        </w:rPr>
      </w:pPr>
    </w:p>
    <w:p w:rsidR="0050394E" w:rsidRDefault="0050394E" w:rsidP="00845AAC">
      <w:pPr>
        <w:pStyle w:val="CodeNotesExampleHead"/>
        <w:widowControl w:val="0"/>
        <w:ind w:left="567"/>
        <w:rPr>
          <w:rFonts w:cs="Arial"/>
          <w:b w:val="0"/>
          <w:color w:val="auto"/>
          <w:sz w:val="20"/>
          <w:szCs w:val="20"/>
          <w:lang w:eastAsia="en-GB"/>
        </w:rPr>
      </w:pPr>
    </w:p>
    <w:p w:rsidR="0050394E" w:rsidRPr="00DD6562" w:rsidRDefault="0050394E" w:rsidP="00845AAC">
      <w:pPr>
        <w:pStyle w:val="CodeNotesExampleHead"/>
        <w:widowControl w:val="0"/>
        <w:ind w:left="567"/>
        <w:rPr>
          <w:rFonts w:cs="Arial"/>
          <w:b w:val="0"/>
          <w:color w:val="auto"/>
          <w:sz w:val="20"/>
          <w:szCs w:val="20"/>
          <w:lang w:eastAsia="en-GB"/>
        </w:rPr>
      </w:pPr>
    </w:p>
    <w:p w:rsidR="004A3CDB" w:rsidRPr="0005794A" w:rsidRDefault="004A3CDB" w:rsidP="00E25883">
      <w:pPr>
        <w:pStyle w:val="CodeNotesExampleHead"/>
        <w:widowControl w:val="0"/>
        <w:ind w:left="1440" w:hanging="1156"/>
        <w:rPr>
          <w:rFonts w:cs="Arial"/>
          <w:b w:val="0"/>
          <w:color w:val="548DD4" w:themeColor="text2" w:themeTint="99"/>
          <w:sz w:val="20"/>
          <w:szCs w:val="20"/>
          <w:lang w:eastAsia="en-GB"/>
        </w:rPr>
      </w:pPr>
    </w:p>
    <w:p w:rsidR="00661A12" w:rsidRPr="0005794A" w:rsidRDefault="00661A12" w:rsidP="00E95BB6">
      <w:pPr>
        <w:pStyle w:val="CodeNotesExampleHead"/>
        <w:widowControl w:val="0"/>
        <w:ind w:left="1440" w:hanging="1080"/>
        <w:rPr>
          <w:rFonts w:cs="Arial"/>
          <w:b w:val="0"/>
          <w:color w:val="548DD4" w:themeColor="text2" w:themeTint="99"/>
          <w:sz w:val="20"/>
          <w:szCs w:val="20"/>
          <w:lang w:eastAsia="en-GB"/>
        </w:rPr>
      </w:pPr>
    </w:p>
    <w:tbl>
      <w:tblPr>
        <w:tblStyle w:val="ListTable3-Accent51"/>
        <w:tblW w:w="9356" w:type="dxa"/>
        <w:tblInd w:w="-5" w:type="dxa"/>
        <w:tblLayout w:type="fixed"/>
        <w:tblLook w:val="0000" w:firstRow="0" w:lastRow="0" w:firstColumn="0" w:lastColumn="0" w:noHBand="0" w:noVBand="0"/>
      </w:tblPr>
      <w:tblGrid>
        <w:gridCol w:w="993"/>
        <w:gridCol w:w="1134"/>
        <w:gridCol w:w="1275"/>
        <w:gridCol w:w="2268"/>
        <w:gridCol w:w="1134"/>
        <w:gridCol w:w="1134"/>
        <w:gridCol w:w="1418"/>
      </w:tblGrid>
      <w:tr w:rsidR="002B7CA0" w:rsidRPr="0005794A" w:rsidTr="0050394E">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3402" w:type="dxa"/>
            <w:gridSpan w:val="3"/>
            <w:shd w:val="clear" w:color="auto" w:fill="4BACC6" w:themeFill="accent5"/>
          </w:tcPr>
          <w:p w:rsidR="002B7CA0" w:rsidRPr="00F5767F" w:rsidRDefault="002B7CA0" w:rsidP="004A3CDB">
            <w:pPr>
              <w:pStyle w:val="BodyTextIndent"/>
              <w:ind w:left="0"/>
              <w:jc w:val="center"/>
              <w:rPr>
                <w:color w:val="auto"/>
                <w:sz w:val="20"/>
                <w:szCs w:val="20"/>
              </w:rPr>
            </w:pPr>
            <w:r w:rsidRPr="00F5767F">
              <w:rPr>
                <w:color w:val="auto"/>
                <w:sz w:val="20"/>
                <w:szCs w:val="20"/>
              </w:rPr>
              <w:lastRenderedPageBreak/>
              <w:t xml:space="preserve">Number of Employees by </w:t>
            </w:r>
            <w:r w:rsidR="00032AE8" w:rsidRPr="00F5767F">
              <w:rPr>
                <w:color w:val="auto"/>
                <w:sz w:val="20"/>
                <w:szCs w:val="20"/>
              </w:rPr>
              <w:t>E</w:t>
            </w:r>
            <w:r w:rsidRPr="00F5767F">
              <w:rPr>
                <w:color w:val="auto"/>
                <w:sz w:val="20"/>
                <w:szCs w:val="20"/>
              </w:rPr>
              <w:t>mployer</w:t>
            </w:r>
          </w:p>
          <w:p w:rsidR="002B7CA0" w:rsidRPr="00F5767F" w:rsidRDefault="002B7CA0" w:rsidP="004F0545">
            <w:pPr>
              <w:pStyle w:val="BodyTextIndent"/>
              <w:ind w:left="0"/>
              <w:jc w:val="center"/>
              <w:rPr>
                <w:b/>
                <w:color w:val="auto"/>
                <w:sz w:val="20"/>
                <w:szCs w:val="20"/>
              </w:rPr>
            </w:pPr>
            <w:r w:rsidRPr="00F5767F">
              <w:rPr>
                <w:color w:val="auto"/>
                <w:sz w:val="20"/>
                <w:szCs w:val="20"/>
              </w:rPr>
              <w:t>201</w:t>
            </w:r>
            <w:r w:rsidR="004D7219" w:rsidRPr="00F5767F">
              <w:rPr>
                <w:color w:val="auto"/>
                <w:sz w:val="20"/>
                <w:szCs w:val="20"/>
              </w:rPr>
              <w:t>6</w:t>
            </w:r>
            <w:r w:rsidRPr="00F5767F">
              <w:rPr>
                <w:color w:val="auto"/>
                <w:sz w:val="20"/>
                <w:szCs w:val="20"/>
              </w:rPr>
              <w:t>/1</w:t>
            </w:r>
            <w:r w:rsidR="004D7219" w:rsidRPr="00F5767F">
              <w:rPr>
                <w:color w:val="auto"/>
                <w:sz w:val="20"/>
                <w:szCs w:val="20"/>
              </w:rPr>
              <w:t>7</w:t>
            </w:r>
          </w:p>
        </w:tc>
        <w:tc>
          <w:tcPr>
            <w:tcW w:w="2268" w:type="dxa"/>
            <w:shd w:val="clear" w:color="auto" w:fill="4BACC6" w:themeFill="accent5"/>
          </w:tcPr>
          <w:p w:rsidR="002B7CA0" w:rsidRPr="00F5767F" w:rsidRDefault="002B7CA0" w:rsidP="004A3CDB">
            <w:pPr>
              <w:pStyle w:val="BodyTextIndent"/>
              <w:ind w:left="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F5767F">
              <w:rPr>
                <w:b/>
                <w:color w:val="auto"/>
                <w:sz w:val="20"/>
                <w:szCs w:val="20"/>
              </w:rPr>
              <w:t>Remuneration Band</w:t>
            </w:r>
          </w:p>
        </w:tc>
        <w:tc>
          <w:tcPr>
            <w:cnfStyle w:val="000010000000" w:firstRow="0" w:lastRow="0" w:firstColumn="0" w:lastColumn="0" w:oddVBand="1" w:evenVBand="0" w:oddHBand="0" w:evenHBand="0" w:firstRowFirstColumn="0" w:firstRowLastColumn="0" w:lastRowFirstColumn="0" w:lastRowLastColumn="0"/>
            <w:tcW w:w="3686" w:type="dxa"/>
            <w:gridSpan w:val="3"/>
            <w:shd w:val="clear" w:color="auto" w:fill="4BACC6" w:themeFill="accent5"/>
          </w:tcPr>
          <w:p w:rsidR="002B7CA0" w:rsidRPr="00F5767F" w:rsidRDefault="00032AE8" w:rsidP="00032AE8">
            <w:pPr>
              <w:pStyle w:val="BodyTextIndent"/>
              <w:ind w:left="0"/>
              <w:rPr>
                <w:b/>
                <w:color w:val="auto"/>
                <w:sz w:val="20"/>
                <w:szCs w:val="20"/>
              </w:rPr>
            </w:pPr>
            <w:r w:rsidRPr="00F5767F">
              <w:rPr>
                <w:b/>
                <w:color w:val="auto"/>
                <w:sz w:val="20"/>
                <w:szCs w:val="20"/>
              </w:rPr>
              <w:t>Number of Employees by E</w:t>
            </w:r>
            <w:r w:rsidR="002B7CA0" w:rsidRPr="00F5767F">
              <w:rPr>
                <w:b/>
                <w:color w:val="auto"/>
                <w:sz w:val="20"/>
                <w:szCs w:val="20"/>
              </w:rPr>
              <w:t>mployer</w:t>
            </w:r>
          </w:p>
          <w:p w:rsidR="002B7CA0" w:rsidRPr="00F5767F" w:rsidRDefault="002B7CA0" w:rsidP="004F0545">
            <w:pPr>
              <w:pStyle w:val="BodyTextIndent"/>
              <w:ind w:left="0"/>
              <w:jc w:val="center"/>
              <w:rPr>
                <w:b/>
                <w:color w:val="auto"/>
                <w:sz w:val="20"/>
                <w:szCs w:val="20"/>
              </w:rPr>
            </w:pPr>
            <w:r w:rsidRPr="00F5767F">
              <w:rPr>
                <w:b/>
                <w:color w:val="auto"/>
                <w:sz w:val="20"/>
                <w:szCs w:val="20"/>
              </w:rPr>
              <w:t>201</w:t>
            </w:r>
            <w:r w:rsidR="004D7219" w:rsidRPr="00F5767F">
              <w:rPr>
                <w:b/>
                <w:color w:val="auto"/>
                <w:sz w:val="20"/>
                <w:szCs w:val="20"/>
              </w:rPr>
              <w:t>7</w:t>
            </w:r>
            <w:r w:rsidRPr="00F5767F">
              <w:rPr>
                <w:b/>
                <w:color w:val="auto"/>
                <w:sz w:val="20"/>
                <w:szCs w:val="20"/>
              </w:rPr>
              <w:t>/1</w:t>
            </w:r>
            <w:r w:rsidR="004D7219" w:rsidRPr="00F5767F">
              <w:rPr>
                <w:b/>
                <w:color w:val="auto"/>
                <w:sz w:val="20"/>
                <w:szCs w:val="20"/>
              </w:rPr>
              <w:t>8</w:t>
            </w:r>
          </w:p>
        </w:tc>
      </w:tr>
      <w:tr w:rsidR="004A3CDB" w:rsidRPr="0005794A"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shd w:val="clear" w:color="auto" w:fill="4BACC6" w:themeFill="accent5"/>
          </w:tcPr>
          <w:p w:rsidR="002B7CA0" w:rsidRPr="00F5767F" w:rsidRDefault="002B7CA0" w:rsidP="004A3CDB">
            <w:pPr>
              <w:pStyle w:val="BodyTextIndent"/>
              <w:ind w:left="0"/>
              <w:jc w:val="center"/>
              <w:rPr>
                <w:color w:val="auto"/>
                <w:sz w:val="20"/>
                <w:szCs w:val="20"/>
              </w:rPr>
            </w:pPr>
            <w:r w:rsidRPr="00F5767F">
              <w:rPr>
                <w:color w:val="auto"/>
                <w:sz w:val="20"/>
                <w:szCs w:val="20"/>
              </w:rPr>
              <w:t>Council</w:t>
            </w:r>
          </w:p>
        </w:tc>
        <w:tc>
          <w:tcPr>
            <w:tcW w:w="1134" w:type="dxa"/>
            <w:shd w:val="clear" w:color="auto" w:fill="4BACC6" w:themeFill="accent5"/>
          </w:tcPr>
          <w:p w:rsidR="002B7CA0" w:rsidRPr="00F5767F" w:rsidRDefault="002B7CA0"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5767F">
              <w:rPr>
                <w:color w:val="auto"/>
                <w:sz w:val="20"/>
                <w:szCs w:val="20"/>
              </w:rPr>
              <w:t>Schools -</w:t>
            </w:r>
          </w:p>
          <w:p w:rsidR="002B7CA0" w:rsidRPr="00F5767F" w:rsidRDefault="002B7CA0"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5767F">
              <w:rPr>
                <w:color w:val="auto"/>
                <w:sz w:val="20"/>
                <w:szCs w:val="20"/>
              </w:rPr>
              <w:t>Council</w:t>
            </w:r>
          </w:p>
          <w:p w:rsidR="002B7CA0" w:rsidRPr="00F5767F" w:rsidRDefault="002B7CA0"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4BACC6" w:themeFill="accent5"/>
          </w:tcPr>
          <w:p w:rsidR="002B7CA0" w:rsidRPr="00F5767F" w:rsidRDefault="002B7CA0" w:rsidP="004A3CDB">
            <w:pPr>
              <w:pStyle w:val="BodyTextIndent"/>
              <w:ind w:left="0"/>
              <w:jc w:val="center"/>
              <w:rPr>
                <w:color w:val="auto"/>
                <w:sz w:val="20"/>
                <w:szCs w:val="20"/>
              </w:rPr>
            </w:pPr>
            <w:r w:rsidRPr="00F5767F">
              <w:rPr>
                <w:color w:val="auto"/>
                <w:sz w:val="20"/>
                <w:szCs w:val="20"/>
              </w:rPr>
              <w:t>Schools -</w:t>
            </w:r>
          </w:p>
          <w:p w:rsidR="002B7CA0" w:rsidRPr="00F5767F" w:rsidRDefault="002B7CA0" w:rsidP="004A3CDB">
            <w:pPr>
              <w:pStyle w:val="BodyTextIndent"/>
              <w:ind w:left="0"/>
              <w:jc w:val="center"/>
              <w:rPr>
                <w:color w:val="auto"/>
                <w:sz w:val="20"/>
                <w:szCs w:val="20"/>
              </w:rPr>
            </w:pPr>
            <w:r w:rsidRPr="00F5767F">
              <w:rPr>
                <w:color w:val="auto"/>
                <w:sz w:val="20"/>
                <w:szCs w:val="20"/>
              </w:rPr>
              <w:t>Governing Body</w:t>
            </w:r>
          </w:p>
        </w:tc>
        <w:tc>
          <w:tcPr>
            <w:tcW w:w="2268" w:type="dxa"/>
            <w:shd w:val="clear" w:color="auto" w:fill="4BACC6" w:themeFill="accent5"/>
          </w:tcPr>
          <w:p w:rsidR="002B7CA0" w:rsidRPr="00F5767F" w:rsidRDefault="002B7CA0"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2B7CA0" w:rsidRPr="00F5767F" w:rsidRDefault="002B7CA0" w:rsidP="004A3CDB">
            <w:pPr>
              <w:pStyle w:val="BodyTextIndent"/>
              <w:ind w:left="0"/>
              <w:jc w:val="center"/>
              <w:rPr>
                <w:b/>
                <w:color w:val="auto"/>
                <w:sz w:val="20"/>
                <w:szCs w:val="20"/>
              </w:rPr>
            </w:pPr>
            <w:r w:rsidRPr="00F5767F">
              <w:rPr>
                <w:b/>
                <w:color w:val="auto"/>
                <w:sz w:val="20"/>
                <w:szCs w:val="20"/>
              </w:rPr>
              <w:t>Council</w:t>
            </w:r>
          </w:p>
        </w:tc>
        <w:tc>
          <w:tcPr>
            <w:tcW w:w="1134" w:type="dxa"/>
            <w:shd w:val="clear" w:color="auto" w:fill="4BACC6" w:themeFill="accent5"/>
          </w:tcPr>
          <w:p w:rsidR="002B7CA0" w:rsidRPr="00F5767F" w:rsidRDefault="002B7CA0"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F5767F">
              <w:rPr>
                <w:b/>
                <w:color w:val="auto"/>
                <w:sz w:val="20"/>
                <w:szCs w:val="20"/>
              </w:rPr>
              <w:t>Schools -</w:t>
            </w:r>
          </w:p>
          <w:p w:rsidR="002B7CA0" w:rsidRPr="00F5767F" w:rsidRDefault="001C0245"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F5767F">
              <w:rPr>
                <w:b/>
                <w:color w:val="auto"/>
                <w:sz w:val="20"/>
                <w:szCs w:val="20"/>
              </w:rPr>
              <w:t xml:space="preserve">Council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2B7CA0" w:rsidRPr="00F5767F" w:rsidRDefault="002B7CA0" w:rsidP="004A3CDB">
            <w:pPr>
              <w:pStyle w:val="BodyTextIndent"/>
              <w:ind w:left="0"/>
              <w:jc w:val="center"/>
              <w:rPr>
                <w:b/>
                <w:color w:val="auto"/>
                <w:sz w:val="20"/>
                <w:szCs w:val="20"/>
              </w:rPr>
            </w:pPr>
            <w:r w:rsidRPr="00F5767F">
              <w:rPr>
                <w:b/>
                <w:color w:val="auto"/>
                <w:sz w:val="20"/>
                <w:szCs w:val="20"/>
              </w:rPr>
              <w:t>Schools -</w:t>
            </w:r>
          </w:p>
          <w:p w:rsidR="002B7CA0" w:rsidRPr="00F5767F" w:rsidRDefault="001C0245" w:rsidP="004A3CDB">
            <w:pPr>
              <w:pStyle w:val="BodyTextIndent"/>
              <w:ind w:left="0"/>
              <w:jc w:val="center"/>
              <w:rPr>
                <w:b/>
                <w:color w:val="auto"/>
                <w:sz w:val="20"/>
                <w:szCs w:val="20"/>
              </w:rPr>
            </w:pPr>
            <w:r w:rsidRPr="00F5767F">
              <w:rPr>
                <w:b/>
                <w:color w:val="auto"/>
                <w:sz w:val="20"/>
                <w:szCs w:val="20"/>
              </w:rPr>
              <w:t xml:space="preserve">Governing Body </w:t>
            </w:r>
          </w:p>
        </w:tc>
      </w:tr>
      <w:tr w:rsidR="004D7219" w:rsidRPr="0005794A"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9</w:t>
            </w:r>
          </w:p>
        </w:tc>
        <w:tc>
          <w:tcPr>
            <w:tcW w:w="1134" w:type="dxa"/>
          </w:tcPr>
          <w:p w:rsidR="004D7219" w:rsidRPr="00F5767F" w:rsidRDefault="004D7219" w:rsidP="004D721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5</w:t>
            </w:r>
          </w:p>
        </w:tc>
        <w:tc>
          <w:tcPr>
            <w:tcW w:w="2268" w:type="dxa"/>
          </w:tcPr>
          <w:p w:rsidR="004D7219" w:rsidRPr="00F5767F" w:rsidRDefault="004D7219" w:rsidP="004A3CD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5767F">
              <w:rPr>
                <w:color w:val="auto"/>
                <w:sz w:val="20"/>
                <w:szCs w:val="20"/>
              </w:rPr>
              <w:t>£50,000 to £54,999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A52309"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10</w:t>
            </w:r>
          </w:p>
        </w:tc>
        <w:tc>
          <w:tcPr>
            <w:tcW w:w="1134" w:type="dxa"/>
          </w:tcPr>
          <w:p w:rsidR="004D7219" w:rsidRPr="00802ABC" w:rsidRDefault="008E0DC2" w:rsidP="004A3CD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A52309"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4</w:t>
            </w:r>
          </w:p>
        </w:tc>
      </w:tr>
      <w:tr w:rsidR="004D7219" w:rsidRPr="0005794A"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14</w:t>
            </w:r>
          </w:p>
        </w:tc>
        <w:tc>
          <w:tcPr>
            <w:tcW w:w="1134" w:type="dxa"/>
          </w:tcPr>
          <w:p w:rsidR="004D7219" w:rsidRPr="00F5767F" w:rsidRDefault="004D7219" w:rsidP="004D721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5</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5</w:t>
            </w:r>
          </w:p>
        </w:tc>
        <w:tc>
          <w:tcPr>
            <w:tcW w:w="2268" w:type="dxa"/>
          </w:tcPr>
          <w:p w:rsidR="004D7219" w:rsidRPr="00F5767F" w:rsidRDefault="004D7219"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5767F">
              <w:rPr>
                <w:color w:val="auto"/>
                <w:sz w:val="20"/>
                <w:szCs w:val="20"/>
              </w:rPr>
              <w:t>£55,000 to £59,999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7</w:t>
            </w:r>
          </w:p>
        </w:tc>
        <w:tc>
          <w:tcPr>
            <w:tcW w:w="1134" w:type="dxa"/>
          </w:tcPr>
          <w:p w:rsidR="004D7219" w:rsidRPr="00802ABC" w:rsidRDefault="008E0DC2" w:rsidP="004A3CD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2</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3420D8"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3</w:t>
            </w:r>
          </w:p>
        </w:tc>
      </w:tr>
      <w:tr w:rsidR="004D7219" w:rsidRPr="0005794A"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3</w:t>
            </w:r>
          </w:p>
        </w:tc>
        <w:tc>
          <w:tcPr>
            <w:tcW w:w="1134" w:type="dxa"/>
          </w:tcPr>
          <w:p w:rsidR="004D7219" w:rsidRPr="00F5767F" w:rsidRDefault="004D7219" w:rsidP="004D721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4</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5</w:t>
            </w:r>
          </w:p>
        </w:tc>
        <w:tc>
          <w:tcPr>
            <w:tcW w:w="2268" w:type="dxa"/>
          </w:tcPr>
          <w:p w:rsidR="004D7219" w:rsidRPr="00F5767F" w:rsidRDefault="004D7219" w:rsidP="004A3CD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5767F">
              <w:rPr>
                <w:color w:val="auto"/>
                <w:sz w:val="20"/>
                <w:szCs w:val="20"/>
              </w:rPr>
              <w:t>£60,000 to £64,999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3</w:t>
            </w:r>
          </w:p>
        </w:tc>
        <w:tc>
          <w:tcPr>
            <w:tcW w:w="1134" w:type="dxa"/>
          </w:tcPr>
          <w:p w:rsidR="004D7219" w:rsidRPr="00802ABC" w:rsidRDefault="008E0DC2" w:rsidP="004A3CD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4</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A52309"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4</w:t>
            </w:r>
          </w:p>
        </w:tc>
      </w:tr>
      <w:tr w:rsidR="004D7219" w:rsidRPr="0005794A"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3</w:t>
            </w:r>
          </w:p>
        </w:tc>
        <w:tc>
          <w:tcPr>
            <w:tcW w:w="1134" w:type="dxa"/>
          </w:tcPr>
          <w:p w:rsidR="004D7219" w:rsidRPr="00F5767F" w:rsidRDefault="004D7219" w:rsidP="004D721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2268" w:type="dxa"/>
          </w:tcPr>
          <w:p w:rsidR="004D7219" w:rsidRPr="00F5767F" w:rsidRDefault="004D7219"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5767F">
              <w:rPr>
                <w:color w:val="auto"/>
                <w:sz w:val="20"/>
                <w:szCs w:val="20"/>
              </w:rPr>
              <w:t>£65,000 to £69,999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A52309"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4</w:t>
            </w:r>
          </w:p>
        </w:tc>
        <w:tc>
          <w:tcPr>
            <w:tcW w:w="1134" w:type="dxa"/>
          </w:tcPr>
          <w:p w:rsidR="004D7219" w:rsidRPr="00802ABC" w:rsidRDefault="008E0DC2" w:rsidP="004A3CD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2</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3420D8"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2</w:t>
            </w:r>
          </w:p>
        </w:tc>
      </w:tr>
      <w:tr w:rsidR="004D7219" w:rsidRPr="0005794A"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3</w:t>
            </w:r>
          </w:p>
        </w:tc>
        <w:tc>
          <w:tcPr>
            <w:tcW w:w="1134" w:type="dxa"/>
          </w:tcPr>
          <w:p w:rsidR="004D7219" w:rsidRPr="00F5767F" w:rsidRDefault="004D7219" w:rsidP="004D721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1</w:t>
            </w:r>
          </w:p>
        </w:tc>
        <w:tc>
          <w:tcPr>
            <w:tcW w:w="2268" w:type="dxa"/>
          </w:tcPr>
          <w:p w:rsidR="004D7219" w:rsidRPr="00F5767F" w:rsidRDefault="004D7219" w:rsidP="004A3CD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5767F">
              <w:rPr>
                <w:color w:val="auto"/>
                <w:sz w:val="20"/>
                <w:szCs w:val="20"/>
              </w:rPr>
              <w:t>£70,000 to £74,999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A52309"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2</w:t>
            </w:r>
          </w:p>
        </w:tc>
        <w:tc>
          <w:tcPr>
            <w:tcW w:w="1134" w:type="dxa"/>
          </w:tcPr>
          <w:p w:rsidR="004D7219" w:rsidRPr="00802ABC" w:rsidRDefault="008E0DC2" w:rsidP="004A3CD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8E0DC2"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1</w:t>
            </w:r>
          </w:p>
        </w:tc>
      </w:tr>
      <w:tr w:rsidR="004D7219" w:rsidRPr="0005794A"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1134" w:type="dxa"/>
          </w:tcPr>
          <w:p w:rsidR="004D7219" w:rsidRPr="00F5767F" w:rsidRDefault="004D7219" w:rsidP="004D721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2268" w:type="dxa"/>
          </w:tcPr>
          <w:p w:rsidR="004D7219" w:rsidRPr="00F5767F" w:rsidRDefault="004D7219"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5767F">
              <w:rPr>
                <w:color w:val="auto"/>
                <w:sz w:val="20"/>
                <w:szCs w:val="20"/>
              </w:rPr>
              <w:t>£75,000 to £79,999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2C4CE8">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1</w:t>
            </w:r>
          </w:p>
        </w:tc>
        <w:tc>
          <w:tcPr>
            <w:tcW w:w="1134" w:type="dxa"/>
          </w:tcPr>
          <w:p w:rsidR="004D7219" w:rsidRPr="00802ABC" w:rsidRDefault="008E0DC2" w:rsidP="002C4CE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8E0DC2"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r>
      <w:tr w:rsidR="004D7219" w:rsidRPr="0005794A"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3</w:t>
            </w:r>
          </w:p>
        </w:tc>
        <w:tc>
          <w:tcPr>
            <w:tcW w:w="1134" w:type="dxa"/>
          </w:tcPr>
          <w:p w:rsidR="004D7219" w:rsidRPr="00F5767F" w:rsidRDefault="004D7219" w:rsidP="004D721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1</w:t>
            </w:r>
          </w:p>
        </w:tc>
        <w:tc>
          <w:tcPr>
            <w:tcW w:w="2268" w:type="dxa"/>
          </w:tcPr>
          <w:p w:rsidR="004D7219" w:rsidRPr="00F5767F" w:rsidRDefault="004D7219" w:rsidP="004A3CD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5767F">
              <w:rPr>
                <w:color w:val="auto"/>
                <w:sz w:val="20"/>
                <w:szCs w:val="20"/>
              </w:rPr>
              <w:t>£80,000 to £84,999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1</w:t>
            </w:r>
          </w:p>
        </w:tc>
        <w:tc>
          <w:tcPr>
            <w:tcW w:w="1134" w:type="dxa"/>
          </w:tcPr>
          <w:p w:rsidR="004D7219" w:rsidRPr="00802ABC" w:rsidRDefault="008E0DC2" w:rsidP="004A3CD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8E0DC2"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r>
      <w:tr w:rsidR="004D7219" w:rsidRPr="0005794A"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1134" w:type="dxa"/>
          </w:tcPr>
          <w:p w:rsidR="004D7219" w:rsidRPr="00F5767F" w:rsidRDefault="004D7219" w:rsidP="004D721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2268" w:type="dxa"/>
          </w:tcPr>
          <w:p w:rsidR="004D7219" w:rsidRPr="00F5767F" w:rsidRDefault="004D7219"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5767F">
              <w:rPr>
                <w:color w:val="auto"/>
                <w:sz w:val="20"/>
                <w:szCs w:val="20"/>
              </w:rPr>
              <w:t xml:space="preserve">£85,000 to £89,999 </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c>
          <w:tcPr>
            <w:tcW w:w="1134" w:type="dxa"/>
          </w:tcPr>
          <w:p w:rsidR="004D7219" w:rsidRPr="00802ABC" w:rsidRDefault="008E0DC2" w:rsidP="004A3CD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3420D8"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1</w:t>
            </w:r>
          </w:p>
        </w:tc>
      </w:tr>
      <w:tr w:rsidR="004D7219" w:rsidRPr="0005794A"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1134" w:type="dxa"/>
          </w:tcPr>
          <w:p w:rsidR="004D7219" w:rsidRPr="00F5767F" w:rsidRDefault="004D7219" w:rsidP="004D721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2268" w:type="dxa"/>
          </w:tcPr>
          <w:p w:rsidR="004D7219" w:rsidRPr="00F5767F" w:rsidRDefault="004D7219" w:rsidP="004A3CD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5767F">
              <w:rPr>
                <w:color w:val="auto"/>
                <w:sz w:val="20"/>
                <w:szCs w:val="20"/>
              </w:rPr>
              <w:t>£90,000 to £94,999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c>
          <w:tcPr>
            <w:tcW w:w="1134" w:type="dxa"/>
          </w:tcPr>
          <w:p w:rsidR="004D7219" w:rsidRPr="00802ABC" w:rsidRDefault="008E0DC2" w:rsidP="004A3CD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8E0DC2"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r>
      <w:tr w:rsidR="004D7219" w:rsidRPr="0005794A"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1134" w:type="dxa"/>
          </w:tcPr>
          <w:p w:rsidR="004D7219" w:rsidRPr="00F5767F" w:rsidRDefault="004D7219" w:rsidP="004D721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2268" w:type="dxa"/>
          </w:tcPr>
          <w:p w:rsidR="004D7219" w:rsidRPr="00F5767F" w:rsidRDefault="004D7219"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5767F">
              <w:rPr>
                <w:color w:val="auto"/>
                <w:sz w:val="20"/>
                <w:szCs w:val="20"/>
              </w:rPr>
              <w:t>£95,000 to £99,999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1</w:t>
            </w:r>
          </w:p>
        </w:tc>
        <w:tc>
          <w:tcPr>
            <w:tcW w:w="1134" w:type="dxa"/>
          </w:tcPr>
          <w:p w:rsidR="004D7219" w:rsidRPr="00802ABC" w:rsidRDefault="008E0DC2" w:rsidP="004A3CD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8E0DC2"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r>
      <w:tr w:rsidR="004D7219" w:rsidRPr="0005794A"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1</w:t>
            </w:r>
          </w:p>
        </w:tc>
        <w:tc>
          <w:tcPr>
            <w:tcW w:w="1134" w:type="dxa"/>
          </w:tcPr>
          <w:p w:rsidR="004D7219" w:rsidRPr="00F5767F" w:rsidRDefault="004D7219" w:rsidP="004D721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1</w:t>
            </w:r>
          </w:p>
        </w:tc>
        <w:tc>
          <w:tcPr>
            <w:tcW w:w="2268" w:type="dxa"/>
          </w:tcPr>
          <w:p w:rsidR="004D7219" w:rsidRPr="00F5767F" w:rsidRDefault="004D7219" w:rsidP="004A3CD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5767F">
              <w:rPr>
                <w:color w:val="auto"/>
                <w:sz w:val="20"/>
                <w:szCs w:val="20"/>
              </w:rPr>
              <w:t>£100,000 to £104,999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1</w:t>
            </w:r>
          </w:p>
        </w:tc>
        <w:tc>
          <w:tcPr>
            <w:tcW w:w="1134" w:type="dxa"/>
          </w:tcPr>
          <w:p w:rsidR="004D7219" w:rsidRPr="00802ABC" w:rsidRDefault="008E0DC2" w:rsidP="004A3CD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8E0DC2"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r>
      <w:tr w:rsidR="004D7219" w:rsidRPr="0005794A"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1</w:t>
            </w:r>
          </w:p>
        </w:tc>
        <w:tc>
          <w:tcPr>
            <w:tcW w:w="1134" w:type="dxa"/>
          </w:tcPr>
          <w:p w:rsidR="004D7219" w:rsidRPr="00F5767F" w:rsidRDefault="004D7219" w:rsidP="004D721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2268" w:type="dxa"/>
          </w:tcPr>
          <w:p w:rsidR="004D7219" w:rsidRPr="00F5767F" w:rsidRDefault="004D7219" w:rsidP="004A3CDB">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5767F">
              <w:rPr>
                <w:color w:val="auto"/>
                <w:sz w:val="20"/>
                <w:szCs w:val="20"/>
              </w:rPr>
              <w:t>£105,000 to £109,999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1</w:t>
            </w:r>
          </w:p>
        </w:tc>
        <w:tc>
          <w:tcPr>
            <w:tcW w:w="1134" w:type="dxa"/>
          </w:tcPr>
          <w:p w:rsidR="004D7219" w:rsidRPr="00802ABC" w:rsidRDefault="008E0DC2" w:rsidP="004A3CD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3420D8"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1</w:t>
            </w:r>
          </w:p>
        </w:tc>
      </w:tr>
      <w:tr w:rsidR="004D7219" w:rsidRPr="0005794A"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2</w:t>
            </w:r>
          </w:p>
        </w:tc>
        <w:tc>
          <w:tcPr>
            <w:tcW w:w="1134" w:type="dxa"/>
          </w:tcPr>
          <w:p w:rsidR="004D7219" w:rsidRPr="00F5767F" w:rsidRDefault="004D7219" w:rsidP="004D721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2268" w:type="dxa"/>
          </w:tcPr>
          <w:p w:rsidR="004D7219" w:rsidRPr="00F5767F" w:rsidRDefault="004D7219" w:rsidP="004A3CD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5767F">
              <w:rPr>
                <w:color w:val="auto"/>
                <w:sz w:val="20"/>
                <w:szCs w:val="20"/>
              </w:rPr>
              <w:t>£110,000 to £114,999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c>
          <w:tcPr>
            <w:tcW w:w="1134" w:type="dxa"/>
          </w:tcPr>
          <w:p w:rsidR="004D7219" w:rsidRPr="00802ABC" w:rsidRDefault="008E0DC2" w:rsidP="004A3CD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8E0DC2"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r>
      <w:tr w:rsidR="004D7219" w:rsidRPr="0005794A" w:rsidTr="0050394E">
        <w:trPr>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1134" w:type="dxa"/>
          </w:tcPr>
          <w:p w:rsidR="004D7219" w:rsidRPr="00F5767F" w:rsidRDefault="004D7219" w:rsidP="004D721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2268" w:type="dxa"/>
          </w:tcPr>
          <w:p w:rsidR="004D7219" w:rsidRPr="00F5767F" w:rsidRDefault="004D7219" w:rsidP="003F35A0">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5767F">
              <w:rPr>
                <w:color w:val="auto"/>
                <w:sz w:val="20"/>
                <w:szCs w:val="20"/>
              </w:rPr>
              <w:t>£1</w:t>
            </w:r>
            <w:r w:rsidR="003F35A0">
              <w:rPr>
                <w:color w:val="auto"/>
                <w:sz w:val="20"/>
                <w:szCs w:val="20"/>
              </w:rPr>
              <w:t>15</w:t>
            </w:r>
            <w:r w:rsidRPr="00F5767F">
              <w:rPr>
                <w:color w:val="auto"/>
                <w:sz w:val="20"/>
                <w:szCs w:val="20"/>
              </w:rPr>
              <w:t>,000 to £1</w:t>
            </w:r>
            <w:r w:rsidR="003F35A0">
              <w:rPr>
                <w:color w:val="auto"/>
                <w:sz w:val="20"/>
                <w:szCs w:val="20"/>
              </w:rPr>
              <w:t>19</w:t>
            </w:r>
            <w:r w:rsidRPr="00F5767F">
              <w:rPr>
                <w:color w:val="auto"/>
                <w:sz w:val="20"/>
                <w:szCs w:val="20"/>
              </w:rPr>
              <w:t>,999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2</w:t>
            </w:r>
          </w:p>
        </w:tc>
        <w:tc>
          <w:tcPr>
            <w:tcW w:w="1134" w:type="dxa"/>
          </w:tcPr>
          <w:p w:rsidR="004D7219" w:rsidRPr="00802ABC" w:rsidRDefault="008E0DC2" w:rsidP="004A3CD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8E0DC2"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r>
      <w:tr w:rsidR="004D7219" w:rsidRPr="0005794A" w:rsidTr="0050394E">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1134" w:type="dxa"/>
          </w:tcPr>
          <w:p w:rsidR="004D7219" w:rsidRPr="00F5767F" w:rsidRDefault="004D7219" w:rsidP="004D721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F5767F">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color w:val="auto"/>
                <w:sz w:val="20"/>
                <w:szCs w:val="20"/>
                <w:lang w:eastAsia="en-GB"/>
              </w:rPr>
            </w:pPr>
            <w:r w:rsidRPr="00F5767F">
              <w:rPr>
                <w:rFonts w:cs="Arial"/>
                <w:b/>
                <w:color w:val="auto"/>
                <w:sz w:val="20"/>
                <w:szCs w:val="20"/>
                <w:lang w:eastAsia="en-GB"/>
              </w:rPr>
              <w:t>0</w:t>
            </w:r>
          </w:p>
        </w:tc>
        <w:tc>
          <w:tcPr>
            <w:tcW w:w="2268" w:type="dxa"/>
          </w:tcPr>
          <w:p w:rsidR="004D7219" w:rsidRPr="00F5767F" w:rsidRDefault="004D7219" w:rsidP="004A3CDB">
            <w:pPr>
              <w:pStyle w:val="BodyTextIndent"/>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5767F">
              <w:rPr>
                <w:color w:val="auto"/>
                <w:sz w:val="20"/>
                <w:szCs w:val="20"/>
              </w:rPr>
              <w:t>£135,000 to £139,999</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3F35A0"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c>
          <w:tcPr>
            <w:tcW w:w="1134" w:type="dxa"/>
          </w:tcPr>
          <w:p w:rsidR="004D7219" w:rsidRPr="00802ABC" w:rsidRDefault="008E0DC2" w:rsidP="004A3CD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lang w:eastAsia="en-GB"/>
              </w:rPr>
            </w:pPr>
            <w:r w:rsidRPr="00802ABC">
              <w:rPr>
                <w:rFonts w:cs="Arial"/>
                <w:b/>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8E0DC2" w:rsidP="004A3CDB">
            <w:pPr>
              <w:autoSpaceDE w:val="0"/>
              <w:autoSpaceDN w:val="0"/>
              <w:adjustRightInd w:val="0"/>
              <w:spacing w:after="0" w:line="240" w:lineRule="auto"/>
              <w:jc w:val="center"/>
              <w:rPr>
                <w:rFonts w:cs="Arial"/>
                <w:b/>
                <w:color w:val="auto"/>
                <w:sz w:val="20"/>
                <w:szCs w:val="20"/>
                <w:lang w:eastAsia="en-GB"/>
              </w:rPr>
            </w:pPr>
            <w:r w:rsidRPr="00802ABC">
              <w:rPr>
                <w:rFonts w:cs="Arial"/>
                <w:b/>
                <w:color w:val="auto"/>
                <w:sz w:val="20"/>
                <w:szCs w:val="20"/>
                <w:lang w:eastAsia="en-GB"/>
              </w:rPr>
              <w:t>0</w:t>
            </w:r>
          </w:p>
        </w:tc>
      </w:tr>
      <w:tr w:rsidR="004D7219" w:rsidRPr="0005794A" w:rsidTr="0050394E">
        <w:trPr>
          <w:trHeight w:val="390"/>
        </w:trPr>
        <w:tc>
          <w:tcPr>
            <w:cnfStyle w:val="000010000000" w:firstRow="0" w:lastRow="0" w:firstColumn="0" w:lastColumn="0" w:oddVBand="1" w:evenVBand="0" w:oddHBand="0" w:evenHBand="0" w:firstRowFirstColumn="0" w:firstRowLastColumn="0" w:lastRowFirstColumn="0" w:lastRowLastColumn="0"/>
            <w:tcW w:w="993" w:type="dxa"/>
          </w:tcPr>
          <w:p w:rsidR="004D7219" w:rsidRPr="00F5767F" w:rsidRDefault="004D7219" w:rsidP="004D7219">
            <w:pPr>
              <w:autoSpaceDE w:val="0"/>
              <w:autoSpaceDN w:val="0"/>
              <w:adjustRightInd w:val="0"/>
              <w:spacing w:after="0" w:line="240" w:lineRule="auto"/>
              <w:jc w:val="center"/>
              <w:rPr>
                <w:rFonts w:cs="Arial"/>
                <w:b/>
                <w:bCs/>
                <w:color w:val="auto"/>
                <w:sz w:val="20"/>
                <w:szCs w:val="20"/>
                <w:lang w:eastAsia="en-GB"/>
              </w:rPr>
            </w:pPr>
            <w:r w:rsidRPr="00F5767F">
              <w:rPr>
                <w:rFonts w:cs="Arial"/>
                <w:b/>
                <w:bCs/>
                <w:color w:val="auto"/>
                <w:sz w:val="20"/>
                <w:szCs w:val="20"/>
                <w:lang w:eastAsia="en-GB"/>
              </w:rPr>
              <w:t>39</w:t>
            </w:r>
          </w:p>
        </w:tc>
        <w:tc>
          <w:tcPr>
            <w:tcW w:w="1134" w:type="dxa"/>
          </w:tcPr>
          <w:p w:rsidR="004D7219" w:rsidRPr="00F5767F" w:rsidRDefault="004D7219" w:rsidP="004D721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F5767F">
              <w:rPr>
                <w:rFonts w:cs="Arial"/>
                <w:b/>
                <w:bCs/>
                <w:color w:val="auto"/>
                <w:sz w:val="20"/>
                <w:szCs w:val="20"/>
                <w:lang w:eastAsia="en-GB"/>
              </w:rPr>
              <w:t>11</w:t>
            </w:r>
          </w:p>
        </w:tc>
        <w:tc>
          <w:tcPr>
            <w:cnfStyle w:val="000010000000" w:firstRow="0" w:lastRow="0" w:firstColumn="0" w:lastColumn="0" w:oddVBand="1" w:evenVBand="0" w:oddHBand="0" w:evenHBand="0" w:firstRowFirstColumn="0" w:firstRowLastColumn="0" w:lastRowFirstColumn="0" w:lastRowLastColumn="0"/>
            <w:tcW w:w="1275" w:type="dxa"/>
          </w:tcPr>
          <w:p w:rsidR="004D7219" w:rsidRPr="00F5767F" w:rsidRDefault="004D7219" w:rsidP="004D7219">
            <w:pPr>
              <w:autoSpaceDE w:val="0"/>
              <w:autoSpaceDN w:val="0"/>
              <w:adjustRightInd w:val="0"/>
              <w:spacing w:after="0" w:line="240" w:lineRule="auto"/>
              <w:jc w:val="center"/>
              <w:rPr>
                <w:rFonts w:cs="Arial"/>
                <w:b/>
                <w:bCs/>
                <w:color w:val="auto"/>
                <w:sz w:val="20"/>
                <w:szCs w:val="20"/>
                <w:lang w:eastAsia="en-GB"/>
              </w:rPr>
            </w:pPr>
            <w:r w:rsidRPr="00F5767F">
              <w:rPr>
                <w:rFonts w:cs="Arial"/>
                <w:b/>
                <w:bCs/>
                <w:color w:val="auto"/>
                <w:sz w:val="20"/>
                <w:szCs w:val="20"/>
                <w:lang w:eastAsia="en-GB"/>
              </w:rPr>
              <w:t>18</w:t>
            </w:r>
          </w:p>
        </w:tc>
        <w:tc>
          <w:tcPr>
            <w:tcW w:w="2268" w:type="dxa"/>
          </w:tcPr>
          <w:p w:rsidR="004D7219" w:rsidRPr="00F5767F" w:rsidRDefault="004D7219" w:rsidP="00032AE8">
            <w:pPr>
              <w:pStyle w:val="BodyTextIndent"/>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5767F">
              <w:rPr>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134" w:type="dxa"/>
          </w:tcPr>
          <w:p w:rsidR="004D7219" w:rsidRPr="00802ABC" w:rsidRDefault="00A52309" w:rsidP="004A3CDB">
            <w:pPr>
              <w:autoSpaceDE w:val="0"/>
              <w:autoSpaceDN w:val="0"/>
              <w:adjustRightInd w:val="0"/>
              <w:spacing w:after="0" w:line="240" w:lineRule="auto"/>
              <w:jc w:val="center"/>
              <w:rPr>
                <w:rFonts w:cs="Arial"/>
                <w:b/>
                <w:bCs/>
                <w:color w:val="auto"/>
                <w:sz w:val="20"/>
                <w:szCs w:val="20"/>
                <w:lang w:eastAsia="en-GB"/>
              </w:rPr>
            </w:pPr>
            <w:r w:rsidRPr="00802ABC">
              <w:rPr>
                <w:rFonts w:cs="Arial"/>
                <w:b/>
                <w:bCs/>
                <w:color w:val="auto"/>
                <w:sz w:val="20"/>
                <w:szCs w:val="20"/>
                <w:lang w:eastAsia="en-GB"/>
              </w:rPr>
              <w:t>33</w:t>
            </w:r>
          </w:p>
        </w:tc>
        <w:tc>
          <w:tcPr>
            <w:tcW w:w="1134" w:type="dxa"/>
          </w:tcPr>
          <w:p w:rsidR="004D7219" w:rsidRPr="00802ABC" w:rsidRDefault="008E0DC2" w:rsidP="004A3CD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lang w:eastAsia="en-GB"/>
              </w:rPr>
            </w:pPr>
            <w:r w:rsidRPr="00802ABC">
              <w:rPr>
                <w:rFonts w:cs="Arial"/>
                <w:b/>
                <w:bCs/>
                <w:color w:val="auto"/>
                <w:sz w:val="20"/>
                <w:szCs w:val="20"/>
                <w:lang w:eastAsia="en-GB"/>
              </w:rPr>
              <w:t>10</w:t>
            </w:r>
          </w:p>
        </w:tc>
        <w:tc>
          <w:tcPr>
            <w:cnfStyle w:val="000010000000" w:firstRow="0" w:lastRow="0" w:firstColumn="0" w:lastColumn="0" w:oddVBand="1" w:evenVBand="0" w:oddHBand="0" w:evenHBand="0" w:firstRowFirstColumn="0" w:firstRowLastColumn="0" w:lastRowFirstColumn="0" w:lastRowLastColumn="0"/>
            <w:tcW w:w="1418" w:type="dxa"/>
          </w:tcPr>
          <w:p w:rsidR="004D7219" w:rsidRPr="00802ABC" w:rsidRDefault="00A52309" w:rsidP="004A3CDB">
            <w:pPr>
              <w:autoSpaceDE w:val="0"/>
              <w:autoSpaceDN w:val="0"/>
              <w:adjustRightInd w:val="0"/>
              <w:spacing w:after="0" w:line="240" w:lineRule="auto"/>
              <w:jc w:val="center"/>
              <w:rPr>
                <w:rFonts w:cs="Arial"/>
                <w:b/>
                <w:bCs/>
                <w:color w:val="auto"/>
                <w:sz w:val="20"/>
                <w:szCs w:val="20"/>
                <w:lang w:eastAsia="en-GB"/>
              </w:rPr>
            </w:pPr>
            <w:r w:rsidRPr="00802ABC">
              <w:rPr>
                <w:rFonts w:cs="Arial"/>
                <w:b/>
                <w:bCs/>
                <w:color w:val="auto"/>
                <w:sz w:val="20"/>
                <w:szCs w:val="20"/>
                <w:lang w:eastAsia="en-GB"/>
              </w:rPr>
              <w:t>16</w:t>
            </w:r>
          </w:p>
        </w:tc>
      </w:tr>
    </w:tbl>
    <w:p w:rsidR="000429CB" w:rsidRPr="0005794A" w:rsidRDefault="000429CB" w:rsidP="00157BFF">
      <w:pPr>
        <w:pStyle w:val="BodyTextIndent"/>
        <w:ind w:left="0"/>
        <w:rPr>
          <w:color w:val="548DD4" w:themeColor="text2" w:themeTint="99"/>
          <w:sz w:val="19"/>
          <w:szCs w:val="19"/>
        </w:rPr>
      </w:pPr>
    </w:p>
    <w:bookmarkEnd w:id="2"/>
    <w:p w:rsidR="00E51139" w:rsidRPr="00DB1D17" w:rsidRDefault="00CD0754" w:rsidP="004A3CDB">
      <w:pPr>
        <w:pStyle w:val="Subtitle"/>
        <w:ind w:left="567" w:hanging="567"/>
        <w:rPr>
          <w:b/>
          <w:color w:val="auto"/>
          <w:sz w:val="22"/>
          <w:szCs w:val="22"/>
        </w:rPr>
      </w:pPr>
      <w:r w:rsidRPr="00DB1D17">
        <w:rPr>
          <w:b/>
          <w:color w:val="auto"/>
          <w:sz w:val="22"/>
          <w:szCs w:val="22"/>
        </w:rPr>
        <w:t>30</w:t>
      </w:r>
      <w:r w:rsidR="00E51139" w:rsidRPr="00DB1D17">
        <w:rPr>
          <w:b/>
          <w:color w:val="auto"/>
          <w:sz w:val="22"/>
          <w:szCs w:val="22"/>
        </w:rPr>
        <w:t>.</w:t>
      </w:r>
      <w:r w:rsidR="00E51139" w:rsidRPr="00DB1D17">
        <w:rPr>
          <w:b/>
          <w:color w:val="auto"/>
          <w:sz w:val="22"/>
          <w:szCs w:val="22"/>
        </w:rPr>
        <w:tab/>
        <w:t>External Audit Costs</w:t>
      </w:r>
    </w:p>
    <w:p w:rsidR="00E51139" w:rsidRPr="00DB1D17" w:rsidRDefault="00E51139" w:rsidP="003C5E34">
      <w:pPr>
        <w:pStyle w:val="CodeNotesExampleHead"/>
        <w:widowControl w:val="0"/>
        <w:ind w:left="567"/>
        <w:rPr>
          <w:rFonts w:cs="Arial"/>
          <w:b w:val="0"/>
          <w:color w:val="auto"/>
          <w:sz w:val="20"/>
          <w:szCs w:val="20"/>
          <w:lang w:eastAsia="en-GB"/>
        </w:rPr>
      </w:pPr>
      <w:r w:rsidRPr="00DB1D17">
        <w:rPr>
          <w:rFonts w:cs="Arial"/>
          <w:b w:val="0"/>
          <w:color w:val="auto"/>
          <w:sz w:val="20"/>
          <w:szCs w:val="20"/>
          <w:lang w:eastAsia="en-GB"/>
        </w:rPr>
        <w:t>The Council will incur the following costs in relation to the audit of the Statement of Accounts, certification of grant claims and statutory inspections and to non-audit services provided by the Council’s appointed external auditors who are Grant Thornton.</w:t>
      </w:r>
    </w:p>
    <w:p w:rsidR="005121CA" w:rsidRPr="00DB1D17" w:rsidRDefault="005121CA" w:rsidP="003C5E34">
      <w:pPr>
        <w:pStyle w:val="CodeNotesExampleHead"/>
        <w:widowControl w:val="0"/>
        <w:ind w:left="567"/>
        <w:rPr>
          <w:rFonts w:cs="Arial"/>
          <w:b w:val="0"/>
          <w:color w:val="auto"/>
          <w:sz w:val="20"/>
          <w:szCs w:val="20"/>
          <w:lang w:eastAsia="en-GB"/>
        </w:rPr>
      </w:pPr>
    </w:p>
    <w:p w:rsidR="00E51139" w:rsidRPr="00DB1D17" w:rsidRDefault="00E51139" w:rsidP="003C5E34">
      <w:pPr>
        <w:pStyle w:val="CodeNotesExampleHead"/>
        <w:widowControl w:val="0"/>
        <w:rPr>
          <w:rFonts w:cs="Arial"/>
          <w:b w:val="0"/>
          <w:color w:val="auto"/>
          <w:sz w:val="20"/>
          <w:szCs w:val="20"/>
        </w:rPr>
      </w:pPr>
    </w:p>
    <w:tbl>
      <w:tblPr>
        <w:tblStyle w:val="ListTable3-Accent51"/>
        <w:tblW w:w="8366" w:type="dxa"/>
        <w:tblInd w:w="673" w:type="dxa"/>
        <w:tblLook w:val="0000" w:firstRow="0" w:lastRow="0" w:firstColumn="0" w:lastColumn="0" w:noHBand="0" w:noVBand="0"/>
      </w:tblPr>
      <w:tblGrid>
        <w:gridCol w:w="1081"/>
        <w:gridCol w:w="6151"/>
        <w:gridCol w:w="1134"/>
      </w:tblGrid>
      <w:tr w:rsidR="00945F4F" w:rsidRPr="00DB1D17" w:rsidTr="000429C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81" w:type="dxa"/>
            <w:shd w:val="clear" w:color="auto" w:fill="4BACC6" w:themeFill="accent5"/>
          </w:tcPr>
          <w:p w:rsidR="00945F4F" w:rsidRPr="00DB1D17" w:rsidRDefault="00945F4F" w:rsidP="00810536">
            <w:pPr>
              <w:widowControl w:val="0"/>
              <w:spacing w:after="0" w:line="240" w:lineRule="auto"/>
              <w:ind w:right="142"/>
              <w:jc w:val="center"/>
              <w:rPr>
                <w:rFonts w:cs="Arial"/>
                <w:color w:val="auto"/>
                <w:sz w:val="20"/>
                <w:szCs w:val="20"/>
                <w:lang w:eastAsia="en-GB"/>
              </w:rPr>
            </w:pPr>
            <w:r w:rsidRPr="00DB1D17">
              <w:rPr>
                <w:rFonts w:cs="Arial"/>
                <w:color w:val="auto"/>
                <w:sz w:val="20"/>
                <w:szCs w:val="20"/>
                <w:lang w:eastAsia="en-GB"/>
              </w:rPr>
              <w:t>201</w:t>
            </w:r>
            <w:r w:rsidR="00F5767F" w:rsidRPr="00DB1D17">
              <w:rPr>
                <w:rFonts w:cs="Arial"/>
                <w:color w:val="auto"/>
                <w:sz w:val="20"/>
                <w:szCs w:val="20"/>
                <w:lang w:eastAsia="en-GB"/>
              </w:rPr>
              <w:t>6</w:t>
            </w:r>
            <w:r w:rsidRPr="00DB1D17">
              <w:rPr>
                <w:rFonts w:cs="Arial"/>
                <w:color w:val="auto"/>
                <w:sz w:val="20"/>
                <w:szCs w:val="20"/>
                <w:lang w:eastAsia="en-GB"/>
              </w:rPr>
              <w:t>/1</w:t>
            </w:r>
            <w:r w:rsidR="00F5767F" w:rsidRPr="00DB1D17">
              <w:rPr>
                <w:rFonts w:cs="Arial"/>
                <w:color w:val="auto"/>
                <w:sz w:val="20"/>
                <w:szCs w:val="20"/>
                <w:lang w:eastAsia="en-GB"/>
              </w:rPr>
              <w:t>7</w:t>
            </w:r>
          </w:p>
          <w:p w:rsidR="00945F4F" w:rsidRPr="00DB1D17" w:rsidRDefault="00945F4F" w:rsidP="00810536">
            <w:pPr>
              <w:widowControl w:val="0"/>
              <w:spacing w:after="0" w:line="240" w:lineRule="auto"/>
              <w:ind w:right="142"/>
              <w:jc w:val="center"/>
              <w:rPr>
                <w:rFonts w:cs="Arial"/>
                <w:color w:val="auto"/>
                <w:sz w:val="20"/>
                <w:szCs w:val="20"/>
                <w:lang w:eastAsia="en-GB"/>
              </w:rPr>
            </w:pPr>
            <w:r w:rsidRPr="00DB1D17">
              <w:rPr>
                <w:rFonts w:cs="Arial"/>
                <w:color w:val="auto"/>
                <w:sz w:val="20"/>
                <w:szCs w:val="20"/>
                <w:lang w:eastAsia="en-GB"/>
              </w:rPr>
              <w:t>£000</w:t>
            </w:r>
          </w:p>
          <w:p w:rsidR="00C639A4" w:rsidRPr="00DB1D17" w:rsidRDefault="00C639A4" w:rsidP="00810536">
            <w:pPr>
              <w:widowControl w:val="0"/>
              <w:spacing w:after="0" w:line="240" w:lineRule="auto"/>
              <w:ind w:right="142"/>
              <w:jc w:val="center"/>
              <w:rPr>
                <w:rFonts w:cs="Arial"/>
                <w:color w:val="auto"/>
                <w:sz w:val="20"/>
                <w:szCs w:val="20"/>
                <w:lang w:eastAsia="en-GB"/>
              </w:rPr>
            </w:pPr>
          </w:p>
        </w:tc>
        <w:tc>
          <w:tcPr>
            <w:tcW w:w="6151" w:type="dxa"/>
            <w:shd w:val="clear" w:color="auto" w:fill="4BACC6" w:themeFill="accent5"/>
          </w:tcPr>
          <w:p w:rsidR="00945F4F" w:rsidRPr="00DB1D17" w:rsidRDefault="00945F4F" w:rsidP="003C5E3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945F4F" w:rsidRPr="00DB1D17" w:rsidRDefault="00945F4F" w:rsidP="003C5E34">
            <w:pPr>
              <w:widowControl w:val="0"/>
              <w:spacing w:after="0" w:line="240" w:lineRule="auto"/>
              <w:ind w:right="142"/>
              <w:jc w:val="center"/>
              <w:rPr>
                <w:rFonts w:cs="Arial"/>
                <w:b/>
                <w:color w:val="auto"/>
                <w:sz w:val="20"/>
                <w:szCs w:val="20"/>
                <w:lang w:eastAsia="en-GB"/>
              </w:rPr>
            </w:pPr>
            <w:r w:rsidRPr="00DB1D17">
              <w:rPr>
                <w:rFonts w:cs="Arial"/>
                <w:b/>
                <w:color w:val="auto"/>
                <w:sz w:val="20"/>
                <w:szCs w:val="20"/>
                <w:lang w:eastAsia="en-GB"/>
              </w:rPr>
              <w:t>201</w:t>
            </w:r>
            <w:r w:rsidR="00F5767F" w:rsidRPr="00DB1D17">
              <w:rPr>
                <w:rFonts w:cs="Arial"/>
                <w:b/>
                <w:color w:val="auto"/>
                <w:sz w:val="20"/>
                <w:szCs w:val="20"/>
                <w:lang w:eastAsia="en-GB"/>
              </w:rPr>
              <w:t>7</w:t>
            </w:r>
            <w:r w:rsidR="001E609C" w:rsidRPr="00DB1D17">
              <w:rPr>
                <w:rFonts w:cs="Arial"/>
                <w:b/>
                <w:color w:val="auto"/>
                <w:sz w:val="20"/>
                <w:szCs w:val="20"/>
                <w:lang w:eastAsia="en-GB"/>
              </w:rPr>
              <w:t>/1</w:t>
            </w:r>
            <w:r w:rsidR="00F5767F" w:rsidRPr="00DB1D17">
              <w:rPr>
                <w:rFonts w:cs="Arial"/>
                <w:b/>
                <w:color w:val="auto"/>
                <w:sz w:val="20"/>
                <w:szCs w:val="20"/>
                <w:lang w:eastAsia="en-GB"/>
              </w:rPr>
              <w:t>8</w:t>
            </w:r>
          </w:p>
          <w:p w:rsidR="00945F4F" w:rsidRPr="00DB1D17" w:rsidRDefault="00945F4F" w:rsidP="003C5E34">
            <w:pPr>
              <w:widowControl w:val="0"/>
              <w:spacing w:after="0" w:line="240" w:lineRule="auto"/>
              <w:ind w:right="142"/>
              <w:jc w:val="center"/>
              <w:rPr>
                <w:rFonts w:cs="Arial"/>
                <w:b/>
                <w:color w:val="auto"/>
                <w:sz w:val="20"/>
                <w:szCs w:val="20"/>
                <w:lang w:eastAsia="en-GB"/>
              </w:rPr>
            </w:pPr>
            <w:r w:rsidRPr="00DB1D17">
              <w:rPr>
                <w:rFonts w:cs="Arial"/>
                <w:b/>
                <w:color w:val="auto"/>
                <w:sz w:val="20"/>
                <w:szCs w:val="20"/>
                <w:lang w:eastAsia="en-GB"/>
              </w:rPr>
              <w:t>£000</w:t>
            </w:r>
          </w:p>
        </w:tc>
      </w:tr>
      <w:tr w:rsidR="00F5767F" w:rsidRPr="00DB1D17" w:rsidTr="00DD4207">
        <w:trPr>
          <w:trHeight w:val="454"/>
        </w:trPr>
        <w:tc>
          <w:tcPr>
            <w:cnfStyle w:val="000010000000" w:firstRow="0" w:lastRow="0" w:firstColumn="0" w:lastColumn="0" w:oddVBand="1" w:evenVBand="0" w:oddHBand="0" w:evenHBand="0" w:firstRowFirstColumn="0" w:firstRowLastColumn="0" w:lastRowFirstColumn="0" w:lastRowLastColumn="0"/>
            <w:tcW w:w="1081" w:type="dxa"/>
            <w:vAlign w:val="center"/>
          </w:tcPr>
          <w:p w:rsidR="00F5767F" w:rsidRPr="00DB1D17" w:rsidRDefault="00F5767F" w:rsidP="00F5767F">
            <w:pPr>
              <w:widowControl w:val="0"/>
              <w:spacing w:after="0" w:line="240" w:lineRule="auto"/>
              <w:ind w:right="142"/>
              <w:jc w:val="center"/>
              <w:rPr>
                <w:rFonts w:cs="Arial"/>
                <w:color w:val="auto"/>
                <w:sz w:val="20"/>
                <w:szCs w:val="20"/>
                <w:lang w:eastAsia="en-GB"/>
              </w:rPr>
            </w:pPr>
            <w:r w:rsidRPr="00DB1D17">
              <w:rPr>
                <w:rFonts w:cs="Arial"/>
                <w:color w:val="auto"/>
                <w:sz w:val="20"/>
                <w:szCs w:val="20"/>
                <w:lang w:eastAsia="en-GB"/>
              </w:rPr>
              <w:t>102</w:t>
            </w:r>
          </w:p>
        </w:tc>
        <w:tc>
          <w:tcPr>
            <w:tcW w:w="6151" w:type="dxa"/>
            <w:vAlign w:val="center"/>
          </w:tcPr>
          <w:p w:rsidR="00F5767F" w:rsidRPr="00DB1D17" w:rsidRDefault="00F5767F" w:rsidP="00DD420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DB1D17">
              <w:rPr>
                <w:rFonts w:cs="Arial"/>
                <w:color w:val="auto"/>
                <w:sz w:val="20"/>
                <w:szCs w:val="20"/>
                <w:lang w:eastAsia="en-GB"/>
              </w:rPr>
              <w:t>Fees payable to Grant Thornton with regard to external audit services carried out by the appointed auditor for the year</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F5767F" w:rsidRPr="00DB1D17" w:rsidRDefault="00DB1D17" w:rsidP="00DD4207">
            <w:pPr>
              <w:widowControl w:val="0"/>
              <w:spacing w:after="0" w:line="240" w:lineRule="auto"/>
              <w:ind w:right="142"/>
              <w:jc w:val="center"/>
              <w:rPr>
                <w:rFonts w:cs="Arial"/>
                <w:b/>
                <w:color w:val="auto"/>
                <w:sz w:val="20"/>
                <w:szCs w:val="20"/>
                <w:lang w:eastAsia="en-GB"/>
              </w:rPr>
            </w:pPr>
            <w:r w:rsidRPr="00DB1D17">
              <w:rPr>
                <w:rFonts w:cs="Arial"/>
                <w:b/>
                <w:color w:val="auto"/>
                <w:sz w:val="20"/>
                <w:szCs w:val="20"/>
                <w:lang w:eastAsia="en-GB"/>
              </w:rPr>
              <w:t>102</w:t>
            </w:r>
          </w:p>
        </w:tc>
      </w:tr>
      <w:tr w:rsidR="00F5767F" w:rsidRPr="00DB1D17" w:rsidTr="00DD4207">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1081" w:type="dxa"/>
            <w:vAlign w:val="center"/>
          </w:tcPr>
          <w:p w:rsidR="00F5767F" w:rsidRPr="00DB1D17" w:rsidRDefault="00F5767F" w:rsidP="00F5767F">
            <w:pPr>
              <w:widowControl w:val="0"/>
              <w:spacing w:after="0" w:line="240" w:lineRule="auto"/>
              <w:ind w:right="142"/>
              <w:jc w:val="center"/>
              <w:rPr>
                <w:rFonts w:cs="Arial"/>
                <w:color w:val="auto"/>
                <w:sz w:val="20"/>
                <w:szCs w:val="20"/>
                <w:lang w:eastAsia="en-GB"/>
              </w:rPr>
            </w:pPr>
            <w:r w:rsidRPr="00DB1D17">
              <w:rPr>
                <w:rFonts w:cs="Arial"/>
                <w:color w:val="auto"/>
                <w:sz w:val="20"/>
                <w:szCs w:val="20"/>
                <w:lang w:eastAsia="en-GB"/>
              </w:rPr>
              <w:t>18</w:t>
            </w:r>
          </w:p>
        </w:tc>
        <w:tc>
          <w:tcPr>
            <w:tcW w:w="6151" w:type="dxa"/>
            <w:vAlign w:val="center"/>
          </w:tcPr>
          <w:p w:rsidR="00F5767F" w:rsidRPr="00DB1D17" w:rsidRDefault="00F5767F" w:rsidP="00DB1D1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DB1D17">
              <w:rPr>
                <w:rFonts w:cs="Arial"/>
                <w:color w:val="auto"/>
                <w:sz w:val="20"/>
                <w:szCs w:val="20"/>
                <w:lang w:eastAsia="en-GB"/>
              </w:rPr>
              <w:t xml:space="preserve">Fees payable to Grant Thornton for the certification of grant claims and returns for the year </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F5767F" w:rsidRPr="00DB1D17" w:rsidRDefault="00DB1D17" w:rsidP="003D000B">
            <w:pPr>
              <w:widowControl w:val="0"/>
              <w:spacing w:after="0" w:line="240" w:lineRule="auto"/>
              <w:ind w:right="142"/>
              <w:jc w:val="center"/>
              <w:rPr>
                <w:rFonts w:cs="Arial"/>
                <w:b/>
                <w:color w:val="auto"/>
                <w:sz w:val="20"/>
                <w:szCs w:val="20"/>
                <w:lang w:eastAsia="en-GB"/>
              </w:rPr>
            </w:pPr>
            <w:r w:rsidRPr="00DB1D17">
              <w:rPr>
                <w:rFonts w:cs="Arial"/>
                <w:b/>
                <w:color w:val="auto"/>
                <w:sz w:val="20"/>
                <w:szCs w:val="20"/>
                <w:lang w:eastAsia="en-GB"/>
              </w:rPr>
              <w:t>14</w:t>
            </w:r>
          </w:p>
        </w:tc>
      </w:tr>
      <w:tr w:rsidR="00F5767F" w:rsidRPr="00DB1D17" w:rsidTr="00DD4207">
        <w:trPr>
          <w:trHeight w:val="295"/>
        </w:trPr>
        <w:tc>
          <w:tcPr>
            <w:cnfStyle w:val="000010000000" w:firstRow="0" w:lastRow="0" w:firstColumn="0" w:lastColumn="0" w:oddVBand="1" w:evenVBand="0" w:oddHBand="0" w:evenHBand="0" w:firstRowFirstColumn="0" w:firstRowLastColumn="0" w:lastRowFirstColumn="0" w:lastRowLastColumn="0"/>
            <w:tcW w:w="1081" w:type="dxa"/>
            <w:vAlign w:val="center"/>
          </w:tcPr>
          <w:p w:rsidR="00F5767F" w:rsidRPr="00DB1D17" w:rsidRDefault="00F5767F" w:rsidP="00F5767F">
            <w:pPr>
              <w:widowControl w:val="0"/>
              <w:spacing w:after="0" w:line="240" w:lineRule="auto"/>
              <w:ind w:right="142"/>
              <w:jc w:val="center"/>
              <w:rPr>
                <w:rFonts w:cs="Arial"/>
                <w:color w:val="auto"/>
                <w:sz w:val="20"/>
                <w:szCs w:val="20"/>
                <w:lang w:eastAsia="en-GB"/>
              </w:rPr>
            </w:pPr>
            <w:r w:rsidRPr="00DB1D17">
              <w:rPr>
                <w:rFonts w:cs="Arial"/>
                <w:color w:val="auto"/>
                <w:sz w:val="20"/>
                <w:szCs w:val="20"/>
                <w:lang w:eastAsia="en-GB"/>
              </w:rPr>
              <w:t>120</w:t>
            </w:r>
          </w:p>
        </w:tc>
        <w:tc>
          <w:tcPr>
            <w:tcW w:w="6151" w:type="dxa"/>
            <w:vAlign w:val="center"/>
          </w:tcPr>
          <w:p w:rsidR="00F5767F" w:rsidRPr="00DB1D17" w:rsidRDefault="00F5767F" w:rsidP="00DD420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Arial"/>
                <w:b/>
                <w:color w:val="auto"/>
                <w:sz w:val="20"/>
                <w:szCs w:val="20"/>
                <w:lang w:eastAsia="en-GB"/>
              </w:rPr>
            </w:pPr>
            <w:r w:rsidRPr="00DB1D17">
              <w:rPr>
                <w:rFonts w:cs="Arial"/>
                <w:b/>
                <w:color w:val="auto"/>
                <w:sz w:val="20"/>
                <w:szCs w:val="20"/>
                <w:lang w:eastAsia="en-GB"/>
              </w:rPr>
              <w:t>Total</w:t>
            </w:r>
          </w:p>
        </w:tc>
        <w:tc>
          <w:tcPr>
            <w:cnfStyle w:val="000010000000" w:firstRow="0" w:lastRow="0" w:firstColumn="0" w:lastColumn="0" w:oddVBand="1" w:evenVBand="0" w:oddHBand="0" w:evenHBand="0" w:firstRowFirstColumn="0" w:firstRowLastColumn="0" w:lastRowFirstColumn="0" w:lastRowLastColumn="0"/>
            <w:tcW w:w="1134" w:type="dxa"/>
            <w:vAlign w:val="center"/>
          </w:tcPr>
          <w:p w:rsidR="00F5767F" w:rsidRPr="00DB1D17" w:rsidRDefault="00DB1D17" w:rsidP="00DD4207">
            <w:pPr>
              <w:widowControl w:val="0"/>
              <w:spacing w:after="0" w:line="240" w:lineRule="auto"/>
              <w:ind w:right="142"/>
              <w:jc w:val="center"/>
              <w:rPr>
                <w:rFonts w:cs="Arial"/>
                <w:b/>
                <w:color w:val="auto"/>
                <w:sz w:val="20"/>
                <w:szCs w:val="20"/>
                <w:lang w:eastAsia="en-GB"/>
              </w:rPr>
            </w:pPr>
            <w:r w:rsidRPr="00DB1D17">
              <w:rPr>
                <w:rFonts w:cs="Arial"/>
                <w:b/>
                <w:color w:val="auto"/>
                <w:sz w:val="20"/>
                <w:szCs w:val="20"/>
                <w:lang w:eastAsia="en-GB"/>
              </w:rPr>
              <w:t>116</w:t>
            </w:r>
          </w:p>
        </w:tc>
      </w:tr>
    </w:tbl>
    <w:p w:rsidR="00E51139" w:rsidRPr="0005794A" w:rsidRDefault="00E51139" w:rsidP="003C5E34">
      <w:pPr>
        <w:pStyle w:val="CodeNotesExampleHead"/>
        <w:widowControl w:val="0"/>
        <w:ind w:left="567"/>
        <w:rPr>
          <w:rFonts w:cs="Arial"/>
          <w:b w:val="0"/>
          <w:color w:val="548DD4" w:themeColor="text2" w:themeTint="99"/>
          <w:sz w:val="20"/>
          <w:szCs w:val="20"/>
          <w:lang w:eastAsia="en-GB"/>
        </w:rPr>
      </w:pPr>
    </w:p>
    <w:p w:rsidR="007636E5" w:rsidRPr="0005794A" w:rsidRDefault="007636E5" w:rsidP="003C5E34">
      <w:pPr>
        <w:pStyle w:val="CodeNotesExampleHead"/>
        <w:widowControl w:val="0"/>
        <w:ind w:left="567"/>
        <w:rPr>
          <w:rFonts w:cs="Arial"/>
          <w:b w:val="0"/>
          <w:color w:val="548DD4" w:themeColor="text2" w:themeTint="99"/>
          <w:sz w:val="20"/>
          <w:szCs w:val="20"/>
          <w:lang w:eastAsia="en-GB"/>
        </w:rPr>
      </w:pPr>
    </w:p>
    <w:p w:rsidR="00E51139" w:rsidRPr="00A36A09" w:rsidRDefault="00AF46FC" w:rsidP="00CD0754">
      <w:pPr>
        <w:pStyle w:val="Subtitle"/>
        <w:rPr>
          <w:b/>
          <w:color w:val="auto"/>
          <w:sz w:val="22"/>
          <w:szCs w:val="22"/>
        </w:rPr>
      </w:pPr>
      <w:r w:rsidRPr="00A36A09">
        <w:rPr>
          <w:b/>
          <w:color w:val="auto"/>
          <w:sz w:val="22"/>
          <w:szCs w:val="22"/>
        </w:rPr>
        <w:t>31</w:t>
      </w:r>
      <w:r w:rsidR="00CD0754" w:rsidRPr="00A36A09">
        <w:rPr>
          <w:b/>
          <w:color w:val="auto"/>
          <w:sz w:val="22"/>
          <w:szCs w:val="22"/>
        </w:rPr>
        <w:t xml:space="preserve">.     </w:t>
      </w:r>
      <w:r w:rsidR="00E51139" w:rsidRPr="00A36A09">
        <w:rPr>
          <w:b/>
          <w:color w:val="auto"/>
          <w:sz w:val="22"/>
          <w:szCs w:val="22"/>
        </w:rPr>
        <w:t>Dedicated Schools Grant (DSG)</w:t>
      </w:r>
    </w:p>
    <w:p w:rsidR="00E51139" w:rsidRPr="00A36A09" w:rsidRDefault="00E323EC" w:rsidP="00E323EC">
      <w:pPr>
        <w:pStyle w:val="CodeNotesExampleHead"/>
        <w:widowControl w:val="0"/>
        <w:ind w:left="567"/>
        <w:rPr>
          <w:rFonts w:cs="Arial"/>
          <w:b w:val="0"/>
          <w:color w:val="auto"/>
          <w:sz w:val="20"/>
          <w:szCs w:val="20"/>
          <w:lang w:eastAsia="en-GB"/>
        </w:rPr>
      </w:pPr>
      <w:r w:rsidRPr="00A36A09">
        <w:rPr>
          <w:rFonts w:cs="Arial"/>
          <w:b w:val="0"/>
          <w:color w:val="auto"/>
          <w:sz w:val="20"/>
          <w:szCs w:val="20"/>
          <w:lang w:eastAsia="en-GB"/>
        </w:rPr>
        <w:t>The c</w:t>
      </w:r>
      <w:r w:rsidR="00E51139" w:rsidRPr="00A36A09">
        <w:rPr>
          <w:rFonts w:cs="Arial"/>
          <w:b w:val="0"/>
          <w:color w:val="auto"/>
          <w:sz w:val="20"/>
          <w:szCs w:val="20"/>
          <w:lang w:eastAsia="en-GB"/>
        </w:rPr>
        <w:t xml:space="preserve">ouncil’s expenditure on schools is </w:t>
      </w:r>
      <w:r w:rsidRPr="00A36A09">
        <w:rPr>
          <w:rFonts w:cs="Arial"/>
          <w:b w:val="0"/>
          <w:color w:val="auto"/>
          <w:sz w:val="20"/>
          <w:szCs w:val="20"/>
          <w:lang w:eastAsia="en-GB"/>
        </w:rPr>
        <w:t xml:space="preserve">funded </w:t>
      </w:r>
      <w:r w:rsidR="00E51139" w:rsidRPr="00A36A09">
        <w:rPr>
          <w:rFonts w:cs="Arial"/>
          <w:b w:val="0"/>
          <w:color w:val="auto"/>
          <w:sz w:val="20"/>
          <w:szCs w:val="20"/>
          <w:lang w:eastAsia="en-GB"/>
        </w:rPr>
        <w:t xml:space="preserve">primarily by grant monies provided by the </w:t>
      </w:r>
      <w:r w:rsidRPr="00A36A09">
        <w:rPr>
          <w:rFonts w:cs="Arial"/>
          <w:b w:val="0"/>
          <w:color w:val="auto"/>
          <w:sz w:val="20"/>
          <w:szCs w:val="20"/>
          <w:lang w:eastAsia="en-GB"/>
        </w:rPr>
        <w:t xml:space="preserve">Education </w:t>
      </w:r>
      <w:r w:rsidR="00A36A09" w:rsidRPr="00A36A09">
        <w:rPr>
          <w:rFonts w:cs="Arial"/>
          <w:b w:val="0"/>
          <w:color w:val="auto"/>
          <w:sz w:val="20"/>
          <w:szCs w:val="20"/>
          <w:lang w:eastAsia="en-GB"/>
        </w:rPr>
        <w:t xml:space="preserve">and Skills </w:t>
      </w:r>
      <w:r w:rsidRPr="00A36A09">
        <w:rPr>
          <w:rFonts w:cs="Arial"/>
          <w:b w:val="0"/>
          <w:color w:val="auto"/>
          <w:sz w:val="20"/>
          <w:szCs w:val="20"/>
          <w:lang w:eastAsia="en-GB"/>
        </w:rPr>
        <w:t>Funding Agency</w:t>
      </w:r>
      <w:r w:rsidR="00E51139" w:rsidRPr="00A36A09">
        <w:rPr>
          <w:rFonts w:cs="Arial"/>
          <w:b w:val="0"/>
          <w:color w:val="auto"/>
          <w:sz w:val="20"/>
          <w:szCs w:val="20"/>
          <w:lang w:eastAsia="en-GB"/>
        </w:rPr>
        <w:t xml:space="preserve">, the Dedicated Schools Grant (DSG). </w:t>
      </w:r>
      <w:r w:rsidRPr="00A36A09">
        <w:rPr>
          <w:rFonts w:cs="Arial"/>
          <w:b w:val="0"/>
          <w:color w:val="auto"/>
          <w:sz w:val="20"/>
          <w:szCs w:val="20"/>
          <w:lang w:eastAsia="en-GB"/>
        </w:rPr>
        <w:t xml:space="preserve">DSG is ring fenced and can only be applied to meet expenditure properly included in the Schools’ budget, as defined in the School Finance and Early Years (England) Regulations 2015. </w:t>
      </w:r>
      <w:r w:rsidR="00E51139" w:rsidRPr="00A36A09">
        <w:rPr>
          <w:rFonts w:cs="Arial"/>
          <w:b w:val="0"/>
          <w:color w:val="auto"/>
          <w:sz w:val="20"/>
          <w:szCs w:val="20"/>
          <w:lang w:eastAsia="en-GB"/>
        </w:rPr>
        <w:t xml:space="preserve">The Schools’ </w:t>
      </w:r>
      <w:r w:rsidR="00E51139" w:rsidRPr="00A36A09">
        <w:rPr>
          <w:rFonts w:cs="Arial"/>
          <w:b w:val="0"/>
          <w:color w:val="auto"/>
          <w:sz w:val="20"/>
          <w:szCs w:val="20"/>
          <w:lang w:eastAsia="en-GB"/>
        </w:rPr>
        <w:lastRenderedPageBreak/>
        <w:t>Budget includes elements for a range of educational services provided on a Council wide basis and for the individual Schools’ Budget, which is divided into a budget share f</w:t>
      </w:r>
      <w:r w:rsidR="00BF3E7D" w:rsidRPr="00A36A09">
        <w:rPr>
          <w:rFonts w:cs="Arial"/>
          <w:b w:val="0"/>
          <w:color w:val="auto"/>
          <w:sz w:val="20"/>
          <w:szCs w:val="20"/>
          <w:lang w:eastAsia="en-GB"/>
        </w:rPr>
        <w:t>o</w:t>
      </w:r>
      <w:r w:rsidR="00E51139" w:rsidRPr="00A36A09">
        <w:rPr>
          <w:rFonts w:cs="Arial"/>
          <w:b w:val="0"/>
          <w:color w:val="auto"/>
          <w:sz w:val="20"/>
          <w:szCs w:val="20"/>
          <w:lang w:eastAsia="en-GB"/>
        </w:rPr>
        <w:t>r each maintained school.</w:t>
      </w:r>
    </w:p>
    <w:p w:rsidR="00CD0754" w:rsidRPr="0005794A" w:rsidRDefault="00CD0754" w:rsidP="00CD0754">
      <w:pPr>
        <w:pStyle w:val="CodeNotesExampleHead"/>
        <w:widowControl w:val="0"/>
        <w:ind w:left="567"/>
        <w:rPr>
          <w:rFonts w:cs="Arial"/>
          <w:b w:val="0"/>
          <w:color w:val="548DD4" w:themeColor="text2" w:themeTint="99"/>
          <w:sz w:val="20"/>
          <w:szCs w:val="20"/>
          <w:lang w:eastAsia="en-GB"/>
        </w:rPr>
      </w:pPr>
    </w:p>
    <w:p w:rsidR="000429CB" w:rsidRPr="00C87044" w:rsidRDefault="00E51139" w:rsidP="00CD0754">
      <w:pPr>
        <w:pStyle w:val="CodeNotesExampleHead"/>
        <w:widowControl w:val="0"/>
        <w:ind w:left="567"/>
        <w:rPr>
          <w:rFonts w:cs="Arial"/>
          <w:b w:val="0"/>
          <w:color w:val="auto"/>
          <w:sz w:val="20"/>
          <w:szCs w:val="20"/>
          <w:lang w:eastAsia="en-GB"/>
        </w:rPr>
      </w:pPr>
      <w:r w:rsidRPr="00C87044">
        <w:rPr>
          <w:rFonts w:cs="Arial"/>
          <w:b w:val="0"/>
          <w:color w:val="auto"/>
          <w:sz w:val="20"/>
          <w:szCs w:val="20"/>
          <w:lang w:eastAsia="en-GB"/>
        </w:rPr>
        <w:t xml:space="preserve">Details of the deployment of DSG receivable for </w:t>
      </w:r>
      <w:r w:rsidR="00945F4F" w:rsidRPr="00C87044">
        <w:rPr>
          <w:rFonts w:cs="Arial"/>
          <w:b w:val="0"/>
          <w:color w:val="auto"/>
          <w:sz w:val="20"/>
          <w:szCs w:val="20"/>
          <w:lang w:eastAsia="en-GB"/>
        </w:rPr>
        <w:t>201</w:t>
      </w:r>
      <w:r w:rsidR="00C87044" w:rsidRPr="00C87044">
        <w:rPr>
          <w:rFonts w:cs="Arial"/>
          <w:b w:val="0"/>
          <w:color w:val="auto"/>
          <w:sz w:val="20"/>
          <w:szCs w:val="20"/>
          <w:lang w:eastAsia="en-GB"/>
        </w:rPr>
        <w:t>7</w:t>
      </w:r>
      <w:r w:rsidR="00945F4F" w:rsidRPr="00C87044">
        <w:rPr>
          <w:rFonts w:cs="Arial"/>
          <w:b w:val="0"/>
          <w:color w:val="auto"/>
          <w:sz w:val="20"/>
          <w:szCs w:val="20"/>
          <w:lang w:eastAsia="en-GB"/>
        </w:rPr>
        <w:t>/1</w:t>
      </w:r>
      <w:r w:rsidR="00C87044" w:rsidRPr="00C87044">
        <w:rPr>
          <w:rFonts w:cs="Arial"/>
          <w:b w:val="0"/>
          <w:color w:val="auto"/>
          <w:sz w:val="20"/>
          <w:szCs w:val="20"/>
          <w:lang w:eastAsia="en-GB"/>
        </w:rPr>
        <w:t>8</w:t>
      </w:r>
      <w:r w:rsidRPr="00C87044">
        <w:rPr>
          <w:rFonts w:cs="Arial"/>
          <w:b w:val="0"/>
          <w:color w:val="auto"/>
          <w:sz w:val="20"/>
          <w:szCs w:val="20"/>
          <w:lang w:eastAsia="en-GB"/>
        </w:rPr>
        <w:t xml:space="preserve"> are as follows:</w:t>
      </w:r>
    </w:p>
    <w:p w:rsidR="00845AAC" w:rsidRPr="0005794A" w:rsidRDefault="00845AAC" w:rsidP="00845AAC">
      <w:pPr>
        <w:pStyle w:val="BodyTextIndent"/>
        <w:tabs>
          <w:tab w:val="left" w:pos="567"/>
        </w:tabs>
        <w:ind w:left="567"/>
        <w:rPr>
          <w:rFonts w:cs="Arial"/>
          <w:color w:val="548DD4" w:themeColor="text2" w:themeTint="99"/>
          <w:sz w:val="20"/>
          <w:szCs w:val="20"/>
          <w:lang w:eastAsia="en-GB"/>
        </w:rPr>
      </w:pPr>
    </w:p>
    <w:tbl>
      <w:tblPr>
        <w:tblStyle w:val="ListTable3-Accent51"/>
        <w:tblW w:w="8807" w:type="dxa"/>
        <w:tblInd w:w="-5" w:type="dxa"/>
        <w:tblBorders>
          <w:insideH w:val="single" w:sz="4" w:space="0" w:color="4BACC6" w:themeColor="accent5"/>
          <w:insideV w:val="single" w:sz="4" w:space="0" w:color="4BACC6" w:themeColor="accent5"/>
        </w:tblBorders>
        <w:tblLook w:val="01E0" w:firstRow="1" w:lastRow="1" w:firstColumn="1" w:lastColumn="1" w:noHBand="0" w:noVBand="0"/>
      </w:tblPr>
      <w:tblGrid>
        <w:gridCol w:w="5245"/>
        <w:gridCol w:w="1276"/>
        <w:gridCol w:w="1152"/>
        <w:gridCol w:w="1134"/>
      </w:tblGrid>
      <w:tr w:rsidR="000429CB" w:rsidRPr="0005794A" w:rsidTr="00EF76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07" w:type="dxa"/>
            <w:gridSpan w:val="4"/>
            <w:tcBorders>
              <w:bottom w:val="none" w:sz="0" w:space="0" w:color="auto"/>
              <w:right w:val="none" w:sz="0" w:space="0" w:color="auto"/>
            </w:tcBorders>
          </w:tcPr>
          <w:p w:rsidR="000429CB" w:rsidRPr="00F5767F" w:rsidRDefault="000429CB" w:rsidP="009E188A">
            <w:pPr>
              <w:pStyle w:val="exampleend0"/>
              <w:pBdr>
                <w:bottom w:val="none" w:sz="0" w:space="0" w:color="auto"/>
              </w:pBdr>
              <w:jc w:val="center"/>
              <w:rPr>
                <w:rFonts w:ascii="Arial" w:hAnsi="Arial"/>
                <w:color w:val="auto"/>
                <w:sz w:val="20"/>
                <w:szCs w:val="20"/>
              </w:rPr>
            </w:pPr>
            <w:r w:rsidRPr="00F5767F">
              <w:rPr>
                <w:rFonts w:ascii="Arial" w:hAnsi="Arial"/>
                <w:color w:val="auto"/>
                <w:sz w:val="20"/>
                <w:szCs w:val="20"/>
              </w:rPr>
              <w:t>Schools Budget Funded by Dedicated Schools Grant 201</w:t>
            </w:r>
            <w:r w:rsidR="00F5767F" w:rsidRPr="00F5767F">
              <w:rPr>
                <w:rFonts w:ascii="Arial" w:hAnsi="Arial"/>
                <w:color w:val="auto"/>
                <w:sz w:val="20"/>
                <w:szCs w:val="20"/>
              </w:rPr>
              <w:t>7</w:t>
            </w:r>
            <w:r w:rsidR="001E609C" w:rsidRPr="00F5767F">
              <w:rPr>
                <w:rFonts w:ascii="Arial" w:hAnsi="Arial"/>
                <w:color w:val="auto"/>
                <w:sz w:val="20"/>
                <w:szCs w:val="20"/>
              </w:rPr>
              <w:t>/1</w:t>
            </w:r>
            <w:r w:rsidR="00F5767F" w:rsidRPr="00F5767F">
              <w:rPr>
                <w:rFonts w:ascii="Arial" w:hAnsi="Arial"/>
                <w:color w:val="auto"/>
                <w:sz w:val="20"/>
                <w:szCs w:val="20"/>
              </w:rPr>
              <w:t>8</w:t>
            </w:r>
          </w:p>
        </w:tc>
      </w:tr>
      <w:tr w:rsidR="000429CB" w:rsidRPr="0005794A" w:rsidTr="00EF763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5245" w:type="dxa"/>
            <w:shd w:val="clear" w:color="auto" w:fill="4BACC6" w:themeFill="accent5"/>
          </w:tcPr>
          <w:p w:rsidR="000429CB" w:rsidRPr="00F5767F" w:rsidRDefault="000429CB" w:rsidP="006B437A">
            <w:pPr>
              <w:pStyle w:val="exampleend0"/>
              <w:pBdr>
                <w:bottom w:val="none" w:sz="0" w:space="0" w:color="auto"/>
              </w:pBdr>
              <w:jc w:val="center"/>
              <w:rPr>
                <w:rFonts w:ascii="Arial" w:hAnsi="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6B437A" w:rsidRPr="00F5767F" w:rsidRDefault="000429CB" w:rsidP="006B437A">
            <w:pPr>
              <w:spacing w:before="100" w:after="100" w:line="276" w:lineRule="auto"/>
              <w:jc w:val="center"/>
              <w:rPr>
                <w:color w:val="auto"/>
                <w:sz w:val="18"/>
                <w:szCs w:val="18"/>
              </w:rPr>
            </w:pPr>
            <w:r w:rsidRPr="00F5767F">
              <w:rPr>
                <w:rFonts w:cs="Arial"/>
                <w:color w:val="auto"/>
                <w:sz w:val="18"/>
                <w:szCs w:val="18"/>
              </w:rPr>
              <w:t>Central Expenditure</w:t>
            </w:r>
          </w:p>
        </w:tc>
        <w:tc>
          <w:tcPr>
            <w:tcW w:w="1152" w:type="dxa"/>
            <w:shd w:val="clear" w:color="auto" w:fill="4BACC6" w:themeFill="accent5"/>
          </w:tcPr>
          <w:p w:rsidR="000429CB" w:rsidRPr="00F5767F" w:rsidRDefault="000429CB" w:rsidP="006B437A">
            <w:pPr>
              <w:spacing w:before="100" w:after="10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F5767F">
              <w:rPr>
                <w:rFonts w:cs="Arial"/>
                <w:color w:val="auto"/>
                <w:sz w:val="18"/>
                <w:szCs w:val="18"/>
              </w:rPr>
              <w:t>Individual Schools Budget</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4BACC6" w:themeFill="accent5"/>
          </w:tcPr>
          <w:p w:rsidR="000429CB" w:rsidRPr="00F5767F" w:rsidRDefault="000429CB" w:rsidP="006B437A">
            <w:pPr>
              <w:spacing w:before="100" w:after="100" w:line="276" w:lineRule="auto"/>
              <w:jc w:val="center"/>
              <w:rPr>
                <w:b w:val="0"/>
                <w:color w:val="auto"/>
                <w:sz w:val="18"/>
                <w:szCs w:val="18"/>
              </w:rPr>
            </w:pPr>
            <w:r w:rsidRPr="00F5767F">
              <w:rPr>
                <w:b w:val="0"/>
                <w:color w:val="auto"/>
                <w:sz w:val="18"/>
                <w:szCs w:val="18"/>
              </w:rPr>
              <w:t>Total</w:t>
            </w:r>
          </w:p>
        </w:tc>
      </w:tr>
      <w:tr w:rsidR="000429CB" w:rsidRPr="0005794A" w:rsidTr="00EF763C">
        <w:trPr>
          <w:trHeight w:val="367"/>
        </w:trPr>
        <w:tc>
          <w:tcPr>
            <w:cnfStyle w:val="001000000000" w:firstRow="0" w:lastRow="0" w:firstColumn="1" w:lastColumn="0" w:oddVBand="0" w:evenVBand="0" w:oddHBand="0" w:evenHBand="0" w:firstRowFirstColumn="0" w:firstRowLastColumn="0" w:lastRowFirstColumn="0" w:lastRowLastColumn="0"/>
            <w:tcW w:w="5245" w:type="dxa"/>
            <w:shd w:val="clear" w:color="auto" w:fill="4BACC6" w:themeFill="accent5"/>
          </w:tcPr>
          <w:p w:rsidR="000429CB" w:rsidRPr="00F5767F" w:rsidRDefault="000429CB" w:rsidP="000429CB">
            <w:pPr>
              <w:spacing w:before="100" w:after="100"/>
              <w:rPr>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4BACC6" w:themeColor="accent5"/>
            </w:tcBorders>
            <w:shd w:val="clear" w:color="auto" w:fill="4BACC6" w:themeFill="accent5"/>
          </w:tcPr>
          <w:p w:rsidR="000429CB" w:rsidRPr="00F5767F" w:rsidRDefault="000429CB" w:rsidP="000429CB">
            <w:pPr>
              <w:spacing w:before="100" w:after="100"/>
              <w:jc w:val="center"/>
              <w:rPr>
                <w:color w:val="auto"/>
                <w:sz w:val="18"/>
                <w:szCs w:val="18"/>
              </w:rPr>
            </w:pPr>
            <w:r w:rsidRPr="00F5767F">
              <w:rPr>
                <w:color w:val="auto"/>
                <w:sz w:val="18"/>
                <w:szCs w:val="18"/>
              </w:rPr>
              <w:t>£m</w:t>
            </w:r>
          </w:p>
        </w:tc>
        <w:tc>
          <w:tcPr>
            <w:tcW w:w="1152" w:type="dxa"/>
            <w:tcBorders>
              <w:bottom w:val="single" w:sz="4" w:space="0" w:color="4BACC6" w:themeColor="accent5"/>
            </w:tcBorders>
            <w:shd w:val="clear" w:color="auto" w:fill="4BACC6" w:themeFill="accent5"/>
          </w:tcPr>
          <w:p w:rsidR="000429CB" w:rsidRPr="00F5767F" w:rsidRDefault="000429CB" w:rsidP="000429CB">
            <w:pPr>
              <w:pStyle w:val="exampleend0"/>
              <w:pBdr>
                <w:bottom w:val="none" w:sz="0" w:space="0" w:color="auto"/>
              </w:pBdr>
              <w:jc w:val="center"/>
              <w:cnfStyle w:val="000000000000" w:firstRow="0" w:lastRow="0" w:firstColumn="0" w:lastColumn="0" w:oddVBand="0" w:evenVBand="0" w:oddHBand="0" w:evenHBand="0" w:firstRowFirstColumn="0" w:firstRowLastColumn="0" w:lastRowFirstColumn="0" w:lastRowLastColumn="0"/>
              <w:rPr>
                <w:rFonts w:ascii="Arial" w:hAnsi="Arial"/>
                <w:color w:val="auto"/>
                <w:sz w:val="18"/>
                <w:szCs w:val="18"/>
              </w:rPr>
            </w:pPr>
            <w:r w:rsidRPr="00F5767F">
              <w:rPr>
                <w:rFonts w:ascii="Arial" w:hAnsi="Arial"/>
                <w:color w:val="auto"/>
                <w:sz w:val="18"/>
                <w:szCs w:val="18"/>
              </w:rPr>
              <w:t>£m</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4BACC6" w:themeFill="accent5"/>
          </w:tcPr>
          <w:p w:rsidR="000429CB" w:rsidRPr="00F5767F" w:rsidRDefault="000429CB" w:rsidP="000429CB">
            <w:pPr>
              <w:pStyle w:val="exampleend0"/>
              <w:pBdr>
                <w:bottom w:val="none" w:sz="0" w:space="0" w:color="auto"/>
              </w:pBdr>
              <w:jc w:val="center"/>
              <w:rPr>
                <w:rFonts w:ascii="Arial" w:hAnsi="Arial"/>
                <w:b w:val="0"/>
                <w:color w:val="auto"/>
                <w:sz w:val="18"/>
                <w:szCs w:val="18"/>
              </w:rPr>
            </w:pPr>
            <w:r w:rsidRPr="00F5767F">
              <w:rPr>
                <w:rFonts w:ascii="Arial" w:hAnsi="Arial"/>
                <w:b w:val="0"/>
                <w:color w:val="auto"/>
                <w:sz w:val="18"/>
                <w:szCs w:val="18"/>
              </w:rPr>
              <w:t>£m</w:t>
            </w:r>
          </w:p>
        </w:tc>
      </w:tr>
      <w:tr w:rsidR="000429CB" w:rsidRPr="0005794A" w:rsidTr="00EF763C">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bottom w:val="none" w:sz="0" w:space="0" w:color="auto"/>
              <w:right w:val="none" w:sz="0" w:space="0" w:color="auto"/>
            </w:tcBorders>
          </w:tcPr>
          <w:p w:rsidR="000429CB" w:rsidRPr="00A36A09" w:rsidRDefault="000429CB" w:rsidP="009E188A">
            <w:pPr>
              <w:spacing w:before="100" w:after="100" w:line="240" w:lineRule="auto"/>
              <w:rPr>
                <w:b w:val="0"/>
                <w:color w:val="auto"/>
                <w:sz w:val="20"/>
                <w:szCs w:val="20"/>
              </w:rPr>
            </w:pPr>
            <w:r w:rsidRPr="00A36A09">
              <w:rPr>
                <w:b w:val="0"/>
                <w:color w:val="auto"/>
                <w:sz w:val="20"/>
                <w:szCs w:val="20"/>
              </w:rPr>
              <w:t xml:space="preserve">Final DSG for </w:t>
            </w:r>
            <w:r w:rsidR="009E188A" w:rsidRPr="00A36A09">
              <w:rPr>
                <w:b w:val="0"/>
                <w:color w:val="auto"/>
                <w:sz w:val="20"/>
                <w:szCs w:val="20"/>
              </w:rPr>
              <w:t>year</w:t>
            </w:r>
            <w:r w:rsidRPr="00A36A09">
              <w:rPr>
                <w:b w:val="0"/>
                <w:color w:val="auto"/>
                <w:sz w:val="20"/>
                <w:szCs w:val="20"/>
              </w:rPr>
              <w:t xml:space="preserve"> before Academy Recoupment</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pct10" w:color="auto" w:fill="auto"/>
            <w:vAlign w:val="center"/>
          </w:tcPr>
          <w:p w:rsidR="000429CB" w:rsidRPr="0005794A" w:rsidRDefault="000429CB" w:rsidP="00CF4D5C">
            <w:pPr>
              <w:spacing w:line="240" w:lineRule="auto"/>
              <w:jc w:val="center"/>
              <w:rPr>
                <w:rFonts w:cs="Arial"/>
                <w:color w:val="548DD4" w:themeColor="text2" w:themeTint="99"/>
                <w:sz w:val="20"/>
                <w:szCs w:val="20"/>
              </w:rPr>
            </w:pPr>
          </w:p>
        </w:tc>
        <w:tc>
          <w:tcPr>
            <w:tcW w:w="1152" w:type="dxa"/>
            <w:tcBorders>
              <w:top w:val="none" w:sz="0" w:space="0" w:color="auto"/>
              <w:bottom w:val="none" w:sz="0" w:space="0" w:color="auto"/>
            </w:tcBorders>
            <w:shd w:val="pct10" w:color="auto" w:fill="auto"/>
            <w:vAlign w:val="center"/>
          </w:tcPr>
          <w:p w:rsidR="000429CB" w:rsidRPr="0005794A" w:rsidRDefault="000429CB" w:rsidP="00CF4D5C">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20"/>
                <w:szCs w:val="20"/>
              </w:rPr>
            </w:pP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tcBorders>
            <w:vAlign w:val="center"/>
          </w:tcPr>
          <w:p w:rsidR="000429CB" w:rsidRPr="000F73A1" w:rsidRDefault="00045151" w:rsidP="00BC3AAD">
            <w:pPr>
              <w:spacing w:line="240" w:lineRule="auto"/>
              <w:jc w:val="center"/>
              <w:rPr>
                <w:rFonts w:cs="Arial"/>
                <w:b w:val="0"/>
                <w:color w:val="auto"/>
                <w:sz w:val="20"/>
                <w:szCs w:val="20"/>
              </w:rPr>
            </w:pPr>
            <w:r w:rsidRPr="000F73A1">
              <w:rPr>
                <w:rFonts w:cs="Arial"/>
                <w:b w:val="0"/>
                <w:color w:val="auto"/>
                <w:sz w:val="20"/>
                <w:szCs w:val="20"/>
              </w:rPr>
              <w:t>9</w:t>
            </w:r>
            <w:r w:rsidR="00A316B4" w:rsidRPr="000F73A1">
              <w:rPr>
                <w:rFonts w:cs="Arial"/>
                <w:b w:val="0"/>
                <w:color w:val="auto"/>
                <w:sz w:val="20"/>
                <w:szCs w:val="20"/>
              </w:rPr>
              <w:t>5.</w:t>
            </w:r>
            <w:r w:rsidR="00BC3AAD" w:rsidRPr="000F73A1">
              <w:rPr>
                <w:rFonts w:cs="Arial"/>
                <w:b w:val="0"/>
                <w:color w:val="auto"/>
                <w:sz w:val="20"/>
                <w:szCs w:val="20"/>
              </w:rPr>
              <w:t>4</w:t>
            </w:r>
          </w:p>
        </w:tc>
      </w:tr>
      <w:tr w:rsidR="000429CB" w:rsidRPr="0005794A" w:rsidTr="00EF763C">
        <w:trPr>
          <w:trHeight w:val="170"/>
        </w:trPr>
        <w:tc>
          <w:tcPr>
            <w:cnfStyle w:val="001000000000" w:firstRow="0" w:lastRow="0" w:firstColumn="1" w:lastColumn="0" w:oddVBand="0" w:evenVBand="0" w:oddHBand="0" w:evenHBand="0" w:firstRowFirstColumn="0" w:firstRowLastColumn="0" w:lastRowFirstColumn="0" w:lastRowLastColumn="0"/>
            <w:tcW w:w="5245" w:type="dxa"/>
            <w:tcBorders>
              <w:right w:val="none" w:sz="0" w:space="0" w:color="auto"/>
            </w:tcBorders>
          </w:tcPr>
          <w:p w:rsidR="000429CB" w:rsidRPr="00A36A09" w:rsidRDefault="00BD1287" w:rsidP="00A316B4">
            <w:pPr>
              <w:spacing w:before="100" w:after="100" w:line="240" w:lineRule="auto"/>
              <w:rPr>
                <w:b w:val="0"/>
                <w:color w:val="auto"/>
                <w:sz w:val="20"/>
                <w:szCs w:val="20"/>
              </w:rPr>
            </w:pPr>
            <w:r w:rsidRPr="00A36A09">
              <w:rPr>
                <w:b w:val="0"/>
                <w:color w:val="auto"/>
                <w:sz w:val="20"/>
                <w:szCs w:val="20"/>
              </w:rPr>
              <w:t xml:space="preserve">Less </w:t>
            </w:r>
            <w:r w:rsidR="000429CB" w:rsidRPr="00A36A09">
              <w:rPr>
                <w:b w:val="0"/>
                <w:color w:val="auto"/>
                <w:sz w:val="20"/>
                <w:szCs w:val="20"/>
              </w:rPr>
              <w:t xml:space="preserve">Academy figure </w:t>
            </w:r>
            <w:r w:rsidR="00A316B4">
              <w:rPr>
                <w:b w:val="0"/>
                <w:color w:val="auto"/>
                <w:sz w:val="20"/>
                <w:szCs w:val="20"/>
              </w:rPr>
              <w:t xml:space="preserve">and direct funding of Higher Needs </w:t>
            </w:r>
            <w:r w:rsidR="000429CB" w:rsidRPr="00A36A09">
              <w:rPr>
                <w:b w:val="0"/>
                <w:color w:val="auto"/>
                <w:sz w:val="20"/>
                <w:szCs w:val="20"/>
              </w:rPr>
              <w:t>recouped</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shd w:val="pct10" w:color="auto" w:fill="auto"/>
            <w:vAlign w:val="center"/>
          </w:tcPr>
          <w:p w:rsidR="000429CB" w:rsidRPr="0005794A" w:rsidRDefault="000429CB" w:rsidP="009B4032">
            <w:pPr>
              <w:spacing w:line="240" w:lineRule="auto"/>
              <w:jc w:val="center"/>
              <w:rPr>
                <w:rFonts w:cs="Arial"/>
                <w:color w:val="548DD4" w:themeColor="text2" w:themeTint="99"/>
                <w:sz w:val="20"/>
                <w:szCs w:val="20"/>
              </w:rPr>
            </w:pPr>
          </w:p>
        </w:tc>
        <w:tc>
          <w:tcPr>
            <w:tcW w:w="1152" w:type="dxa"/>
            <w:shd w:val="pct10" w:color="auto" w:fill="auto"/>
            <w:vAlign w:val="center"/>
          </w:tcPr>
          <w:p w:rsidR="000429CB" w:rsidRPr="0005794A" w:rsidRDefault="000429CB" w:rsidP="009B4032">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20"/>
                <w:szCs w:val="20"/>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vAlign w:val="center"/>
          </w:tcPr>
          <w:p w:rsidR="000429CB" w:rsidRPr="000F73A1" w:rsidRDefault="00C87044" w:rsidP="00A316B4">
            <w:pPr>
              <w:spacing w:line="240" w:lineRule="auto"/>
              <w:jc w:val="center"/>
              <w:rPr>
                <w:rFonts w:cs="Arial"/>
                <w:b w:val="0"/>
                <w:color w:val="auto"/>
                <w:sz w:val="20"/>
                <w:szCs w:val="20"/>
              </w:rPr>
            </w:pPr>
            <w:r w:rsidRPr="000F73A1">
              <w:rPr>
                <w:rFonts w:cs="Arial"/>
                <w:b w:val="0"/>
                <w:color w:val="auto"/>
                <w:sz w:val="20"/>
                <w:szCs w:val="20"/>
              </w:rPr>
              <w:t>(5</w:t>
            </w:r>
            <w:r w:rsidR="00A316B4" w:rsidRPr="000F73A1">
              <w:rPr>
                <w:rFonts w:cs="Arial"/>
                <w:b w:val="0"/>
                <w:color w:val="auto"/>
                <w:sz w:val="20"/>
                <w:szCs w:val="20"/>
              </w:rPr>
              <w:t>9.1</w:t>
            </w:r>
            <w:r w:rsidR="00BD1287" w:rsidRPr="000F73A1">
              <w:rPr>
                <w:rFonts w:cs="Arial"/>
                <w:b w:val="0"/>
                <w:color w:val="auto"/>
                <w:sz w:val="20"/>
                <w:szCs w:val="20"/>
              </w:rPr>
              <w:t>)</w:t>
            </w:r>
          </w:p>
        </w:tc>
      </w:tr>
      <w:tr w:rsidR="000429CB" w:rsidRPr="0005794A" w:rsidTr="00EF76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bottom w:val="none" w:sz="0" w:space="0" w:color="auto"/>
              <w:right w:val="none" w:sz="0" w:space="0" w:color="auto"/>
            </w:tcBorders>
          </w:tcPr>
          <w:p w:rsidR="000429CB" w:rsidRPr="00A36A09" w:rsidRDefault="000429CB" w:rsidP="009E188A">
            <w:pPr>
              <w:spacing w:before="100" w:after="100" w:line="240" w:lineRule="auto"/>
              <w:rPr>
                <w:color w:val="auto"/>
                <w:sz w:val="20"/>
                <w:szCs w:val="20"/>
              </w:rPr>
            </w:pPr>
            <w:r w:rsidRPr="00A36A09">
              <w:rPr>
                <w:color w:val="auto"/>
                <w:sz w:val="20"/>
                <w:szCs w:val="20"/>
              </w:rPr>
              <w:t>Total DSG after Academy Recoupment</w:t>
            </w:r>
            <w:r w:rsidR="009E188A" w:rsidRPr="00A36A09">
              <w:rPr>
                <w:color w:val="auto"/>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pct10" w:color="auto" w:fill="auto"/>
            <w:vAlign w:val="center"/>
          </w:tcPr>
          <w:p w:rsidR="000429CB" w:rsidRPr="0005794A" w:rsidRDefault="000429CB" w:rsidP="009B4032">
            <w:pPr>
              <w:spacing w:line="240" w:lineRule="auto"/>
              <w:jc w:val="center"/>
              <w:rPr>
                <w:rFonts w:cs="Arial"/>
                <w:b/>
                <w:color w:val="548DD4" w:themeColor="text2" w:themeTint="99"/>
                <w:sz w:val="20"/>
                <w:szCs w:val="20"/>
              </w:rPr>
            </w:pPr>
          </w:p>
        </w:tc>
        <w:tc>
          <w:tcPr>
            <w:tcW w:w="1152" w:type="dxa"/>
            <w:tcBorders>
              <w:top w:val="none" w:sz="0" w:space="0" w:color="auto"/>
              <w:bottom w:val="none" w:sz="0" w:space="0" w:color="auto"/>
            </w:tcBorders>
            <w:shd w:val="pct10" w:color="auto" w:fill="auto"/>
            <w:vAlign w:val="center"/>
          </w:tcPr>
          <w:p w:rsidR="000429CB" w:rsidRPr="0005794A" w:rsidRDefault="000429CB" w:rsidP="009B403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548DD4" w:themeColor="text2" w:themeTint="99"/>
                <w:sz w:val="20"/>
                <w:szCs w:val="20"/>
              </w:rPr>
            </w:pP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tcBorders>
            <w:vAlign w:val="center"/>
          </w:tcPr>
          <w:p w:rsidR="000429CB" w:rsidRPr="00045151" w:rsidRDefault="00045151" w:rsidP="00BC3AAD">
            <w:pPr>
              <w:spacing w:line="240" w:lineRule="auto"/>
              <w:jc w:val="center"/>
              <w:rPr>
                <w:rFonts w:cs="Arial"/>
                <w:color w:val="auto"/>
                <w:sz w:val="20"/>
                <w:szCs w:val="20"/>
              </w:rPr>
            </w:pPr>
            <w:r w:rsidRPr="00045151">
              <w:rPr>
                <w:rFonts w:cs="Arial"/>
                <w:color w:val="auto"/>
                <w:sz w:val="20"/>
                <w:szCs w:val="20"/>
              </w:rPr>
              <w:t>36.</w:t>
            </w:r>
            <w:r w:rsidR="00BC3AAD">
              <w:rPr>
                <w:rFonts w:cs="Arial"/>
                <w:color w:val="auto"/>
                <w:sz w:val="20"/>
                <w:szCs w:val="20"/>
              </w:rPr>
              <w:t>3</w:t>
            </w:r>
          </w:p>
        </w:tc>
      </w:tr>
      <w:tr w:rsidR="00AF46FC" w:rsidRPr="0005794A" w:rsidTr="00EF763C">
        <w:trPr>
          <w:trHeight w:val="170"/>
        </w:trPr>
        <w:tc>
          <w:tcPr>
            <w:cnfStyle w:val="001000000000" w:firstRow="0" w:lastRow="0" w:firstColumn="1" w:lastColumn="0" w:oddVBand="0" w:evenVBand="0" w:oddHBand="0" w:evenHBand="0" w:firstRowFirstColumn="0" w:firstRowLastColumn="0" w:lastRowFirstColumn="0" w:lastRowLastColumn="0"/>
            <w:tcW w:w="5245" w:type="dxa"/>
          </w:tcPr>
          <w:p w:rsidR="00AF46FC" w:rsidRPr="00A36A09" w:rsidRDefault="00AF46FC" w:rsidP="00A36A09">
            <w:pPr>
              <w:spacing w:before="100" w:after="100" w:line="240" w:lineRule="auto"/>
              <w:rPr>
                <w:b w:val="0"/>
                <w:color w:val="auto"/>
                <w:sz w:val="20"/>
                <w:szCs w:val="20"/>
              </w:rPr>
            </w:pPr>
            <w:r w:rsidRPr="00802ABC">
              <w:rPr>
                <w:b w:val="0"/>
                <w:color w:val="auto"/>
                <w:sz w:val="20"/>
                <w:szCs w:val="20"/>
              </w:rPr>
              <w:t>B</w:t>
            </w:r>
            <w:r w:rsidR="00615A0E" w:rsidRPr="00802ABC">
              <w:rPr>
                <w:b w:val="0"/>
                <w:color w:val="auto"/>
                <w:sz w:val="20"/>
                <w:szCs w:val="20"/>
              </w:rPr>
              <w:t>r</w:t>
            </w:r>
            <w:r w:rsidRPr="00802ABC">
              <w:rPr>
                <w:b w:val="0"/>
                <w:color w:val="auto"/>
                <w:sz w:val="20"/>
                <w:szCs w:val="20"/>
              </w:rPr>
              <w:t>ought</w:t>
            </w:r>
            <w:r w:rsidRPr="00A36A09">
              <w:rPr>
                <w:b w:val="0"/>
                <w:color w:val="auto"/>
                <w:sz w:val="20"/>
                <w:szCs w:val="20"/>
              </w:rPr>
              <w:t xml:space="preserve"> Forward from 201</w:t>
            </w:r>
            <w:r w:rsidR="00A36A09" w:rsidRPr="00A36A09">
              <w:rPr>
                <w:b w:val="0"/>
                <w:color w:val="auto"/>
                <w:sz w:val="20"/>
                <w:szCs w:val="20"/>
              </w:rPr>
              <w:t>6</w:t>
            </w:r>
            <w:r w:rsidRPr="00A36A09">
              <w:rPr>
                <w:b w:val="0"/>
                <w:color w:val="auto"/>
                <w:sz w:val="20"/>
                <w:szCs w:val="20"/>
              </w:rPr>
              <w:t>/1</w:t>
            </w:r>
            <w:r w:rsidR="00A36A09" w:rsidRPr="00A36A09">
              <w:rPr>
                <w:b w:val="0"/>
                <w:color w:val="auto"/>
                <w:sz w:val="20"/>
                <w:szCs w:val="20"/>
              </w:rPr>
              <w:t>7</w:t>
            </w:r>
          </w:p>
        </w:tc>
        <w:tc>
          <w:tcPr>
            <w:cnfStyle w:val="000010000000" w:firstRow="0" w:lastRow="0" w:firstColumn="0" w:lastColumn="0" w:oddVBand="1" w:evenVBand="0" w:oddHBand="0" w:evenHBand="0" w:firstRowFirstColumn="0" w:firstRowLastColumn="0" w:lastRowFirstColumn="0" w:lastRowLastColumn="0"/>
            <w:tcW w:w="1276" w:type="dxa"/>
            <w:shd w:val="pct10" w:color="auto" w:fill="auto"/>
            <w:vAlign w:val="center"/>
          </w:tcPr>
          <w:p w:rsidR="00AF46FC" w:rsidRPr="0005794A" w:rsidRDefault="00AF46FC" w:rsidP="009B4032">
            <w:pPr>
              <w:spacing w:line="240" w:lineRule="auto"/>
              <w:jc w:val="center"/>
              <w:rPr>
                <w:rFonts w:cs="Arial"/>
                <w:color w:val="548DD4" w:themeColor="text2" w:themeTint="99"/>
                <w:sz w:val="20"/>
                <w:szCs w:val="20"/>
              </w:rPr>
            </w:pPr>
          </w:p>
        </w:tc>
        <w:tc>
          <w:tcPr>
            <w:tcW w:w="1152" w:type="dxa"/>
            <w:shd w:val="pct10" w:color="auto" w:fill="auto"/>
            <w:vAlign w:val="center"/>
          </w:tcPr>
          <w:p w:rsidR="00AF46FC" w:rsidRPr="0005794A" w:rsidRDefault="00AF46FC" w:rsidP="00CF4D5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20"/>
                <w:szCs w:val="20"/>
              </w:rPr>
            </w:pP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AF46FC" w:rsidRPr="00045151" w:rsidRDefault="00AF46FC" w:rsidP="00045151">
            <w:pPr>
              <w:spacing w:line="240" w:lineRule="auto"/>
              <w:jc w:val="center"/>
              <w:rPr>
                <w:rFonts w:cs="Arial"/>
                <w:b w:val="0"/>
                <w:color w:val="auto"/>
                <w:sz w:val="20"/>
                <w:szCs w:val="20"/>
              </w:rPr>
            </w:pPr>
            <w:r w:rsidRPr="00045151">
              <w:rPr>
                <w:rFonts w:cs="Arial"/>
                <w:b w:val="0"/>
                <w:color w:val="auto"/>
                <w:sz w:val="20"/>
                <w:szCs w:val="20"/>
              </w:rPr>
              <w:t>0.</w:t>
            </w:r>
            <w:r w:rsidR="00045151" w:rsidRPr="00045151">
              <w:rPr>
                <w:rFonts w:cs="Arial"/>
                <w:b w:val="0"/>
                <w:color w:val="auto"/>
                <w:sz w:val="20"/>
                <w:szCs w:val="20"/>
              </w:rPr>
              <w:t>4</w:t>
            </w:r>
          </w:p>
        </w:tc>
      </w:tr>
      <w:tr w:rsidR="00065C6D" w:rsidRPr="0005794A" w:rsidTr="00EF76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bottom w:val="none" w:sz="0" w:space="0" w:color="auto"/>
              <w:right w:val="none" w:sz="0" w:space="0" w:color="auto"/>
            </w:tcBorders>
          </w:tcPr>
          <w:p w:rsidR="00065C6D" w:rsidRPr="00A36A09" w:rsidRDefault="00065C6D" w:rsidP="001E609C">
            <w:pPr>
              <w:spacing w:before="100" w:after="100" w:line="240" w:lineRule="auto"/>
              <w:rPr>
                <w:color w:val="auto"/>
                <w:sz w:val="20"/>
                <w:szCs w:val="20"/>
              </w:rPr>
            </w:pPr>
            <w:r w:rsidRPr="00A36A09">
              <w:rPr>
                <w:color w:val="auto"/>
                <w:sz w:val="20"/>
                <w:szCs w:val="20"/>
              </w:rPr>
              <w:t xml:space="preserve">Agreed initial budgeted distribution in </w:t>
            </w:r>
            <w:r w:rsidR="009E188A" w:rsidRPr="00A36A09">
              <w:rPr>
                <w:color w:val="auto"/>
                <w:sz w:val="20"/>
                <w:szCs w:val="20"/>
              </w:rPr>
              <w:t>year</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tcPr>
          <w:p w:rsidR="00065C6D" w:rsidRPr="00A316B4" w:rsidRDefault="00AF46FC" w:rsidP="00BC3AAD">
            <w:pPr>
              <w:spacing w:line="240" w:lineRule="auto"/>
              <w:jc w:val="center"/>
              <w:rPr>
                <w:rFonts w:cs="Arial"/>
                <w:b/>
                <w:color w:val="auto"/>
                <w:sz w:val="20"/>
                <w:szCs w:val="20"/>
              </w:rPr>
            </w:pPr>
            <w:r w:rsidRPr="00A316B4">
              <w:rPr>
                <w:rFonts w:cs="Arial"/>
                <w:b/>
                <w:color w:val="auto"/>
                <w:sz w:val="20"/>
                <w:szCs w:val="20"/>
              </w:rPr>
              <w:t>1</w:t>
            </w:r>
            <w:r w:rsidR="00BC3AAD">
              <w:rPr>
                <w:rFonts w:cs="Arial"/>
                <w:b/>
                <w:color w:val="auto"/>
                <w:sz w:val="20"/>
                <w:szCs w:val="20"/>
              </w:rPr>
              <w:t>9.0</w:t>
            </w:r>
          </w:p>
        </w:tc>
        <w:tc>
          <w:tcPr>
            <w:tcW w:w="1152" w:type="dxa"/>
            <w:tcBorders>
              <w:top w:val="none" w:sz="0" w:space="0" w:color="auto"/>
              <w:bottom w:val="none" w:sz="0" w:space="0" w:color="auto"/>
            </w:tcBorders>
            <w:vAlign w:val="center"/>
          </w:tcPr>
          <w:p w:rsidR="00065C6D" w:rsidRPr="00A316B4" w:rsidRDefault="00BC3AAD" w:rsidP="00BC3AA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17.7</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tcBorders>
            <w:vAlign w:val="center"/>
          </w:tcPr>
          <w:p w:rsidR="00065C6D" w:rsidRPr="00A316B4" w:rsidRDefault="00045151" w:rsidP="00BC3AAD">
            <w:pPr>
              <w:spacing w:line="240" w:lineRule="auto"/>
              <w:jc w:val="center"/>
              <w:rPr>
                <w:rFonts w:cs="Arial"/>
                <w:color w:val="auto"/>
                <w:sz w:val="20"/>
                <w:szCs w:val="20"/>
              </w:rPr>
            </w:pPr>
            <w:r w:rsidRPr="00A316B4">
              <w:rPr>
                <w:rFonts w:cs="Arial"/>
                <w:color w:val="auto"/>
                <w:sz w:val="20"/>
                <w:szCs w:val="20"/>
              </w:rPr>
              <w:t>36.</w:t>
            </w:r>
            <w:r w:rsidR="00BC3AAD">
              <w:rPr>
                <w:rFonts w:cs="Arial"/>
                <w:color w:val="auto"/>
                <w:sz w:val="20"/>
                <w:szCs w:val="20"/>
              </w:rPr>
              <w:t>7</w:t>
            </w:r>
          </w:p>
        </w:tc>
      </w:tr>
      <w:tr w:rsidR="00AF46FC" w:rsidRPr="0005794A" w:rsidTr="00EF763C">
        <w:trPr>
          <w:trHeight w:val="463"/>
        </w:trPr>
        <w:tc>
          <w:tcPr>
            <w:cnfStyle w:val="001000000000" w:firstRow="0" w:lastRow="0" w:firstColumn="1" w:lastColumn="0" w:oddVBand="0" w:evenVBand="0" w:oddHBand="0" w:evenHBand="0" w:firstRowFirstColumn="0" w:firstRowLastColumn="0" w:lastRowFirstColumn="0" w:lastRowLastColumn="0"/>
            <w:tcW w:w="5245" w:type="dxa"/>
          </w:tcPr>
          <w:p w:rsidR="00AF46FC" w:rsidRPr="00BC3AAD" w:rsidRDefault="00AF46FC" w:rsidP="001E609C">
            <w:pPr>
              <w:spacing w:before="100" w:after="100" w:line="240" w:lineRule="auto"/>
              <w:rPr>
                <w:b w:val="0"/>
                <w:color w:val="auto"/>
                <w:sz w:val="20"/>
                <w:szCs w:val="20"/>
              </w:rPr>
            </w:pPr>
            <w:r w:rsidRPr="00BC3AAD">
              <w:rPr>
                <w:b w:val="0"/>
                <w:color w:val="auto"/>
                <w:sz w:val="20"/>
                <w:szCs w:val="20"/>
              </w:rPr>
              <w:t>In year Adjustments</w:t>
            </w: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AF46FC" w:rsidRPr="00BC3AAD" w:rsidRDefault="00045151" w:rsidP="00CF4D5C">
            <w:pPr>
              <w:spacing w:line="240" w:lineRule="auto"/>
              <w:jc w:val="center"/>
              <w:rPr>
                <w:rFonts w:cs="Arial"/>
                <w:color w:val="auto"/>
                <w:sz w:val="20"/>
                <w:szCs w:val="20"/>
              </w:rPr>
            </w:pPr>
            <w:r w:rsidRPr="00BC3AAD">
              <w:rPr>
                <w:rFonts w:cs="Arial"/>
                <w:color w:val="auto"/>
                <w:sz w:val="20"/>
                <w:szCs w:val="20"/>
              </w:rPr>
              <w:t>0</w:t>
            </w:r>
            <w:r w:rsidR="00BC3AAD" w:rsidRPr="00BC3AAD">
              <w:rPr>
                <w:rFonts w:cs="Arial"/>
                <w:color w:val="auto"/>
                <w:sz w:val="20"/>
                <w:szCs w:val="20"/>
              </w:rPr>
              <w:t>.1</w:t>
            </w:r>
          </w:p>
        </w:tc>
        <w:tc>
          <w:tcPr>
            <w:tcW w:w="1152" w:type="dxa"/>
            <w:vAlign w:val="center"/>
          </w:tcPr>
          <w:p w:rsidR="00AF46FC" w:rsidRPr="00BC3AAD" w:rsidRDefault="00AF46FC" w:rsidP="00CF4D5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C3AAD">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vAlign w:val="center"/>
          </w:tcPr>
          <w:p w:rsidR="00BC3AAD" w:rsidRPr="00BC3AAD" w:rsidRDefault="00045151" w:rsidP="000F73A1">
            <w:pPr>
              <w:spacing w:line="240" w:lineRule="auto"/>
              <w:jc w:val="center"/>
              <w:rPr>
                <w:rFonts w:cs="Arial"/>
                <w:b w:val="0"/>
                <w:color w:val="auto"/>
                <w:sz w:val="20"/>
                <w:szCs w:val="20"/>
              </w:rPr>
            </w:pPr>
            <w:r w:rsidRPr="00BC3AAD">
              <w:rPr>
                <w:rFonts w:cs="Arial"/>
                <w:b w:val="0"/>
                <w:color w:val="auto"/>
                <w:sz w:val="20"/>
                <w:szCs w:val="20"/>
              </w:rPr>
              <w:t>0</w:t>
            </w:r>
            <w:r w:rsidR="00BC3AAD" w:rsidRPr="00BC3AAD">
              <w:rPr>
                <w:rFonts w:cs="Arial"/>
                <w:b w:val="0"/>
                <w:color w:val="auto"/>
                <w:sz w:val="20"/>
                <w:szCs w:val="20"/>
              </w:rPr>
              <w:t>.1</w:t>
            </w:r>
          </w:p>
        </w:tc>
      </w:tr>
      <w:tr w:rsidR="00065C6D" w:rsidRPr="0005794A" w:rsidTr="00EF76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245" w:type="dxa"/>
            <w:tcBorders>
              <w:right w:val="none" w:sz="0" w:space="0" w:color="auto"/>
            </w:tcBorders>
          </w:tcPr>
          <w:p w:rsidR="00065C6D" w:rsidRPr="00A36A09" w:rsidRDefault="00065C6D" w:rsidP="001E609C">
            <w:pPr>
              <w:spacing w:before="100" w:after="100" w:line="240" w:lineRule="auto"/>
              <w:rPr>
                <w:color w:val="auto"/>
                <w:sz w:val="20"/>
                <w:szCs w:val="20"/>
              </w:rPr>
            </w:pPr>
            <w:r w:rsidRPr="00A36A09">
              <w:rPr>
                <w:color w:val="auto"/>
                <w:sz w:val="20"/>
                <w:szCs w:val="20"/>
              </w:rPr>
              <w:t xml:space="preserve">Final budgeted distribution for </w:t>
            </w:r>
            <w:r w:rsidR="009E188A" w:rsidRPr="00A36A09">
              <w:rPr>
                <w:color w:val="auto"/>
                <w:sz w:val="20"/>
                <w:szCs w:val="20"/>
              </w:rPr>
              <w:t>year</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vAlign w:val="center"/>
          </w:tcPr>
          <w:p w:rsidR="00065C6D" w:rsidRPr="00A316B4" w:rsidRDefault="00AF46FC" w:rsidP="00A316B4">
            <w:pPr>
              <w:spacing w:line="240" w:lineRule="auto"/>
              <w:jc w:val="center"/>
              <w:rPr>
                <w:rFonts w:cs="Arial"/>
                <w:b/>
                <w:color w:val="auto"/>
                <w:sz w:val="20"/>
                <w:szCs w:val="20"/>
              </w:rPr>
            </w:pPr>
            <w:r w:rsidRPr="00A316B4">
              <w:rPr>
                <w:rFonts w:cs="Arial"/>
                <w:b/>
                <w:color w:val="auto"/>
                <w:sz w:val="20"/>
                <w:szCs w:val="20"/>
              </w:rPr>
              <w:t>1</w:t>
            </w:r>
            <w:r w:rsidR="00BC3AAD">
              <w:rPr>
                <w:rFonts w:cs="Arial"/>
                <w:b/>
                <w:color w:val="auto"/>
                <w:sz w:val="20"/>
                <w:szCs w:val="20"/>
              </w:rPr>
              <w:t>9.1</w:t>
            </w:r>
          </w:p>
        </w:tc>
        <w:tc>
          <w:tcPr>
            <w:tcW w:w="1152" w:type="dxa"/>
            <w:vAlign w:val="center"/>
          </w:tcPr>
          <w:p w:rsidR="00065C6D" w:rsidRPr="00A316B4" w:rsidRDefault="00BC3AAD" w:rsidP="00A316B4">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17.7</w:t>
            </w: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vAlign w:val="center"/>
          </w:tcPr>
          <w:p w:rsidR="00065C6D" w:rsidRPr="00A316B4" w:rsidRDefault="00AF46FC" w:rsidP="00045151">
            <w:pPr>
              <w:spacing w:line="240" w:lineRule="auto"/>
              <w:jc w:val="center"/>
              <w:rPr>
                <w:rFonts w:cs="Arial"/>
                <w:color w:val="auto"/>
                <w:sz w:val="20"/>
                <w:szCs w:val="20"/>
              </w:rPr>
            </w:pPr>
            <w:r w:rsidRPr="00A316B4">
              <w:rPr>
                <w:rFonts w:cs="Arial"/>
                <w:color w:val="auto"/>
                <w:sz w:val="20"/>
                <w:szCs w:val="20"/>
              </w:rPr>
              <w:t>36.</w:t>
            </w:r>
            <w:r w:rsidR="00045151" w:rsidRPr="00A316B4">
              <w:rPr>
                <w:rFonts w:cs="Arial"/>
                <w:color w:val="auto"/>
                <w:sz w:val="20"/>
                <w:szCs w:val="20"/>
              </w:rPr>
              <w:t>8</w:t>
            </w:r>
          </w:p>
        </w:tc>
      </w:tr>
      <w:tr w:rsidR="00065C6D" w:rsidRPr="0005794A" w:rsidTr="00EF763C">
        <w:trPr>
          <w:trHeight w:val="170"/>
        </w:trPr>
        <w:tc>
          <w:tcPr>
            <w:cnfStyle w:val="001000000000" w:firstRow="0" w:lastRow="0" w:firstColumn="1" w:lastColumn="0" w:oddVBand="0" w:evenVBand="0" w:oddHBand="0" w:evenHBand="0" w:firstRowFirstColumn="0" w:firstRowLastColumn="0" w:lastRowFirstColumn="0" w:lastRowLastColumn="0"/>
            <w:tcW w:w="5245" w:type="dxa"/>
            <w:tcBorders>
              <w:right w:val="none" w:sz="0" w:space="0" w:color="auto"/>
            </w:tcBorders>
          </w:tcPr>
          <w:p w:rsidR="00065C6D" w:rsidRPr="00A36A09" w:rsidRDefault="00065C6D" w:rsidP="000429CB">
            <w:pPr>
              <w:spacing w:before="100" w:after="100" w:line="240" w:lineRule="auto"/>
              <w:rPr>
                <w:b w:val="0"/>
                <w:color w:val="auto"/>
                <w:sz w:val="20"/>
                <w:szCs w:val="20"/>
              </w:rPr>
            </w:pPr>
            <w:r w:rsidRPr="00A36A09">
              <w:rPr>
                <w:b w:val="0"/>
                <w:color w:val="auto"/>
                <w:sz w:val="20"/>
                <w:szCs w:val="20"/>
              </w:rPr>
              <w:t>Less: Actual Central Expenditure</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vAlign w:val="center"/>
          </w:tcPr>
          <w:p w:rsidR="00065C6D" w:rsidRPr="00A316B4" w:rsidRDefault="00BD1287" w:rsidP="00BC3AAD">
            <w:pPr>
              <w:spacing w:line="240" w:lineRule="auto"/>
              <w:jc w:val="center"/>
              <w:rPr>
                <w:rFonts w:cs="Arial"/>
                <w:color w:val="auto"/>
                <w:sz w:val="20"/>
                <w:szCs w:val="20"/>
              </w:rPr>
            </w:pPr>
            <w:r w:rsidRPr="00A316B4">
              <w:rPr>
                <w:rFonts w:cs="Arial"/>
                <w:color w:val="auto"/>
                <w:sz w:val="20"/>
                <w:szCs w:val="20"/>
              </w:rPr>
              <w:t>(</w:t>
            </w:r>
            <w:r w:rsidR="00BC3AAD">
              <w:rPr>
                <w:rFonts w:cs="Arial"/>
                <w:color w:val="auto"/>
                <w:sz w:val="20"/>
                <w:szCs w:val="20"/>
              </w:rPr>
              <w:t>20.1</w:t>
            </w:r>
            <w:r w:rsidRPr="00A316B4">
              <w:rPr>
                <w:rFonts w:cs="Arial"/>
                <w:color w:val="auto"/>
                <w:sz w:val="20"/>
                <w:szCs w:val="20"/>
              </w:rPr>
              <w:t>)</w:t>
            </w:r>
          </w:p>
        </w:tc>
        <w:tc>
          <w:tcPr>
            <w:tcW w:w="1152" w:type="dxa"/>
            <w:vAlign w:val="center"/>
          </w:tcPr>
          <w:p w:rsidR="00065C6D" w:rsidRPr="00A316B4" w:rsidRDefault="00BD1287" w:rsidP="00CF4D5C">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A316B4">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vAlign w:val="center"/>
          </w:tcPr>
          <w:p w:rsidR="00065C6D" w:rsidRPr="00A316B4" w:rsidRDefault="00BD1287" w:rsidP="00BC3AAD">
            <w:pPr>
              <w:spacing w:line="240" w:lineRule="auto"/>
              <w:jc w:val="center"/>
              <w:rPr>
                <w:rFonts w:cs="Arial"/>
                <w:b w:val="0"/>
                <w:color w:val="auto"/>
                <w:sz w:val="20"/>
                <w:szCs w:val="20"/>
              </w:rPr>
            </w:pPr>
            <w:r w:rsidRPr="00A316B4">
              <w:rPr>
                <w:rFonts w:cs="Arial"/>
                <w:b w:val="0"/>
                <w:color w:val="auto"/>
                <w:sz w:val="20"/>
                <w:szCs w:val="20"/>
              </w:rPr>
              <w:t>(</w:t>
            </w:r>
            <w:r w:rsidR="00BC3AAD">
              <w:rPr>
                <w:rFonts w:cs="Arial"/>
                <w:b w:val="0"/>
                <w:color w:val="auto"/>
                <w:sz w:val="20"/>
                <w:szCs w:val="20"/>
              </w:rPr>
              <w:t>20.1</w:t>
            </w:r>
            <w:r w:rsidRPr="00A316B4">
              <w:rPr>
                <w:rFonts w:cs="Arial"/>
                <w:b w:val="0"/>
                <w:color w:val="auto"/>
                <w:sz w:val="20"/>
                <w:szCs w:val="20"/>
              </w:rPr>
              <w:t>)</w:t>
            </w:r>
          </w:p>
        </w:tc>
      </w:tr>
      <w:tr w:rsidR="00065C6D" w:rsidRPr="0005794A" w:rsidTr="00EF76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245" w:type="dxa"/>
            <w:tcBorders>
              <w:right w:val="none" w:sz="0" w:space="0" w:color="auto"/>
            </w:tcBorders>
          </w:tcPr>
          <w:p w:rsidR="00065C6D" w:rsidRPr="00A36A09" w:rsidRDefault="00065C6D" w:rsidP="000429CB">
            <w:pPr>
              <w:spacing w:before="100" w:after="100" w:line="240" w:lineRule="auto"/>
              <w:rPr>
                <w:b w:val="0"/>
                <w:color w:val="auto"/>
                <w:sz w:val="20"/>
                <w:szCs w:val="20"/>
              </w:rPr>
            </w:pPr>
            <w:r w:rsidRPr="00A36A09">
              <w:rPr>
                <w:b w:val="0"/>
                <w:color w:val="auto"/>
                <w:sz w:val="20"/>
                <w:szCs w:val="20"/>
              </w:rPr>
              <w:t>Less: Actual ISB deployed to schools</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vAlign w:val="center"/>
          </w:tcPr>
          <w:p w:rsidR="00065C6D" w:rsidRPr="00A316B4" w:rsidRDefault="00BD1287" w:rsidP="00CF4D5C">
            <w:pPr>
              <w:spacing w:line="240" w:lineRule="auto"/>
              <w:jc w:val="center"/>
              <w:rPr>
                <w:rFonts w:cs="Arial"/>
                <w:color w:val="auto"/>
                <w:sz w:val="20"/>
                <w:szCs w:val="20"/>
              </w:rPr>
            </w:pPr>
            <w:r w:rsidRPr="00A316B4">
              <w:rPr>
                <w:rFonts w:cs="Arial"/>
                <w:color w:val="auto"/>
                <w:sz w:val="20"/>
                <w:szCs w:val="20"/>
              </w:rPr>
              <w:t>0</w:t>
            </w:r>
          </w:p>
        </w:tc>
        <w:tc>
          <w:tcPr>
            <w:tcW w:w="1152" w:type="dxa"/>
            <w:vAlign w:val="center"/>
          </w:tcPr>
          <w:p w:rsidR="00065C6D" w:rsidRPr="00A316B4" w:rsidRDefault="00BD1287" w:rsidP="00BC3AA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316B4">
              <w:rPr>
                <w:rFonts w:cs="Arial"/>
                <w:color w:val="auto"/>
                <w:sz w:val="20"/>
                <w:szCs w:val="20"/>
              </w:rPr>
              <w:t>(</w:t>
            </w:r>
            <w:r w:rsidR="00BC3AAD">
              <w:rPr>
                <w:rFonts w:cs="Arial"/>
                <w:color w:val="auto"/>
                <w:sz w:val="20"/>
                <w:szCs w:val="20"/>
              </w:rPr>
              <w:t>17.7</w:t>
            </w:r>
            <w:r w:rsidRPr="00A316B4">
              <w:rPr>
                <w:rFonts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vAlign w:val="center"/>
          </w:tcPr>
          <w:p w:rsidR="00065C6D" w:rsidRPr="00A316B4" w:rsidRDefault="00BD1287" w:rsidP="00BC3AAD">
            <w:pPr>
              <w:spacing w:line="240" w:lineRule="auto"/>
              <w:jc w:val="center"/>
              <w:rPr>
                <w:rFonts w:cs="Arial"/>
                <w:b w:val="0"/>
                <w:color w:val="auto"/>
                <w:sz w:val="20"/>
                <w:szCs w:val="20"/>
              </w:rPr>
            </w:pPr>
            <w:r w:rsidRPr="00A316B4">
              <w:rPr>
                <w:rFonts w:cs="Arial"/>
                <w:b w:val="0"/>
                <w:color w:val="auto"/>
                <w:sz w:val="20"/>
                <w:szCs w:val="20"/>
              </w:rPr>
              <w:t>(</w:t>
            </w:r>
            <w:r w:rsidR="00BC3AAD">
              <w:rPr>
                <w:rFonts w:cs="Arial"/>
                <w:b w:val="0"/>
                <w:color w:val="auto"/>
                <w:sz w:val="20"/>
                <w:szCs w:val="20"/>
              </w:rPr>
              <w:t>17.7</w:t>
            </w:r>
            <w:r w:rsidRPr="00A316B4">
              <w:rPr>
                <w:rFonts w:cs="Arial"/>
                <w:b w:val="0"/>
                <w:color w:val="auto"/>
                <w:sz w:val="20"/>
                <w:szCs w:val="20"/>
              </w:rPr>
              <w:t>)</w:t>
            </w:r>
          </w:p>
        </w:tc>
      </w:tr>
      <w:tr w:rsidR="00065C6D" w:rsidRPr="0005794A" w:rsidTr="00EF763C">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5245" w:type="dxa"/>
            <w:tcBorders>
              <w:top w:val="none" w:sz="0" w:space="0" w:color="auto"/>
              <w:right w:val="none" w:sz="0" w:space="0" w:color="auto"/>
            </w:tcBorders>
          </w:tcPr>
          <w:p w:rsidR="00065C6D" w:rsidRPr="00A36A09" w:rsidRDefault="00065C6D" w:rsidP="006B437A">
            <w:pPr>
              <w:spacing w:before="100" w:after="100" w:line="240" w:lineRule="auto"/>
              <w:rPr>
                <w:color w:val="auto"/>
                <w:sz w:val="20"/>
                <w:szCs w:val="20"/>
              </w:rPr>
            </w:pPr>
            <w:r w:rsidRPr="00A36A09">
              <w:rPr>
                <w:color w:val="auto"/>
                <w:sz w:val="20"/>
                <w:szCs w:val="20"/>
              </w:rPr>
              <w:t xml:space="preserve">Carry forward </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right w:val="none" w:sz="0" w:space="0" w:color="auto"/>
            </w:tcBorders>
            <w:vAlign w:val="center"/>
          </w:tcPr>
          <w:p w:rsidR="00065C6D" w:rsidRPr="00A316B4" w:rsidRDefault="00FD31A2" w:rsidP="00BC3AAD">
            <w:pPr>
              <w:spacing w:line="240" w:lineRule="auto"/>
              <w:jc w:val="center"/>
              <w:rPr>
                <w:rFonts w:cs="Arial"/>
                <w:color w:val="auto"/>
                <w:sz w:val="20"/>
                <w:szCs w:val="20"/>
              </w:rPr>
            </w:pPr>
            <w:r w:rsidRPr="00A316B4">
              <w:rPr>
                <w:rFonts w:cs="Arial"/>
                <w:color w:val="auto"/>
                <w:sz w:val="20"/>
                <w:szCs w:val="20"/>
              </w:rPr>
              <w:t>(</w:t>
            </w:r>
            <w:r w:rsidR="00BC3AAD">
              <w:rPr>
                <w:rFonts w:cs="Arial"/>
                <w:color w:val="auto"/>
                <w:sz w:val="20"/>
                <w:szCs w:val="20"/>
              </w:rPr>
              <w:t>1.0</w:t>
            </w:r>
            <w:r w:rsidRPr="00A316B4">
              <w:rPr>
                <w:rFonts w:cs="Arial"/>
                <w:color w:val="auto"/>
                <w:sz w:val="20"/>
                <w:szCs w:val="20"/>
              </w:rPr>
              <w:t>)</w:t>
            </w:r>
          </w:p>
        </w:tc>
        <w:tc>
          <w:tcPr>
            <w:tcW w:w="1152" w:type="dxa"/>
            <w:tcBorders>
              <w:top w:val="none" w:sz="0" w:space="0" w:color="auto"/>
            </w:tcBorders>
            <w:vAlign w:val="center"/>
          </w:tcPr>
          <w:p w:rsidR="00065C6D" w:rsidRPr="00A316B4" w:rsidRDefault="00BD1287" w:rsidP="00CF4D5C">
            <w:pPr>
              <w:spacing w:line="240" w:lineRule="auto"/>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rPr>
            </w:pPr>
            <w:r w:rsidRPr="00A316B4">
              <w:rPr>
                <w:rFonts w:cs="Arial"/>
                <w:color w:val="auto"/>
                <w:sz w:val="20"/>
                <w:szCs w:val="20"/>
              </w:rPr>
              <w:t>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vAlign w:val="center"/>
          </w:tcPr>
          <w:p w:rsidR="00065C6D" w:rsidRPr="00A316B4" w:rsidRDefault="00FD31A2" w:rsidP="00BC3AAD">
            <w:pPr>
              <w:spacing w:line="240" w:lineRule="auto"/>
              <w:jc w:val="center"/>
              <w:rPr>
                <w:rFonts w:cs="Arial"/>
                <w:color w:val="auto"/>
                <w:sz w:val="20"/>
                <w:szCs w:val="20"/>
              </w:rPr>
            </w:pPr>
            <w:r w:rsidRPr="00A316B4">
              <w:rPr>
                <w:rFonts w:cs="Arial"/>
                <w:color w:val="auto"/>
                <w:sz w:val="20"/>
                <w:szCs w:val="20"/>
              </w:rPr>
              <w:t>(</w:t>
            </w:r>
            <w:r w:rsidR="00BC3AAD">
              <w:rPr>
                <w:rFonts w:cs="Arial"/>
                <w:color w:val="auto"/>
                <w:sz w:val="20"/>
                <w:szCs w:val="20"/>
              </w:rPr>
              <w:t>1.0</w:t>
            </w:r>
            <w:r w:rsidRPr="00A316B4">
              <w:rPr>
                <w:rFonts w:cs="Arial"/>
                <w:color w:val="auto"/>
                <w:sz w:val="20"/>
                <w:szCs w:val="20"/>
              </w:rPr>
              <w:t>)</w:t>
            </w:r>
          </w:p>
        </w:tc>
      </w:tr>
    </w:tbl>
    <w:p w:rsidR="00E51139" w:rsidRPr="00C87044" w:rsidRDefault="00E51139" w:rsidP="006B437A">
      <w:pPr>
        <w:pStyle w:val="ExampleSub"/>
        <w:keepNext w:val="0"/>
        <w:keepLines w:val="0"/>
        <w:spacing w:before="0" w:line="240" w:lineRule="auto"/>
        <w:ind w:left="0" w:firstLine="567"/>
        <w:rPr>
          <w:rFonts w:ascii="Arial" w:hAnsi="Arial" w:cs="Arial"/>
          <w:b w:val="0"/>
          <w:bCs w:val="0"/>
          <w:color w:val="auto"/>
          <w:sz w:val="20"/>
          <w:szCs w:val="20"/>
        </w:rPr>
      </w:pPr>
      <w:r w:rsidRPr="00C87044">
        <w:rPr>
          <w:rFonts w:ascii="Arial" w:hAnsi="Arial" w:cs="Arial"/>
          <w:b w:val="0"/>
          <w:bCs w:val="0"/>
          <w:color w:val="auto"/>
          <w:sz w:val="20"/>
          <w:szCs w:val="20"/>
        </w:rPr>
        <w:t>*   Value of DSG reflected in Council’s Comprehensive Income and Expenditure Statement</w:t>
      </w:r>
    </w:p>
    <w:p w:rsidR="007636E5" w:rsidRPr="0005794A" w:rsidRDefault="007636E5" w:rsidP="006B437A">
      <w:pPr>
        <w:pStyle w:val="ExampleSub"/>
        <w:keepNext w:val="0"/>
        <w:keepLines w:val="0"/>
        <w:spacing w:before="0" w:line="240" w:lineRule="auto"/>
        <w:ind w:left="0" w:firstLine="567"/>
        <w:rPr>
          <w:rFonts w:ascii="Arial" w:hAnsi="Arial" w:cs="Arial"/>
          <w:b w:val="0"/>
          <w:bCs w:val="0"/>
          <w:color w:val="548DD4" w:themeColor="text2" w:themeTint="99"/>
          <w:sz w:val="20"/>
          <w:szCs w:val="20"/>
        </w:rPr>
      </w:pPr>
    </w:p>
    <w:p w:rsidR="00922D1C" w:rsidRPr="0005794A" w:rsidRDefault="00922D1C" w:rsidP="006B437A">
      <w:pPr>
        <w:pStyle w:val="ExampleSub"/>
        <w:keepNext w:val="0"/>
        <w:keepLines w:val="0"/>
        <w:spacing w:before="0" w:line="240" w:lineRule="auto"/>
        <w:ind w:left="0" w:firstLine="567"/>
        <w:rPr>
          <w:rFonts w:ascii="Arial" w:hAnsi="Arial" w:cs="Arial"/>
          <w:b w:val="0"/>
          <w:bCs w:val="0"/>
          <w:color w:val="548DD4" w:themeColor="text2" w:themeTint="99"/>
          <w:sz w:val="20"/>
          <w:szCs w:val="20"/>
        </w:rPr>
      </w:pPr>
    </w:p>
    <w:p w:rsidR="00E51139" w:rsidRPr="005615F7" w:rsidRDefault="005C68D8" w:rsidP="00845AAC">
      <w:pPr>
        <w:pStyle w:val="Subtitle"/>
        <w:ind w:left="567" w:hanging="567"/>
        <w:rPr>
          <w:b/>
          <w:color w:val="auto"/>
          <w:sz w:val="22"/>
          <w:szCs w:val="22"/>
        </w:rPr>
      </w:pPr>
      <w:r w:rsidRPr="005615F7">
        <w:rPr>
          <w:b/>
          <w:color w:val="auto"/>
          <w:sz w:val="22"/>
          <w:szCs w:val="22"/>
        </w:rPr>
        <w:t>3</w:t>
      </w:r>
      <w:r w:rsidR="00AF46FC" w:rsidRPr="005615F7">
        <w:rPr>
          <w:b/>
          <w:color w:val="auto"/>
          <w:sz w:val="22"/>
          <w:szCs w:val="22"/>
        </w:rPr>
        <w:t>2</w:t>
      </w:r>
      <w:r w:rsidR="00E51139" w:rsidRPr="005615F7">
        <w:rPr>
          <w:b/>
          <w:color w:val="auto"/>
          <w:sz w:val="22"/>
          <w:szCs w:val="22"/>
        </w:rPr>
        <w:t>.</w:t>
      </w:r>
      <w:r w:rsidR="00E51139" w:rsidRPr="005615F7">
        <w:rPr>
          <w:b/>
          <w:color w:val="auto"/>
          <w:sz w:val="22"/>
          <w:szCs w:val="22"/>
        </w:rPr>
        <w:tab/>
        <w:t>Grant Income</w:t>
      </w:r>
    </w:p>
    <w:p w:rsidR="00320187" w:rsidRPr="005615F7" w:rsidRDefault="00E51139" w:rsidP="00925CFB">
      <w:pPr>
        <w:pStyle w:val="CodeNotesExampleText"/>
        <w:widowControl w:val="0"/>
        <w:ind w:left="567"/>
        <w:outlineLvl w:val="0"/>
        <w:rPr>
          <w:rFonts w:cs="Arial"/>
          <w:color w:val="auto"/>
          <w:sz w:val="20"/>
          <w:szCs w:val="20"/>
        </w:rPr>
      </w:pPr>
      <w:r w:rsidRPr="005615F7">
        <w:rPr>
          <w:rFonts w:cs="Arial"/>
          <w:color w:val="auto"/>
          <w:sz w:val="20"/>
          <w:szCs w:val="20"/>
          <w:lang w:eastAsia="en-GB"/>
        </w:rPr>
        <w:t>The Council credited the following grants and contributions to the Comprehensive Income and Expenditure Statement</w:t>
      </w:r>
      <w:r w:rsidRPr="005615F7">
        <w:rPr>
          <w:rFonts w:cs="Arial"/>
          <w:color w:val="auto"/>
          <w:sz w:val="20"/>
          <w:szCs w:val="20"/>
        </w:rPr>
        <w:t xml:space="preserve">. </w:t>
      </w:r>
    </w:p>
    <w:p w:rsidR="00320187" w:rsidRPr="0005794A" w:rsidRDefault="00320187" w:rsidP="003C5E34">
      <w:pPr>
        <w:pStyle w:val="CodeNotesExampleText"/>
        <w:widowControl w:val="0"/>
        <w:ind w:left="567"/>
        <w:outlineLvl w:val="0"/>
        <w:rPr>
          <w:rFonts w:cs="Arial"/>
          <w:color w:val="548DD4" w:themeColor="text2" w:themeTint="99"/>
          <w:sz w:val="20"/>
          <w:szCs w:val="20"/>
        </w:rPr>
      </w:pPr>
    </w:p>
    <w:p w:rsidR="00925CFB" w:rsidRDefault="00925CFB"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Default="00EF763C" w:rsidP="003C5E34">
      <w:pPr>
        <w:pStyle w:val="CodeNotesExampleText"/>
        <w:widowControl w:val="0"/>
        <w:ind w:left="567"/>
        <w:outlineLvl w:val="0"/>
        <w:rPr>
          <w:rFonts w:cs="Arial"/>
          <w:color w:val="548DD4" w:themeColor="text2" w:themeTint="99"/>
          <w:sz w:val="20"/>
          <w:szCs w:val="20"/>
        </w:rPr>
      </w:pPr>
    </w:p>
    <w:p w:rsidR="00EF763C" w:rsidRPr="0005794A" w:rsidRDefault="00EF763C" w:rsidP="003C5E34">
      <w:pPr>
        <w:pStyle w:val="CodeNotesExampleText"/>
        <w:widowControl w:val="0"/>
        <w:ind w:left="567"/>
        <w:outlineLvl w:val="0"/>
        <w:rPr>
          <w:rFonts w:cs="Arial"/>
          <w:color w:val="548DD4" w:themeColor="text2" w:themeTint="99"/>
          <w:sz w:val="20"/>
          <w:szCs w:val="20"/>
        </w:rPr>
      </w:pPr>
    </w:p>
    <w:p w:rsidR="00925CFB" w:rsidRPr="0005794A" w:rsidRDefault="00925CFB" w:rsidP="003C5E34">
      <w:pPr>
        <w:pStyle w:val="CodeNotesExampleText"/>
        <w:widowControl w:val="0"/>
        <w:ind w:left="567"/>
        <w:outlineLvl w:val="0"/>
        <w:rPr>
          <w:rFonts w:cs="Arial"/>
          <w:color w:val="548DD4" w:themeColor="text2" w:themeTint="99"/>
          <w:sz w:val="20"/>
          <w:szCs w:val="20"/>
        </w:rPr>
      </w:pPr>
    </w:p>
    <w:p w:rsidR="006E667C" w:rsidRPr="0005794A" w:rsidRDefault="006E667C" w:rsidP="003C5E34">
      <w:pPr>
        <w:pStyle w:val="CodeNotesExampleText"/>
        <w:widowControl w:val="0"/>
        <w:ind w:left="567"/>
        <w:outlineLvl w:val="0"/>
        <w:rPr>
          <w:rFonts w:cs="Arial"/>
          <w:color w:val="548DD4" w:themeColor="text2" w:themeTint="99"/>
          <w:sz w:val="20"/>
          <w:szCs w:val="20"/>
        </w:rPr>
      </w:pPr>
    </w:p>
    <w:tbl>
      <w:tblPr>
        <w:tblStyle w:val="ListTable3-Accent51"/>
        <w:tblW w:w="7737" w:type="dxa"/>
        <w:tblInd w:w="675" w:type="dxa"/>
        <w:tblLayout w:type="fixed"/>
        <w:tblLook w:val="0000" w:firstRow="0" w:lastRow="0" w:firstColumn="0" w:lastColumn="0" w:noHBand="0" w:noVBand="0"/>
      </w:tblPr>
      <w:tblGrid>
        <w:gridCol w:w="1742"/>
        <w:gridCol w:w="4820"/>
        <w:gridCol w:w="1175"/>
      </w:tblGrid>
      <w:tr w:rsidR="00845AAC" w:rsidRPr="0005794A"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shd w:val="clear" w:color="auto" w:fill="4BACC6" w:themeFill="accent5"/>
          </w:tcPr>
          <w:p w:rsidR="0009752E" w:rsidRPr="00F5767F" w:rsidRDefault="00845AAC" w:rsidP="00845AAC">
            <w:pPr>
              <w:pStyle w:val="TableRightBold"/>
              <w:ind w:right="142"/>
              <w:jc w:val="center"/>
              <w:rPr>
                <w:rStyle w:val="Bold"/>
                <w:rFonts w:ascii="Arial" w:hAnsi="Arial" w:cs="Arial"/>
                <w:bCs w:val="0"/>
                <w:color w:val="auto"/>
              </w:rPr>
            </w:pPr>
            <w:r w:rsidRPr="00F5767F">
              <w:rPr>
                <w:rStyle w:val="Bold"/>
                <w:rFonts w:ascii="Arial" w:hAnsi="Arial" w:cs="Arial"/>
                <w:bCs w:val="0"/>
                <w:color w:val="auto"/>
              </w:rPr>
              <w:lastRenderedPageBreak/>
              <w:t>201</w:t>
            </w:r>
            <w:r w:rsidR="00F5767F" w:rsidRPr="00F5767F">
              <w:rPr>
                <w:rStyle w:val="Bold"/>
                <w:rFonts w:ascii="Arial" w:hAnsi="Arial" w:cs="Arial"/>
                <w:bCs w:val="0"/>
                <w:color w:val="auto"/>
              </w:rPr>
              <w:t>6</w:t>
            </w:r>
            <w:r w:rsidR="00065C6D" w:rsidRPr="00F5767F">
              <w:rPr>
                <w:rStyle w:val="Bold"/>
                <w:rFonts w:ascii="Arial" w:hAnsi="Arial" w:cs="Arial"/>
                <w:bCs w:val="0"/>
                <w:color w:val="auto"/>
              </w:rPr>
              <w:t>/</w:t>
            </w:r>
            <w:r w:rsidR="00F5767F" w:rsidRPr="00F5767F">
              <w:rPr>
                <w:rStyle w:val="Bold"/>
                <w:rFonts w:ascii="Arial" w:hAnsi="Arial" w:cs="Arial"/>
                <w:bCs w:val="0"/>
                <w:color w:val="auto"/>
              </w:rPr>
              <w:t>17</w:t>
            </w:r>
          </w:p>
          <w:p w:rsidR="00845AAC" w:rsidRPr="00F5767F" w:rsidRDefault="002664EA" w:rsidP="00845AAC">
            <w:pPr>
              <w:pStyle w:val="TableRightBold"/>
              <w:ind w:right="142"/>
              <w:jc w:val="center"/>
              <w:rPr>
                <w:rStyle w:val="Bold"/>
                <w:rFonts w:ascii="Arial" w:hAnsi="Arial" w:cs="Arial"/>
                <w:bCs w:val="0"/>
                <w:color w:val="auto"/>
              </w:rPr>
            </w:pPr>
            <w:r w:rsidRPr="00F5767F">
              <w:rPr>
                <w:rStyle w:val="Bold"/>
                <w:rFonts w:ascii="Arial" w:hAnsi="Arial" w:cs="Arial"/>
                <w:bCs w:val="0"/>
                <w:color w:val="auto"/>
              </w:rPr>
              <w:t>restated</w:t>
            </w:r>
          </w:p>
          <w:p w:rsidR="00845AAC" w:rsidRPr="00F5767F" w:rsidRDefault="00845AAC" w:rsidP="00845AAC">
            <w:pPr>
              <w:pStyle w:val="TableRightBold"/>
              <w:ind w:right="142"/>
              <w:jc w:val="center"/>
              <w:rPr>
                <w:rStyle w:val="Bold"/>
                <w:rFonts w:ascii="Arial" w:hAnsi="Arial" w:cs="Arial"/>
                <w:color w:val="auto"/>
              </w:rPr>
            </w:pPr>
            <w:r w:rsidRPr="00F5767F">
              <w:rPr>
                <w:rStyle w:val="Bold"/>
                <w:rFonts w:ascii="Arial" w:hAnsi="Arial" w:cs="Arial"/>
                <w:bCs w:val="0"/>
                <w:color w:val="auto"/>
              </w:rPr>
              <w:t>£m</w:t>
            </w:r>
          </w:p>
        </w:tc>
        <w:tc>
          <w:tcPr>
            <w:tcW w:w="4820" w:type="dxa"/>
            <w:shd w:val="clear" w:color="auto" w:fill="4BACC6" w:themeFill="accent5"/>
          </w:tcPr>
          <w:p w:rsidR="00845AAC" w:rsidRPr="00F5767F" w:rsidRDefault="00845AAC" w:rsidP="00845AAC">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1175" w:type="dxa"/>
            <w:shd w:val="clear" w:color="auto" w:fill="4BACC6" w:themeFill="accent5"/>
          </w:tcPr>
          <w:p w:rsidR="00845AAC" w:rsidRPr="00F5767F" w:rsidRDefault="00065C6D" w:rsidP="00845AAC">
            <w:pPr>
              <w:pStyle w:val="TableRightBold"/>
              <w:ind w:right="142"/>
              <w:jc w:val="center"/>
              <w:rPr>
                <w:rStyle w:val="Bold"/>
                <w:rFonts w:ascii="Arial" w:hAnsi="Arial" w:cs="Arial"/>
                <w:b/>
                <w:bCs w:val="0"/>
                <w:color w:val="auto"/>
              </w:rPr>
            </w:pPr>
            <w:r w:rsidRPr="00F5767F">
              <w:rPr>
                <w:rStyle w:val="Bold"/>
                <w:rFonts w:ascii="Arial" w:hAnsi="Arial" w:cs="Arial"/>
                <w:b/>
                <w:bCs w:val="0"/>
                <w:color w:val="auto"/>
              </w:rPr>
              <w:t>201</w:t>
            </w:r>
            <w:r w:rsidR="00F5767F" w:rsidRPr="00F5767F">
              <w:rPr>
                <w:rStyle w:val="Bold"/>
                <w:rFonts w:ascii="Arial" w:hAnsi="Arial" w:cs="Arial"/>
                <w:b/>
                <w:bCs w:val="0"/>
                <w:color w:val="auto"/>
              </w:rPr>
              <w:t>7</w:t>
            </w:r>
            <w:r w:rsidR="00845AAC" w:rsidRPr="00F5767F">
              <w:rPr>
                <w:rStyle w:val="Bold"/>
                <w:rFonts w:ascii="Arial" w:hAnsi="Arial" w:cs="Arial"/>
                <w:b/>
                <w:bCs w:val="0"/>
                <w:color w:val="auto"/>
              </w:rPr>
              <w:t>/1</w:t>
            </w:r>
            <w:r w:rsidR="00F5767F" w:rsidRPr="00F5767F">
              <w:rPr>
                <w:rStyle w:val="Bold"/>
                <w:rFonts w:ascii="Arial" w:hAnsi="Arial" w:cs="Arial"/>
                <w:b/>
                <w:bCs w:val="0"/>
                <w:color w:val="auto"/>
              </w:rPr>
              <w:t>8</w:t>
            </w:r>
          </w:p>
          <w:p w:rsidR="00845AAC" w:rsidRPr="00F5767F" w:rsidRDefault="00845AAC" w:rsidP="00845AAC">
            <w:pPr>
              <w:pStyle w:val="TableRightBold"/>
              <w:ind w:right="142"/>
              <w:jc w:val="center"/>
              <w:rPr>
                <w:rStyle w:val="Bold"/>
                <w:rFonts w:ascii="Arial" w:hAnsi="Arial" w:cs="Arial"/>
                <w:color w:val="auto"/>
              </w:rPr>
            </w:pPr>
            <w:r w:rsidRPr="00F5767F">
              <w:rPr>
                <w:rStyle w:val="Bold"/>
                <w:rFonts w:ascii="Arial" w:hAnsi="Arial" w:cs="Arial"/>
                <w:bCs w:val="0"/>
                <w:color w:val="auto"/>
              </w:rPr>
              <w:t>£m</w:t>
            </w:r>
          </w:p>
        </w:tc>
      </w:tr>
      <w:tr w:rsidR="00196A82" w:rsidRPr="0005794A"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196A82" w:rsidRPr="00F5767F" w:rsidRDefault="00196A82" w:rsidP="00065C6D">
            <w:pPr>
              <w:pStyle w:val="TableRightBold"/>
              <w:ind w:right="142"/>
              <w:jc w:val="center"/>
              <w:rPr>
                <w:rStyle w:val="Bold"/>
                <w:rFonts w:ascii="Arial" w:hAnsi="Arial" w:cs="Arial"/>
                <w:color w:val="auto"/>
              </w:rPr>
            </w:pPr>
          </w:p>
        </w:tc>
        <w:tc>
          <w:tcPr>
            <w:tcW w:w="4820" w:type="dxa"/>
          </w:tcPr>
          <w:p w:rsidR="00196A82" w:rsidRPr="00F5767F" w:rsidRDefault="00196A82" w:rsidP="00845AAC">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767F">
              <w:rPr>
                <w:rFonts w:ascii="Arial" w:hAnsi="Arial" w:cs="Arial"/>
                <w:b/>
                <w:color w:val="auto"/>
              </w:rPr>
              <w:t>Credited to Taxation and Non Specific Grant Income</w:t>
            </w:r>
          </w:p>
        </w:tc>
        <w:tc>
          <w:tcPr>
            <w:cnfStyle w:val="000010000000" w:firstRow="0" w:lastRow="0" w:firstColumn="0" w:lastColumn="0" w:oddVBand="1" w:evenVBand="0" w:oddHBand="0" w:evenHBand="0" w:firstRowFirstColumn="0" w:firstRowLastColumn="0" w:lastRowFirstColumn="0" w:lastRowLastColumn="0"/>
            <w:tcW w:w="1175" w:type="dxa"/>
          </w:tcPr>
          <w:p w:rsidR="00196A82" w:rsidRPr="00F5767F" w:rsidRDefault="00196A82" w:rsidP="00845AAC">
            <w:pPr>
              <w:pStyle w:val="TableRightBold"/>
              <w:ind w:right="142"/>
              <w:jc w:val="center"/>
              <w:rPr>
                <w:rStyle w:val="Bold"/>
                <w:rFonts w:ascii="Arial" w:hAnsi="Arial" w:cs="Arial"/>
                <w:color w:val="auto"/>
              </w:rPr>
            </w:pPr>
          </w:p>
        </w:tc>
      </w:tr>
      <w:tr w:rsidR="00F5767F" w:rsidRPr="0005794A"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20.1</w:t>
            </w:r>
          </w:p>
        </w:tc>
        <w:tc>
          <w:tcPr>
            <w:tcW w:w="4820" w:type="dxa"/>
          </w:tcPr>
          <w:p w:rsidR="00F5767F" w:rsidRPr="00F5767F" w:rsidRDefault="00F5767F" w:rsidP="00845AAC">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5767F">
              <w:rPr>
                <w:rFonts w:ascii="Arial" w:hAnsi="Arial" w:cs="Arial"/>
                <w:color w:val="auto"/>
              </w:rPr>
              <w:t>Revenue Support Grant</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45C65" w:rsidP="00845AAC">
            <w:pPr>
              <w:pStyle w:val="TableRightBold"/>
              <w:ind w:right="142"/>
              <w:jc w:val="center"/>
              <w:rPr>
                <w:rStyle w:val="Bold"/>
                <w:rFonts w:ascii="Arial" w:hAnsi="Arial" w:cs="Arial"/>
                <w:color w:val="auto"/>
              </w:rPr>
            </w:pPr>
            <w:r>
              <w:rPr>
                <w:rStyle w:val="Bold"/>
                <w:rFonts w:ascii="Arial" w:hAnsi="Arial" w:cs="Arial"/>
                <w:color w:val="auto"/>
              </w:rPr>
              <w:t>14.2</w:t>
            </w:r>
          </w:p>
        </w:tc>
      </w:tr>
      <w:tr w:rsidR="00F5767F" w:rsidRPr="0005794A"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0.2</w:t>
            </w:r>
          </w:p>
        </w:tc>
        <w:tc>
          <w:tcPr>
            <w:tcW w:w="4820" w:type="dxa"/>
          </w:tcPr>
          <w:p w:rsidR="00F5767F" w:rsidRPr="00F5767F" w:rsidRDefault="00F5767F" w:rsidP="007761CE">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767F">
              <w:rPr>
                <w:rFonts w:ascii="Arial" w:hAnsi="Arial" w:cs="Arial"/>
                <w:color w:val="auto"/>
              </w:rPr>
              <w:t xml:space="preserve">Other General Grants </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615F7" w:rsidP="007761CE">
            <w:pPr>
              <w:pStyle w:val="TableRightBold"/>
              <w:ind w:right="142"/>
              <w:jc w:val="center"/>
              <w:rPr>
                <w:rStyle w:val="Bold"/>
                <w:rFonts w:ascii="Arial" w:hAnsi="Arial" w:cs="Arial"/>
                <w:color w:val="auto"/>
              </w:rPr>
            </w:pPr>
            <w:r w:rsidRPr="005615F7">
              <w:rPr>
                <w:rStyle w:val="Bold"/>
                <w:rFonts w:ascii="Arial" w:hAnsi="Arial" w:cs="Arial"/>
                <w:color w:val="auto"/>
              </w:rPr>
              <w:t>0.2</w:t>
            </w:r>
          </w:p>
        </w:tc>
      </w:tr>
      <w:tr w:rsidR="00F5767F" w:rsidRPr="0005794A"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3.1</w:t>
            </w:r>
          </w:p>
        </w:tc>
        <w:tc>
          <w:tcPr>
            <w:tcW w:w="4820" w:type="dxa"/>
          </w:tcPr>
          <w:p w:rsidR="00F5767F" w:rsidRPr="00F5767F" w:rsidRDefault="00F5767F" w:rsidP="00845AAC">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5767F">
              <w:rPr>
                <w:rFonts w:ascii="Arial" w:hAnsi="Arial" w:cs="Arial"/>
                <w:color w:val="auto"/>
              </w:rPr>
              <w:t>New Homes Bonus Grant</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45C65" w:rsidP="00845AAC">
            <w:pPr>
              <w:pStyle w:val="TableRightBold"/>
              <w:ind w:right="142"/>
              <w:jc w:val="center"/>
              <w:rPr>
                <w:rStyle w:val="Bold"/>
                <w:rFonts w:ascii="Arial" w:hAnsi="Arial" w:cs="Arial"/>
                <w:color w:val="auto"/>
              </w:rPr>
            </w:pPr>
            <w:r>
              <w:rPr>
                <w:rStyle w:val="Bold"/>
                <w:rFonts w:ascii="Arial" w:hAnsi="Arial" w:cs="Arial"/>
                <w:color w:val="auto"/>
              </w:rPr>
              <w:t>2.3</w:t>
            </w:r>
          </w:p>
        </w:tc>
      </w:tr>
      <w:tr w:rsidR="00F5767F" w:rsidRPr="0005794A"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545C65" w:rsidRDefault="001D0763" w:rsidP="00F5767F">
            <w:pPr>
              <w:pStyle w:val="TableRightBold"/>
              <w:ind w:right="142"/>
              <w:jc w:val="center"/>
              <w:rPr>
                <w:rStyle w:val="Bold"/>
                <w:rFonts w:ascii="Arial" w:hAnsi="Arial" w:cs="Arial"/>
                <w:strike/>
                <w:color w:val="auto"/>
              </w:rPr>
            </w:pPr>
            <w:r w:rsidRPr="001D0763">
              <w:rPr>
                <w:rStyle w:val="Bold"/>
                <w:rFonts w:ascii="Arial" w:hAnsi="Arial" w:cs="Arial"/>
                <w:color w:val="auto"/>
              </w:rPr>
              <w:t>12.5</w:t>
            </w:r>
          </w:p>
        </w:tc>
        <w:tc>
          <w:tcPr>
            <w:tcW w:w="4820" w:type="dxa"/>
          </w:tcPr>
          <w:p w:rsidR="00F5767F" w:rsidRPr="00F5767F" w:rsidRDefault="00545C65" w:rsidP="002664EA">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NNDR Top Up, S31 and transitional relief</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45C65" w:rsidP="00845AAC">
            <w:pPr>
              <w:pStyle w:val="TableRightBold"/>
              <w:ind w:right="142"/>
              <w:jc w:val="center"/>
              <w:rPr>
                <w:rStyle w:val="Bold"/>
                <w:rFonts w:ascii="Arial" w:hAnsi="Arial" w:cs="Arial"/>
                <w:color w:val="auto"/>
              </w:rPr>
            </w:pPr>
            <w:r>
              <w:rPr>
                <w:rStyle w:val="Bold"/>
                <w:rFonts w:ascii="Arial" w:hAnsi="Arial" w:cs="Arial"/>
                <w:color w:val="auto"/>
              </w:rPr>
              <w:t>20.6</w:t>
            </w:r>
          </w:p>
        </w:tc>
      </w:tr>
      <w:tr w:rsidR="00F5767F" w:rsidRPr="0005794A"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7.5</w:t>
            </w:r>
          </w:p>
        </w:tc>
        <w:tc>
          <w:tcPr>
            <w:tcW w:w="4820" w:type="dxa"/>
          </w:tcPr>
          <w:p w:rsidR="00F5767F" w:rsidRPr="00F5767F" w:rsidRDefault="00F5767F" w:rsidP="00845AAC">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5767F">
              <w:rPr>
                <w:rFonts w:ascii="Arial" w:hAnsi="Arial" w:cs="Arial"/>
                <w:color w:val="auto"/>
              </w:rPr>
              <w:t>Capital Grants &amp; Contributions</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45C65" w:rsidP="00845AAC">
            <w:pPr>
              <w:pStyle w:val="TableRightBold"/>
              <w:ind w:right="142"/>
              <w:jc w:val="center"/>
              <w:rPr>
                <w:rStyle w:val="Bold"/>
                <w:rFonts w:ascii="Arial" w:hAnsi="Arial" w:cs="Arial"/>
                <w:color w:val="auto"/>
              </w:rPr>
            </w:pPr>
            <w:r w:rsidRPr="00A05D50">
              <w:rPr>
                <w:rStyle w:val="Bold"/>
                <w:rFonts w:ascii="Arial" w:hAnsi="Arial" w:cs="Arial"/>
                <w:color w:val="auto"/>
              </w:rPr>
              <w:t>7.2</w:t>
            </w:r>
          </w:p>
        </w:tc>
      </w:tr>
      <w:tr w:rsidR="00F5767F" w:rsidRPr="0005794A"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1D0763" w:rsidP="001D0763">
            <w:pPr>
              <w:pStyle w:val="TableRightBold"/>
              <w:ind w:right="142"/>
              <w:jc w:val="center"/>
              <w:rPr>
                <w:rStyle w:val="Bold"/>
                <w:rFonts w:ascii="Arial" w:hAnsi="Arial" w:cs="Arial"/>
                <w:b/>
                <w:color w:val="auto"/>
              </w:rPr>
            </w:pPr>
            <w:r>
              <w:rPr>
                <w:rStyle w:val="Bold"/>
                <w:rFonts w:ascii="Arial" w:hAnsi="Arial" w:cs="Arial"/>
                <w:b/>
                <w:color w:val="auto"/>
              </w:rPr>
              <w:t>43.4</w:t>
            </w:r>
          </w:p>
        </w:tc>
        <w:tc>
          <w:tcPr>
            <w:tcW w:w="4820" w:type="dxa"/>
          </w:tcPr>
          <w:p w:rsidR="00F5767F" w:rsidRPr="00F5767F" w:rsidRDefault="00F5767F" w:rsidP="00845AAC">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5767F">
              <w:rPr>
                <w:rFonts w:ascii="Arial" w:hAnsi="Arial" w:cs="Arial"/>
                <w:b/>
                <w:color w:val="auto"/>
              </w:rPr>
              <w:t>Sub Total</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45C65" w:rsidP="005615F7">
            <w:pPr>
              <w:pStyle w:val="TableRightBold"/>
              <w:ind w:right="142"/>
              <w:jc w:val="center"/>
              <w:rPr>
                <w:rStyle w:val="Bold"/>
                <w:rFonts w:ascii="Arial" w:hAnsi="Arial" w:cs="Arial"/>
                <w:b/>
                <w:color w:val="auto"/>
              </w:rPr>
            </w:pPr>
            <w:r w:rsidRPr="00841004">
              <w:rPr>
                <w:rStyle w:val="Bold"/>
                <w:rFonts w:ascii="Arial" w:hAnsi="Arial" w:cs="Arial"/>
                <w:b/>
                <w:color w:val="auto"/>
              </w:rPr>
              <w:t>4</w:t>
            </w:r>
            <w:r w:rsidR="005615F7" w:rsidRPr="00841004">
              <w:rPr>
                <w:rStyle w:val="Bold"/>
                <w:rFonts w:ascii="Arial" w:hAnsi="Arial" w:cs="Arial"/>
                <w:b/>
                <w:color w:val="auto"/>
              </w:rPr>
              <w:t>4.5</w:t>
            </w:r>
          </w:p>
        </w:tc>
      </w:tr>
      <w:tr w:rsidR="00F5767F" w:rsidRPr="0005794A"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b/>
                <w:color w:val="auto"/>
              </w:rPr>
            </w:pPr>
          </w:p>
        </w:tc>
        <w:tc>
          <w:tcPr>
            <w:tcW w:w="4820" w:type="dxa"/>
          </w:tcPr>
          <w:p w:rsidR="00F5767F" w:rsidRPr="00F5767F" w:rsidRDefault="00F5767F" w:rsidP="00845AAC">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5767F">
              <w:rPr>
                <w:rStyle w:val="Bold"/>
                <w:rFonts w:ascii="Arial" w:hAnsi="Arial" w:cs="Arial"/>
                <w:color w:val="auto"/>
              </w:rPr>
              <w:t>Credited to Cost of Services</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F5767F" w:rsidP="00845AAC">
            <w:pPr>
              <w:pStyle w:val="TableRightBold"/>
              <w:ind w:right="142"/>
              <w:jc w:val="center"/>
              <w:rPr>
                <w:rStyle w:val="Bold"/>
                <w:rFonts w:ascii="Arial" w:hAnsi="Arial" w:cs="Arial"/>
                <w:b/>
                <w:color w:val="auto"/>
              </w:rPr>
            </w:pPr>
          </w:p>
        </w:tc>
      </w:tr>
      <w:tr w:rsidR="00F5767F" w:rsidRPr="0005794A"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36.6</w:t>
            </w:r>
          </w:p>
        </w:tc>
        <w:tc>
          <w:tcPr>
            <w:tcW w:w="4820" w:type="dxa"/>
          </w:tcPr>
          <w:p w:rsidR="00F5767F" w:rsidRPr="00F5767F" w:rsidRDefault="00F5767F" w:rsidP="00F40FD6">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767F">
              <w:rPr>
                <w:rFonts w:ascii="Arial" w:hAnsi="Arial" w:cs="Arial"/>
                <w:color w:val="auto"/>
              </w:rPr>
              <w:t>Dedicated Schools Grant (</w:t>
            </w:r>
            <w:proofErr w:type="spellStart"/>
            <w:r w:rsidRPr="00F5767F">
              <w:rPr>
                <w:rFonts w:ascii="Arial" w:hAnsi="Arial" w:cs="Arial"/>
                <w:color w:val="auto"/>
              </w:rPr>
              <w:t>Dept</w:t>
            </w:r>
            <w:proofErr w:type="spellEnd"/>
            <w:r w:rsidRPr="00F5767F">
              <w:rPr>
                <w:rFonts w:ascii="Arial" w:hAnsi="Arial" w:cs="Arial"/>
                <w:color w:val="auto"/>
              </w:rPr>
              <w:t xml:space="preserve"> of Education)</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45C65" w:rsidP="00845AAC">
            <w:pPr>
              <w:pStyle w:val="TableRightBold"/>
              <w:ind w:right="142"/>
              <w:jc w:val="center"/>
              <w:rPr>
                <w:rStyle w:val="Bold"/>
                <w:rFonts w:ascii="Arial" w:hAnsi="Arial" w:cs="Arial"/>
                <w:color w:val="auto"/>
              </w:rPr>
            </w:pPr>
            <w:r>
              <w:rPr>
                <w:rStyle w:val="Bold"/>
                <w:rFonts w:ascii="Arial" w:hAnsi="Arial" w:cs="Arial"/>
                <w:color w:val="auto"/>
              </w:rPr>
              <w:t>36.4</w:t>
            </w:r>
          </w:p>
        </w:tc>
      </w:tr>
      <w:tr w:rsidR="00F5767F" w:rsidRPr="0005794A"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65.4</w:t>
            </w:r>
          </w:p>
        </w:tc>
        <w:tc>
          <w:tcPr>
            <w:tcW w:w="4820" w:type="dxa"/>
          </w:tcPr>
          <w:p w:rsidR="00F5767F" w:rsidRPr="00F5767F" w:rsidRDefault="00F5767F" w:rsidP="005165E5">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5767F">
              <w:rPr>
                <w:rFonts w:ascii="Arial" w:hAnsi="Arial" w:cs="Arial"/>
                <w:color w:val="auto"/>
              </w:rPr>
              <w:t>Benefit Subsidy &amp; Admin Grant (DWP)</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45C65" w:rsidP="00845AAC">
            <w:pPr>
              <w:pStyle w:val="TableRightBold"/>
              <w:ind w:right="142"/>
              <w:jc w:val="center"/>
              <w:rPr>
                <w:rStyle w:val="Bold"/>
                <w:rFonts w:ascii="Arial" w:hAnsi="Arial" w:cs="Arial"/>
                <w:color w:val="auto"/>
              </w:rPr>
            </w:pPr>
            <w:r>
              <w:rPr>
                <w:rStyle w:val="Bold"/>
                <w:rFonts w:ascii="Arial" w:hAnsi="Arial" w:cs="Arial"/>
                <w:color w:val="auto"/>
              </w:rPr>
              <w:t>61.8</w:t>
            </w:r>
          </w:p>
        </w:tc>
      </w:tr>
      <w:tr w:rsidR="00F5767F" w:rsidRPr="0005794A"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1.9</w:t>
            </w:r>
          </w:p>
        </w:tc>
        <w:tc>
          <w:tcPr>
            <w:tcW w:w="4820" w:type="dxa"/>
          </w:tcPr>
          <w:p w:rsidR="00F5767F" w:rsidRPr="00F5767F" w:rsidRDefault="00F5767F" w:rsidP="00845AAC">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767F">
              <w:rPr>
                <w:rFonts w:ascii="Arial" w:hAnsi="Arial" w:cs="Arial"/>
                <w:color w:val="auto"/>
              </w:rPr>
              <w:t>Pupil Premium</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45C65" w:rsidP="00845AAC">
            <w:pPr>
              <w:pStyle w:val="TableRightBold"/>
              <w:ind w:right="142"/>
              <w:jc w:val="center"/>
              <w:rPr>
                <w:rStyle w:val="Bold"/>
                <w:rFonts w:ascii="Arial" w:hAnsi="Arial" w:cs="Arial"/>
                <w:color w:val="auto"/>
              </w:rPr>
            </w:pPr>
            <w:r>
              <w:rPr>
                <w:rStyle w:val="Bold"/>
                <w:rFonts w:ascii="Arial" w:hAnsi="Arial" w:cs="Arial"/>
                <w:color w:val="auto"/>
              </w:rPr>
              <w:t>1.8</w:t>
            </w:r>
          </w:p>
        </w:tc>
      </w:tr>
      <w:tr w:rsidR="00F5767F" w:rsidRPr="0005794A"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1.5</w:t>
            </w:r>
          </w:p>
        </w:tc>
        <w:tc>
          <w:tcPr>
            <w:tcW w:w="4820" w:type="dxa"/>
          </w:tcPr>
          <w:p w:rsidR="00F5767F" w:rsidRPr="00F5767F" w:rsidRDefault="00F5767F" w:rsidP="00845AAC">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5767F">
              <w:rPr>
                <w:rFonts w:ascii="Arial" w:hAnsi="Arial" w:cs="Arial"/>
                <w:color w:val="auto"/>
              </w:rPr>
              <w:t>Post 16 Funding (Learning &amp; Skills Council)</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45C65" w:rsidP="00845AAC">
            <w:pPr>
              <w:pStyle w:val="TableRightBold"/>
              <w:ind w:right="142"/>
              <w:jc w:val="center"/>
              <w:rPr>
                <w:rStyle w:val="Bold"/>
                <w:rFonts w:ascii="Arial" w:hAnsi="Arial" w:cs="Arial"/>
                <w:color w:val="auto"/>
              </w:rPr>
            </w:pPr>
            <w:r>
              <w:rPr>
                <w:rStyle w:val="Bold"/>
                <w:rFonts w:ascii="Arial" w:hAnsi="Arial" w:cs="Arial"/>
                <w:color w:val="auto"/>
              </w:rPr>
              <w:t>1.5</w:t>
            </w:r>
          </w:p>
        </w:tc>
      </w:tr>
      <w:tr w:rsidR="00F5767F" w:rsidRPr="0005794A"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9.8</w:t>
            </w:r>
          </w:p>
        </w:tc>
        <w:tc>
          <w:tcPr>
            <w:tcW w:w="4820" w:type="dxa"/>
          </w:tcPr>
          <w:p w:rsidR="00F5767F" w:rsidRPr="00F5767F" w:rsidRDefault="00F5767F" w:rsidP="00845AAC">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767F">
              <w:rPr>
                <w:rFonts w:ascii="Arial" w:hAnsi="Arial" w:cs="Arial"/>
                <w:color w:val="auto"/>
              </w:rPr>
              <w:t>Public Health Grant</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F5767F" w:rsidRDefault="00545C65" w:rsidP="00845AAC">
            <w:pPr>
              <w:pStyle w:val="TableRightBold"/>
              <w:ind w:right="142"/>
              <w:jc w:val="center"/>
              <w:rPr>
                <w:rStyle w:val="Bold"/>
                <w:rFonts w:ascii="Arial" w:hAnsi="Arial" w:cs="Arial"/>
                <w:color w:val="auto"/>
              </w:rPr>
            </w:pPr>
            <w:r>
              <w:rPr>
                <w:rStyle w:val="Bold"/>
                <w:rFonts w:ascii="Arial" w:hAnsi="Arial" w:cs="Arial"/>
                <w:color w:val="auto"/>
              </w:rPr>
              <w:t>9.6</w:t>
            </w:r>
          </w:p>
        </w:tc>
      </w:tr>
      <w:tr w:rsidR="00545C65" w:rsidRPr="0005794A"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545C65" w:rsidRPr="00F5767F" w:rsidRDefault="00545C65" w:rsidP="00F5767F">
            <w:pPr>
              <w:pStyle w:val="TableRightBold"/>
              <w:ind w:right="142"/>
              <w:jc w:val="center"/>
              <w:rPr>
                <w:rStyle w:val="Bold"/>
                <w:rFonts w:ascii="Arial" w:hAnsi="Arial" w:cs="Arial"/>
                <w:color w:val="auto"/>
              </w:rPr>
            </w:pPr>
            <w:r>
              <w:rPr>
                <w:rStyle w:val="Bold"/>
                <w:rFonts w:ascii="Arial" w:hAnsi="Arial" w:cs="Arial"/>
                <w:color w:val="auto"/>
              </w:rPr>
              <w:t>-</w:t>
            </w:r>
          </w:p>
        </w:tc>
        <w:tc>
          <w:tcPr>
            <w:tcW w:w="4820" w:type="dxa"/>
          </w:tcPr>
          <w:p w:rsidR="00545C65" w:rsidRPr="00F5767F" w:rsidRDefault="00545C65" w:rsidP="00845AAC">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Improved Better Care Fund</w:t>
            </w:r>
          </w:p>
        </w:tc>
        <w:tc>
          <w:tcPr>
            <w:cnfStyle w:val="000010000000" w:firstRow="0" w:lastRow="0" w:firstColumn="0" w:lastColumn="0" w:oddVBand="1" w:evenVBand="0" w:oddHBand="0" w:evenHBand="0" w:firstRowFirstColumn="0" w:firstRowLastColumn="0" w:lastRowFirstColumn="0" w:lastRowLastColumn="0"/>
            <w:tcW w:w="1175" w:type="dxa"/>
          </w:tcPr>
          <w:p w:rsidR="00545C65" w:rsidRPr="00F5767F" w:rsidRDefault="00545C65" w:rsidP="00845AAC">
            <w:pPr>
              <w:pStyle w:val="TableRightBold"/>
              <w:ind w:right="142"/>
              <w:jc w:val="center"/>
              <w:rPr>
                <w:rStyle w:val="Bold"/>
                <w:rFonts w:ascii="Arial" w:hAnsi="Arial" w:cs="Arial"/>
                <w:color w:val="auto"/>
              </w:rPr>
            </w:pPr>
            <w:r>
              <w:rPr>
                <w:rStyle w:val="Bold"/>
                <w:rFonts w:ascii="Arial" w:hAnsi="Arial" w:cs="Arial"/>
                <w:color w:val="auto"/>
              </w:rPr>
              <w:t>4.4</w:t>
            </w:r>
          </w:p>
        </w:tc>
      </w:tr>
      <w:tr w:rsidR="00F5767F" w:rsidRPr="0005794A"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6.9</w:t>
            </w:r>
          </w:p>
        </w:tc>
        <w:tc>
          <w:tcPr>
            <w:tcW w:w="4820" w:type="dxa"/>
          </w:tcPr>
          <w:p w:rsidR="00F5767F" w:rsidRPr="00F5767F" w:rsidRDefault="00F5767F" w:rsidP="00845AAC">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767F">
              <w:rPr>
                <w:rFonts w:ascii="Arial" w:hAnsi="Arial" w:cs="Arial"/>
                <w:color w:val="auto"/>
              </w:rPr>
              <w:t>Other Central Government Grants – Revenue</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545C65" w:rsidRDefault="00841004" w:rsidP="00A05D50">
            <w:pPr>
              <w:pStyle w:val="TableRightBold"/>
              <w:ind w:right="142"/>
              <w:jc w:val="center"/>
              <w:rPr>
                <w:rStyle w:val="Bold"/>
                <w:rFonts w:ascii="Arial" w:hAnsi="Arial" w:cs="Arial"/>
                <w:color w:val="auto"/>
                <w:highlight w:val="yellow"/>
              </w:rPr>
            </w:pPr>
            <w:r w:rsidRPr="00841004">
              <w:rPr>
                <w:rStyle w:val="Bold"/>
                <w:rFonts w:ascii="Arial" w:hAnsi="Arial" w:cs="Arial"/>
                <w:color w:val="auto"/>
              </w:rPr>
              <w:t>6.</w:t>
            </w:r>
            <w:r w:rsidR="00A05D50">
              <w:rPr>
                <w:rStyle w:val="Bold"/>
                <w:rFonts w:ascii="Arial" w:hAnsi="Arial" w:cs="Arial"/>
                <w:color w:val="auto"/>
              </w:rPr>
              <w:t>8</w:t>
            </w:r>
          </w:p>
        </w:tc>
      </w:tr>
      <w:tr w:rsidR="00F5767F" w:rsidRPr="0005794A"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color w:val="auto"/>
              </w:rPr>
            </w:pPr>
            <w:r w:rsidRPr="00F5767F">
              <w:rPr>
                <w:rStyle w:val="Bold"/>
                <w:rFonts w:ascii="Arial" w:hAnsi="Arial" w:cs="Arial"/>
                <w:color w:val="auto"/>
              </w:rPr>
              <w:t>6.3</w:t>
            </w:r>
          </w:p>
        </w:tc>
        <w:tc>
          <w:tcPr>
            <w:tcW w:w="4820" w:type="dxa"/>
          </w:tcPr>
          <w:p w:rsidR="00F5767F" w:rsidRPr="00F5767F" w:rsidRDefault="00F5767F" w:rsidP="00845AAC">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F5767F">
              <w:rPr>
                <w:rFonts w:ascii="Arial" w:hAnsi="Arial" w:cs="Arial"/>
                <w:color w:val="auto"/>
              </w:rPr>
              <w:t xml:space="preserve">Other Central Government Grants – </w:t>
            </w:r>
            <w:proofErr w:type="spellStart"/>
            <w:r w:rsidRPr="00F5767F">
              <w:rPr>
                <w:rFonts w:ascii="Arial" w:hAnsi="Arial" w:cs="Arial"/>
                <w:color w:val="auto"/>
              </w:rPr>
              <w:t>Refcus</w:t>
            </w:r>
            <w:proofErr w:type="spellEnd"/>
            <w:r w:rsidRPr="00F5767F">
              <w:rPr>
                <w:rFonts w:ascii="Arial" w:hAnsi="Arial" w:cs="Arial"/>
                <w:color w:val="auto"/>
              </w:rPr>
              <w:t xml:space="preserve"> *</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545C65" w:rsidRDefault="00545C65" w:rsidP="00AD067E">
            <w:pPr>
              <w:pStyle w:val="TableRightBold"/>
              <w:ind w:right="142"/>
              <w:jc w:val="center"/>
              <w:rPr>
                <w:rStyle w:val="Bold"/>
                <w:rFonts w:ascii="Arial" w:hAnsi="Arial" w:cs="Arial"/>
                <w:color w:val="auto"/>
                <w:highlight w:val="yellow"/>
              </w:rPr>
            </w:pPr>
            <w:r w:rsidRPr="007D61FE">
              <w:rPr>
                <w:rStyle w:val="Bold"/>
                <w:rFonts w:ascii="Arial" w:hAnsi="Arial" w:cs="Arial"/>
                <w:color w:val="auto"/>
              </w:rPr>
              <w:t>5.1</w:t>
            </w:r>
          </w:p>
        </w:tc>
      </w:tr>
      <w:tr w:rsidR="00F5767F" w:rsidRPr="0005794A" w:rsidTr="00845AAC">
        <w:trPr>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F5767F" w:rsidP="00F5767F">
            <w:pPr>
              <w:pStyle w:val="TableRightBold"/>
              <w:ind w:right="142"/>
              <w:jc w:val="center"/>
              <w:rPr>
                <w:rStyle w:val="Bold"/>
                <w:rFonts w:ascii="Arial" w:hAnsi="Arial" w:cs="Arial"/>
                <w:b/>
                <w:color w:val="auto"/>
              </w:rPr>
            </w:pPr>
            <w:r w:rsidRPr="00F5767F">
              <w:rPr>
                <w:rStyle w:val="Bold"/>
                <w:rFonts w:ascii="Arial" w:hAnsi="Arial" w:cs="Arial"/>
                <w:b/>
                <w:color w:val="auto"/>
              </w:rPr>
              <w:t>128.4</w:t>
            </w:r>
          </w:p>
        </w:tc>
        <w:tc>
          <w:tcPr>
            <w:tcW w:w="4820" w:type="dxa"/>
          </w:tcPr>
          <w:p w:rsidR="00F5767F" w:rsidRPr="00F5767F" w:rsidRDefault="00F5767F" w:rsidP="00EA6482">
            <w:pPr>
              <w:pStyle w:val="TableText"/>
              <w:ind w:left="66"/>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5767F">
              <w:rPr>
                <w:rFonts w:ascii="Arial" w:hAnsi="Arial" w:cs="Arial"/>
                <w:b/>
                <w:color w:val="auto"/>
              </w:rPr>
              <w:t>Sub Total</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841004" w:rsidRDefault="00841004" w:rsidP="00A05D50">
            <w:pPr>
              <w:pStyle w:val="TableRightBold"/>
              <w:ind w:right="142"/>
              <w:jc w:val="center"/>
              <w:rPr>
                <w:rStyle w:val="Bold"/>
                <w:rFonts w:ascii="Arial" w:hAnsi="Arial" w:cs="Arial"/>
                <w:b/>
                <w:color w:val="auto"/>
              </w:rPr>
            </w:pPr>
            <w:r w:rsidRPr="00841004">
              <w:rPr>
                <w:rStyle w:val="Bold"/>
                <w:rFonts w:ascii="Arial" w:hAnsi="Arial" w:cs="Arial"/>
                <w:b/>
                <w:color w:val="auto"/>
              </w:rPr>
              <w:t>127.</w:t>
            </w:r>
            <w:r w:rsidR="00A05D50">
              <w:rPr>
                <w:rStyle w:val="Bold"/>
                <w:rFonts w:ascii="Arial" w:hAnsi="Arial" w:cs="Arial"/>
                <w:b/>
                <w:color w:val="auto"/>
              </w:rPr>
              <w:t>4</w:t>
            </w:r>
          </w:p>
        </w:tc>
      </w:tr>
      <w:tr w:rsidR="00F5767F" w:rsidRPr="0005794A" w:rsidTr="00845AAC">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42" w:type="dxa"/>
          </w:tcPr>
          <w:p w:rsidR="00F5767F" w:rsidRPr="00F5767F" w:rsidRDefault="001D0763" w:rsidP="001D0763">
            <w:pPr>
              <w:pStyle w:val="TableRightBold"/>
              <w:ind w:right="142"/>
              <w:jc w:val="center"/>
              <w:rPr>
                <w:rStyle w:val="Bold"/>
                <w:rFonts w:ascii="Arial" w:hAnsi="Arial" w:cs="Arial"/>
                <w:b/>
                <w:color w:val="auto"/>
              </w:rPr>
            </w:pPr>
            <w:r>
              <w:rPr>
                <w:rStyle w:val="Bold"/>
                <w:rFonts w:ascii="Arial" w:hAnsi="Arial" w:cs="Arial"/>
                <w:b/>
                <w:color w:val="auto"/>
              </w:rPr>
              <w:t>171.8</w:t>
            </w:r>
          </w:p>
        </w:tc>
        <w:tc>
          <w:tcPr>
            <w:tcW w:w="4820" w:type="dxa"/>
          </w:tcPr>
          <w:p w:rsidR="00F5767F" w:rsidRPr="00F5767F" w:rsidRDefault="00F5767F" w:rsidP="00845AAC">
            <w:pPr>
              <w:pStyle w:val="TableText"/>
              <w:ind w:left="66"/>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F5767F">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175" w:type="dxa"/>
          </w:tcPr>
          <w:p w:rsidR="00F5767F" w:rsidRPr="00841004" w:rsidRDefault="00545C65" w:rsidP="007D61FE">
            <w:pPr>
              <w:pStyle w:val="TableRightBold"/>
              <w:ind w:right="142"/>
              <w:jc w:val="center"/>
              <w:rPr>
                <w:rStyle w:val="Bold"/>
                <w:rFonts w:ascii="Arial" w:hAnsi="Arial" w:cs="Arial"/>
                <w:b/>
                <w:color w:val="auto"/>
              </w:rPr>
            </w:pPr>
            <w:r w:rsidRPr="00841004">
              <w:rPr>
                <w:rStyle w:val="Bold"/>
                <w:rFonts w:ascii="Arial" w:hAnsi="Arial" w:cs="Arial"/>
                <w:b/>
                <w:color w:val="auto"/>
              </w:rPr>
              <w:t>171.</w:t>
            </w:r>
            <w:r w:rsidR="007D61FE">
              <w:rPr>
                <w:rStyle w:val="Bold"/>
                <w:rFonts w:ascii="Arial" w:hAnsi="Arial" w:cs="Arial"/>
                <w:b/>
                <w:color w:val="auto"/>
              </w:rPr>
              <w:t>9</w:t>
            </w:r>
          </w:p>
        </w:tc>
      </w:tr>
    </w:tbl>
    <w:p w:rsidR="00E51139" w:rsidRPr="0005794A" w:rsidRDefault="00E51139" w:rsidP="003C5E34">
      <w:pPr>
        <w:pStyle w:val="CodeNotesExampleText"/>
        <w:widowControl w:val="0"/>
        <w:ind w:left="567"/>
        <w:outlineLvl w:val="0"/>
        <w:rPr>
          <w:rFonts w:cs="Arial"/>
          <w:color w:val="548DD4" w:themeColor="text2" w:themeTint="99"/>
          <w:sz w:val="20"/>
          <w:szCs w:val="20"/>
        </w:rPr>
      </w:pPr>
    </w:p>
    <w:p w:rsidR="002B7CA0" w:rsidRPr="0005794A" w:rsidRDefault="002B7CA0" w:rsidP="00845AAC">
      <w:pPr>
        <w:pStyle w:val="CodeNotesExampleText"/>
        <w:widowControl w:val="0"/>
        <w:rPr>
          <w:rFonts w:cs="Arial"/>
          <w:color w:val="548DD4" w:themeColor="text2" w:themeTint="99"/>
          <w:sz w:val="20"/>
          <w:szCs w:val="20"/>
        </w:rPr>
      </w:pPr>
    </w:p>
    <w:p w:rsidR="00E51139" w:rsidRPr="00545C65" w:rsidRDefault="00E51139" w:rsidP="00845AAC">
      <w:pPr>
        <w:pStyle w:val="CodeNotesExampleText"/>
        <w:widowControl w:val="0"/>
        <w:ind w:left="567"/>
        <w:outlineLvl w:val="0"/>
        <w:rPr>
          <w:rFonts w:cs="Arial"/>
          <w:color w:val="auto"/>
          <w:sz w:val="20"/>
          <w:szCs w:val="20"/>
          <w:lang w:eastAsia="en-GB"/>
        </w:rPr>
      </w:pPr>
      <w:r w:rsidRPr="00545C65">
        <w:rPr>
          <w:rFonts w:cs="Arial"/>
          <w:color w:val="auto"/>
          <w:sz w:val="20"/>
          <w:szCs w:val="20"/>
          <w:lang w:eastAsia="en-GB"/>
        </w:rPr>
        <w:t xml:space="preserve">In addition the Council has received a number of grants and contributions that have yet to be recognised as income as they have conditions attached to them that will require the monies or property to be returned </w:t>
      </w:r>
      <w:r w:rsidR="00BD680D" w:rsidRPr="00545C65">
        <w:rPr>
          <w:rFonts w:cs="Arial"/>
          <w:color w:val="auto"/>
          <w:sz w:val="20"/>
          <w:szCs w:val="20"/>
          <w:lang w:eastAsia="en-GB"/>
        </w:rPr>
        <w:t>if conditions not met</w:t>
      </w:r>
      <w:r w:rsidRPr="00545C65">
        <w:rPr>
          <w:rFonts w:cs="Arial"/>
          <w:color w:val="auto"/>
          <w:sz w:val="20"/>
          <w:szCs w:val="20"/>
          <w:lang w:eastAsia="en-GB"/>
        </w:rPr>
        <w:t xml:space="preserve">. </w:t>
      </w:r>
    </w:p>
    <w:p w:rsidR="00B72AC1" w:rsidRPr="00545C65" w:rsidRDefault="00B72AC1" w:rsidP="00845AAC">
      <w:pPr>
        <w:pStyle w:val="CodeNotesExampleText"/>
        <w:widowControl w:val="0"/>
        <w:ind w:left="567"/>
        <w:outlineLvl w:val="0"/>
        <w:rPr>
          <w:rFonts w:cs="Arial"/>
          <w:color w:val="auto"/>
          <w:sz w:val="20"/>
          <w:szCs w:val="20"/>
          <w:lang w:eastAsia="en-GB"/>
        </w:rPr>
      </w:pPr>
    </w:p>
    <w:p w:rsidR="00E51139" w:rsidRPr="00545C65" w:rsidRDefault="00E51139" w:rsidP="00845AAC">
      <w:pPr>
        <w:pStyle w:val="CodeNotesExampleText"/>
        <w:widowControl w:val="0"/>
        <w:ind w:left="567"/>
        <w:outlineLvl w:val="0"/>
        <w:rPr>
          <w:rFonts w:cs="Arial"/>
          <w:color w:val="auto"/>
          <w:sz w:val="20"/>
          <w:szCs w:val="20"/>
          <w:lang w:eastAsia="en-GB"/>
        </w:rPr>
      </w:pPr>
      <w:r w:rsidRPr="00545C65">
        <w:rPr>
          <w:rFonts w:cs="Arial"/>
          <w:color w:val="auto"/>
          <w:sz w:val="20"/>
          <w:szCs w:val="20"/>
          <w:lang w:eastAsia="en-GB"/>
        </w:rPr>
        <w:t xml:space="preserve">Note * </w:t>
      </w:r>
      <w:proofErr w:type="spellStart"/>
      <w:r w:rsidRPr="00545C65">
        <w:rPr>
          <w:rFonts w:cs="Arial"/>
          <w:color w:val="auto"/>
          <w:sz w:val="20"/>
          <w:szCs w:val="20"/>
          <w:lang w:eastAsia="en-GB"/>
        </w:rPr>
        <w:t>Refcus</w:t>
      </w:r>
      <w:proofErr w:type="spellEnd"/>
      <w:r w:rsidRPr="00545C65">
        <w:rPr>
          <w:rFonts w:cs="Arial"/>
          <w:color w:val="auto"/>
          <w:sz w:val="20"/>
          <w:szCs w:val="20"/>
          <w:lang w:eastAsia="en-GB"/>
        </w:rPr>
        <w:t xml:space="preserve"> Grants are Capital Grants that are used to fund “Revenue Expenditure Funded Under Statute” where the Council has to charge to revenue, capital expenditure where no asset is created, such as spend in relation to Foundation </w:t>
      </w:r>
      <w:r w:rsidR="003541E5" w:rsidRPr="00545C65">
        <w:rPr>
          <w:rFonts w:cs="Arial"/>
          <w:color w:val="auto"/>
          <w:sz w:val="20"/>
          <w:szCs w:val="20"/>
          <w:lang w:eastAsia="en-GB"/>
        </w:rPr>
        <w:t xml:space="preserve">or Academy </w:t>
      </w:r>
      <w:r w:rsidRPr="00545C65">
        <w:rPr>
          <w:rFonts w:cs="Arial"/>
          <w:color w:val="auto"/>
          <w:sz w:val="20"/>
          <w:szCs w:val="20"/>
          <w:lang w:eastAsia="en-GB"/>
        </w:rPr>
        <w:t>schools where the Council does not recognise the asset on its balance sheet.</w:t>
      </w:r>
    </w:p>
    <w:p w:rsidR="00845AAC" w:rsidRPr="0005794A" w:rsidRDefault="00845AAC" w:rsidP="00845AAC">
      <w:pPr>
        <w:pStyle w:val="Subtitle"/>
        <w:ind w:left="567" w:hanging="567"/>
        <w:rPr>
          <w:b/>
          <w:color w:val="548DD4" w:themeColor="text2" w:themeTint="99"/>
          <w:sz w:val="22"/>
          <w:szCs w:val="22"/>
        </w:rPr>
      </w:pPr>
    </w:p>
    <w:p w:rsidR="00E51139" w:rsidRPr="008A102A" w:rsidRDefault="005C68D8" w:rsidP="00845AAC">
      <w:pPr>
        <w:pStyle w:val="Subtitle"/>
        <w:ind w:left="567" w:hanging="567"/>
        <w:rPr>
          <w:b/>
          <w:color w:val="auto"/>
          <w:sz w:val="22"/>
          <w:szCs w:val="22"/>
        </w:rPr>
      </w:pPr>
      <w:r w:rsidRPr="008A102A">
        <w:rPr>
          <w:b/>
          <w:color w:val="auto"/>
          <w:sz w:val="22"/>
          <w:szCs w:val="22"/>
        </w:rPr>
        <w:t>3</w:t>
      </w:r>
      <w:r w:rsidR="004E409A" w:rsidRPr="008A102A">
        <w:rPr>
          <w:b/>
          <w:color w:val="auto"/>
          <w:sz w:val="22"/>
          <w:szCs w:val="22"/>
        </w:rPr>
        <w:t>3</w:t>
      </w:r>
      <w:r w:rsidR="00E51139" w:rsidRPr="008A102A">
        <w:rPr>
          <w:b/>
          <w:color w:val="auto"/>
          <w:sz w:val="22"/>
          <w:szCs w:val="22"/>
        </w:rPr>
        <w:t>.</w:t>
      </w:r>
      <w:r w:rsidR="00E51139" w:rsidRPr="008A102A">
        <w:rPr>
          <w:b/>
          <w:color w:val="auto"/>
          <w:sz w:val="22"/>
          <w:szCs w:val="22"/>
        </w:rPr>
        <w:tab/>
        <w:t>Related Parties</w:t>
      </w:r>
    </w:p>
    <w:p w:rsidR="00E51139" w:rsidRPr="008A102A" w:rsidRDefault="00E51139" w:rsidP="00845AAC">
      <w:pPr>
        <w:pStyle w:val="CodeNotesExampleText"/>
        <w:widowControl w:val="0"/>
        <w:ind w:left="567"/>
        <w:outlineLvl w:val="0"/>
        <w:rPr>
          <w:rFonts w:cs="Arial"/>
          <w:color w:val="auto"/>
          <w:sz w:val="20"/>
          <w:szCs w:val="20"/>
          <w:lang w:eastAsia="en-GB"/>
        </w:rPr>
      </w:pPr>
      <w:r w:rsidRPr="008A102A">
        <w:rPr>
          <w:rFonts w:cs="Arial"/>
          <w:color w:val="auto"/>
          <w:sz w:val="20"/>
          <w:szCs w:val="20"/>
          <w:lang w:eastAsia="en-GB"/>
        </w:rPr>
        <w:t>The Council is required to disclose material transactions with related parties – bodies or individuals that have the potential to control or influence the Council or to be controlled or influenced by the Council.  Disclosure of these transactions allows readers to assess the extent to which the council might have been constrained in its ability to operate independently or might have secured the ability to limit another party’s ability to bargain freely with the Council. Any balances due to/from these related parties at the end of a financial year are included within the Council’s total debtor and creditor figures.</w:t>
      </w:r>
    </w:p>
    <w:p w:rsidR="00E51139" w:rsidRPr="0005794A" w:rsidRDefault="00E51139" w:rsidP="003C5E34">
      <w:pPr>
        <w:pStyle w:val="CodeNotesExampleText"/>
        <w:widowControl w:val="0"/>
        <w:ind w:left="567"/>
        <w:rPr>
          <w:color w:val="548DD4" w:themeColor="text2" w:themeTint="99"/>
          <w:sz w:val="20"/>
          <w:szCs w:val="20"/>
        </w:rPr>
      </w:pPr>
    </w:p>
    <w:p w:rsidR="00E51139" w:rsidRPr="00A92EF5" w:rsidRDefault="00E51139" w:rsidP="008D0906">
      <w:pPr>
        <w:pStyle w:val="Default"/>
        <w:ind w:firstLine="567"/>
        <w:outlineLvl w:val="0"/>
        <w:rPr>
          <w:rFonts w:ascii="Arial" w:hAnsi="Arial" w:cs="Arial"/>
          <w:bCs/>
          <w:color w:val="auto"/>
          <w:sz w:val="20"/>
          <w:szCs w:val="20"/>
          <w:u w:val="single"/>
        </w:rPr>
      </w:pPr>
      <w:r w:rsidRPr="00A92EF5">
        <w:rPr>
          <w:rFonts w:ascii="Arial" w:hAnsi="Arial" w:cs="Arial"/>
          <w:bCs/>
          <w:color w:val="auto"/>
          <w:sz w:val="20"/>
          <w:szCs w:val="20"/>
          <w:u w:val="single"/>
        </w:rPr>
        <w:t xml:space="preserve">Interest in Companies </w:t>
      </w:r>
    </w:p>
    <w:p w:rsidR="00E51139" w:rsidRPr="00A92EF5" w:rsidRDefault="00E51139" w:rsidP="0024521E">
      <w:pPr>
        <w:pStyle w:val="Default"/>
        <w:ind w:firstLine="720"/>
        <w:rPr>
          <w:rFonts w:ascii="Arial" w:hAnsi="Arial" w:cs="Arial"/>
          <w:color w:val="auto"/>
          <w:sz w:val="20"/>
          <w:szCs w:val="20"/>
        </w:rPr>
      </w:pPr>
    </w:p>
    <w:p w:rsidR="00E51139" w:rsidRPr="00A92EF5" w:rsidRDefault="00E51139" w:rsidP="00053CD2">
      <w:pPr>
        <w:pStyle w:val="Default"/>
        <w:spacing w:line="240" w:lineRule="atLeast"/>
        <w:ind w:left="567"/>
        <w:rPr>
          <w:rFonts w:ascii="Arial" w:hAnsi="Arial" w:cs="Arial"/>
          <w:color w:val="auto"/>
          <w:sz w:val="20"/>
          <w:szCs w:val="20"/>
        </w:rPr>
      </w:pPr>
      <w:r w:rsidRPr="00A92EF5">
        <w:rPr>
          <w:rFonts w:ascii="Arial" w:hAnsi="Arial" w:cs="Arial"/>
          <w:color w:val="auto"/>
          <w:sz w:val="20"/>
          <w:szCs w:val="20"/>
        </w:rPr>
        <w:t>The Council maintains involvement with a number of subsidiary and associated companies.</w:t>
      </w:r>
      <w:r w:rsidR="00C36601" w:rsidRPr="00A92EF5">
        <w:rPr>
          <w:rFonts w:ascii="Arial" w:hAnsi="Arial" w:cs="Arial"/>
          <w:color w:val="auto"/>
          <w:sz w:val="20"/>
          <w:szCs w:val="20"/>
        </w:rPr>
        <w:t xml:space="preserve"> The impact of consolidation of these interests into group accounts is not </w:t>
      </w:r>
      <w:r w:rsidRPr="00A92EF5">
        <w:rPr>
          <w:rFonts w:ascii="Arial" w:hAnsi="Arial" w:cs="Arial"/>
          <w:color w:val="auto"/>
          <w:sz w:val="20"/>
          <w:szCs w:val="20"/>
        </w:rPr>
        <w:t>material</w:t>
      </w:r>
      <w:r w:rsidR="00C36601" w:rsidRPr="00A92EF5">
        <w:rPr>
          <w:rFonts w:ascii="Arial" w:hAnsi="Arial" w:cs="Arial"/>
          <w:color w:val="auto"/>
          <w:sz w:val="20"/>
          <w:szCs w:val="20"/>
        </w:rPr>
        <w:t>.</w:t>
      </w:r>
      <w:r w:rsidRPr="00A92EF5">
        <w:rPr>
          <w:rFonts w:ascii="Arial" w:hAnsi="Arial" w:cs="Arial"/>
          <w:color w:val="auto"/>
          <w:sz w:val="20"/>
          <w:szCs w:val="20"/>
        </w:rPr>
        <w:t xml:space="preserve">  </w:t>
      </w:r>
    </w:p>
    <w:p w:rsidR="00E51139" w:rsidRPr="00A92EF5" w:rsidRDefault="00E51139" w:rsidP="002636C4">
      <w:pPr>
        <w:pStyle w:val="Default"/>
        <w:rPr>
          <w:rFonts w:ascii="Arial" w:hAnsi="Arial" w:cs="Arial"/>
          <w:color w:val="auto"/>
          <w:sz w:val="18"/>
          <w:szCs w:val="18"/>
        </w:rPr>
      </w:pPr>
    </w:p>
    <w:p w:rsidR="00A92EF5" w:rsidRDefault="00E51139" w:rsidP="00053CD2">
      <w:pPr>
        <w:pStyle w:val="Default"/>
        <w:ind w:left="567"/>
        <w:rPr>
          <w:rFonts w:ascii="Arial" w:hAnsi="Arial" w:cs="Arial"/>
          <w:color w:val="auto"/>
          <w:sz w:val="20"/>
          <w:szCs w:val="20"/>
        </w:rPr>
      </w:pPr>
      <w:r w:rsidRPr="00A92EF5">
        <w:rPr>
          <w:rFonts w:ascii="Arial" w:hAnsi="Arial" w:cs="Arial"/>
          <w:color w:val="auto"/>
          <w:sz w:val="20"/>
          <w:szCs w:val="20"/>
        </w:rPr>
        <w:t xml:space="preserve">The Council has provided pension guarantees to the Torbay Economic Development Company, and </w:t>
      </w:r>
      <w:r w:rsidR="006B046C" w:rsidRPr="00A92EF5">
        <w:rPr>
          <w:rFonts w:ascii="Arial" w:hAnsi="Arial" w:cs="Arial"/>
          <w:color w:val="auto"/>
          <w:sz w:val="20"/>
          <w:szCs w:val="20"/>
        </w:rPr>
        <w:t xml:space="preserve">CSW Group Ltd </w:t>
      </w:r>
      <w:r w:rsidR="007E33E1" w:rsidRPr="00A92EF5">
        <w:rPr>
          <w:rFonts w:ascii="Arial" w:hAnsi="Arial" w:cs="Arial"/>
          <w:color w:val="auto"/>
          <w:sz w:val="20"/>
          <w:szCs w:val="20"/>
        </w:rPr>
        <w:t>(formally Careers</w:t>
      </w:r>
      <w:r w:rsidRPr="00A92EF5">
        <w:rPr>
          <w:rFonts w:ascii="Arial" w:hAnsi="Arial" w:cs="Arial"/>
          <w:color w:val="auto"/>
          <w:sz w:val="20"/>
          <w:szCs w:val="20"/>
        </w:rPr>
        <w:t xml:space="preserve"> South West</w:t>
      </w:r>
      <w:r w:rsidR="006B046C" w:rsidRPr="00A92EF5">
        <w:rPr>
          <w:rFonts w:ascii="Arial" w:hAnsi="Arial" w:cs="Arial"/>
          <w:color w:val="auto"/>
          <w:sz w:val="20"/>
          <w:szCs w:val="20"/>
        </w:rPr>
        <w:t>)</w:t>
      </w:r>
      <w:r w:rsidRPr="00A92EF5">
        <w:rPr>
          <w:rFonts w:ascii="Arial" w:hAnsi="Arial" w:cs="Arial"/>
          <w:color w:val="auto"/>
          <w:sz w:val="20"/>
          <w:szCs w:val="20"/>
        </w:rPr>
        <w:t xml:space="preserve">.  </w:t>
      </w:r>
    </w:p>
    <w:p w:rsidR="00E32651" w:rsidRPr="00A92EF5" w:rsidRDefault="00E32651" w:rsidP="00053CD2">
      <w:pPr>
        <w:pStyle w:val="Default"/>
        <w:ind w:left="567"/>
        <w:rPr>
          <w:rFonts w:ascii="Arial" w:hAnsi="Arial" w:cs="Arial"/>
          <w:color w:val="auto"/>
          <w:sz w:val="20"/>
          <w:szCs w:val="20"/>
        </w:rPr>
      </w:pPr>
    </w:p>
    <w:p w:rsidR="00A92EF5" w:rsidRPr="00A92EF5" w:rsidRDefault="00A92EF5" w:rsidP="00053CD2">
      <w:pPr>
        <w:pStyle w:val="Default"/>
        <w:ind w:left="567"/>
        <w:rPr>
          <w:bCs/>
          <w:color w:val="auto"/>
          <w:sz w:val="22"/>
          <w:szCs w:val="22"/>
        </w:rPr>
      </w:pPr>
      <w:r w:rsidRPr="00A92EF5">
        <w:rPr>
          <w:rFonts w:ascii="Arial" w:hAnsi="Arial" w:cs="Arial"/>
          <w:color w:val="auto"/>
          <w:sz w:val="20"/>
          <w:szCs w:val="20"/>
        </w:rPr>
        <w:t xml:space="preserve">English Riviera Tourism Company ceased trading as at 31 March 2017. The residual LGPS pension settlement </w:t>
      </w:r>
      <w:r w:rsidR="003A5161">
        <w:rPr>
          <w:rFonts w:ascii="Arial" w:hAnsi="Arial" w:cs="Arial"/>
          <w:color w:val="auto"/>
          <w:sz w:val="20"/>
          <w:szCs w:val="20"/>
        </w:rPr>
        <w:t xml:space="preserve">at that date </w:t>
      </w:r>
      <w:r w:rsidRPr="00A92EF5">
        <w:rPr>
          <w:rFonts w:ascii="Arial" w:hAnsi="Arial" w:cs="Arial"/>
          <w:color w:val="auto"/>
          <w:sz w:val="20"/>
          <w:szCs w:val="20"/>
        </w:rPr>
        <w:t>of £0.4m was transferred to the Council.</w:t>
      </w:r>
    </w:p>
    <w:p w:rsidR="0009755C" w:rsidRPr="00A92EF5" w:rsidRDefault="0009755C" w:rsidP="00053CD2">
      <w:pPr>
        <w:pStyle w:val="examplebullet0"/>
        <w:spacing w:line="240" w:lineRule="atLeast"/>
        <w:ind w:left="567"/>
        <w:rPr>
          <w:rFonts w:ascii="Arial" w:hAnsi="Arial"/>
          <w:sz w:val="20"/>
          <w:szCs w:val="20"/>
        </w:rPr>
      </w:pPr>
      <w:r w:rsidRPr="00A92EF5">
        <w:rPr>
          <w:rFonts w:ascii="Arial" w:hAnsi="Arial"/>
          <w:sz w:val="20"/>
          <w:szCs w:val="20"/>
        </w:rPr>
        <w:t>All the companies within the group have a reporting period end date of the 31st March</w:t>
      </w:r>
      <w:r w:rsidR="001538A7" w:rsidRPr="00A92EF5">
        <w:rPr>
          <w:rFonts w:ascii="Arial" w:hAnsi="Arial"/>
          <w:sz w:val="20"/>
          <w:szCs w:val="20"/>
        </w:rPr>
        <w:t xml:space="preserve">, with exception of TOR2 </w:t>
      </w:r>
      <w:proofErr w:type="gramStart"/>
      <w:r w:rsidR="001538A7" w:rsidRPr="00A92EF5">
        <w:rPr>
          <w:rFonts w:ascii="Arial" w:hAnsi="Arial"/>
          <w:sz w:val="20"/>
          <w:szCs w:val="20"/>
        </w:rPr>
        <w:t xml:space="preserve">which </w:t>
      </w:r>
      <w:r w:rsidR="002C5ABE" w:rsidRPr="00A92EF5">
        <w:rPr>
          <w:rFonts w:ascii="Arial" w:hAnsi="Arial"/>
          <w:sz w:val="20"/>
          <w:szCs w:val="20"/>
        </w:rPr>
        <w:t xml:space="preserve"> </w:t>
      </w:r>
      <w:r w:rsidR="001538A7" w:rsidRPr="00A92EF5">
        <w:rPr>
          <w:rFonts w:ascii="Arial" w:hAnsi="Arial"/>
          <w:sz w:val="20"/>
          <w:szCs w:val="20"/>
        </w:rPr>
        <w:t>has</w:t>
      </w:r>
      <w:proofErr w:type="gramEnd"/>
      <w:r w:rsidR="001538A7" w:rsidRPr="00A92EF5">
        <w:rPr>
          <w:rFonts w:ascii="Arial" w:hAnsi="Arial"/>
          <w:sz w:val="20"/>
          <w:szCs w:val="20"/>
        </w:rPr>
        <w:t xml:space="preserve"> a 3</w:t>
      </w:r>
      <w:r w:rsidR="00053501" w:rsidRPr="00A92EF5">
        <w:rPr>
          <w:rFonts w:ascii="Arial" w:hAnsi="Arial"/>
          <w:sz w:val="20"/>
          <w:szCs w:val="20"/>
        </w:rPr>
        <w:t>0</w:t>
      </w:r>
      <w:r w:rsidR="001538A7" w:rsidRPr="00A92EF5">
        <w:rPr>
          <w:rFonts w:ascii="Arial" w:hAnsi="Arial"/>
          <w:sz w:val="20"/>
          <w:szCs w:val="20"/>
        </w:rPr>
        <w:t xml:space="preserve"> Ju</w:t>
      </w:r>
      <w:r w:rsidR="00053501" w:rsidRPr="00A92EF5">
        <w:rPr>
          <w:rFonts w:ascii="Arial" w:hAnsi="Arial"/>
          <w:sz w:val="20"/>
          <w:szCs w:val="20"/>
        </w:rPr>
        <w:t>ne</w:t>
      </w:r>
      <w:r w:rsidR="001538A7" w:rsidRPr="00A92EF5">
        <w:rPr>
          <w:rFonts w:ascii="Arial" w:hAnsi="Arial"/>
          <w:sz w:val="20"/>
          <w:szCs w:val="20"/>
        </w:rPr>
        <w:t xml:space="preserve"> date to align with other Kier May Gurney companies</w:t>
      </w:r>
      <w:r w:rsidRPr="00A92EF5">
        <w:rPr>
          <w:rFonts w:ascii="Arial" w:hAnsi="Arial"/>
          <w:sz w:val="20"/>
          <w:szCs w:val="20"/>
        </w:rPr>
        <w:t xml:space="preserve">. </w:t>
      </w:r>
      <w:r w:rsidR="00FF7E09" w:rsidRPr="00A92EF5">
        <w:rPr>
          <w:rFonts w:ascii="Arial" w:hAnsi="Arial"/>
          <w:sz w:val="20"/>
          <w:szCs w:val="20"/>
        </w:rPr>
        <w:t>(Kier M</w:t>
      </w:r>
      <w:r w:rsidR="00236DF0" w:rsidRPr="00A92EF5">
        <w:rPr>
          <w:rFonts w:ascii="Arial" w:hAnsi="Arial"/>
          <w:sz w:val="20"/>
          <w:szCs w:val="20"/>
        </w:rPr>
        <w:t>a</w:t>
      </w:r>
      <w:r w:rsidR="00FF7E09" w:rsidRPr="00A92EF5">
        <w:rPr>
          <w:rFonts w:ascii="Arial" w:hAnsi="Arial"/>
          <w:sz w:val="20"/>
          <w:szCs w:val="20"/>
        </w:rPr>
        <w:t>y Gur</w:t>
      </w:r>
      <w:r w:rsidR="00236DF0" w:rsidRPr="00A92EF5">
        <w:rPr>
          <w:rFonts w:ascii="Arial" w:hAnsi="Arial"/>
          <w:sz w:val="20"/>
          <w:szCs w:val="20"/>
        </w:rPr>
        <w:t>n</w:t>
      </w:r>
      <w:r w:rsidR="00FF7E09" w:rsidRPr="00A92EF5">
        <w:rPr>
          <w:rFonts w:ascii="Arial" w:hAnsi="Arial"/>
          <w:sz w:val="20"/>
          <w:szCs w:val="20"/>
        </w:rPr>
        <w:t>ey own 80.01% of TOR2)</w:t>
      </w:r>
      <w:r w:rsidR="00922265" w:rsidRPr="00A92EF5">
        <w:rPr>
          <w:rFonts w:ascii="Arial" w:hAnsi="Arial"/>
          <w:sz w:val="20"/>
          <w:szCs w:val="20"/>
        </w:rPr>
        <w:t>.</w:t>
      </w:r>
    </w:p>
    <w:p w:rsidR="0009755C" w:rsidRPr="00A92EF5" w:rsidRDefault="0009755C" w:rsidP="00053CD2">
      <w:pPr>
        <w:pStyle w:val="examplebullet0"/>
        <w:spacing w:line="240" w:lineRule="atLeast"/>
        <w:ind w:left="567"/>
        <w:rPr>
          <w:rFonts w:ascii="Arial" w:hAnsi="Arial"/>
          <w:sz w:val="20"/>
          <w:szCs w:val="20"/>
        </w:rPr>
      </w:pPr>
      <w:r w:rsidRPr="00A92EF5">
        <w:rPr>
          <w:rFonts w:ascii="Arial" w:hAnsi="Arial"/>
          <w:sz w:val="20"/>
          <w:szCs w:val="20"/>
        </w:rPr>
        <w:t>For those companies within the group that are ‘Limited by Guarantee and not having a share capital’ any surplus is reinvested into their activities.  The Torbay Economic Development Company Ltd (TEDC Ltd) is a private limited company</w:t>
      </w:r>
      <w:r w:rsidR="00E3342D" w:rsidRPr="00A92EF5">
        <w:rPr>
          <w:rFonts w:ascii="Arial" w:hAnsi="Arial"/>
          <w:sz w:val="20"/>
          <w:szCs w:val="20"/>
        </w:rPr>
        <w:t xml:space="preserve"> by shares</w:t>
      </w:r>
      <w:r w:rsidRPr="00A92EF5">
        <w:rPr>
          <w:rFonts w:ascii="Arial" w:hAnsi="Arial"/>
          <w:sz w:val="20"/>
          <w:szCs w:val="20"/>
        </w:rPr>
        <w:t>; however the intention is that any surplus is reinvested into the service. TOR2 is also a private limited company where the Council</w:t>
      </w:r>
      <w:r w:rsidR="00E32651">
        <w:rPr>
          <w:rFonts w:ascii="Arial" w:hAnsi="Arial"/>
          <w:sz w:val="20"/>
          <w:szCs w:val="20"/>
        </w:rPr>
        <w:t xml:space="preserve"> is due a share of any profits.</w:t>
      </w:r>
      <w:r w:rsidRPr="00A92EF5">
        <w:rPr>
          <w:rFonts w:ascii="Arial" w:hAnsi="Arial"/>
          <w:sz w:val="20"/>
          <w:szCs w:val="20"/>
        </w:rPr>
        <w:t xml:space="preserve"> </w:t>
      </w:r>
    </w:p>
    <w:p w:rsidR="00E55FE8" w:rsidRPr="00A16E98" w:rsidRDefault="00E55FE8" w:rsidP="00307413">
      <w:pPr>
        <w:pStyle w:val="examplebullet0"/>
        <w:spacing w:line="240" w:lineRule="atLeast"/>
        <w:ind w:left="567"/>
        <w:rPr>
          <w:rFonts w:ascii="Arial" w:hAnsi="Arial"/>
          <w:sz w:val="20"/>
          <w:szCs w:val="20"/>
        </w:rPr>
      </w:pPr>
      <w:r w:rsidRPr="00A16E98">
        <w:rPr>
          <w:rFonts w:ascii="Arial" w:hAnsi="Arial"/>
          <w:sz w:val="20"/>
          <w:szCs w:val="20"/>
        </w:rPr>
        <w:t xml:space="preserve">TEDC limited </w:t>
      </w:r>
      <w:r w:rsidR="00291A36" w:rsidRPr="00A16E98">
        <w:rPr>
          <w:rFonts w:ascii="Arial" w:hAnsi="Arial"/>
          <w:sz w:val="20"/>
          <w:szCs w:val="20"/>
        </w:rPr>
        <w:t>has three 1</w:t>
      </w:r>
      <w:r w:rsidRPr="00A16E98">
        <w:rPr>
          <w:rFonts w:ascii="Arial" w:hAnsi="Arial"/>
          <w:sz w:val="20"/>
          <w:szCs w:val="20"/>
        </w:rPr>
        <w:t xml:space="preserve">00% owned </w:t>
      </w:r>
      <w:r w:rsidR="00291A36" w:rsidRPr="00A16E98">
        <w:rPr>
          <w:rFonts w:ascii="Arial" w:hAnsi="Arial"/>
          <w:sz w:val="20"/>
          <w:szCs w:val="20"/>
        </w:rPr>
        <w:t xml:space="preserve">subsidiaries, </w:t>
      </w:r>
      <w:r w:rsidRPr="00A16E98">
        <w:rPr>
          <w:rFonts w:ascii="Arial" w:hAnsi="Arial"/>
          <w:sz w:val="20"/>
          <w:szCs w:val="20"/>
        </w:rPr>
        <w:t xml:space="preserve">Complete </w:t>
      </w:r>
      <w:r w:rsidR="00324713" w:rsidRPr="00A16E98">
        <w:rPr>
          <w:rFonts w:ascii="Arial" w:hAnsi="Arial"/>
          <w:sz w:val="20"/>
          <w:szCs w:val="20"/>
        </w:rPr>
        <w:t xml:space="preserve">Facilities </w:t>
      </w:r>
      <w:proofErr w:type="spellStart"/>
      <w:r w:rsidR="00324713" w:rsidRPr="00A16E98">
        <w:rPr>
          <w:rFonts w:ascii="Arial" w:hAnsi="Arial"/>
          <w:sz w:val="20"/>
          <w:szCs w:val="20"/>
        </w:rPr>
        <w:t>Managment</w:t>
      </w:r>
      <w:proofErr w:type="spellEnd"/>
      <w:r w:rsidR="00324713" w:rsidRPr="00A16E98">
        <w:rPr>
          <w:rFonts w:ascii="Arial" w:hAnsi="Arial"/>
          <w:sz w:val="20"/>
          <w:szCs w:val="20"/>
        </w:rPr>
        <w:t xml:space="preserve"> </w:t>
      </w:r>
      <w:r w:rsidR="00291A36" w:rsidRPr="00A16E98">
        <w:rPr>
          <w:rFonts w:ascii="Arial" w:hAnsi="Arial"/>
          <w:sz w:val="20"/>
          <w:szCs w:val="20"/>
        </w:rPr>
        <w:t xml:space="preserve">Services Limited, KAH Holdings Limited and </w:t>
      </w:r>
      <w:r w:rsidR="00A47F82">
        <w:rPr>
          <w:rFonts w:ascii="Arial" w:hAnsi="Arial"/>
          <w:sz w:val="20"/>
          <w:szCs w:val="20"/>
        </w:rPr>
        <w:t xml:space="preserve">Business Centres </w:t>
      </w:r>
      <w:r w:rsidR="00291A36" w:rsidRPr="00A16E98">
        <w:rPr>
          <w:rFonts w:ascii="Arial" w:hAnsi="Arial"/>
          <w:sz w:val="20"/>
          <w:szCs w:val="20"/>
        </w:rPr>
        <w:t xml:space="preserve">South West Limited. Only Complete Facilities </w:t>
      </w:r>
      <w:proofErr w:type="spellStart"/>
      <w:r w:rsidR="00291A36" w:rsidRPr="00A16E98">
        <w:rPr>
          <w:rFonts w:ascii="Arial" w:hAnsi="Arial"/>
          <w:sz w:val="20"/>
          <w:szCs w:val="20"/>
        </w:rPr>
        <w:t>Managment</w:t>
      </w:r>
      <w:proofErr w:type="spellEnd"/>
      <w:r w:rsidR="00291A36" w:rsidRPr="00A16E98">
        <w:rPr>
          <w:rFonts w:ascii="Arial" w:hAnsi="Arial"/>
          <w:sz w:val="20"/>
          <w:szCs w:val="20"/>
        </w:rPr>
        <w:t xml:space="preserve"> Services traded in 2017/18.</w:t>
      </w:r>
    </w:p>
    <w:p w:rsidR="0009755C" w:rsidRPr="00A92EF5" w:rsidRDefault="0009755C" w:rsidP="00053CD2">
      <w:pPr>
        <w:pStyle w:val="examplebullet0"/>
        <w:spacing w:line="240" w:lineRule="atLeast"/>
        <w:ind w:left="567"/>
        <w:rPr>
          <w:rFonts w:ascii="Arial" w:hAnsi="Arial"/>
          <w:sz w:val="20"/>
          <w:szCs w:val="20"/>
        </w:rPr>
      </w:pPr>
      <w:r w:rsidRPr="00A92EF5">
        <w:rPr>
          <w:rFonts w:ascii="Arial" w:hAnsi="Arial"/>
          <w:sz w:val="20"/>
          <w:szCs w:val="20"/>
        </w:rPr>
        <w:t>The Council’s interest in TOR2 Ltd is less than the accounting presumption that a 20% holding in a company is necessary for significant influence. The Council has considered its relationship with this company and concluded that it does have significant influence over it due to the dependence it has on the Council. Therefore the company has been treated as associate.</w:t>
      </w:r>
      <w:r w:rsidR="0055643C" w:rsidRPr="00A92EF5">
        <w:rPr>
          <w:rFonts w:ascii="Arial" w:hAnsi="Arial"/>
          <w:sz w:val="20"/>
          <w:szCs w:val="20"/>
        </w:rPr>
        <w:t xml:space="preserve"> </w:t>
      </w:r>
    </w:p>
    <w:p w:rsidR="0009755C" w:rsidRPr="00B84195" w:rsidRDefault="0009755C" w:rsidP="008D0906">
      <w:pPr>
        <w:autoSpaceDE w:val="0"/>
        <w:autoSpaceDN w:val="0"/>
        <w:spacing w:line="240" w:lineRule="auto"/>
        <w:ind w:left="567"/>
        <w:outlineLvl w:val="0"/>
        <w:rPr>
          <w:color w:val="auto"/>
          <w:sz w:val="20"/>
          <w:szCs w:val="20"/>
          <w:lang w:eastAsia="en-GB"/>
        </w:rPr>
      </w:pPr>
      <w:r w:rsidRPr="00B84195">
        <w:rPr>
          <w:color w:val="auto"/>
          <w:sz w:val="20"/>
          <w:szCs w:val="20"/>
          <w:lang w:eastAsia="en-GB"/>
        </w:rPr>
        <w:t>As at the 31st March 201</w:t>
      </w:r>
      <w:r w:rsidR="008C6A28" w:rsidRPr="00B84195">
        <w:rPr>
          <w:color w:val="auto"/>
          <w:sz w:val="20"/>
          <w:szCs w:val="20"/>
          <w:lang w:eastAsia="en-GB"/>
        </w:rPr>
        <w:t>8</w:t>
      </w:r>
      <w:r w:rsidRPr="00B84195">
        <w:rPr>
          <w:color w:val="auto"/>
          <w:sz w:val="20"/>
          <w:szCs w:val="20"/>
          <w:lang w:eastAsia="en-GB"/>
        </w:rPr>
        <w:t xml:space="preserve"> the net balances outstanding between members of the group were:- </w:t>
      </w:r>
    </w:p>
    <w:p w:rsidR="0009755C" w:rsidRPr="001F5AC6" w:rsidRDefault="0009755C" w:rsidP="00FC32F1">
      <w:pPr>
        <w:pStyle w:val="ListParagraph"/>
        <w:numPr>
          <w:ilvl w:val="0"/>
          <w:numId w:val="23"/>
        </w:numPr>
        <w:autoSpaceDE w:val="0"/>
        <w:autoSpaceDN w:val="0"/>
        <w:spacing w:line="240" w:lineRule="auto"/>
        <w:rPr>
          <w:color w:val="auto"/>
          <w:sz w:val="20"/>
          <w:szCs w:val="20"/>
          <w:lang w:eastAsia="en-GB"/>
        </w:rPr>
      </w:pPr>
      <w:r w:rsidRPr="001F5AC6">
        <w:rPr>
          <w:color w:val="auto"/>
          <w:sz w:val="20"/>
          <w:szCs w:val="20"/>
          <w:lang w:eastAsia="en-GB"/>
        </w:rPr>
        <w:t>Torbay Council and TOR2 Ltd, a net £</w:t>
      </w:r>
      <w:r w:rsidR="00BF40F5" w:rsidRPr="001F5AC6">
        <w:rPr>
          <w:color w:val="auto"/>
          <w:sz w:val="20"/>
          <w:szCs w:val="20"/>
          <w:lang w:eastAsia="en-GB"/>
        </w:rPr>
        <w:t>0.</w:t>
      </w:r>
      <w:r w:rsidR="001F5AC6" w:rsidRPr="001F5AC6">
        <w:rPr>
          <w:color w:val="auto"/>
          <w:sz w:val="20"/>
          <w:szCs w:val="20"/>
          <w:lang w:eastAsia="en-GB"/>
        </w:rPr>
        <w:t>3</w:t>
      </w:r>
      <w:r w:rsidRPr="001F5AC6">
        <w:rPr>
          <w:color w:val="auto"/>
          <w:sz w:val="20"/>
          <w:szCs w:val="20"/>
          <w:lang w:eastAsia="en-GB"/>
        </w:rPr>
        <w:t>m owed by the Council</w:t>
      </w:r>
      <w:r w:rsidR="0019149F" w:rsidRPr="001F5AC6">
        <w:rPr>
          <w:color w:val="auto"/>
          <w:sz w:val="20"/>
          <w:szCs w:val="20"/>
          <w:lang w:eastAsia="en-GB"/>
        </w:rPr>
        <w:t xml:space="preserve"> and £7.5m paid in advance to TOR2 for 201</w:t>
      </w:r>
      <w:r w:rsidR="00355E1D" w:rsidRPr="001F5AC6">
        <w:rPr>
          <w:color w:val="auto"/>
          <w:sz w:val="20"/>
          <w:szCs w:val="20"/>
          <w:lang w:eastAsia="en-GB"/>
        </w:rPr>
        <w:t>8</w:t>
      </w:r>
      <w:r w:rsidR="0019149F" w:rsidRPr="001F5AC6">
        <w:rPr>
          <w:color w:val="auto"/>
          <w:sz w:val="20"/>
          <w:szCs w:val="20"/>
          <w:lang w:eastAsia="en-GB"/>
        </w:rPr>
        <w:t>/1</w:t>
      </w:r>
      <w:r w:rsidR="00355E1D" w:rsidRPr="001F5AC6">
        <w:rPr>
          <w:color w:val="auto"/>
          <w:sz w:val="20"/>
          <w:szCs w:val="20"/>
          <w:lang w:eastAsia="en-GB"/>
        </w:rPr>
        <w:t>9</w:t>
      </w:r>
      <w:r w:rsidR="0019149F" w:rsidRPr="001F5AC6">
        <w:rPr>
          <w:color w:val="auto"/>
          <w:sz w:val="20"/>
          <w:szCs w:val="20"/>
          <w:lang w:eastAsia="en-GB"/>
        </w:rPr>
        <w:t xml:space="preserve"> fees.</w:t>
      </w:r>
    </w:p>
    <w:p w:rsidR="003B1A64" w:rsidRPr="002C79EC" w:rsidRDefault="0009755C" w:rsidP="00FC32F1">
      <w:pPr>
        <w:pStyle w:val="ListParagraph"/>
        <w:numPr>
          <w:ilvl w:val="0"/>
          <w:numId w:val="23"/>
        </w:numPr>
        <w:autoSpaceDE w:val="0"/>
        <w:autoSpaceDN w:val="0"/>
        <w:spacing w:line="240" w:lineRule="auto"/>
        <w:rPr>
          <w:color w:val="auto"/>
          <w:sz w:val="20"/>
          <w:szCs w:val="20"/>
          <w:lang w:eastAsia="en-GB"/>
        </w:rPr>
      </w:pPr>
      <w:r w:rsidRPr="001F5AC6">
        <w:rPr>
          <w:color w:val="auto"/>
          <w:sz w:val="20"/>
          <w:szCs w:val="20"/>
          <w:lang w:eastAsia="en-GB"/>
        </w:rPr>
        <w:t>Torbay Council and the Torbay Economic Development Company, a net £</w:t>
      </w:r>
      <w:r w:rsidR="0085192E" w:rsidRPr="001F5AC6">
        <w:rPr>
          <w:color w:val="auto"/>
          <w:sz w:val="20"/>
          <w:szCs w:val="20"/>
          <w:lang w:eastAsia="en-GB"/>
        </w:rPr>
        <w:t>0</w:t>
      </w:r>
      <w:r w:rsidR="00AE03DF" w:rsidRPr="001F5AC6">
        <w:rPr>
          <w:color w:val="auto"/>
          <w:sz w:val="20"/>
          <w:szCs w:val="20"/>
          <w:lang w:eastAsia="en-GB"/>
        </w:rPr>
        <w:t>.</w:t>
      </w:r>
      <w:r w:rsidR="00087BBA">
        <w:rPr>
          <w:color w:val="auto"/>
          <w:sz w:val="20"/>
          <w:szCs w:val="20"/>
          <w:lang w:eastAsia="en-GB"/>
        </w:rPr>
        <w:t>6</w:t>
      </w:r>
      <w:r w:rsidRPr="001F5AC6">
        <w:rPr>
          <w:color w:val="auto"/>
          <w:sz w:val="20"/>
          <w:szCs w:val="20"/>
          <w:lang w:eastAsia="en-GB"/>
        </w:rPr>
        <w:t>m owed by Torbay Council</w:t>
      </w:r>
      <w:r w:rsidR="00990787" w:rsidRPr="001F5AC6">
        <w:rPr>
          <w:color w:val="auto"/>
          <w:sz w:val="20"/>
          <w:szCs w:val="20"/>
          <w:lang w:eastAsia="en-GB"/>
        </w:rPr>
        <w:t xml:space="preserve"> </w:t>
      </w:r>
      <w:r w:rsidR="00087BBA">
        <w:rPr>
          <w:color w:val="auto"/>
          <w:sz w:val="20"/>
          <w:szCs w:val="20"/>
          <w:lang w:eastAsia="en-GB"/>
        </w:rPr>
        <w:t>and</w:t>
      </w:r>
      <w:r w:rsidR="00990787" w:rsidRPr="002C79EC">
        <w:rPr>
          <w:color w:val="auto"/>
          <w:sz w:val="20"/>
          <w:szCs w:val="20"/>
          <w:lang w:eastAsia="en-GB"/>
        </w:rPr>
        <w:t xml:space="preserve"> £</w:t>
      </w:r>
      <w:r w:rsidR="004B4EE9" w:rsidRPr="002C79EC">
        <w:rPr>
          <w:color w:val="auto"/>
          <w:sz w:val="20"/>
          <w:szCs w:val="20"/>
          <w:lang w:eastAsia="en-GB"/>
        </w:rPr>
        <w:t>0.</w:t>
      </w:r>
      <w:r w:rsidR="0019149F" w:rsidRPr="002C79EC">
        <w:rPr>
          <w:color w:val="auto"/>
          <w:sz w:val="20"/>
          <w:szCs w:val="20"/>
          <w:lang w:eastAsia="en-GB"/>
        </w:rPr>
        <w:t>7</w:t>
      </w:r>
      <w:r w:rsidR="00990787" w:rsidRPr="002C79EC">
        <w:rPr>
          <w:color w:val="auto"/>
          <w:sz w:val="20"/>
          <w:szCs w:val="20"/>
          <w:lang w:eastAsia="en-GB"/>
        </w:rPr>
        <w:t xml:space="preserve">m </w:t>
      </w:r>
      <w:r w:rsidR="00087BBA">
        <w:rPr>
          <w:color w:val="auto"/>
          <w:sz w:val="20"/>
          <w:szCs w:val="20"/>
          <w:lang w:eastAsia="en-GB"/>
        </w:rPr>
        <w:t xml:space="preserve">has been </w:t>
      </w:r>
      <w:r w:rsidR="00990787" w:rsidRPr="002C79EC">
        <w:rPr>
          <w:color w:val="auto"/>
          <w:sz w:val="20"/>
          <w:szCs w:val="20"/>
          <w:lang w:eastAsia="en-GB"/>
        </w:rPr>
        <w:t>paid in</w:t>
      </w:r>
      <w:r w:rsidR="00990787" w:rsidRPr="002C79EC">
        <w:rPr>
          <w:color w:val="548DD4" w:themeColor="text2" w:themeTint="99"/>
          <w:sz w:val="20"/>
          <w:szCs w:val="20"/>
          <w:lang w:eastAsia="en-GB"/>
        </w:rPr>
        <w:t xml:space="preserve"> </w:t>
      </w:r>
      <w:r w:rsidR="007C5CB4" w:rsidRPr="002C79EC">
        <w:rPr>
          <w:color w:val="auto"/>
          <w:sz w:val="20"/>
          <w:szCs w:val="20"/>
          <w:lang w:eastAsia="en-GB"/>
        </w:rPr>
        <w:t>advance and</w:t>
      </w:r>
      <w:r w:rsidR="00B57B59" w:rsidRPr="002C79EC">
        <w:rPr>
          <w:color w:val="auto"/>
          <w:sz w:val="20"/>
          <w:szCs w:val="20"/>
          <w:lang w:eastAsia="en-GB"/>
        </w:rPr>
        <w:t xml:space="preserve"> £1.</w:t>
      </w:r>
      <w:r w:rsidR="00355E1D" w:rsidRPr="002C79EC">
        <w:rPr>
          <w:color w:val="auto"/>
          <w:sz w:val="20"/>
          <w:szCs w:val="20"/>
          <w:lang w:eastAsia="en-GB"/>
        </w:rPr>
        <w:t>4</w:t>
      </w:r>
      <w:r w:rsidR="00B57B59" w:rsidRPr="002C79EC">
        <w:rPr>
          <w:color w:val="auto"/>
          <w:sz w:val="20"/>
          <w:szCs w:val="20"/>
          <w:lang w:eastAsia="en-GB"/>
        </w:rPr>
        <w:t xml:space="preserve">m loan </w:t>
      </w:r>
      <w:r w:rsidR="00087BBA">
        <w:rPr>
          <w:color w:val="auto"/>
          <w:sz w:val="20"/>
          <w:szCs w:val="20"/>
          <w:lang w:eastAsia="en-GB"/>
        </w:rPr>
        <w:t xml:space="preserve">provided </w:t>
      </w:r>
      <w:r w:rsidR="009579D2" w:rsidRPr="002C79EC">
        <w:rPr>
          <w:color w:val="auto"/>
          <w:sz w:val="20"/>
          <w:szCs w:val="20"/>
          <w:lang w:eastAsia="en-GB"/>
        </w:rPr>
        <w:t>to the TDA</w:t>
      </w:r>
      <w:r w:rsidR="00B57B59" w:rsidRPr="002C79EC">
        <w:rPr>
          <w:color w:val="auto"/>
          <w:sz w:val="20"/>
          <w:szCs w:val="20"/>
          <w:lang w:eastAsia="en-GB"/>
        </w:rPr>
        <w:t>.</w:t>
      </w:r>
    </w:p>
    <w:p w:rsidR="002C79EC" w:rsidRPr="0004040C" w:rsidRDefault="002C79EC" w:rsidP="002C79EC">
      <w:pPr>
        <w:pStyle w:val="ListParagraph"/>
        <w:numPr>
          <w:ilvl w:val="0"/>
          <w:numId w:val="23"/>
        </w:numPr>
        <w:autoSpaceDE w:val="0"/>
        <w:autoSpaceDN w:val="0"/>
        <w:spacing w:line="240" w:lineRule="auto"/>
        <w:rPr>
          <w:color w:val="auto"/>
          <w:sz w:val="20"/>
          <w:szCs w:val="20"/>
          <w:lang w:eastAsia="en-GB"/>
        </w:rPr>
      </w:pPr>
      <w:r w:rsidRPr="0004040C">
        <w:rPr>
          <w:color w:val="auto"/>
          <w:sz w:val="20"/>
          <w:szCs w:val="20"/>
          <w:lang w:eastAsia="en-GB"/>
        </w:rPr>
        <w:t>Torbay Council and the Comp</w:t>
      </w:r>
      <w:r w:rsidR="00E32651">
        <w:rPr>
          <w:color w:val="auto"/>
          <w:sz w:val="20"/>
          <w:szCs w:val="20"/>
          <w:lang w:eastAsia="en-GB"/>
        </w:rPr>
        <w:t>l</w:t>
      </w:r>
      <w:r w:rsidRPr="0004040C">
        <w:rPr>
          <w:color w:val="auto"/>
          <w:sz w:val="20"/>
          <w:szCs w:val="20"/>
          <w:lang w:eastAsia="en-GB"/>
        </w:rPr>
        <w:t>ete Facilities Management Solutions Company, a net £0.</w:t>
      </w:r>
      <w:r w:rsidR="0004040C" w:rsidRPr="0004040C">
        <w:rPr>
          <w:color w:val="auto"/>
          <w:sz w:val="20"/>
          <w:szCs w:val="20"/>
          <w:lang w:eastAsia="en-GB"/>
        </w:rPr>
        <w:t>1</w:t>
      </w:r>
      <w:r w:rsidRPr="0004040C">
        <w:rPr>
          <w:color w:val="auto"/>
          <w:sz w:val="20"/>
          <w:szCs w:val="20"/>
          <w:lang w:eastAsia="en-GB"/>
        </w:rPr>
        <w:t>m owed by Torbay Council</w:t>
      </w:r>
      <w:r w:rsidR="001F5AC6">
        <w:rPr>
          <w:color w:val="auto"/>
          <w:sz w:val="20"/>
          <w:szCs w:val="20"/>
          <w:lang w:eastAsia="en-GB"/>
        </w:rPr>
        <w:t>.</w:t>
      </w:r>
      <w:r w:rsidRPr="0004040C">
        <w:rPr>
          <w:color w:val="auto"/>
          <w:sz w:val="20"/>
          <w:szCs w:val="20"/>
          <w:lang w:eastAsia="en-GB"/>
        </w:rPr>
        <w:t xml:space="preserve"> </w:t>
      </w:r>
    </w:p>
    <w:p w:rsidR="002C79EC" w:rsidRPr="002C79EC" w:rsidRDefault="002C79EC" w:rsidP="002C79EC">
      <w:pPr>
        <w:autoSpaceDE w:val="0"/>
        <w:autoSpaceDN w:val="0"/>
        <w:spacing w:line="240" w:lineRule="auto"/>
        <w:ind w:left="1065"/>
        <w:rPr>
          <w:color w:val="auto"/>
          <w:sz w:val="20"/>
          <w:szCs w:val="20"/>
          <w:highlight w:val="yellow"/>
          <w:lang w:eastAsia="en-GB"/>
        </w:rPr>
      </w:pPr>
    </w:p>
    <w:p w:rsidR="000F3312" w:rsidRPr="0005794A" w:rsidRDefault="000F3312" w:rsidP="000F3312">
      <w:pPr>
        <w:autoSpaceDE w:val="0"/>
        <w:autoSpaceDN w:val="0"/>
        <w:spacing w:line="240" w:lineRule="auto"/>
        <w:rPr>
          <w:color w:val="548DD4" w:themeColor="text2" w:themeTint="99"/>
          <w:sz w:val="20"/>
          <w:szCs w:val="20"/>
          <w:highlight w:val="yellow"/>
          <w:lang w:eastAsia="en-GB"/>
        </w:rPr>
      </w:pPr>
    </w:p>
    <w:p w:rsidR="005253A3" w:rsidRPr="0005794A" w:rsidRDefault="005253A3" w:rsidP="000F3312">
      <w:pPr>
        <w:autoSpaceDE w:val="0"/>
        <w:autoSpaceDN w:val="0"/>
        <w:spacing w:line="240" w:lineRule="auto"/>
        <w:rPr>
          <w:color w:val="548DD4" w:themeColor="text2" w:themeTint="99"/>
          <w:sz w:val="20"/>
          <w:szCs w:val="20"/>
          <w:highlight w:val="yellow"/>
          <w:lang w:eastAsia="en-GB"/>
        </w:rPr>
      </w:pPr>
    </w:p>
    <w:p w:rsidR="005253A3" w:rsidRPr="0005794A" w:rsidRDefault="005253A3" w:rsidP="000F3312">
      <w:pPr>
        <w:autoSpaceDE w:val="0"/>
        <w:autoSpaceDN w:val="0"/>
        <w:spacing w:line="240" w:lineRule="auto"/>
        <w:rPr>
          <w:color w:val="548DD4" w:themeColor="text2" w:themeTint="99"/>
          <w:sz w:val="20"/>
          <w:szCs w:val="20"/>
          <w:highlight w:val="yellow"/>
          <w:lang w:eastAsia="en-GB"/>
        </w:rPr>
      </w:pPr>
    </w:p>
    <w:p w:rsidR="005253A3" w:rsidRPr="0005794A" w:rsidRDefault="005253A3" w:rsidP="000F3312">
      <w:pPr>
        <w:autoSpaceDE w:val="0"/>
        <w:autoSpaceDN w:val="0"/>
        <w:spacing w:line="240" w:lineRule="auto"/>
        <w:rPr>
          <w:color w:val="548DD4" w:themeColor="text2" w:themeTint="99"/>
          <w:sz w:val="20"/>
          <w:szCs w:val="20"/>
          <w:highlight w:val="yellow"/>
          <w:lang w:eastAsia="en-GB"/>
        </w:rPr>
      </w:pPr>
    </w:p>
    <w:p w:rsidR="005253A3" w:rsidRPr="0005794A" w:rsidRDefault="005253A3" w:rsidP="000F3312">
      <w:pPr>
        <w:autoSpaceDE w:val="0"/>
        <w:autoSpaceDN w:val="0"/>
        <w:spacing w:line="240" w:lineRule="auto"/>
        <w:rPr>
          <w:color w:val="548DD4" w:themeColor="text2" w:themeTint="99"/>
          <w:sz w:val="20"/>
          <w:szCs w:val="20"/>
          <w:highlight w:val="yellow"/>
          <w:lang w:eastAsia="en-GB"/>
        </w:rPr>
      </w:pPr>
    </w:p>
    <w:p w:rsidR="005253A3" w:rsidRPr="0005794A" w:rsidRDefault="005253A3" w:rsidP="000F3312">
      <w:pPr>
        <w:autoSpaceDE w:val="0"/>
        <w:autoSpaceDN w:val="0"/>
        <w:spacing w:line="240" w:lineRule="auto"/>
        <w:rPr>
          <w:color w:val="548DD4" w:themeColor="text2" w:themeTint="99"/>
          <w:sz w:val="20"/>
          <w:szCs w:val="20"/>
          <w:highlight w:val="yellow"/>
          <w:lang w:eastAsia="en-GB"/>
        </w:rPr>
      </w:pPr>
    </w:p>
    <w:p w:rsidR="005253A3" w:rsidRPr="0005794A" w:rsidRDefault="005253A3" w:rsidP="000F3312">
      <w:pPr>
        <w:autoSpaceDE w:val="0"/>
        <w:autoSpaceDN w:val="0"/>
        <w:spacing w:line="240" w:lineRule="auto"/>
        <w:rPr>
          <w:color w:val="548DD4" w:themeColor="text2" w:themeTint="99"/>
          <w:sz w:val="20"/>
          <w:szCs w:val="20"/>
          <w:highlight w:val="yellow"/>
          <w:lang w:eastAsia="en-GB"/>
        </w:rPr>
      </w:pPr>
    </w:p>
    <w:p w:rsidR="005253A3" w:rsidRPr="0005794A" w:rsidRDefault="005253A3" w:rsidP="000F3312">
      <w:pPr>
        <w:autoSpaceDE w:val="0"/>
        <w:autoSpaceDN w:val="0"/>
        <w:spacing w:line="240" w:lineRule="auto"/>
        <w:rPr>
          <w:color w:val="548DD4" w:themeColor="text2" w:themeTint="99"/>
          <w:sz w:val="20"/>
          <w:szCs w:val="20"/>
          <w:highlight w:val="yellow"/>
          <w:lang w:eastAsia="en-GB"/>
        </w:rPr>
      </w:pPr>
    </w:p>
    <w:p w:rsidR="005253A3" w:rsidRPr="0005794A" w:rsidRDefault="005253A3" w:rsidP="000F3312">
      <w:pPr>
        <w:autoSpaceDE w:val="0"/>
        <w:autoSpaceDN w:val="0"/>
        <w:spacing w:line="240" w:lineRule="auto"/>
        <w:rPr>
          <w:color w:val="548DD4" w:themeColor="text2" w:themeTint="99"/>
          <w:sz w:val="20"/>
          <w:szCs w:val="20"/>
          <w:highlight w:val="yellow"/>
          <w:lang w:eastAsia="en-GB"/>
        </w:rPr>
      </w:pPr>
    </w:p>
    <w:p w:rsidR="00827092" w:rsidRPr="0005794A" w:rsidRDefault="00827092" w:rsidP="000F3312">
      <w:pPr>
        <w:autoSpaceDE w:val="0"/>
        <w:autoSpaceDN w:val="0"/>
        <w:spacing w:line="240" w:lineRule="auto"/>
        <w:rPr>
          <w:color w:val="548DD4" w:themeColor="text2" w:themeTint="99"/>
          <w:sz w:val="20"/>
          <w:szCs w:val="20"/>
          <w:highlight w:val="yellow"/>
          <w:lang w:eastAsia="en-GB"/>
        </w:rPr>
        <w:sectPr w:rsidR="00827092" w:rsidRPr="0005794A" w:rsidSect="005253A3">
          <w:pgSz w:w="11906" w:h="16838" w:code="9"/>
          <w:pgMar w:top="1440" w:right="1440" w:bottom="1440" w:left="1440" w:header="544" w:footer="544" w:gutter="0"/>
          <w:cols w:space="708"/>
          <w:titlePg/>
          <w:docGrid w:linePitch="360"/>
        </w:sectPr>
      </w:pPr>
    </w:p>
    <w:tbl>
      <w:tblPr>
        <w:tblStyle w:val="ListTable3-Accent51"/>
        <w:tblpPr w:leftFromText="180" w:rightFromText="180" w:vertAnchor="text" w:horzAnchor="margin" w:tblpXSpec="center" w:tblpY="-491"/>
        <w:tblW w:w="15843" w:type="dxa"/>
        <w:tblBorders>
          <w:insideH w:val="single" w:sz="4" w:space="0" w:color="4BACC6" w:themeColor="accent5"/>
          <w:insideV w:val="single" w:sz="4" w:space="0" w:color="4BACC6" w:themeColor="accent5"/>
        </w:tblBorders>
        <w:tblLayout w:type="fixed"/>
        <w:tblLook w:val="01E0" w:firstRow="1" w:lastRow="1" w:firstColumn="1" w:lastColumn="1" w:noHBand="0" w:noVBand="0"/>
      </w:tblPr>
      <w:tblGrid>
        <w:gridCol w:w="1951"/>
        <w:gridCol w:w="1985"/>
        <w:gridCol w:w="1701"/>
        <w:gridCol w:w="3969"/>
        <w:gridCol w:w="1417"/>
        <w:gridCol w:w="4820"/>
      </w:tblGrid>
      <w:tr w:rsidR="00827092" w:rsidRPr="0005794A" w:rsidTr="00827092">
        <w:trPr>
          <w:cnfStyle w:val="100000000000" w:firstRow="1" w:lastRow="0" w:firstColumn="0" w:lastColumn="0" w:oddVBand="0" w:evenVBand="0" w:oddHBand="0" w:evenHBand="0" w:firstRowFirstColumn="0" w:firstRowLastColumn="0" w:lastRowFirstColumn="0" w:lastRowLastColumn="0"/>
          <w:trHeight w:val="699"/>
          <w:tblHeader/>
        </w:trPr>
        <w:tc>
          <w:tcPr>
            <w:cnfStyle w:val="001000000100" w:firstRow="0" w:lastRow="0" w:firstColumn="1" w:lastColumn="0" w:oddVBand="0" w:evenVBand="0" w:oddHBand="0" w:evenHBand="0" w:firstRowFirstColumn="1" w:firstRowLastColumn="0" w:lastRowFirstColumn="0" w:lastRowLastColumn="0"/>
            <w:tcW w:w="1951" w:type="dxa"/>
          </w:tcPr>
          <w:p w:rsidR="00827092" w:rsidRPr="00F5767F" w:rsidRDefault="00827092" w:rsidP="00827092">
            <w:pPr>
              <w:pStyle w:val="BodyText"/>
              <w:widowControl w:val="0"/>
              <w:jc w:val="center"/>
              <w:rPr>
                <w:rFonts w:cs="Arial"/>
                <w:b w:val="0"/>
                <w:color w:val="auto"/>
                <w:sz w:val="18"/>
                <w:szCs w:val="18"/>
              </w:rPr>
            </w:pPr>
            <w:r w:rsidRPr="00F5767F">
              <w:rPr>
                <w:rFonts w:cs="Arial"/>
                <w:b w:val="0"/>
                <w:color w:val="auto"/>
                <w:sz w:val="18"/>
                <w:szCs w:val="18"/>
              </w:rPr>
              <w:lastRenderedPageBreak/>
              <w:t xml:space="preserve">Company Name and </w:t>
            </w:r>
            <w:proofErr w:type="spellStart"/>
            <w:r w:rsidRPr="00F5767F">
              <w:rPr>
                <w:rFonts w:cs="Arial"/>
                <w:b w:val="0"/>
                <w:color w:val="auto"/>
                <w:sz w:val="18"/>
                <w:szCs w:val="18"/>
              </w:rPr>
              <w:t>Reg’n</w:t>
            </w:r>
            <w:proofErr w:type="spellEnd"/>
            <w:r w:rsidRPr="00F5767F">
              <w:rPr>
                <w:rFonts w:cs="Arial"/>
                <w:b w:val="0"/>
                <w:color w:val="auto"/>
                <w:sz w:val="18"/>
                <w:szCs w:val="18"/>
              </w:rPr>
              <w:t xml:space="preserve"> No</w:t>
            </w:r>
          </w:p>
        </w:tc>
        <w:tc>
          <w:tcPr>
            <w:cnfStyle w:val="000010000000" w:firstRow="0" w:lastRow="0" w:firstColumn="0" w:lastColumn="0" w:oddVBand="1" w:evenVBand="0" w:oddHBand="0" w:evenHBand="0" w:firstRowFirstColumn="0" w:firstRowLastColumn="0" w:lastRowFirstColumn="0" w:lastRowLastColumn="0"/>
            <w:tcW w:w="1985" w:type="dxa"/>
          </w:tcPr>
          <w:p w:rsidR="00827092" w:rsidRPr="00F5767F" w:rsidRDefault="00827092" w:rsidP="00827092">
            <w:pPr>
              <w:pStyle w:val="BodyText"/>
              <w:widowControl w:val="0"/>
              <w:jc w:val="center"/>
              <w:rPr>
                <w:rFonts w:cs="Arial"/>
                <w:b w:val="0"/>
                <w:color w:val="auto"/>
                <w:sz w:val="18"/>
                <w:szCs w:val="18"/>
              </w:rPr>
            </w:pPr>
            <w:r w:rsidRPr="00F5767F">
              <w:rPr>
                <w:rFonts w:cs="Arial"/>
                <w:b w:val="0"/>
                <w:color w:val="auto"/>
                <w:sz w:val="18"/>
                <w:szCs w:val="18"/>
              </w:rPr>
              <w:t>Type of Company</w:t>
            </w:r>
          </w:p>
        </w:tc>
        <w:tc>
          <w:tcPr>
            <w:tcW w:w="1701" w:type="dxa"/>
          </w:tcPr>
          <w:p w:rsidR="00827092" w:rsidRPr="00F5767F" w:rsidRDefault="00827092" w:rsidP="00827092">
            <w:pPr>
              <w:pStyle w:val="BodyText"/>
              <w:widowControl w:val="0"/>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F5767F">
              <w:rPr>
                <w:rFonts w:cs="Arial"/>
                <w:b w:val="0"/>
                <w:color w:val="auto"/>
                <w:sz w:val="18"/>
                <w:szCs w:val="18"/>
              </w:rPr>
              <w:t>Commenced Trading</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F5767F" w:rsidRDefault="00827092" w:rsidP="00827092">
            <w:pPr>
              <w:pStyle w:val="BodyText"/>
              <w:widowControl w:val="0"/>
              <w:jc w:val="center"/>
              <w:rPr>
                <w:rFonts w:cs="Arial"/>
                <w:b w:val="0"/>
                <w:color w:val="auto"/>
                <w:sz w:val="18"/>
                <w:szCs w:val="18"/>
              </w:rPr>
            </w:pPr>
            <w:r w:rsidRPr="00F5767F">
              <w:rPr>
                <w:rFonts w:cs="Arial"/>
                <w:b w:val="0"/>
                <w:color w:val="auto"/>
                <w:sz w:val="18"/>
                <w:szCs w:val="18"/>
              </w:rPr>
              <w:t>Principal Activities during the year</w:t>
            </w:r>
          </w:p>
        </w:tc>
        <w:tc>
          <w:tcPr>
            <w:tcW w:w="1417" w:type="dxa"/>
          </w:tcPr>
          <w:p w:rsidR="00827092" w:rsidRPr="00F5767F" w:rsidRDefault="00827092" w:rsidP="00827092">
            <w:pPr>
              <w:pStyle w:val="BodyText"/>
              <w:widowControl w:val="0"/>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F5767F">
              <w:rPr>
                <w:rFonts w:cs="Arial"/>
                <w:b w:val="0"/>
                <w:color w:val="auto"/>
                <w:sz w:val="18"/>
                <w:szCs w:val="18"/>
              </w:rPr>
              <w:t>Assessed Relationship</w:t>
            </w:r>
          </w:p>
        </w:tc>
        <w:tc>
          <w:tcPr>
            <w:cnfStyle w:val="000100001000" w:firstRow="0" w:lastRow="0" w:firstColumn="0" w:lastColumn="1" w:oddVBand="0" w:evenVBand="0" w:oddHBand="0" w:evenHBand="0" w:firstRowFirstColumn="0" w:firstRowLastColumn="1" w:lastRowFirstColumn="0" w:lastRowLastColumn="0"/>
            <w:tcW w:w="4820" w:type="dxa"/>
          </w:tcPr>
          <w:p w:rsidR="00827092" w:rsidRPr="00F5767F" w:rsidRDefault="00827092" w:rsidP="00827092">
            <w:pPr>
              <w:pStyle w:val="BodyText"/>
              <w:widowControl w:val="0"/>
              <w:jc w:val="center"/>
              <w:rPr>
                <w:rFonts w:cs="Arial"/>
                <w:b w:val="0"/>
                <w:color w:val="auto"/>
                <w:sz w:val="18"/>
                <w:szCs w:val="18"/>
              </w:rPr>
            </w:pPr>
            <w:r w:rsidRPr="00F5767F">
              <w:rPr>
                <w:rFonts w:cs="Arial"/>
                <w:b w:val="0"/>
                <w:color w:val="auto"/>
                <w:sz w:val="18"/>
                <w:szCs w:val="18"/>
              </w:rPr>
              <w:t>Shareholding /Control and Company Directors</w:t>
            </w:r>
          </w:p>
        </w:tc>
      </w:tr>
      <w:tr w:rsidR="00827092" w:rsidRPr="0005794A" w:rsidTr="00827092">
        <w:trPr>
          <w:cnfStyle w:val="000000100000" w:firstRow="0" w:lastRow="0" w:firstColumn="0" w:lastColumn="0" w:oddVBand="0" w:evenVBand="0" w:oddHBand="1" w:evenHBand="0" w:firstRowFirstColumn="0" w:firstRowLastColumn="0" w:lastRowFirstColumn="0" w:lastRowLastColumn="0"/>
          <w:trHeight w:val="2948"/>
        </w:trPr>
        <w:tc>
          <w:tcPr>
            <w:cnfStyle w:val="001000000000" w:firstRow="0" w:lastRow="0" w:firstColumn="1" w:lastColumn="0" w:oddVBand="0" w:evenVBand="0" w:oddHBand="0" w:evenHBand="0" w:firstRowFirstColumn="0" w:firstRowLastColumn="0" w:lastRowFirstColumn="0" w:lastRowLastColumn="0"/>
            <w:tcW w:w="1951" w:type="dxa"/>
          </w:tcPr>
          <w:p w:rsidR="00827092" w:rsidRPr="0056200A" w:rsidRDefault="00827092" w:rsidP="00827092">
            <w:pPr>
              <w:pStyle w:val="BodyText"/>
              <w:widowControl w:val="0"/>
              <w:jc w:val="center"/>
              <w:rPr>
                <w:rFonts w:cs="Arial"/>
                <w:b w:val="0"/>
                <w:color w:val="auto"/>
                <w:sz w:val="20"/>
                <w:szCs w:val="20"/>
              </w:rPr>
            </w:pPr>
            <w:r w:rsidRPr="0056200A">
              <w:rPr>
                <w:rFonts w:cs="Arial"/>
                <w:b w:val="0"/>
                <w:color w:val="auto"/>
                <w:sz w:val="20"/>
                <w:szCs w:val="20"/>
              </w:rPr>
              <w:t>Torbay Economic Development Company Ltd</w:t>
            </w:r>
          </w:p>
          <w:p w:rsidR="00827092" w:rsidRPr="0056200A" w:rsidRDefault="00827092" w:rsidP="00827092">
            <w:pPr>
              <w:pStyle w:val="BodyText"/>
              <w:widowControl w:val="0"/>
              <w:jc w:val="center"/>
              <w:rPr>
                <w:rFonts w:cs="Arial"/>
                <w:b w:val="0"/>
                <w:color w:val="auto"/>
                <w:sz w:val="20"/>
                <w:szCs w:val="20"/>
              </w:rPr>
            </w:pPr>
            <w:r w:rsidRPr="0056200A">
              <w:rPr>
                <w:rFonts w:cs="Arial"/>
                <w:b w:val="0"/>
                <w:color w:val="auto"/>
                <w:sz w:val="20"/>
                <w:szCs w:val="20"/>
              </w:rPr>
              <w:t>07604855</w:t>
            </w:r>
          </w:p>
          <w:p w:rsidR="00827092" w:rsidRPr="0056200A" w:rsidRDefault="00827092" w:rsidP="00827092">
            <w:pPr>
              <w:pStyle w:val="BodyText"/>
              <w:widowControl w:val="0"/>
              <w:jc w:val="center"/>
              <w:rPr>
                <w:rFonts w:cs="Arial"/>
                <w:b w:val="0"/>
                <w:color w:val="auto"/>
                <w:sz w:val="20"/>
                <w:szCs w:val="20"/>
              </w:rPr>
            </w:pPr>
            <w:r w:rsidRPr="0056200A">
              <w:rPr>
                <w:rFonts w:cs="Arial"/>
                <w:b w:val="0"/>
                <w:color w:val="auto"/>
                <w:sz w:val="20"/>
                <w:szCs w:val="20"/>
              </w:rPr>
              <w:t>Trading as Torbay Development Agency (TDA)</w:t>
            </w:r>
          </w:p>
          <w:p w:rsidR="00827092" w:rsidRPr="0056200A" w:rsidRDefault="00827092" w:rsidP="00827092">
            <w:pPr>
              <w:pStyle w:val="BodyText"/>
              <w:widowControl w:val="0"/>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Pr>
          <w:p w:rsidR="00827092" w:rsidRPr="0056200A" w:rsidRDefault="00827092" w:rsidP="00827092">
            <w:pPr>
              <w:pStyle w:val="BodyText"/>
              <w:widowControl w:val="0"/>
              <w:jc w:val="center"/>
              <w:rPr>
                <w:rFonts w:cs="Arial"/>
                <w:color w:val="auto"/>
                <w:sz w:val="20"/>
                <w:szCs w:val="20"/>
              </w:rPr>
            </w:pPr>
            <w:r w:rsidRPr="0056200A">
              <w:rPr>
                <w:rFonts w:cs="Arial"/>
                <w:color w:val="auto"/>
                <w:sz w:val="20"/>
                <w:szCs w:val="20"/>
              </w:rPr>
              <w:t>Private Limited Company</w:t>
            </w:r>
          </w:p>
        </w:tc>
        <w:tc>
          <w:tcPr>
            <w:tcW w:w="1701" w:type="dxa"/>
          </w:tcPr>
          <w:p w:rsidR="00827092" w:rsidRPr="0056200A"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56200A">
              <w:rPr>
                <w:rFonts w:cs="Arial"/>
                <w:color w:val="auto"/>
                <w:sz w:val="20"/>
                <w:szCs w:val="20"/>
              </w:rPr>
              <w:t>14</w:t>
            </w:r>
            <w:r w:rsidRPr="0056200A">
              <w:rPr>
                <w:rFonts w:cs="Arial"/>
                <w:color w:val="auto"/>
                <w:sz w:val="20"/>
                <w:szCs w:val="20"/>
                <w:vertAlign w:val="superscript"/>
              </w:rPr>
              <w:t>th</w:t>
            </w:r>
            <w:r w:rsidRPr="0056200A">
              <w:rPr>
                <w:rFonts w:cs="Arial"/>
                <w:color w:val="auto"/>
                <w:sz w:val="20"/>
                <w:szCs w:val="20"/>
              </w:rPr>
              <w:t xml:space="preserve"> April 2011</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E7069C" w:rsidRDefault="00827092" w:rsidP="00827092">
            <w:pPr>
              <w:pStyle w:val="BodyText"/>
              <w:widowControl w:val="0"/>
              <w:jc w:val="center"/>
              <w:rPr>
                <w:rFonts w:cs="Arial"/>
                <w:color w:val="auto"/>
                <w:sz w:val="20"/>
                <w:szCs w:val="20"/>
              </w:rPr>
            </w:pPr>
            <w:r w:rsidRPr="00E7069C">
              <w:rPr>
                <w:rFonts w:cs="Arial"/>
                <w:color w:val="auto"/>
                <w:sz w:val="20"/>
                <w:szCs w:val="20"/>
              </w:rPr>
              <w:t xml:space="preserve">To bring about Regeneration in Torbay </w:t>
            </w:r>
          </w:p>
          <w:p w:rsidR="00827092" w:rsidRPr="005C7414" w:rsidRDefault="00827092" w:rsidP="00827092">
            <w:pPr>
              <w:pStyle w:val="BodyText"/>
              <w:widowControl w:val="0"/>
              <w:jc w:val="center"/>
              <w:rPr>
                <w:rFonts w:cs="Arial"/>
                <w:color w:val="auto"/>
                <w:sz w:val="20"/>
                <w:szCs w:val="20"/>
              </w:rPr>
            </w:pPr>
            <w:r w:rsidRPr="005C7414">
              <w:rPr>
                <w:rFonts w:cs="Arial"/>
                <w:color w:val="auto"/>
                <w:sz w:val="20"/>
                <w:szCs w:val="20"/>
              </w:rPr>
              <w:t>In 1</w:t>
            </w:r>
            <w:r w:rsidR="005C7414">
              <w:rPr>
                <w:rFonts w:cs="Arial"/>
                <w:color w:val="auto"/>
                <w:sz w:val="20"/>
                <w:szCs w:val="20"/>
              </w:rPr>
              <w:t>7</w:t>
            </w:r>
            <w:r w:rsidRPr="005C7414">
              <w:rPr>
                <w:rFonts w:cs="Arial"/>
                <w:color w:val="auto"/>
                <w:sz w:val="20"/>
                <w:szCs w:val="20"/>
              </w:rPr>
              <w:t>/1</w:t>
            </w:r>
            <w:r w:rsidR="005C7414">
              <w:rPr>
                <w:rFonts w:cs="Arial"/>
                <w:color w:val="auto"/>
                <w:sz w:val="20"/>
                <w:szCs w:val="20"/>
              </w:rPr>
              <w:t>8</w:t>
            </w:r>
            <w:r w:rsidRPr="005C7414">
              <w:rPr>
                <w:rFonts w:cs="Arial"/>
                <w:color w:val="auto"/>
                <w:sz w:val="20"/>
                <w:szCs w:val="20"/>
              </w:rPr>
              <w:t xml:space="preserve"> Council paid £1.</w:t>
            </w:r>
            <w:r w:rsidR="005C7414" w:rsidRPr="005C7414">
              <w:rPr>
                <w:rFonts w:cs="Arial"/>
                <w:color w:val="auto"/>
                <w:sz w:val="20"/>
                <w:szCs w:val="20"/>
              </w:rPr>
              <w:t>3</w:t>
            </w:r>
            <w:r w:rsidRPr="005C7414">
              <w:rPr>
                <w:rFonts w:cs="Arial"/>
                <w:color w:val="auto"/>
                <w:sz w:val="20"/>
                <w:szCs w:val="20"/>
              </w:rPr>
              <w:t>m (£1.</w:t>
            </w:r>
            <w:r w:rsidR="005C7414" w:rsidRPr="005C7414">
              <w:rPr>
                <w:rFonts w:cs="Arial"/>
                <w:color w:val="auto"/>
                <w:sz w:val="20"/>
                <w:szCs w:val="20"/>
              </w:rPr>
              <w:t>6</w:t>
            </w:r>
            <w:r w:rsidRPr="005C7414">
              <w:rPr>
                <w:rFonts w:cs="Arial"/>
                <w:color w:val="auto"/>
                <w:sz w:val="20"/>
                <w:szCs w:val="20"/>
              </w:rPr>
              <w:t>m 1</w:t>
            </w:r>
            <w:r w:rsidR="005C7414" w:rsidRPr="005C7414">
              <w:rPr>
                <w:rFonts w:cs="Arial"/>
                <w:color w:val="auto"/>
                <w:sz w:val="20"/>
                <w:szCs w:val="20"/>
              </w:rPr>
              <w:t>6</w:t>
            </w:r>
            <w:r w:rsidRPr="005C7414">
              <w:rPr>
                <w:rFonts w:cs="Arial"/>
                <w:color w:val="auto"/>
                <w:sz w:val="20"/>
                <w:szCs w:val="20"/>
              </w:rPr>
              <w:t>/1</w:t>
            </w:r>
            <w:r w:rsidR="005C7414" w:rsidRPr="005C7414">
              <w:rPr>
                <w:rFonts w:cs="Arial"/>
                <w:color w:val="auto"/>
                <w:sz w:val="20"/>
                <w:szCs w:val="20"/>
              </w:rPr>
              <w:t>7</w:t>
            </w:r>
            <w:r w:rsidRPr="005C7414">
              <w:rPr>
                <w:rFonts w:cs="Arial"/>
                <w:color w:val="auto"/>
                <w:sz w:val="20"/>
                <w:szCs w:val="20"/>
              </w:rPr>
              <w:t xml:space="preserve">) grant </w:t>
            </w:r>
          </w:p>
          <w:p w:rsidR="00827092" w:rsidRPr="00E7069C" w:rsidRDefault="00827092" w:rsidP="00827092">
            <w:pPr>
              <w:pStyle w:val="BodyText"/>
              <w:widowControl w:val="0"/>
              <w:jc w:val="center"/>
              <w:rPr>
                <w:rFonts w:cs="Arial"/>
                <w:color w:val="auto"/>
                <w:sz w:val="20"/>
                <w:szCs w:val="20"/>
              </w:rPr>
            </w:pPr>
            <w:r w:rsidRPr="00E7069C">
              <w:rPr>
                <w:rFonts w:cs="Arial"/>
                <w:color w:val="auto"/>
                <w:sz w:val="20"/>
                <w:szCs w:val="20"/>
              </w:rPr>
              <w:t xml:space="preserve">In addition in 2016/17 the Council </w:t>
            </w:r>
            <w:r w:rsidR="00E7069C" w:rsidRPr="00E7069C">
              <w:rPr>
                <w:rFonts w:cs="Arial"/>
                <w:color w:val="auto"/>
                <w:sz w:val="20"/>
                <w:szCs w:val="20"/>
              </w:rPr>
              <w:t xml:space="preserve">has provided a loan </w:t>
            </w:r>
            <w:r w:rsidRPr="00E7069C">
              <w:rPr>
                <w:rFonts w:cs="Arial"/>
                <w:color w:val="auto"/>
                <w:sz w:val="20"/>
                <w:szCs w:val="20"/>
              </w:rPr>
              <w:t>to the company</w:t>
            </w:r>
            <w:r w:rsidR="00E7069C" w:rsidRPr="00E7069C">
              <w:rPr>
                <w:rFonts w:cs="Arial"/>
                <w:color w:val="auto"/>
                <w:sz w:val="20"/>
                <w:szCs w:val="20"/>
              </w:rPr>
              <w:t>. B</w:t>
            </w:r>
            <w:r w:rsidR="00E7069C">
              <w:rPr>
                <w:rFonts w:cs="Arial"/>
                <w:color w:val="auto"/>
                <w:sz w:val="20"/>
                <w:szCs w:val="20"/>
              </w:rPr>
              <w:t>a</w:t>
            </w:r>
            <w:r w:rsidR="00E7069C" w:rsidRPr="00E7069C">
              <w:rPr>
                <w:rFonts w:cs="Arial"/>
                <w:color w:val="auto"/>
                <w:sz w:val="20"/>
                <w:szCs w:val="20"/>
              </w:rPr>
              <w:t>lance outstanding at year end of £1.</w:t>
            </w:r>
            <w:r w:rsidR="00E7069C">
              <w:rPr>
                <w:rFonts w:cs="Arial"/>
                <w:color w:val="auto"/>
                <w:sz w:val="20"/>
                <w:szCs w:val="20"/>
              </w:rPr>
              <w:t>4</w:t>
            </w:r>
            <w:r w:rsidR="00E7069C" w:rsidRPr="00E7069C">
              <w:rPr>
                <w:rFonts w:cs="Arial"/>
                <w:color w:val="auto"/>
                <w:sz w:val="20"/>
                <w:szCs w:val="20"/>
              </w:rPr>
              <w:t>m</w:t>
            </w:r>
          </w:p>
          <w:p w:rsidR="00827092" w:rsidRPr="0005794A" w:rsidRDefault="00827092" w:rsidP="00827092">
            <w:pPr>
              <w:pStyle w:val="BodyText"/>
              <w:widowControl w:val="0"/>
              <w:jc w:val="center"/>
              <w:rPr>
                <w:rFonts w:cs="Arial"/>
                <w:color w:val="548DD4" w:themeColor="text2" w:themeTint="99"/>
                <w:sz w:val="20"/>
                <w:szCs w:val="20"/>
              </w:rPr>
            </w:pPr>
          </w:p>
        </w:tc>
        <w:tc>
          <w:tcPr>
            <w:tcW w:w="1417" w:type="dxa"/>
          </w:tcPr>
          <w:p w:rsidR="00827092" w:rsidRPr="0005794A"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20"/>
                <w:szCs w:val="20"/>
              </w:rPr>
            </w:pPr>
            <w:r w:rsidRPr="006D0973">
              <w:rPr>
                <w:rFonts w:cs="Arial"/>
                <w:color w:val="auto"/>
                <w:sz w:val="20"/>
                <w:szCs w:val="20"/>
              </w:rPr>
              <w:t xml:space="preserve">Subsidiary </w:t>
            </w:r>
          </w:p>
        </w:tc>
        <w:tc>
          <w:tcPr>
            <w:cnfStyle w:val="000100000000" w:firstRow="0" w:lastRow="0" w:firstColumn="0" w:lastColumn="1" w:oddVBand="0" w:evenVBand="0" w:oddHBand="0" w:evenHBand="0" w:firstRowFirstColumn="0" w:firstRowLastColumn="0" w:lastRowFirstColumn="0" w:lastRowLastColumn="0"/>
            <w:tcW w:w="4820" w:type="dxa"/>
          </w:tcPr>
          <w:p w:rsidR="00C40DB0" w:rsidRPr="006D0973" w:rsidRDefault="00827092" w:rsidP="00C40DB0">
            <w:pPr>
              <w:pStyle w:val="BodyText"/>
              <w:widowControl w:val="0"/>
              <w:rPr>
                <w:rFonts w:cs="Arial"/>
                <w:b w:val="0"/>
                <w:color w:val="auto"/>
                <w:sz w:val="20"/>
                <w:szCs w:val="20"/>
              </w:rPr>
            </w:pPr>
            <w:r w:rsidRPr="006D0973">
              <w:rPr>
                <w:rFonts w:cs="Arial"/>
                <w:b w:val="0"/>
                <w:color w:val="auto"/>
                <w:sz w:val="20"/>
                <w:szCs w:val="20"/>
              </w:rPr>
              <w:t>Shareholding /Control: 100%</w:t>
            </w:r>
          </w:p>
          <w:p w:rsidR="00827092" w:rsidRPr="006D0973" w:rsidRDefault="00827092" w:rsidP="00C40DB0">
            <w:pPr>
              <w:pStyle w:val="BodyText"/>
              <w:widowControl w:val="0"/>
              <w:rPr>
                <w:rFonts w:cs="Arial"/>
                <w:b w:val="0"/>
                <w:color w:val="auto"/>
                <w:sz w:val="20"/>
                <w:szCs w:val="20"/>
              </w:rPr>
            </w:pPr>
            <w:r w:rsidRPr="006D0973">
              <w:rPr>
                <w:rFonts w:cs="Arial"/>
                <w:b w:val="0"/>
                <w:color w:val="auto"/>
                <w:sz w:val="20"/>
                <w:szCs w:val="20"/>
              </w:rPr>
              <w:t>Members of Torbay Council that are Directors of this Company are as follows:-</w:t>
            </w:r>
          </w:p>
          <w:p w:rsidR="00827092" w:rsidRPr="006A1EBA" w:rsidRDefault="00827092" w:rsidP="00827092">
            <w:pPr>
              <w:pStyle w:val="BodyText"/>
              <w:widowControl w:val="0"/>
              <w:spacing w:after="0"/>
              <w:rPr>
                <w:rFonts w:cs="Arial"/>
                <w:b w:val="0"/>
                <w:color w:val="auto"/>
                <w:sz w:val="20"/>
                <w:szCs w:val="20"/>
              </w:rPr>
            </w:pPr>
            <w:r w:rsidRPr="006A1EBA">
              <w:rPr>
                <w:b w:val="0"/>
                <w:color w:val="auto"/>
                <w:sz w:val="20"/>
                <w:szCs w:val="20"/>
              </w:rPr>
              <w:t>Cllr Derek Mills</w:t>
            </w:r>
          </w:p>
          <w:p w:rsidR="00827092" w:rsidRPr="006A1EBA" w:rsidRDefault="00827092" w:rsidP="00827092">
            <w:pPr>
              <w:spacing w:after="0" w:line="240" w:lineRule="auto"/>
              <w:rPr>
                <w:b w:val="0"/>
                <w:color w:val="auto"/>
                <w:sz w:val="20"/>
                <w:szCs w:val="20"/>
              </w:rPr>
            </w:pPr>
            <w:r w:rsidRPr="006A1EBA">
              <w:rPr>
                <w:b w:val="0"/>
                <w:color w:val="auto"/>
                <w:sz w:val="20"/>
                <w:szCs w:val="20"/>
              </w:rPr>
              <w:t>Cllr Christine Carter</w:t>
            </w:r>
          </w:p>
          <w:p w:rsidR="00827092" w:rsidRPr="006A1EBA" w:rsidRDefault="00827092" w:rsidP="00827092">
            <w:pPr>
              <w:spacing w:after="0" w:line="240" w:lineRule="auto"/>
              <w:rPr>
                <w:b w:val="0"/>
                <w:color w:val="auto"/>
                <w:sz w:val="20"/>
                <w:szCs w:val="20"/>
              </w:rPr>
            </w:pPr>
            <w:r w:rsidRPr="006A1EBA">
              <w:rPr>
                <w:b w:val="0"/>
                <w:color w:val="auto"/>
                <w:sz w:val="20"/>
                <w:szCs w:val="20"/>
              </w:rPr>
              <w:t>Cllr Alan Tyerman</w:t>
            </w:r>
          </w:p>
          <w:p w:rsidR="00827092" w:rsidRPr="006A1EBA" w:rsidRDefault="00827092" w:rsidP="00827092">
            <w:pPr>
              <w:spacing w:after="0" w:line="240" w:lineRule="auto"/>
              <w:rPr>
                <w:b w:val="0"/>
                <w:color w:val="auto"/>
                <w:sz w:val="20"/>
                <w:szCs w:val="20"/>
              </w:rPr>
            </w:pPr>
            <w:r w:rsidRPr="006A1EBA">
              <w:rPr>
                <w:b w:val="0"/>
                <w:color w:val="auto"/>
                <w:sz w:val="20"/>
                <w:szCs w:val="20"/>
              </w:rPr>
              <w:t xml:space="preserve">Steve Parrock </w:t>
            </w:r>
            <w:r w:rsidRPr="006A1EBA">
              <w:rPr>
                <w:rFonts w:cs="Arial"/>
                <w:b w:val="0"/>
                <w:color w:val="auto"/>
                <w:sz w:val="20"/>
                <w:szCs w:val="20"/>
              </w:rPr>
              <w:t>(Officer Torbay Council &amp; Chief Executive TDA)</w:t>
            </w:r>
          </w:p>
          <w:p w:rsidR="00827092" w:rsidRPr="006A1EBA" w:rsidRDefault="00827092" w:rsidP="00827092">
            <w:pPr>
              <w:pStyle w:val="BodyText"/>
              <w:widowControl w:val="0"/>
              <w:spacing w:after="0"/>
              <w:rPr>
                <w:rFonts w:cs="Arial"/>
                <w:b w:val="0"/>
                <w:color w:val="auto"/>
                <w:sz w:val="20"/>
                <w:szCs w:val="20"/>
              </w:rPr>
            </w:pPr>
            <w:r w:rsidRPr="006A1EBA">
              <w:rPr>
                <w:rFonts w:cs="Arial"/>
                <w:b w:val="0"/>
                <w:color w:val="auto"/>
                <w:sz w:val="20"/>
                <w:szCs w:val="20"/>
              </w:rPr>
              <w:t>A full li</w:t>
            </w:r>
            <w:r w:rsidR="00DE43B4" w:rsidRPr="006A1EBA">
              <w:rPr>
                <w:rFonts w:cs="Arial"/>
                <w:b w:val="0"/>
                <w:color w:val="auto"/>
                <w:sz w:val="20"/>
                <w:szCs w:val="20"/>
              </w:rPr>
              <w:t>st of directors is available on the TEDC website</w:t>
            </w:r>
            <w:r w:rsidR="006D0973" w:rsidRPr="006A1EBA">
              <w:rPr>
                <w:rFonts w:cs="Arial"/>
                <w:b w:val="0"/>
                <w:color w:val="auto"/>
                <w:sz w:val="20"/>
                <w:szCs w:val="20"/>
              </w:rPr>
              <w:t>.</w:t>
            </w:r>
          </w:p>
          <w:p w:rsidR="00827092" w:rsidRPr="0005794A" w:rsidRDefault="00827092" w:rsidP="00827092">
            <w:pPr>
              <w:pStyle w:val="BodyText"/>
              <w:widowControl w:val="0"/>
              <w:rPr>
                <w:rFonts w:cs="Arial"/>
                <w:b w:val="0"/>
                <w:color w:val="548DD4" w:themeColor="text2" w:themeTint="99"/>
                <w:sz w:val="20"/>
                <w:szCs w:val="20"/>
                <w:u w:val="single"/>
              </w:rPr>
            </w:pPr>
          </w:p>
        </w:tc>
      </w:tr>
      <w:tr w:rsidR="00827092" w:rsidRPr="0005794A" w:rsidTr="00827092">
        <w:trPr>
          <w:trHeight w:val="1985"/>
        </w:trPr>
        <w:tc>
          <w:tcPr>
            <w:cnfStyle w:val="001000000000" w:firstRow="0" w:lastRow="0" w:firstColumn="1" w:lastColumn="0" w:oddVBand="0" w:evenVBand="0" w:oddHBand="0" w:evenHBand="0" w:firstRowFirstColumn="0" w:firstRowLastColumn="0" w:lastRowFirstColumn="0" w:lastRowLastColumn="0"/>
            <w:tcW w:w="1951" w:type="dxa"/>
          </w:tcPr>
          <w:p w:rsidR="00827092" w:rsidRPr="0092092B" w:rsidRDefault="00827092" w:rsidP="00827092">
            <w:pPr>
              <w:pStyle w:val="BodyText"/>
              <w:widowControl w:val="0"/>
              <w:jc w:val="center"/>
              <w:rPr>
                <w:rFonts w:cs="Arial"/>
                <w:b w:val="0"/>
                <w:color w:val="auto"/>
                <w:sz w:val="20"/>
                <w:szCs w:val="20"/>
              </w:rPr>
            </w:pPr>
            <w:r w:rsidRPr="0092092B">
              <w:rPr>
                <w:rFonts w:cs="Arial"/>
                <w:b w:val="0"/>
                <w:color w:val="auto"/>
                <w:sz w:val="20"/>
                <w:szCs w:val="20"/>
              </w:rPr>
              <w:t>Complete Facilities Management  Services Limited</w:t>
            </w:r>
          </w:p>
          <w:p w:rsidR="00827092" w:rsidRPr="0092092B" w:rsidRDefault="00827092" w:rsidP="00827092">
            <w:pPr>
              <w:pStyle w:val="BodyText"/>
              <w:widowControl w:val="0"/>
              <w:jc w:val="center"/>
              <w:rPr>
                <w:rFonts w:cs="Arial"/>
                <w:b w:val="0"/>
                <w:color w:val="auto"/>
                <w:sz w:val="20"/>
                <w:szCs w:val="20"/>
              </w:rPr>
            </w:pPr>
            <w:r w:rsidRPr="0092092B">
              <w:rPr>
                <w:rFonts w:cs="Arial"/>
                <w:b w:val="0"/>
                <w:color w:val="auto"/>
                <w:sz w:val="20"/>
                <w:szCs w:val="20"/>
              </w:rPr>
              <w:t>10608599</w:t>
            </w:r>
          </w:p>
        </w:tc>
        <w:tc>
          <w:tcPr>
            <w:cnfStyle w:val="000010000000" w:firstRow="0" w:lastRow="0" w:firstColumn="0" w:lastColumn="0" w:oddVBand="1" w:evenVBand="0" w:oddHBand="0" w:evenHBand="0" w:firstRowFirstColumn="0" w:firstRowLastColumn="0" w:lastRowFirstColumn="0" w:lastRowLastColumn="0"/>
            <w:tcW w:w="1985" w:type="dxa"/>
          </w:tcPr>
          <w:p w:rsidR="00827092" w:rsidRPr="0092092B" w:rsidRDefault="00827092" w:rsidP="00827092">
            <w:pPr>
              <w:pStyle w:val="BodyText"/>
              <w:widowControl w:val="0"/>
              <w:jc w:val="center"/>
              <w:rPr>
                <w:rFonts w:cs="Arial"/>
                <w:b/>
                <w:color w:val="auto"/>
                <w:sz w:val="20"/>
                <w:szCs w:val="20"/>
              </w:rPr>
            </w:pPr>
            <w:r w:rsidRPr="0092092B">
              <w:rPr>
                <w:rFonts w:cs="Arial"/>
                <w:color w:val="auto"/>
                <w:sz w:val="20"/>
                <w:szCs w:val="20"/>
              </w:rPr>
              <w:t xml:space="preserve">Private Limited Company – 100% owned by </w:t>
            </w:r>
            <w:r w:rsidRPr="0092092B">
              <w:rPr>
                <w:rFonts w:cs="Arial"/>
                <w:b/>
                <w:color w:val="auto"/>
                <w:sz w:val="20"/>
                <w:szCs w:val="20"/>
              </w:rPr>
              <w:t xml:space="preserve"> </w:t>
            </w:r>
            <w:r w:rsidRPr="0092092B">
              <w:rPr>
                <w:rFonts w:cs="Arial"/>
                <w:color w:val="auto"/>
                <w:sz w:val="20"/>
                <w:szCs w:val="20"/>
              </w:rPr>
              <w:t>Torbay Economic Development Company Ltd</w:t>
            </w:r>
          </w:p>
          <w:p w:rsidR="00827092" w:rsidRPr="0092092B" w:rsidRDefault="00827092" w:rsidP="00827092">
            <w:pPr>
              <w:pStyle w:val="BodyText"/>
              <w:widowControl w:val="0"/>
              <w:jc w:val="center"/>
              <w:rPr>
                <w:rFonts w:cs="Arial"/>
                <w:color w:val="auto"/>
                <w:sz w:val="20"/>
                <w:szCs w:val="20"/>
              </w:rPr>
            </w:pPr>
          </w:p>
        </w:tc>
        <w:tc>
          <w:tcPr>
            <w:tcW w:w="1701" w:type="dxa"/>
          </w:tcPr>
          <w:p w:rsidR="00827092" w:rsidRPr="0092092B" w:rsidRDefault="0092092B"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92092B">
              <w:rPr>
                <w:rFonts w:cs="Arial"/>
                <w:color w:val="auto"/>
                <w:sz w:val="20"/>
                <w:szCs w:val="20"/>
              </w:rPr>
              <w:t>1</w:t>
            </w:r>
            <w:r w:rsidRPr="0092092B">
              <w:rPr>
                <w:rFonts w:cs="Arial"/>
                <w:color w:val="auto"/>
                <w:sz w:val="20"/>
                <w:szCs w:val="20"/>
                <w:vertAlign w:val="superscript"/>
              </w:rPr>
              <w:t xml:space="preserve"> </w:t>
            </w:r>
            <w:r w:rsidRPr="0092092B">
              <w:rPr>
                <w:rFonts w:cs="Arial"/>
                <w:color w:val="auto"/>
                <w:sz w:val="20"/>
                <w:szCs w:val="20"/>
              </w:rPr>
              <w:t>April 2017</w:t>
            </w:r>
          </w:p>
        </w:tc>
        <w:tc>
          <w:tcPr>
            <w:cnfStyle w:val="000010000000" w:firstRow="0" w:lastRow="0" w:firstColumn="0" w:lastColumn="0" w:oddVBand="1" w:evenVBand="0" w:oddHBand="0" w:evenHBand="0" w:firstRowFirstColumn="0" w:firstRowLastColumn="0" w:lastRowFirstColumn="0" w:lastRowLastColumn="0"/>
            <w:tcW w:w="3969" w:type="dxa"/>
          </w:tcPr>
          <w:p w:rsidR="00827092" w:rsidRDefault="00827092" w:rsidP="00827092">
            <w:pPr>
              <w:pStyle w:val="BodyText"/>
              <w:widowControl w:val="0"/>
              <w:jc w:val="center"/>
              <w:rPr>
                <w:rFonts w:cs="Arial"/>
                <w:color w:val="auto"/>
                <w:sz w:val="20"/>
                <w:szCs w:val="20"/>
              </w:rPr>
            </w:pPr>
            <w:r w:rsidRPr="0092092B">
              <w:rPr>
                <w:rFonts w:cs="Arial"/>
                <w:color w:val="auto"/>
                <w:sz w:val="20"/>
                <w:szCs w:val="20"/>
              </w:rPr>
              <w:t>To provide cleaning services to the Council, TDA and other clients</w:t>
            </w:r>
          </w:p>
          <w:p w:rsidR="0004040C" w:rsidRPr="0092092B" w:rsidRDefault="0004040C" w:rsidP="003E1633">
            <w:pPr>
              <w:pStyle w:val="BodyText"/>
              <w:widowControl w:val="0"/>
              <w:jc w:val="center"/>
              <w:rPr>
                <w:rFonts w:cs="Arial"/>
                <w:color w:val="auto"/>
                <w:sz w:val="20"/>
                <w:szCs w:val="20"/>
              </w:rPr>
            </w:pPr>
            <w:r w:rsidRPr="00AE225F">
              <w:rPr>
                <w:rFonts w:cs="Arial"/>
                <w:color w:val="auto"/>
                <w:sz w:val="20"/>
                <w:szCs w:val="20"/>
              </w:rPr>
              <w:t>In 17/18 Council funded a £0.</w:t>
            </w:r>
            <w:r w:rsidR="003E1633">
              <w:rPr>
                <w:rFonts w:cs="Arial"/>
                <w:color w:val="auto"/>
                <w:sz w:val="20"/>
                <w:szCs w:val="20"/>
              </w:rPr>
              <w:t>2</w:t>
            </w:r>
            <w:r w:rsidRPr="00AE225F">
              <w:rPr>
                <w:rFonts w:cs="Arial"/>
                <w:color w:val="auto"/>
                <w:sz w:val="20"/>
                <w:szCs w:val="20"/>
              </w:rPr>
              <w:t>m (</w:t>
            </w:r>
            <w:r w:rsidR="003E1633">
              <w:rPr>
                <w:rFonts w:cs="Arial"/>
                <w:color w:val="auto"/>
                <w:sz w:val="20"/>
                <w:szCs w:val="20"/>
              </w:rPr>
              <w:t>nil</w:t>
            </w:r>
            <w:r w:rsidRPr="00AE225F">
              <w:rPr>
                <w:rFonts w:cs="Arial"/>
                <w:color w:val="auto"/>
                <w:sz w:val="20"/>
                <w:szCs w:val="20"/>
              </w:rPr>
              <w:t xml:space="preserve"> 16/17) payment</w:t>
            </w:r>
          </w:p>
        </w:tc>
        <w:tc>
          <w:tcPr>
            <w:tcW w:w="1417" w:type="dxa"/>
          </w:tcPr>
          <w:p w:rsidR="00827092" w:rsidRPr="0092092B" w:rsidRDefault="0082709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92092B">
              <w:rPr>
                <w:rFonts w:cs="Arial"/>
                <w:color w:val="auto"/>
                <w:sz w:val="20"/>
                <w:szCs w:val="20"/>
              </w:rPr>
              <w:t>Subsidiary</w:t>
            </w:r>
          </w:p>
        </w:tc>
        <w:tc>
          <w:tcPr>
            <w:cnfStyle w:val="000100000000" w:firstRow="0" w:lastRow="0" w:firstColumn="0" w:lastColumn="1" w:oddVBand="0" w:evenVBand="0" w:oddHBand="0" w:evenHBand="0" w:firstRowFirstColumn="0" w:firstRowLastColumn="0" w:lastRowFirstColumn="0" w:lastRowLastColumn="0"/>
            <w:tcW w:w="4820" w:type="dxa"/>
          </w:tcPr>
          <w:p w:rsidR="00827092" w:rsidRPr="006A1EBA" w:rsidRDefault="00827092" w:rsidP="00827092">
            <w:pPr>
              <w:pStyle w:val="BodyText"/>
              <w:widowControl w:val="0"/>
              <w:rPr>
                <w:rFonts w:cs="Arial"/>
                <w:b w:val="0"/>
                <w:color w:val="auto"/>
                <w:sz w:val="20"/>
                <w:szCs w:val="20"/>
              </w:rPr>
            </w:pPr>
            <w:r w:rsidRPr="006A1EBA">
              <w:rPr>
                <w:rFonts w:cs="Arial"/>
                <w:b w:val="0"/>
                <w:color w:val="auto"/>
                <w:sz w:val="20"/>
                <w:szCs w:val="20"/>
              </w:rPr>
              <w:t>Shareholding /Control: 100% (via Torbay Economic Development Company Ltd)</w:t>
            </w:r>
          </w:p>
          <w:p w:rsidR="00827092" w:rsidRPr="006A1EBA" w:rsidRDefault="00827092" w:rsidP="00827092">
            <w:pPr>
              <w:pStyle w:val="BodyText"/>
              <w:widowControl w:val="0"/>
              <w:spacing w:after="0"/>
              <w:rPr>
                <w:rFonts w:cs="Arial"/>
                <w:b w:val="0"/>
                <w:color w:val="auto"/>
                <w:sz w:val="20"/>
                <w:szCs w:val="20"/>
              </w:rPr>
            </w:pPr>
            <w:r w:rsidRPr="006A1EBA">
              <w:rPr>
                <w:rFonts w:cs="Arial"/>
                <w:b w:val="0"/>
                <w:color w:val="auto"/>
                <w:sz w:val="20"/>
                <w:szCs w:val="20"/>
              </w:rPr>
              <w:t>Members of Torbay Council that are Directors of this Company are as follows:-</w:t>
            </w:r>
          </w:p>
          <w:p w:rsidR="00827092" w:rsidRPr="006A1EBA" w:rsidRDefault="00827092" w:rsidP="00827092">
            <w:pPr>
              <w:spacing w:after="0" w:line="240" w:lineRule="auto"/>
              <w:rPr>
                <w:b w:val="0"/>
                <w:color w:val="auto"/>
                <w:sz w:val="20"/>
                <w:szCs w:val="20"/>
              </w:rPr>
            </w:pPr>
          </w:p>
          <w:p w:rsidR="006A1EBA" w:rsidRPr="0005794A" w:rsidRDefault="00827092" w:rsidP="006A1EBA">
            <w:pPr>
              <w:spacing w:after="0" w:line="240" w:lineRule="auto"/>
              <w:rPr>
                <w:b w:val="0"/>
                <w:color w:val="548DD4" w:themeColor="text2" w:themeTint="99"/>
                <w:sz w:val="20"/>
                <w:szCs w:val="20"/>
              </w:rPr>
            </w:pPr>
            <w:r w:rsidRPr="006A1EBA">
              <w:rPr>
                <w:b w:val="0"/>
                <w:color w:val="auto"/>
                <w:sz w:val="20"/>
                <w:szCs w:val="20"/>
              </w:rPr>
              <w:t xml:space="preserve">Steve Parrock </w:t>
            </w:r>
            <w:r w:rsidRPr="006A1EBA">
              <w:rPr>
                <w:rFonts w:cs="Arial"/>
                <w:b w:val="0"/>
                <w:color w:val="auto"/>
                <w:sz w:val="20"/>
                <w:szCs w:val="20"/>
              </w:rPr>
              <w:t>(Officer Torbay Council &amp; Chief Executive TDA)</w:t>
            </w:r>
          </w:p>
        </w:tc>
      </w:tr>
      <w:tr w:rsidR="008C6A28" w:rsidRPr="0005794A" w:rsidTr="00827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C6A28" w:rsidRPr="00711B3E" w:rsidRDefault="00360B10" w:rsidP="00827092">
            <w:pPr>
              <w:pStyle w:val="BodyText"/>
              <w:widowControl w:val="0"/>
              <w:jc w:val="center"/>
              <w:rPr>
                <w:rFonts w:cs="Arial"/>
                <w:b w:val="0"/>
                <w:color w:val="auto"/>
                <w:sz w:val="20"/>
                <w:szCs w:val="20"/>
              </w:rPr>
            </w:pPr>
            <w:r w:rsidRPr="00711B3E">
              <w:rPr>
                <w:rFonts w:cs="Arial"/>
                <w:b w:val="0"/>
                <w:color w:val="auto"/>
                <w:sz w:val="20"/>
                <w:szCs w:val="20"/>
              </w:rPr>
              <w:t>KAH Holdings Limited</w:t>
            </w:r>
          </w:p>
          <w:p w:rsidR="00711B3E" w:rsidRPr="0005794A" w:rsidRDefault="00711B3E" w:rsidP="00827092">
            <w:pPr>
              <w:pStyle w:val="BodyText"/>
              <w:widowControl w:val="0"/>
              <w:jc w:val="center"/>
              <w:rPr>
                <w:rFonts w:cs="Arial"/>
                <w:b w:val="0"/>
                <w:color w:val="548DD4" w:themeColor="text2" w:themeTint="99"/>
                <w:sz w:val="20"/>
                <w:szCs w:val="20"/>
              </w:rPr>
            </w:pPr>
            <w:r w:rsidRPr="00711B3E">
              <w:rPr>
                <w:rFonts w:cs="Arial"/>
                <w:b w:val="0"/>
                <w:color w:val="auto"/>
                <w:sz w:val="20"/>
                <w:szCs w:val="20"/>
              </w:rPr>
              <w:t>11088019</w:t>
            </w:r>
          </w:p>
        </w:tc>
        <w:tc>
          <w:tcPr>
            <w:cnfStyle w:val="000010000000" w:firstRow="0" w:lastRow="0" w:firstColumn="0" w:lastColumn="0" w:oddVBand="1" w:evenVBand="0" w:oddHBand="0" w:evenHBand="0" w:firstRowFirstColumn="0" w:firstRowLastColumn="0" w:lastRowFirstColumn="0" w:lastRowLastColumn="0"/>
            <w:tcW w:w="1985" w:type="dxa"/>
          </w:tcPr>
          <w:p w:rsidR="00A16E98" w:rsidRPr="0092092B" w:rsidRDefault="00A16E98" w:rsidP="00A16E98">
            <w:pPr>
              <w:pStyle w:val="BodyText"/>
              <w:widowControl w:val="0"/>
              <w:jc w:val="center"/>
              <w:rPr>
                <w:rFonts w:cs="Arial"/>
                <w:b/>
                <w:color w:val="auto"/>
                <w:sz w:val="20"/>
                <w:szCs w:val="20"/>
              </w:rPr>
            </w:pPr>
            <w:r w:rsidRPr="0092092B">
              <w:rPr>
                <w:rFonts w:cs="Arial"/>
                <w:color w:val="auto"/>
                <w:sz w:val="20"/>
                <w:szCs w:val="20"/>
              </w:rPr>
              <w:t xml:space="preserve">Private Limited Company – 100% owned by </w:t>
            </w:r>
            <w:r w:rsidRPr="0092092B">
              <w:rPr>
                <w:rFonts w:cs="Arial"/>
                <w:b/>
                <w:color w:val="auto"/>
                <w:sz w:val="20"/>
                <w:szCs w:val="20"/>
              </w:rPr>
              <w:t xml:space="preserve"> </w:t>
            </w:r>
            <w:r w:rsidRPr="0092092B">
              <w:rPr>
                <w:rFonts w:cs="Arial"/>
                <w:color w:val="auto"/>
                <w:sz w:val="20"/>
                <w:szCs w:val="20"/>
              </w:rPr>
              <w:t>Torbay Economic Development Company Ltd</w:t>
            </w:r>
          </w:p>
          <w:p w:rsidR="008C6A28" w:rsidRPr="0005794A" w:rsidRDefault="008C6A28" w:rsidP="00827092">
            <w:pPr>
              <w:pStyle w:val="BodyText"/>
              <w:widowControl w:val="0"/>
              <w:jc w:val="center"/>
              <w:rPr>
                <w:rFonts w:cs="Arial"/>
                <w:color w:val="548DD4" w:themeColor="text2" w:themeTint="99"/>
                <w:sz w:val="20"/>
                <w:szCs w:val="20"/>
              </w:rPr>
            </w:pPr>
          </w:p>
        </w:tc>
        <w:tc>
          <w:tcPr>
            <w:tcW w:w="1701" w:type="dxa"/>
          </w:tcPr>
          <w:p w:rsidR="0092092B" w:rsidRPr="00711B3E" w:rsidRDefault="0092092B" w:rsidP="0092092B">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11B3E">
              <w:rPr>
                <w:rFonts w:cs="Arial"/>
                <w:color w:val="auto"/>
                <w:sz w:val="20"/>
                <w:szCs w:val="20"/>
              </w:rPr>
              <w:t>Not trading in 2017/18</w:t>
            </w:r>
          </w:p>
          <w:p w:rsidR="008C6A28" w:rsidRPr="00711B3E" w:rsidRDefault="008C6A28"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Pr>
          <w:p w:rsidR="008C6A28" w:rsidRPr="00944619" w:rsidRDefault="00944619" w:rsidP="00944619">
            <w:pPr>
              <w:pStyle w:val="BodyText"/>
              <w:widowControl w:val="0"/>
              <w:jc w:val="center"/>
              <w:rPr>
                <w:rFonts w:cs="Arial"/>
                <w:color w:val="auto"/>
                <w:sz w:val="20"/>
                <w:szCs w:val="20"/>
              </w:rPr>
            </w:pPr>
            <w:r w:rsidRPr="00944619">
              <w:rPr>
                <w:rFonts w:cs="Arial"/>
                <w:color w:val="auto"/>
                <w:sz w:val="20"/>
                <w:szCs w:val="20"/>
              </w:rPr>
              <w:t>To man</w:t>
            </w:r>
            <w:r>
              <w:rPr>
                <w:rFonts w:cs="Arial"/>
                <w:color w:val="auto"/>
                <w:sz w:val="20"/>
                <w:szCs w:val="20"/>
              </w:rPr>
              <w:t>a</w:t>
            </w:r>
            <w:r w:rsidRPr="00944619">
              <w:rPr>
                <w:rFonts w:cs="Arial"/>
                <w:color w:val="auto"/>
                <w:sz w:val="20"/>
                <w:szCs w:val="20"/>
              </w:rPr>
              <w:t xml:space="preserve">ge property owned by </w:t>
            </w:r>
            <w:r w:rsidRPr="0092092B">
              <w:rPr>
                <w:rFonts w:cs="Arial"/>
                <w:color w:val="auto"/>
                <w:sz w:val="20"/>
                <w:szCs w:val="20"/>
              </w:rPr>
              <w:t>Torbay Economic Development Company Ltd</w:t>
            </w:r>
            <w:r w:rsidRPr="00944619">
              <w:rPr>
                <w:rFonts w:cs="Arial"/>
                <w:color w:val="auto"/>
                <w:sz w:val="20"/>
                <w:szCs w:val="20"/>
              </w:rPr>
              <w:t xml:space="preserve"> </w:t>
            </w:r>
          </w:p>
        </w:tc>
        <w:tc>
          <w:tcPr>
            <w:tcW w:w="1417" w:type="dxa"/>
          </w:tcPr>
          <w:p w:rsidR="008C6A28" w:rsidRPr="0005794A" w:rsidRDefault="00711B3E"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20"/>
                <w:szCs w:val="20"/>
              </w:rPr>
            </w:pPr>
            <w:r w:rsidRPr="00711B3E">
              <w:rPr>
                <w:rFonts w:cs="Arial"/>
                <w:color w:val="auto"/>
                <w:sz w:val="20"/>
                <w:szCs w:val="20"/>
              </w:rPr>
              <w:t>Subsidiary</w:t>
            </w:r>
          </w:p>
        </w:tc>
        <w:tc>
          <w:tcPr>
            <w:cnfStyle w:val="000100000000" w:firstRow="0" w:lastRow="0" w:firstColumn="0" w:lastColumn="1" w:oddVBand="0" w:evenVBand="0" w:oddHBand="0" w:evenHBand="0" w:firstRowFirstColumn="0" w:firstRowLastColumn="0" w:lastRowFirstColumn="0" w:lastRowLastColumn="0"/>
            <w:tcW w:w="4820" w:type="dxa"/>
          </w:tcPr>
          <w:p w:rsidR="00711B3E" w:rsidRPr="006A1EBA" w:rsidRDefault="00711B3E" w:rsidP="00711B3E">
            <w:pPr>
              <w:pStyle w:val="BodyText"/>
              <w:widowControl w:val="0"/>
              <w:rPr>
                <w:rFonts w:cs="Arial"/>
                <w:b w:val="0"/>
                <w:color w:val="auto"/>
                <w:sz w:val="20"/>
                <w:szCs w:val="20"/>
              </w:rPr>
            </w:pPr>
            <w:r w:rsidRPr="006A1EBA">
              <w:rPr>
                <w:rFonts w:cs="Arial"/>
                <w:b w:val="0"/>
                <w:color w:val="auto"/>
                <w:sz w:val="20"/>
                <w:szCs w:val="20"/>
              </w:rPr>
              <w:t>Shareholding /Control: 100% (via Torbay Economic Development Company Ltd)</w:t>
            </w:r>
          </w:p>
          <w:p w:rsidR="00711B3E" w:rsidRPr="006A1EBA" w:rsidRDefault="00711B3E" w:rsidP="00711B3E">
            <w:pPr>
              <w:pStyle w:val="BodyText"/>
              <w:widowControl w:val="0"/>
              <w:spacing w:after="0"/>
              <w:rPr>
                <w:rFonts w:cs="Arial"/>
                <w:b w:val="0"/>
                <w:color w:val="auto"/>
                <w:sz w:val="20"/>
                <w:szCs w:val="20"/>
              </w:rPr>
            </w:pPr>
            <w:r w:rsidRPr="006A1EBA">
              <w:rPr>
                <w:rFonts w:cs="Arial"/>
                <w:b w:val="0"/>
                <w:color w:val="auto"/>
                <w:sz w:val="20"/>
                <w:szCs w:val="20"/>
              </w:rPr>
              <w:t>Members of Torbay Council that are Directors of this Company are as follows:-</w:t>
            </w:r>
          </w:p>
          <w:p w:rsidR="00711B3E" w:rsidRPr="006A1EBA" w:rsidRDefault="00711B3E" w:rsidP="00711B3E">
            <w:pPr>
              <w:spacing w:after="0" w:line="240" w:lineRule="auto"/>
              <w:rPr>
                <w:b w:val="0"/>
                <w:color w:val="auto"/>
                <w:sz w:val="20"/>
                <w:szCs w:val="20"/>
              </w:rPr>
            </w:pPr>
          </w:p>
          <w:p w:rsidR="008C6A28" w:rsidRPr="0005794A" w:rsidRDefault="00711B3E" w:rsidP="00711B3E">
            <w:pPr>
              <w:pStyle w:val="BodyText"/>
              <w:widowControl w:val="0"/>
              <w:spacing w:after="0" w:line="240" w:lineRule="auto"/>
              <w:rPr>
                <w:rFonts w:cs="Arial"/>
                <w:b w:val="0"/>
                <w:color w:val="548DD4" w:themeColor="text2" w:themeTint="99"/>
                <w:sz w:val="20"/>
                <w:szCs w:val="20"/>
              </w:rPr>
            </w:pPr>
            <w:r w:rsidRPr="006A1EBA">
              <w:rPr>
                <w:b w:val="0"/>
                <w:color w:val="auto"/>
                <w:sz w:val="20"/>
                <w:szCs w:val="20"/>
              </w:rPr>
              <w:t xml:space="preserve">Steve Parrock </w:t>
            </w:r>
            <w:r w:rsidRPr="006A1EBA">
              <w:rPr>
                <w:rFonts w:cs="Arial"/>
                <w:b w:val="0"/>
                <w:color w:val="auto"/>
                <w:sz w:val="20"/>
                <w:szCs w:val="20"/>
              </w:rPr>
              <w:t>(Officer Torbay Council &amp; Chief Executive TDA)</w:t>
            </w:r>
          </w:p>
        </w:tc>
      </w:tr>
      <w:tr w:rsidR="008C6A28" w:rsidRPr="0005794A" w:rsidTr="00827092">
        <w:tc>
          <w:tcPr>
            <w:cnfStyle w:val="001000000000" w:firstRow="0" w:lastRow="0" w:firstColumn="1" w:lastColumn="0" w:oddVBand="0" w:evenVBand="0" w:oddHBand="0" w:evenHBand="0" w:firstRowFirstColumn="0" w:firstRowLastColumn="0" w:lastRowFirstColumn="0" w:lastRowLastColumn="0"/>
            <w:tcW w:w="1951" w:type="dxa"/>
          </w:tcPr>
          <w:p w:rsidR="008C6A28" w:rsidRPr="00A47F82" w:rsidRDefault="00A47F82" w:rsidP="00A47F82">
            <w:pPr>
              <w:pStyle w:val="BodyText"/>
              <w:widowControl w:val="0"/>
              <w:jc w:val="center"/>
              <w:rPr>
                <w:rFonts w:cs="Arial"/>
                <w:b w:val="0"/>
                <w:color w:val="auto"/>
                <w:sz w:val="20"/>
                <w:szCs w:val="20"/>
              </w:rPr>
            </w:pPr>
            <w:proofErr w:type="spellStart"/>
            <w:r w:rsidRPr="00A47F82">
              <w:rPr>
                <w:rFonts w:cs="Arial"/>
                <w:b w:val="0"/>
                <w:color w:val="auto"/>
                <w:sz w:val="20"/>
                <w:szCs w:val="20"/>
              </w:rPr>
              <w:t>Busines</w:t>
            </w:r>
            <w:proofErr w:type="spellEnd"/>
            <w:r w:rsidRPr="00A47F82">
              <w:rPr>
                <w:rFonts w:cs="Arial"/>
                <w:b w:val="0"/>
                <w:color w:val="auto"/>
                <w:sz w:val="20"/>
                <w:szCs w:val="20"/>
              </w:rPr>
              <w:t xml:space="preserve"> Centres </w:t>
            </w:r>
            <w:r w:rsidR="00360B10" w:rsidRPr="00A47F82">
              <w:rPr>
                <w:rFonts w:cs="Arial"/>
                <w:b w:val="0"/>
                <w:color w:val="auto"/>
                <w:sz w:val="20"/>
                <w:szCs w:val="20"/>
              </w:rPr>
              <w:t xml:space="preserve">South West </w:t>
            </w:r>
            <w:r w:rsidRPr="00A47F82">
              <w:rPr>
                <w:rFonts w:cs="Arial"/>
                <w:b w:val="0"/>
                <w:color w:val="auto"/>
                <w:sz w:val="20"/>
                <w:szCs w:val="20"/>
              </w:rPr>
              <w:t>Limited</w:t>
            </w:r>
          </w:p>
          <w:p w:rsidR="00A47F82" w:rsidRPr="0005794A" w:rsidRDefault="00A47F82" w:rsidP="00A47F82">
            <w:pPr>
              <w:pStyle w:val="BodyText"/>
              <w:widowControl w:val="0"/>
              <w:jc w:val="center"/>
              <w:rPr>
                <w:rFonts w:cs="Arial"/>
                <w:b w:val="0"/>
                <w:color w:val="548DD4" w:themeColor="text2" w:themeTint="99"/>
                <w:sz w:val="20"/>
                <w:szCs w:val="20"/>
              </w:rPr>
            </w:pPr>
            <w:r w:rsidRPr="00A47F82">
              <w:rPr>
                <w:rFonts w:cs="Arial"/>
                <w:b w:val="0"/>
                <w:color w:val="auto"/>
                <w:sz w:val="20"/>
                <w:szCs w:val="20"/>
              </w:rPr>
              <w:lastRenderedPageBreak/>
              <w:t>10829733</w:t>
            </w:r>
          </w:p>
        </w:tc>
        <w:tc>
          <w:tcPr>
            <w:cnfStyle w:val="000010000000" w:firstRow="0" w:lastRow="0" w:firstColumn="0" w:lastColumn="0" w:oddVBand="1" w:evenVBand="0" w:oddHBand="0" w:evenHBand="0" w:firstRowFirstColumn="0" w:firstRowLastColumn="0" w:lastRowFirstColumn="0" w:lastRowLastColumn="0"/>
            <w:tcW w:w="1985" w:type="dxa"/>
          </w:tcPr>
          <w:p w:rsidR="00A16E98" w:rsidRPr="0092092B" w:rsidRDefault="00A16E98" w:rsidP="00A16E98">
            <w:pPr>
              <w:pStyle w:val="BodyText"/>
              <w:widowControl w:val="0"/>
              <w:jc w:val="center"/>
              <w:rPr>
                <w:rFonts w:cs="Arial"/>
                <w:b/>
                <w:color w:val="auto"/>
                <w:sz w:val="20"/>
                <w:szCs w:val="20"/>
              </w:rPr>
            </w:pPr>
            <w:r w:rsidRPr="0092092B">
              <w:rPr>
                <w:rFonts w:cs="Arial"/>
                <w:color w:val="auto"/>
                <w:sz w:val="20"/>
                <w:szCs w:val="20"/>
              </w:rPr>
              <w:lastRenderedPageBreak/>
              <w:t xml:space="preserve">Private Limited Company – 100% owned by </w:t>
            </w:r>
            <w:r w:rsidRPr="0092092B">
              <w:rPr>
                <w:rFonts w:cs="Arial"/>
                <w:b/>
                <w:color w:val="auto"/>
                <w:sz w:val="20"/>
                <w:szCs w:val="20"/>
              </w:rPr>
              <w:t xml:space="preserve"> </w:t>
            </w:r>
            <w:r w:rsidRPr="0092092B">
              <w:rPr>
                <w:rFonts w:cs="Arial"/>
                <w:color w:val="auto"/>
                <w:sz w:val="20"/>
                <w:szCs w:val="20"/>
              </w:rPr>
              <w:t xml:space="preserve">Torbay Economic </w:t>
            </w:r>
            <w:r w:rsidRPr="0092092B">
              <w:rPr>
                <w:rFonts w:cs="Arial"/>
                <w:color w:val="auto"/>
                <w:sz w:val="20"/>
                <w:szCs w:val="20"/>
              </w:rPr>
              <w:lastRenderedPageBreak/>
              <w:t>Development Company Ltd</w:t>
            </w:r>
          </w:p>
          <w:p w:rsidR="008C6A28" w:rsidRPr="0005794A" w:rsidRDefault="008C6A28" w:rsidP="00827092">
            <w:pPr>
              <w:pStyle w:val="BodyText"/>
              <w:widowControl w:val="0"/>
              <w:jc w:val="center"/>
              <w:rPr>
                <w:rFonts w:cs="Arial"/>
                <w:color w:val="548DD4" w:themeColor="text2" w:themeTint="99"/>
                <w:sz w:val="20"/>
                <w:szCs w:val="20"/>
              </w:rPr>
            </w:pPr>
          </w:p>
        </w:tc>
        <w:tc>
          <w:tcPr>
            <w:tcW w:w="1701" w:type="dxa"/>
          </w:tcPr>
          <w:p w:rsidR="0092092B" w:rsidRPr="00711B3E" w:rsidRDefault="0092092B" w:rsidP="0092092B">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711B3E">
              <w:rPr>
                <w:rFonts w:cs="Arial"/>
                <w:color w:val="auto"/>
                <w:sz w:val="20"/>
                <w:szCs w:val="20"/>
              </w:rPr>
              <w:lastRenderedPageBreak/>
              <w:t>Not trading in 2017/18</w:t>
            </w:r>
          </w:p>
          <w:p w:rsidR="008C6A28" w:rsidRPr="00711B3E" w:rsidRDefault="008C6A28"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Pr>
          <w:p w:rsidR="008C6A28" w:rsidRPr="00944619" w:rsidRDefault="00944619" w:rsidP="00944619">
            <w:pPr>
              <w:pStyle w:val="BodyText"/>
              <w:widowControl w:val="0"/>
              <w:jc w:val="center"/>
              <w:rPr>
                <w:rFonts w:cs="Arial"/>
                <w:color w:val="auto"/>
                <w:sz w:val="20"/>
                <w:szCs w:val="20"/>
              </w:rPr>
            </w:pPr>
            <w:r w:rsidRPr="00944619">
              <w:rPr>
                <w:rFonts w:cs="Arial"/>
                <w:color w:val="auto"/>
                <w:sz w:val="20"/>
                <w:szCs w:val="20"/>
              </w:rPr>
              <w:lastRenderedPageBreak/>
              <w:t xml:space="preserve">To manage innovation centres </w:t>
            </w:r>
            <w:proofErr w:type="spellStart"/>
            <w:r w:rsidRPr="00944619">
              <w:rPr>
                <w:rFonts w:cs="Arial"/>
                <w:color w:val="auto"/>
                <w:sz w:val="20"/>
                <w:szCs w:val="20"/>
              </w:rPr>
              <w:t>accros</w:t>
            </w:r>
            <w:proofErr w:type="spellEnd"/>
            <w:r w:rsidRPr="00944619">
              <w:rPr>
                <w:rFonts w:cs="Arial"/>
                <w:color w:val="auto"/>
                <w:sz w:val="20"/>
                <w:szCs w:val="20"/>
              </w:rPr>
              <w:t xml:space="preserve"> the </w:t>
            </w:r>
            <w:r>
              <w:rPr>
                <w:rFonts w:cs="Arial"/>
                <w:color w:val="auto"/>
                <w:sz w:val="20"/>
                <w:szCs w:val="20"/>
              </w:rPr>
              <w:t>S</w:t>
            </w:r>
            <w:r w:rsidRPr="00944619">
              <w:rPr>
                <w:rFonts w:cs="Arial"/>
                <w:color w:val="auto"/>
                <w:sz w:val="20"/>
                <w:szCs w:val="20"/>
              </w:rPr>
              <w:t xml:space="preserve">outh </w:t>
            </w:r>
            <w:r>
              <w:rPr>
                <w:rFonts w:cs="Arial"/>
                <w:color w:val="auto"/>
                <w:sz w:val="20"/>
                <w:szCs w:val="20"/>
              </w:rPr>
              <w:t>W</w:t>
            </w:r>
            <w:r w:rsidRPr="00944619">
              <w:rPr>
                <w:rFonts w:cs="Arial"/>
                <w:color w:val="auto"/>
                <w:sz w:val="20"/>
                <w:szCs w:val="20"/>
              </w:rPr>
              <w:t xml:space="preserve">est of </w:t>
            </w:r>
            <w:r>
              <w:rPr>
                <w:rFonts w:cs="Arial"/>
                <w:color w:val="auto"/>
                <w:sz w:val="20"/>
                <w:szCs w:val="20"/>
              </w:rPr>
              <w:t>E</w:t>
            </w:r>
            <w:r w:rsidRPr="00944619">
              <w:rPr>
                <w:rFonts w:cs="Arial"/>
                <w:color w:val="auto"/>
                <w:sz w:val="20"/>
                <w:szCs w:val="20"/>
              </w:rPr>
              <w:t>ngland</w:t>
            </w:r>
          </w:p>
        </w:tc>
        <w:tc>
          <w:tcPr>
            <w:tcW w:w="1417" w:type="dxa"/>
          </w:tcPr>
          <w:p w:rsidR="008C6A28" w:rsidRPr="0005794A" w:rsidRDefault="00A47F8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20"/>
                <w:szCs w:val="20"/>
              </w:rPr>
            </w:pPr>
            <w:r w:rsidRPr="00A47F82">
              <w:rPr>
                <w:rFonts w:cs="Arial"/>
                <w:color w:val="auto"/>
                <w:sz w:val="20"/>
                <w:szCs w:val="20"/>
              </w:rPr>
              <w:t>Subsidiary</w:t>
            </w:r>
          </w:p>
        </w:tc>
        <w:tc>
          <w:tcPr>
            <w:cnfStyle w:val="000100000000" w:firstRow="0" w:lastRow="0" w:firstColumn="0" w:lastColumn="1" w:oddVBand="0" w:evenVBand="0" w:oddHBand="0" w:evenHBand="0" w:firstRowFirstColumn="0" w:firstRowLastColumn="0" w:lastRowFirstColumn="0" w:lastRowLastColumn="0"/>
            <w:tcW w:w="4820" w:type="dxa"/>
          </w:tcPr>
          <w:p w:rsidR="00A47F82" w:rsidRPr="006A1EBA" w:rsidRDefault="00A47F82" w:rsidP="00A47F82">
            <w:pPr>
              <w:pStyle w:val="BodyText"/>
              <w:widowControl w:val="0"/>
              <w:rPr>
                <w:rFonts w:cs="Arial"/>
                <w:b w:val="0"/>
                <w:color w:val="auto"/>
                <w:sz w:val="20"/>
                <w:szCs w:val="20"/>
              </w:rPr>
            </w:pPr>
            <w:r w:rsidRPr="006A1EBA">
              <w:rPr>
                <w:rFonts w:cs="Arial"/>
                <w:b w:val="0"/>
                <w:color w:val="auto"/>
                <w:sz w:val="20"/>
                <w:szCs w:val="20"/>
              </w:rPr>
              <w:t>Shareholding /Control: 100% (via Torbay Economic Development Company Ltd)</w:t>
            </w:r>
          </w:p>
          <w:p w:rsidR="00A47F82" w:rsidRPr="006A1EBA" w:rsidRDefault="00A47F82" w:rsidP="00A47F82">
            <w:pPr>
              <w:pStyle w:val="BodyText"/>
              <w:widowControl w:val="0"/>
              <w:spacing w:after="0"/>
              <w:rPr>
                <w:rFonts w:cs="Arial"/>
                <w:b w:val="0"/>
                <w:color w:val="auto"/>
                <w:sz w:val="20"/>
                <w:szCs w:val="20"/>
              </w:rPr>
            </w:pPr>
            <w:r w:rsidRPr="006A1EBA">
              <w:rPr>
                <w:rFonts w:cs="Arial"/>
                <w:b w:val="0"/>
                <w:color w:val="auto"/>
                <w:sz w:val="20"/>
                <w:szCs w:val="20"/>
              </w:rPr>
              <w:t xml:space="preserve">Members of Torbay Council that are Directors of </w:t>
            </w:r>
            <w:r w:rsidRPr="006A1EBA">
              <w:rPr>
                <w:rFonts w:cs="Arial"/>
                <w:b w:val="0"/>
                <w:color w:val="auto"/>
                <w:sz w:val="20"/>
                <w:szCs w:val="20"/>
              </w:rPr>
              <w:lastRenderedPageBreak/>
              <w:t>this Company are as follows:-</w:t>
            </w:r>
          </w:p>
          <w:p w:rsidR="00A47F82" w:rsidRPr="006A1EBA" w:rsidRDefault="00A47F82" w:rsidP="00A47F82">
            <w:pPr>
              <w:spacing w:after="0" w:line="240" w:lineRule="auto"/>
              <w:rPr>
                <w:b w:val="0"/>
                <w:color w:val="auto"/>
                <w:sz w:val="20"/>
                <w:szCs w:val="20"/>
              </w:rPr>
            </w:pPr>
          </w:p>
          <w:p w:rsidR="008C6A28" w:rsidRPr="0005794A" w:rsidRDefault="00A47F82" w:rsidP="00A47F82">
            <w:pPr>
              <w:pStyle w:val="BodyText"/>
              <w:widowControl w:val="0"/>
              <w:spacing w:after="0" w:line="240" w:lineRule="auto"/>
              <w:rPr>
                <w:rFonts w:cs="Arial"/>
                <w:b w:val="0"/>
                <w:color w:val="548DD4" w:themeColor="text2" w:themeTint="99"/>
                <w:sz w:val="20"/>
                <w:szCs w:val="20"/>
              </w:rPr>
            </w:pPr>
            <w:r w:rsidRPr="006A1EBA">
              <w:rPr>
                <w:b w:val="0"/>
                <w:color w:val="auto"/>
                <w:sz w:val="20"/>
                <w:szCs w:val="20"/>
              </w:rPr>
              <w:t xml:space="preserve">Steve Parrock </w:t>
            </w:r>
            <w:r w:rsidRPr="006A1EBA">
              <w:rPr>
                <w:rFonts w:cs="Arial"/>
                <w:b w:val="0"/>
                <w:color w:val="auto"/>
                <w:sz w:val="20"/>
                <w:szCs w:val="20"/>
              </w:rPr>
              <w:t>(Officer Torbay Council &amp; Chief Executive TDA)</w:t>
            </w:r>
          </w:p>
        </w:tc>
      </w:tr>
      <w:tr w:rsidR="00827092" w:rsidRPr="0005794A" w:rsidTr="00827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27092" w:rsidRPr="0092092B" w:rsidRDefault="00827092" w:rsidP="00827092">
            <w:pPr>
              <w:pStyle w:val="BodyText"/>
              <w:widowControl w:val="0"/>
              <w:jc w:val="center"/>
              <w:rPr>
                <w:rFonts w:cs="Arial"/>
                <w:b w:val="0"/>
                <w:color w:val="auto"/>
                <w:sz w:val="20"/>
                <w:szCs w:val="20"/>
              </w:rPr>
            </w:pPr>
            <w:proofErr w:type="spellStart"/>
            <w:r w:rsidRPr="0092092B">
              <w:rPr>
                <w:rFonts w:cs="Arial"/>
                <w:b w:val="0"/>
                <w:color w:val="auto"/>
                <w:sz w:val="20"/>
                <w:szCs w:val="20"/>
              </w:rPr>
              <w:lastRenderedPageBreak/>
              <w:t>Oldway</w:t>
            </w:r>
            <w:proofErr w:type="spellEnd"/>
            <w:r w:rsidRPr="0092092B">
              <w:rPr>
                <w:rFonts w:cs="Arial"/>
                <w:b w:val="0"/>
                <w:color w:val="auto"/>
                <w:sz w:val="20"/>
                <w:szCs w:val="20"/>
              </w:rPr>
              <w:t xml:space="preserve"> Mansion Management Company Ltd</w:t>
            </w:r>
          </w:p>
          <w:p w:rsidR="00827092" w:rsidRPr="0092092B" w:rsidRDefault="00827092" w:rsidP="00827092">
            <w:pPr>
              <w:pStyle w:val="BodyText"/>
              <w:widowControl w:val="0"/>
              <w:jc w:val="center"/>
              <w:rPr>
                <w:rFonts w:cs="Arial"/>
                <w:b w:val="0"/>
                <w:color w:val="auto"/>
                <w:sz w:val="20"/>
                <w:szCs w:val="20"/>
              </w:rPr>
            </w:pPr>
            <w:r w:rsidRPr="0092092B">
              <w:rPr>
                <w:rFonts w:cs="Arial"/>
                <w:b w:val="0"/>
                <w:color w:val="auto"/>
                <w:sz w:val="20"/>
                <w:szCs w:val="20"/>
              </w:rPr>
              <w:t>8219420</w:t>
            </w:r>
          </w:p>
        </w:tc>
        <w:tc>
          <w:tcPr>
            <w:cnfStyle w:val="000010000000" w:firstRow="0" w:lastRow="0" w:firstColumn="0" w:lastColumn="0" w:oddVBand="1" w:evenVBand="0" w:oddHBand="0" w:evenHBand="0" w:firstRowFirstColumn="0" w:firstRowLastColumn="0" w:lastRowFirstColumn="0" w:lastRowLastColumn="0"/>
            <w:tcW w:w="1985" w:type="dxa"/>
          </w:tcPr>
          <w:p w:rsidR="00827092" w:rsidRPr="0092092B" w:rsidRDefault="00827092" w:rsidP="00827092">
            <w:pPr>
              <w:pStyle w:val="BodyText"/>
              <w:widowControl w:val="0"/>
              <w:jc w:val="center"/>
              <w:rPr>
                <w:rFonts w:cs="Arial"/>
                <w:color w:val="auto"/>
                <w:sz w:val="20"/>
                <w:szCs w:val="20"/>
              </w:rPr>
            </w:pPr>
            <w:r w:rsidRPr="0092092B">
              <w:rPr>
                <w:rFonts w:cs="Arial"/>
                <w:color w:val="auto"/>
                <w:sz w:val="20"/>
                <w:szCs w:val="20"/>
              </w:rPr>
              <w:t>Company limited by share</w:t>
            </w:r>
          </w:p>
        </w:tc>
        <w:tc>
          <w:tcPr>
            <w:tcW w:w="1701" w:type="dxa"/>
          </w:tcPr>
          <w:p w:rsidR="00827092" w:rsidRPr="0092092B"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92092B">
              <w:rPr>
                <w:rFonts w:cs="Arial"/>
                <w:color w:val="auto"/>
                <w:sz w:val="20"/>
                <w:szCs w:val="20"/>
              </w:rPr>
              <w:t>20</w:t>
            </w:r>
            <w:r w:rsidRPr="0092092B">
              <w:rPr>
                <w:rFonts w:cs="Arial"/>
                <w:color w:val="auto"/>
                <w:sz w:val="20"/>
                <w:szCs w:val="20"/>
                <w:vertAlign w:val="superscript"/>
              </w:rPr>
              <w:t>th</w:t>
            </w:r>
            <w:r w:rsidRPr="0092092B">
              <w:rPr>
                <w:rFonts w:cs="Arial"/>
                <w:color w:val="auto"/>
                <w:sz w:val="20"/>
                <w:szCs w:val="20"/>
              </w:rPr>
              <w:t xml:space="preserve"> September 2012</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92092B" w:rsidRDefault="00827092" w:rsidP="00827092">
            <w:pPr>
              <w:pStyle w:val="BodyText"/>
              <w:widowControl w:val="0"/>
              <w:jc w:val="center"/>
              <w:rPr>
                <w:rFonts w:cs="Arial"/>
                <w:color w:val="auto"/>
                <w:sz w:val="20"/>
                <w:szCs w:val="20"/>
              </w:rPr>
            </w:pPr>
            <w:r w:rsidRPr="0092092B">
              <w:rPr>
                <w:rFonts w:cs="Arial"/>
                <w:color w:val="auto"/>
                <w:sz w:val="20"/>
                <w:szCs w:val="20"/>
              </w:rPr>
              <w:t xml:space="preserve">To manage the </w:t>
            </w:r>
            <w:proofErr w:type="spellStart"/>
            <w:r w:rsidRPr="0092092B">
              <w:rPr>
                <w:rFonts w:cs="Arial"/>
                <w:color w:val="auto"/>
                <w:sz w:val="20"/>
                <w:szCs w:val="20"/>
              </w:rPr>
              <w:t>Oldway</w:t>
            </w:r>
            <w:proofErr w:type="spellEnd"/>
            <w:r w:rsidRPr="0092092B">
              <w:rPr>
                <w:rFonts w:cs="Arial"/>
                <w:color w:val="auto"/>
                <w:sz w:val="20"/>
                <w:szCs w:val="20"/>
              </w:rPr>
              <w:t xml:space="preserve"> Estate on behalf of Torbay Council and tenants</w:t>
            </w:r>
          </w:p>
          <w:p w:rsidR="00827092" w:rsidRPr="0092092B" w:rsidRDefault="00827092" w:rsidP="0092092B">
            <w:pPr>
              <w:pStyle w:val="BodyText"/>
              <w:widowControl w:val="0"/>
              <w:jc w:val="center"/>
              <w:rPr>
                <w:rFonts w:cs="Arial"/>
                <w:color w:val="auto"/>
                <w:sz w:val="20"/>
                <w:szCs w:val="20"/>
              </w:rPr>
            </w:pPr>
            <w:r w:rsidRPr="0092092B">
              <w:rPr>
                <w:rFonts w:cs="Arial"/>
                <w:color w:val="auto"/>
                <w:sz w:val="20"/>
                <w:szCs w:val="20"/>
              </w:rPr>
              <w:t>In 1</w:t>
            </w:r>
            <w:r w:rsidR="0092092B" w:rsidRPr="0092092B">
              <w:rPr>
                <w:rFonts w:cs="Arial"/>
                <w:color w:val="auto"/>
                <w:sz w:val="20"/>
                <w:szCs w:val="20"/>
              </w:rPr>
              <w:t>7</w:t>
            </w:r>
            <w:r w:rsidRPr="0092092B">
              <w:rPr>
                <w:rFonts w:cs="Arial"/>
                <w:color w:val="auto"/>
                <w:sz w:val="20"/>
                <w:szCs w:val="20"/>
              </w:rPr>
              <w:t>/1</w:t>
            </w:r>
            <w:r w:rsidR="0092092B" w:rsidRPr="0092092B">
              <w:rPr>
                <w:rFonts w:cs="Arial"/>
                <w:color w:val="auto"/>
                <w:sz w:val="20"/>
                <w:szCs w:val="20"/>
              </w:rPr>
              <w:t>8</w:t>
            </w:r>
            <w:r w:rsidRPr="0092092B">
              <w:rPr>
                <w:rFonts w:cs="Arial"/>
                <w:color w:val="auto"/>
                <w:sz w:val="20"/>
                <w:szCs w:val="20"/>
              </w:rPr>
              <w:t xml:space="preserve"> Council funded a £0.1m (£0.1m 1</w:t>
            </w:r>
            <w:r w:rsidR="0092092B" w:rsidRPr="0092092B">
              <w:rPr>
                <w:rFonts w:cs="Arial"/>
                <w:color w:val="auto"/>
                <w:sz w:val="20"/>
                <w:szCs w:val="20"/>
              </w:rPr>
              <w:t>6</w:t>
            </w:r>
            <w:r w:rsidRPr="0092092B">
              <w:rPr>
                <w:rFonts w:cs="Arial"/>
                <w:color w:val="auto"/>
                <w:sz w:val="20"/>
                <w:szCs w:val="20"/>
              </w:rPr>
              <w:t>/1</w:t>
            </w:r>
            <w:r w:rsidR="0092092B" w:rsidRPr="0092092B">
              <w:rPr>
                <w:rFonts w:cs="Arial"/>
                <w:color w:val="auto"/>
                <w:sz w:val="20"/>
                <w:szCs w:val="20"/>
              </w:rPr>
              <w:t>7</w:t>
            </w:r>
            <w:r w:rsidRPr="0092092B">
              <w:rPr>
                <w:rFonts w:cs="Arial"/>
                <w:color w:val="auto"/>
                <w:sz w:val="20"/>
                <w:szCs w:val="20"/>
              </w:rPr>
              <w:t>) payment</w:t>
            </w:r>
          </w:p>
        </w:tc>
        <w:tc>
          <w:tcPr>
            <w:tcW w:w="1417" w:type="dxa"/>
          </w:tcPr>
          <w:p w:rsidR="00827092" w:rsidRPr="0092092B"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92092B">
              <w:rPr>
                <w:rFonts w:cs="Arial"/>
                <w:color w:val="auto"/>
                <w:sz w:val="20"/>
                <w:szCs w:val="20"/>
              </w:rPr>
              <w:t>Subsidiary</w:t>
            </w:r>
          </w:p>
        </w:tc>
        <w:tc>
          <w:tcPr>
            <w:cnfStyle w:val="000100000000" w:firstRow="0" w:lastRow="0" w:firstColumn="0" w:lastColumn="1" w:oddVBand="0" w:evenVBand="0" w:oddHBand="0" w:evenHBand="0" w:firstRowFirstColumn="0" w:firstRowLastColumn="0" w:lastRowFirstColumn="0" w:lastRowLastColumn="0"/>
            <w:tcW w:w="4820" w:type="dxa"/>
          </w:tcPr>
          <w:p w:rsidR="00827092" w:rsidRPr="0092092B" w:rsidRDefault="00827092" w:rsidP="00827092">
            <w:pPr>
              <w:pStyle w:val="BodyText"/>
              <w:widowControl w:val="0"/>
              <w:spacing w:after="0" w:line="240" w:lineRule="auto"/>
              <w:rPr>
                <w:rFonts w:cs="Arial"/>
                <w:b w:val="0"/>
                <w:color w:val="auto"/>
                <w:sz w:val="20"/>
                <w:szCs w:val="20"/>
              </w:rPr>
            </w:pPr>
            <w:r w:rsidRPr="0092092B">
              <w:rPr>
                <w:rFonts w:cs="Arial"/>
                <w:b w:val="0"/>
                <w:color w:val="auto"/>
                <w:sz w:val="20"/>
                <w:szCs w:val="20"/>
              </w:rPr>
              <w:t xml:space="preserve">Shareholding /Control: 100% </w:t>
            </w:r>
          </w:p>
          <w:p w:rsidR="00827092" w:rsidRPr="0092092B" w:rsidRDefault="00827092" w:rsidP="00827092">
            <w:pPr>
              <w:pStyle w:val="BodyText"/>
              <w:widowControl w:val="0"/>
              <w:spacing w:after="0" w:line="240" w:lineRule="auto"/>
              <w:rPr>
                <w:rFonts w:cs="Arial"/>
                <w:b w:val="0"/>
                <w:color w:val="auto"/>
                <w:sz w:val="20"/>
                <w:szCs w:val="20"/>
              </w:rPr>
            </w:pPr>
          </w:p>
          <w:p w:rsidR="00827092" w:rsidRPr="0092092B" w:rsidRDefault="00827092" w:rsidP="00827092">
            <w:pPr>
              <w:pStyle w:val="BodyText"/>
              <w:widowControl w:val="0"/>
              <w:spacing w:after="0" w:line="240" w:lineRule="auto"/>
              <w:rPr>
                <w:rFonts w:cs="Arial"/>
                <w:b w:val="0"/>
                <w:color w:val="auto"/>
                <w:sz w:val="20"/>
                <w:szCs w:val="20"/>
              </w:rPr>
            </w:pPr>
            <w:r w:rsidRPr="0092092B">
              <w:rPr>
                <w:rFonts w:cs="Arial"/>
                <w:b w:val="0"/>
                <w:color w:val="auto"/>
                <w:sz w:val="20"/>
                <w:szCs w:val="20"/>
              </w:rPr>
              <w:t>Directors:</w:t>
            </w:r>
          </w:p>
          <w:p w:rsidR="00827092" w:rsidRPr="0092092B" w:rsidRDefault="00827092" w:rsidP="00827092">
            <w:pPr>
              <w:pStyle w:val="BodyText"/>
              <w:widowControl w:val="0"/>
              <w:spacing w:after="0" w:line="240" w:lineRule="auto"/>
              <w:rPr>
                <w:rFonts w:cs="Arial"/>
                <w:b w:val="0"/>
                <w:color w:val="auto"/>
                <w:sz w:val="20"/>
                <w:szCs w:val="20"/>
              </w:rPr>
            </w:pPr>
            <w:r w:rsidRPr="0092092B">
              <w:rPr>
                <w:rFonts w:cs="Arial"/>
                <w:b w:val="0"/>
                <w:color w:val="auto"/>
                <w:sz w:val="20"/>
                <w:szCs w:val="20"/>
              </w:rPr>
              <w:t xml:space="preserve">K </w:t>
            </w:r>
            <w:proofErr w:type="spellStart"/>
            <w:r w:rsidRPr="0092092B">
              <w:rPr>
                <w:rFonts w:cs="Arial"/>
                <w:b w:val="0"/>
                <w:color w:val="auto"/>
                <w:sz w:val="20"/>
                <w:szCs w:val="20"/>
              </w:rPr>
              <w:t>Mowatt</w:t>
            </w:r>
            <w:proofErr w:type="spellEnd"/>
            <w:r w:rsidRPr="0092092B">
              <w:rPr>
                <w:rFonts w:cs="Arial"/>
                <w:b w:val="0"/>
                <w:color w:val="auto"/>
                <w:sz w:val="20"/>
                <w:szCs w:val="20"/>
              </w:rPr>
              <w:t xml:space="preserve"> (Officer Torbay Council)</w:t>
            </w:r>
          </w:p>
          <w:p w:rsidR="00827092" w:rsidRPr="0092092B" w:rsidRDefault="00827092" w:rsidP="00827092">
            <w:pPr>
              <w:pStyle w:val="BodyText"/>
              <w:widowControl w:val="0"/>
              <w:spacing w:after="0" w:line="240" w:lineRule="auto"/>
              <w:rPr>
                <w:rFonts w:cs="Arial"/>
                <w:b w:val="0"/>
                <w:color w:val="auto"/>
                <w:sz w:val="20"/>
                <w:szCs w:val="20"/>
              </w:rPr>
            </w:pPr>
            <w:r w:rsidRPr="0092092B">
              <w:rPr>
                <w:rFonts w:cs="Arial"/>
                <w:b w:val="0"/>
                <w:color w:val="auto"/>
                <w:sz w:val="20"/>
                <w:szCs w:val="20"/>
              </w:rPr>
              <w:t>N Coish (Officer Torbay Council)</w:t>
            </w:r>
          </w:p>
          <w:p w:rsidR="00827092" w:rsidRPr="0092092B" w:rsidRDefault="00827092" w:rsidP="00827092">
            <w:pPr>
              <w:pStyle w:val="BodyText"/>
              <w:widowControl w:val="0"/>
              <w:spacing w:after="0" w:line="240" w:lineRule="auto"/>
              <w:rPr>
                <w:rFonts w:cs="Arial"/>
                <w:b w:val="0"/>
                <w:color w:val="auto"/>
                <w:sz w:val="20"/>
                <w:szCs w:val="20"/>
              </w:rPr>
            </w:pPr>
            <w:r w:rsidRPr="0092092B">
              <w:rPr>
                <w:rFonts w:cs="Arial"/>
                <w:b w:val="0"/>
                <w:color w:val="auto"/>
                <w:sz w:val="20"/>
                <w:szCs w:val="20"/>
              </w:rPr>
              <w:t>M Irving (Officer Torbay Council)</w:t>
            </w:r>
          </w:p>
        </w:tc>
      </w:tr>
      <w:tr w:rsidR="00827092" w:rsidRPr="0005794A" w:rsidTr="00C40DB0">
        <w:tc>
          <w:tcPr>
            <w:cnfStyle w:val="001000000000" w:firstRow="0" w:lastRow="0" w:firstColumn="1" w:lastColumn="0" w:oddVBand="0" w:evenVBand="0" w:oddHBand="0" w:evenHBand="0" w:firstRowFirstColumn="0" w:firstRowLastColumn="0" w:lastRowFirstColumn="0" w:lastRowLastColumn="0"/>
            <w:tcW w:w="1951" w:type="dxa"/>
          </w:tcPr>
          <w:p w:rsidR="00827092" w:rsidRPr="00AE225F" w:rsidRDefault="00827092" w:rsidP="00827092">
            <w:pPr>
              <w:pStyle w:val="BodyText"/>
              <w:widowControl w:val="0"/>
              <w:jc w:val="center"/>
              <w:rPr>
                <w:rFonts w:cs="Arial"/>
                <w:b w:val="0"/>
                <w:color w:val="auto"/>
                <w:sz w:val="20"/>
                <w:szCs w:val="20"/>
              </w:rPr>
            </w:pPr>
            <w:r w:rsidRPr="00AE225F">
              <w:rPr>
                <w:rFonts w:cs="Arial"/>
                <w:b w:val="0"/>
                <w:color w:val="auto"/>
                <w:sz w:val="20"/>
                <w:szCs w:val="20"/>
              </w:rPr>
              <w:t>TOR2 Ltd</w:t>
            </w:r>
          </w:p>
          <w:p w:rsidR="00827092" w:rsidRPr="00AE225F" w:rsidRDefault="00827092" w:rsidP="00827092">
            <w:pPr>
              <w:pStyle w:val="BodyText"/>
              <w:widowControl w:val="0"/>
              <w:jc w:val="center"/>
              <w:rPr>
                <w:rFonts w:cs="Arial"/>
                <w:b w:val="0"/>
                <w:color w:val="auto"/>
                <w:sz w:val="20"/>
                <w:szCs w:val="20"/>
              </w:rPr>
            </w:pPr>
            <w:r w:rsidRPr="00AE225F">
              <w:rPr>
                <w:rFonts w:cs="Arial"/>
                <w:b w:val="0"/>
                <w:color w:val="auto"/>
                <w:sz w:val="20"/>
                <w:szCs w:val="20"/>
              </w:rPr>
              <w:t>07204696</w:t>
            </w:r>
          </w:p>
        </w:tc>
        <w:tc>
          <w:tcPr>
            <w:cnfStyle w:val="000010000000" w:firstRow="0" w:lastRow="0" w:firstColumn="0" w:lastColumn="0" w:oddVBand="1" w:evenVBand="0" w:oddHBand="0" w:evenHBand="0" w:firstRowFirstColumn="0" w:firstRowLastColumn="0" w:lastRowFirstColumn="0" w:lastRowLastColumn="0"/>
            <w:tcW w:w="1985" w:type="dxa"/>
          </w:tcPr>
          <w:p w:rsidR="00827092" w:rsidRPr="00AE225F" w:rsidRDefault="00827092" w:rsidP="00827092">
            <w:pPr>
              <w:pStyle w:val="BodyText"/>
              <w:widowControl w:val="0"/>
              <w:jc w:val="center"/>
              <w:rPr>
                <w:rFonts w:cs="Arial"/>
                <w:color w:val="auto"/>
                <w:sz w:val="20"/>
                <w:szCs w:val="20"/>
              </w:rPr>
            </w:pPr>
            <w:r w:rsidRPr="00AE225F">
              <w:rPr>
                <w:rFonts w:cs="Arial"/>
                <w:color w:val="auto"/>
                <w:sz w:val="20"/>
                <w:szCs w:val="20"/>
              </w:rPr>
              <w:t>Company limited by share</w:t>
            </w:r>
          </w:p>
        </w:tc>
        <w:tc>
          <w:tcPr>
            <w:tcW w:w="1701" w:type="dxa"/>
          </w:tcPr>
          <w:p w:rsidR="00827092" w:rsidRPr="00AE225F" w:rsidRDefault="0082709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AE225F">
              <w:rPr>
                <w:rFonts w:cs="Arial"/>
                <w:color w:val="auto"/>
                <w:sz w:val="20"/>
                <w:szCs w:val="20"/>
              </w:rPr>
              <w:t>19</w:t>
            </w:r>
            <w:r w:rsidRPr="00AE225F">
              <w:rPr>
                <w:rFonts w:cs="Arial"/>
                <w:color w:val="auto"/>
                <w:sz w:val="20"/>
                <w:szCs w:val="20"/>
                <w:vertAlign w:val="superscript"/>
              </w:rPr>
              <w:t>th</w:t>
            </w:r>
            <w:r w:rsidRPr="00AE225F">
              <w:rPr>
                <w:rFonts w:cs="Arial"/>
                <w:color w:val="auto"/>
                <w:sz w:val="20"/>
                <w:szCs w:val="20"/>
              </w:rPr>
              <w:t xml:space="preserve"> July 2010</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AE225F" w:rsidRDefault="00827092" w:rsidP="00827092">
            <w:pPr>
              <w:pStyle w:val="BodyText"/>
              <w:widowControl w:val="0"/>
              <w:jc w:val="center"/>
              <w:rPr>
                <w:rFonts w:cs="Arial"/>
                <w:color w:val="auto"/>
                <w:sz w:val="20"/>
                <w:szCs w:val="20"/>
              </w:rPr>
            </w:pPr>
            <w:r w:rsidRPr="00AE225F">
              <w:rPr>
                <w:rFonts w:cs="Arial"/>
                <w:color w:val="auto"/>
                <w:sz w:val="20"/>
                <w:szCs w:val="20"/>
              </w:rPr>
              <w:t>Waste and recycling collections; maintenance of highways, grounds, parks, car parks, buildings and the Council’s vehicle fleet; street and beach cleansing; and out of hours call centre support in the Torbay area</w:t>
            </w:r>
          </w:p>
          <w:p w:rsidR="00827092" w:rsidRPr="0005794A" w:rsidRDefault="00827092" w:rsidP="00827092">
            <w:pPr>
              <w:pStyle w:val="BodyText"/>
              <w:widowControl w:val="0"/>
              <w:jc w:val="center"/>
              <w:rPr>
                <w:rFonts w:cs="Arial"/>
                <w:color w:val="548DD4" w:themeColor="text2" w:themeTint="99"/>
                <w:sz w:val="20"/>
                <w:szCs w:val="20"/>
              </w:rPr>
            </w:pPr>
            <w:r w:rsidRPr="00501FA2">
              <w:rPr>
                <w:rFonts w:cs="Arial"/>
                <w:color w:val="auto"/>
                <w:sz w:val="20"/>
                <w:szCs w:val="20"/>
              </w:rPr>
              <w:t>Council has 10 year contract with TOR2 for a number of services. For 201</w:t>
            </w:r>
            <w:r w:rsidR="001F5AC6">
              <w:rPr>
                <w:rFonts w:cs="Arial"/>
                <w:color w:val="auto"/>
                <w:sz w:val="20"/>
                <w:szCs w:val="20"/>
              </w:rPr>
              <w:t>7</w:t>
            </w:r>
            <w:r w:rsidRPr="00501FA2">
              <w:rPr>
                <w:rFonts w:cs="Arial"/>
                <w:color w:val="auto"/>
                <w:sz w:val="20"/>
                <w:szCs w:val="20"/>
              </w:rPr>
              <w:t>/1</w:t>
            </w:r>
            <w:r w:rsidR="001F5AC6">
              <w:rPr>
                <w:rFonts w:cs="Arial"/>
                <w:color w:val="auto"/>
                <w:sz w:val="20"/>
                <w:szCs w:val="20"/>
              </w:rPr>
              <w:t>8</w:t>
            </w:r>
            <w:r w:rsidRPr="00501FA2">
              <w:rPr>
                <w:rFonts w:cs="Arial"/>
                <w:color w:val="auto"/>
                <w:sz w:val="20"/>
                <w:szCs w:val="20"/>
              </w:rPr>
              <w:t xml:space="preserve"> annual cyclical works were </w:t>
            </w:r>
            <w:proofErr w:type="spellStart"/>
            <w:r w:rsidRPr="00501FA2">
              <w:rPr>
                <w:rFonts w:cs="Arial"/>
                <w:color w:val="auto"/>
                <w:sz w:val="20"/>
                <w:szCs w:val="20"/>
              </w:rPr>
              <w:t>approx</w:t>
            </w:r>
            <w:proofErr w:type="spellEnd"/>
            <w:r w:rsidRPr="00501FA2">
              <w:rPr>
                <w:rFonts w:cs="Arial"/>
                <w:color w:val="auto"/>
                <w:sz w:val="20"/>
                <w:szCs w:val="20"/>
              </w:rPr>
              <w:t xml:space="preserve"> £1</w:t>
            </w:r>
            <w:r w:rsidR="00F47B9B">
              <w:rPr>
                <w:rFonts w:cs="Arial"/>
                <w:color w:val="auto"/>
                <w:sz w:val="20"/>
                <w:szCs w:val="20"/>
              </w:rPr>
              <w:t>0.7</w:t>
            </w:r>
            <w:r w:rsidRPr="00501FA2">
              <w:rPr>
                <w:rFonts w:cs="Arial"/>
                <w:color w:val="auto"/>
                <w:sz w:val="20"/>
                <w:szCs w:val="20"/>
              </w:rPr>
              <w:t xml:space="preserve"> (£10</w:t>
            </w:r>
            <w:r w:rsidR="00F47B9B">
              <w:rPr>
                <w:rFonts w:cs="Arial"/>
                <w:color w:val="auto"/>
                <w:sz w:val="20"/>
                <w:szCs w:val="20"/>
              </w:rPr>
              <w:t>.3</w:t>
            </w:r>
            <w:r w:rsidRPr="00501FA2">
              <w:rPr>
                <w:rFonts w:cs="Arial"/>
                <w:color w:val="auto"/>
                <w:sz w:val="20"/>
                <w:szCs w:val="20"/>
              </w:rPr>
              <w:t>m 1</w:t>
            </w:r>
            <w:r w:rsidR="00501FA2" w:rsidRPr="00501FA2">
              <w:rPr>
                <w:rFonts w:cs="Arial"/>
                <w:color w:val="auto"/>
                <w:sz w:val="20"/>
                <w:szCs w:val="20"/>
              </w:rPr>
              <w:t>6</w:t>
            </w:r>
            <w:r w:rsidRPr="00501FA2">
              <w:rPr>
                <w:rFonts w:cs="Arial"/>
                <w:color w:val="auto"/>
                <w:sz w:val="20"/>
                <w:szCs w:val="20"/>
              </w:rPr>
              <w:t>/1</w:t>
            </w:r>
            <w:r w:rsidR="00501FA2" w:rsidRPr="00501FA2">
              <w:rPr>
                <w:rFonts w:cs="Arial"/>
                <w:color w:val="auto"/>
                <w:sz w:val="20"/>
                <w:szCs w:val="20"/>
              </w:rPr>
              <w:t>7</w:t>
            </w:r>
            <w:r w:rsidRPr="00501FA2">
              <w:rPr>
                <w:rFonts w:cs="Arial"/>
                <w:color w:val="auto"/>
                <w:sz w:val="20"/>
                <w:szCs w:val="20"/>
              </w:rPr>
              <w:t>)</w:t>
            </w:r>
            <w:r w:rsidRPr="0005794A">
              <w:rPr>
                <w:rFonts w:cs="Arial"/>
                <w:color w:val="548DD4" w:themeColor="text2" w:themeTint="99"/>
                <w:sz w:val="20"/>
                <w:szCs w:val="20"/>
              </w:rPr>
              <w:t xml:space="preserve"> </w:t>
            </w:r>
            <w:r w:rsidRPr="001C23B4">
              <w:rPr>
                <w:rFonts w:cs="Arial"/>
                <w:color w:val="auto"/>
                <w:sz w:val="20"/>
                <w:szCs w:val="20"/>
              </w:rPr>
              <w:t xml:space="preserve">and ordered works </w:t>
            </w:r>
            <w:proofErr w:type="spellStart"/>
            <w:r w:rsidRPr="001C23B4">
              <w:rPr>
                <w:rFonts w:cs="Arial"/>
                <w:color w:val="auto"/>
                <w:sz w:val="20"/>
                <w:szCs w:val="20"/>
              </w:rPr>
              <w:t>approx</w:t>
            </w:r>
            <w:proofErr w:type="spellEnd"/>
            <w:r w:rsidRPr="001C23B4">
              <w:rPr>
                <w:rFonts w:cs="Arial"/>
                <w:color w:val="auto"/>
                <w:sz w:val="20"/>
                <w:szCs w:val="20"/>
              </w:rPr>
              <w:t xml:space="preserve"> </w:t>
            </w:r>
            <w:r w:rsidRPr="00802ABC">
              <w:rPr>
                <w:rFonts w:cs="Arial"/>
                <w:color w:val="auto"/>
                <w:sz w:val="20"/>
                <w:szCs w:val="20"/>
              </w:rPr>
              <w:t>£2.</w:t>
            </w:r>
            <w:r w:rsidR="009F7164" w:rsidRPr="00802ABC">
              <w:rPr>
                <w:rFonts w:cs="Arial"/>
                <w:color w:val="auto"/>
                <w:sz w:val="20"/>
                <w:szCs w:val="20"/>
              </w:rPr>
              <w:t>0</w:t>
            </w:r>
            <w:r w:rsidRPr="00802ABC">
              <w:rPr>
                <w:rFonts w:cs="Arial"/>
                <w:color w:val="auto"/>
                <w:sz w:val="20"/>
                <w:szCs w:val="20"/>
              </w:rPr>
              <w:t>m</w:t>
            </w:r>
            <w:r w:rsidRPr="001C23B4">
              <w:rPr>
                <w:rFonts w:cs="Arial"/>
                <w:color w:val="auto"/>
                <w:sz w:val="20"/>
                <w:szCs w:val="20"/>
              </w:rPr>
              <w:t xml:space="preserve"> (£</w:t>
            </w:r>
            <w:r w:rsidR="001C23B4">
              <w:rPr>
                <w:rFonts w:cs="Arial"/>
                <w:color w:val="auto"/>
                <w:sz w:val="20"/>
                <w:szCs w:val="20"/>
              </w:rPr>
              <w:t>2.5</w:t>
            </w:r>
            <w:r w:rsidRPr="001C23B4">
              <w:rPr>
                <w:rFonts w:cs="Arial"/>
                <w:color w:val="auto"/>
                <w:sz w:val="20"/>
                <w:szCs w:val="20"/>
              </w:rPr>
              <w:t>m 1</w:t>
            </w:r>
            <w:r w:rsidR="001C23B4">
              <w:rPr>
                <w:rFonts w:cs="Arial"/>
                <w:color w:val="auto"/>
                <w:sz w:val="20"/>
                <w:szCs w:val="20"/>
              </w:rPr>
              <w:t>6</w:t>
            </w:r>
            <w:r w:rsidRPr="001C23B4">
              <w:rPr>
                <w:rFonts w:cs="Arial"/>
                <w:color w:val="auto"/>
                <w:sz w:val="20"/>
                <w:szCs w:val="20"/>
              </w:rPr>
              <w:t>/1</w:t>
            </w:r>
            <w:r w:rsidR="001C23B4">
              <w:rPr>
                <w:rFonts w:cs="Arial"/>
                <w:color w:val="auto"/>
                <w:sz w:val="20"/>
                <w:szCs w:val="20"/>
              </w:rPr>
              <w:t>7</w:t>
            </w:r>
            <w:r w:rsidR="001C23B4" w:rsidRPr="001C23B4">
              <w:rPr>
                <w:rFonts w:cs="Arial"/>
                <w:color w:val="auto"/>
                <w:sz w:val="20"/>
                <w:szCs w:val="20"/>
              </w:rPr>
              <w:t>)</w:t>
            </w:r>
          </w:p>
          <w:p w:rsidR="00827092" w:rsidRPr="00AE225F" w:rsidRDefault="00827092" w:rsidP="00AE225F">
            <w:pPr>
              <w:pStyle w:val="BodyText"/>
              <w:widowControl w:val="0"/>
              <w:jc w:val="center"/>
              <w:rPr>
                <w:rFonts w:cs="Arial"/>
                <w:color w:val="auto"/>
                <w:sz w:val="20"/>
                <w:szCs w:val="20"/>
              </w:rPr>
            </w:pPr>
            <w:r w:rsidRPr="00AE225F">
              <w:rPr>
                <w:rFonts w:cs="Arial"/>
                <w:color w:val="auto"/>
                <w:sz w:val="20"/>
                <w:szCs w:val="20"/>
              </w:rPr>
              <w:t>In 201</w:t>
            </w:r>
            <w:r w:rsidR="00AE225F" w:rsidRPr="00AE225F">
              <w:rPr>
                <w:rFonts w:cs="Arial"/>
                <w:color w:val="auto"/>
                <w:sz w:val="20"/>
                <w:szCs w:val="20"/>
              </w:rPr>
              <w:t>7</w:t>
            </w:r>
            <w:r w:rsidRPr="00AE225F">
              <w:rPr>
                <w:rFonts w:cs="Arial"/>
                <w:color w:val="auto"/>
                <w:sz w:val="20"/>
                <w:szCs w:val="20"/>
              </w:rPr>
              <w:t>/1</w:t>
            </w:r>
            <w:r w:rsidR="00AE225F" w:rsidRPr="00AE225F">
              <w:rPr>
                <w:rFonts w:cs="Arial"/>
                <w:color w:val="auto"/>
                <w:sz w:val="20"/>
                <w:szCs w:val="20"/>
              </w:rPr>
              <w:t>8</w:t>
            </w:r>
            <w:r w:rsidRPr="00AE225F">
              <w:rPr>
                <w:rFonts w:cs="Arial"/>
                <w:color w:val="auto"/>
                <w:sz w:val="20"/>
                <w:szCs w:val="20"/>
              </w:rPr>
              <w:t xml:space="preserve"> </w:t>
            </w:r>
            <w:r w:rsidRPr="00AE225F">
              <w:rPr>
                <w:color w:val="auto"/>
                <w:sz w:val="20"/>
                <w:szCs w:val="20"/>
                <w:lang w:eastAsia="en-GB"/>
              </w:rPr>
              <w:t>£7.5m was paid in advance to TOR2 for 201</w:t>
            </w:r>
            <w:r w:rsidR="00AE225F" w:rsidRPr="00AE225F">
              <w:rPr>
                <w:color w:val="auto"/>
                <w:sz w:val="20"/>
                <w:szCs w:val="20"/>
                <w:lang w:eastAsia="en-GB"/>
              </w:rPr>
              <w:t>8</w:t>
            </w:r>
            <w:r w:rsidRPr="00AE225F">
              <w:rPr>
                <w:color w:val="auto"/>
                <w:sz w:val="20"/>
                <w:szCs w:val="20"/>
                <w:lang w:eastAsia="en-GB"/>
              </w:rPr>
              <w:t>/1</w:t>
            </w:r>
            <w:r w:rsidR="00AE225F" w:rsidRPr="00AE225F">
              <w:rPr>
                <w:color w:val="auto"/>
                <w:sz w:val="20"/>
                <w:szCs w:val="20"/>
                <w:lang w:eastAsia="en-GB"/>
              </w:rPr>
              <w:t>9</w:t>
            </w:r>
            <w:r w:rsidRPr="00AE225F">
              <w:rPr>
                <w:color w:val="auto"/>
                <w:sz w:val="20"/>
                <w:szCs w:val="20"/>
                <w:lang w:eastAsia="en-GB"/>
              </w:rPr>
              <w:t xml:space="preserve"> fees.</w:t>
            </w:r>
          </w:p>
        </w:tc>
        <w:tc>
          <w:tcPr>
            <w:tcW w:w="1417" w:type="dxa"/>
          </w:tcPr>
          <w:p w:rsidR="00827092" w:rsidRPr="00AE225F" w:rsidRDefault="0082709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AE225F">
              <w:rPr>
                <w:rFonts w:cs="Arial"/>
                <w:color w:val="auto"/>
                <w:sz w:val="20"/>
                <w:szCs w:val="20"/>
              </w:rPr>
              <w:t>Associate</w:t>
            </w:r>
          </w:p>
        </w:tc>
        <w:tc>
          <w:tcPr>
            <w:cnfStyle w:val="000100000000" w:firstRow="0" w:lastRow="0" w:firstColumn="0" w:lastColumn="1" w:oddVBand="0" w:evenVBand="0" w:oddHBand="0" w:evenHBand="0" w:firstRowFirstColumn="0" w:firstRowLastColumn="0" w:lastRowFirstColumn="0" w:lastRowLastColumn="0"/>
            <w:tcW w:w="4820" w:type="dxa"/>
          </w:tcPr>
          <w:p w:rsidR="00827092" w:rsidRPr="00AE225F" w:rsidRDefault="00827092" w:rsidP="00827092">
            <w:pPr>
              <w:pStyle w:val="BodyText"/>
              <w:widowControl w:val="0"/>
              <w:rPr>
                <w:rFonts w:cs="Arial"/>
                <w:b w:val="0"/>
                <w:color w:val="auto"/>
                <w:sz w:val="20"/>
                <w:szCs w:val="20"/>
              </w:rPr>
            </w:pPr>
            <w:r w:rsidRPr="00AE225F">
              <w:rPr>
                <w:rFonts w:cs="Arial"/>
                <w:b w:val="0"/>
                <w:color w:val="auto"/>
                <w:sz w:val="20"/>
                <w:szCs w:val="20"/>
              </w:rPr>
              <w:t>Shareholding /Control: 19.99%</w:t>
            </w:r>
          </w:p>
          <w:p w:rsidR="00827092" w:rsidRPr="00AE225F" w:rsidRDefault="00827092" w:rsidP="00827092">
            <w:pPr>
              <w:pStyle w:val="BodyText"/>
              <w:widowControl w:val="0"/>
              <w:rPr>
                <w:rFonts w:cs="Arial"/>
                <w:b w:val="0"/>
                <w:color w:val="auto"/>
                <w:sz w:val="20"/>
                <w:szCs w:val="20"/>
              </w:rPr>
            </w:pPr>
            <w:r w:rsidRPr="00AE225F">
              <w:rPr>
                <w:rFonts w:cs="Arial"/>
                <w:b w:val="0"/>
                <w:color w:val="auto"/>
                <w:sz w:val="20"/>
                <w:szCs w:val="20"/>
              </w:rPr>
              <w:t>Members of Torbay Council that are Directors of this Company are as follows:-</w:t>
            </w:r>
          </w:p>
          <w:p w:rsidR="00827092" w:rsidRPr="00AE225F" w:rsidRDefault="00827092" w:rsidP="00827092">
            <w:pPr>
              <w:pStyle w:val="BodyText"/>
              <w:widowControl w:val="0"/>
              <w:rPr>
                <w:rFonts w:cs="Arial"/>
                <w:b w:val="0"/>
                <w:color w:val="auto"/>
                <w:sz w:val="20"/>
                <w:szCs w:val="20"/>
              </w:rPr>
            </w:pPr>
            <w:r w:rsidRPr="00AE225F">
              <w:rPr>
                <w:rFonts w:cs="Arial"/>
                <w:b w:val="0"/>
                <w:color w:val="auto"/>
                <w:sz w:val="20"/>
                <w:szCs w:val="20"/>
              </w:rPr>
              <w:t>Cllr Neil Bent</w:t>
            </w:r>
          </w:p>
          <w:p w:rsidR="00827092" w:rsidRPr="00AE225F" w:rsidRDefault="00827092" w:rsidP="00827092">
            <w:pPr>
              <w:pStyle w:val="BodyText"/>
              <w:rPr>
                <w:rFonts w:cs="Arial"/>
                <w:b w:val="0"/>
                <w:color w:val="auto"/>
                <w:sz w:val="20"/>
                <w:szCs w:val="20"/>
              </w:rPr>
            </w:pPr>
            <w:r w:rsidRPr="00AE225F">
              <w:rPr>
                <w:rFonts w:cs="Arial"/>
                <w:b w:val="0"/>
                <w:color w:val="auto"/>
                <w:sz w:val="20"/>
                <w:szCs w:val="20"/>
              </w:rPr>
              <w:t xml:space="preserve"> </w:t>
            </w:r>
          </w:p>
        </w:tc>
      </w:tr>
      <w:tr w:rsidR="00827092" w:rsidRPr="0005794A" w:rsidTr="00827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27092" w:rsidRPr="00AE225F" w:rsidRDefault="00827092" w:rsidP="00827092">
            <w:pPr>
              <w:pStyle w:val="BodyText"/>
              <w:widowControl w:val="0"/>
              <w:jc w:val="center"/>
              <w:rPr>
                <w:rFonts w:cs="Arial"/>
                <w:b w:val="0"/>
                <w:color w:val="auto"/>
                <w:sz w:val="20"/>
                <w:szCs w:val="20"/>
              </w:rPr>
            </w:pPr>
            <w:r w:rsidRPr="00AE225F">
              <w:rPr>
                <w:rFonts w:cs="Arial"/>
                <w:b w:val="0"/>
                <w:color w:val="auto"/>
                <w:sz w:val="20"/>
                <w:szCs w:val="20"/>
              </w:rPr>
              <w:t>CSW Group Ltd (formally Careers South West Ltd)</w:t>
            </w:r>
          </w:p>
          <w:p w:rsidR="00827092" w:rsidRPr="00AE225F" w:rsidRDefault="00827092" w:rsidP="00827092">
            <w:pPr>
              <w:pStyle w:val="BodyText"/>
              <w:widowControl w:val="0"/>
              <w:jc w:val="center"/>
              <w:rPr>
                <w:rFonts w:cs="Arial"/>
                <w:b w:val="0"/>
                <w:color w:val="auto"/>
                <w:sz w:val="20"/>
                <w:szCs w:val="20"/>
              </w:rPr>
            </w:pPr>
            <w:r w:rsidRPr="00AE225F">
              <w:rPr>
                <w:rFonts w:cs="Arial"/>
                <w:b w:val="0"/>
                <w:color w:val="auto"/>
                <w:sz w:val="20"/>
                <w:szCs w:val="20"/>
              </w:rPr>
              <w:t>3029947</w:t>
            </w:r>
          </w:p>
          <w:p w:rsidR="00827092" w:rsidRPr="00AE225F" w:rsidRDefault="00827092" w:rsidP="00827092">
            <w:pPr>
              <w:pStyle w:val="BodyText"/>
              <w:widowControl w:val="0"/>
              <w:jc w:val="center"/>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Pr>
          <w:p w:rsidR="00827092" w:rsidRPr="00AE225F" w:rsidRDefault="00827092" w:rsidP="00827092">
            <w:pPr>
              <w:pStyle w:val="BodyText"/>
              <w:widowControl w:val="0"/>
              <w:jc w:val="center"/>
              <w:rPr>
                <w:rFonts w:cs="Arial"/>
                <w:color w:val="auto"/>
                <w:sz w:val="20"/>
                <w:szCs w:val="20"/>
              </w:rPr>
            </w:pPr>
            <w:r w:rsidRPr="00AE225F">
              <w:rPr>
                <w:rFonts w:cs="Arial"/>
                <w:color w:val="auto"/>
                <w:sz w:val="20"/>
                <w:szCs w:val="20"/>
              </w:rPr>
              <w:t>Local Authority Controlled Company Limited by Guarantee and not having a share capital</w:t>
            </w:r>
          </w:p>
        </w:tc>
        <w:tc>
          <w:tcPr>
            <w:tcW w:w="1701" w:type="dxa"/>
          </w:tcPr>
          <w:p w:rsidR="00827092" w:rsidRPr="00AE225F"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E225F">
              <w:rPr>
                <w:rFonts w:cs="Arial"/>
                <w:color w:val="auto"/>
                <w:sz w:val="20"/>
                <w:szCs w:val="20"/>
              </w:rPr>
              <w:t>1</w:t>
            </w:r>
            <w:r w:rsidRPr="00AE225F">
              <w:rPr>
                <w:rFonts w:cs="Arial"/>
                <w:color w:val="auto"/>
                <w:sz w:val="20"/>
                <w:szCs w:val="20"/>
                <w:vertAlign w:val="superscript"/>
              </w:rPr>
              <w:t>st</w:t>
            </w:r>
            <w:r w:rsidRPr="00AE225F">
              <w:rPr>
                <w:rFonts w:cs="Arial"/>
                <w:color w:val="auto"/>
                <w:sz w:val="20"/>
                <w:szCs w:val="20"/>
              </w:rPr>
              <w:t xml:space="preserve"> April 2008 formerly Connexions Cornwall &amp; Devon Ltd</w:t>
            </w:r>
          </w:p>
        </w:tc>
        <w:tc>
          <w:tcPr>
            <w:cnfStyle w:val="000010000000" w:firstRow="0" w:lastRow="0" w:firstColumn="0" w:lastColumn="0" w:oddVBand="1" w:evenVBand="0" w:oddHBand="0" w:evenHBand="0" w:firstRowFirstColumn="0" w:firstRowLastColumn="0" w:lastRowFirstColumn="0" w:lastRowLastColumn="0"/>
            <w:tcW w:w="3969" w:type="dxa"/>
          </w:tcPr>
          <w:p w:rsidR="00827092" w:rsidRPr="00AE225F" w:rsidRDefault="00827092" w:rsidP="00827092">
            <w:pPr>
              <w:pStyle w:val="BodyText"/>
              <w:widowControl w:val="0"/>
              <w:jc w:val="center"/>
              <w:rPr>
                <w:rFonts w:cs="Arial"/>
                <w:color w:val="auto"/>
                <w:sz w:val="20"/>
                <w:szCs w:val="20"/>
              </w:rPr>
            </w:pPr>
            <w:r w:rsidRPr="00AE225F">
              <w:rPr>
                <w:rFonts w:cs="Arial"/>
                <w:color w:val="auto"/>
                <w:sz w:val="20"/>
                <w:szCs w:val="20"/>
              </w:rPr>
              <w:t>To develop, co-ordinate, operate and ensure provision of support services for young people and provide careers advice, information and guidance to people of all ages.</w:t>
            </w:r>
          </w:p>
          <w:p w:rsidR="00827092" w:rsidRPr="00AE225F" w:rsidRDefault="00827092" w:rsidP="00AE225F">
            <w:pPr>
              <w:pStyle w:val="BodyText"/>
              <w:widowControl w:val="0"/>
              <w:jc w:val="center"/>
              <w:rPr>
                <w:rFonts w:cs="Arial"/>
                <w:color w:val="auto"/>
                <w:sz w:val="20"/>
                <w:szCs w:val="20"/>
              </w:rPr>
            </w:pPr>
            <w:r w:rsidRPr="00AE225F">
              <w:rPr>
                <w:rFonts w:cs="Arial"/>
                <w:color w:val="auto"/>
                <w:sz w:val="20"/>
                <w:szCs w:val="20"/>
              </w:rPr>
              <w:t>In 1</w:t>
            </w:r>
            <w:r w:rsidR="00AE225F" w:rsidRPr="00AE225F">
              <w:rPr>
                <w:rFonts w:cs="Arial"/>
                <w:color w:val="auto"/>
                <w:sz w:val="20"/>
                <w:szCs w:val="20"/>
              </w:rPr>
              <w:t>7</w:t>
            </w:r>
            <w:r w:rsidRPr="00AE225F">
              <w:rPr>
                <w:rFonts w:cs="Arial"/>
                <w:color w:val="auto"/>
                <w:sz w:val="20"/>
                <w:szCs w:val="20"/>
              </w:rPr>
              <w:t>/1</w:t>
            </w:r>
            <w:r w:rsidR="00AE225F" w:rsidRPr="00AE225F">
              <w:rPr>
                <w:rFonts w:cs="Arial"/>
                <w:color w:val="auto"/>
                <w:sz w:val="20"/>
                <w:szCs w:val="20"/>
              </w:rPr>
              <w:t>8</w:t>
            </w:r>
            <w:r w:rsidRPr="00AE225F">
              <w:rPr>
                <w:rFonts w:cs="Arial"/>
                <w:color w:val="auto"/>
                <w:sz w:val="20"/>
                <w:szCs w:val="20"/>
              </w:rPr>
              <w:t xml:space="preserve"> Council funded a £0.3m (£0.</w:t>
            </w:r>
            <w:r w:rsidR="00AE225F" w:rsidRPr="00AE225F">
              <w:rPr>
                <w:rFonts w:cs="Arial"/>
                <w:color w:val="auto"/>
                <w:sz w:val="20"/>
                <w:szCs w:val="20"/>
              </w:rPr>
              <w:t>3</w:t>
            </w:r>
            <w:r w:rsidRPr="00AE225F">
              <w:rPr>
                <w:rFonts w:cs="Arial"/>
                <w:color w:val="auto"/>
                <w:sz w:val="20"/>
                <w:szCs w:val="20"/>
              </w:rPr>
              <w:t>m 1</w:t>
            </w:r>
            <w:r w:rsidR="00AE225F" w:rsidRPr="00AE225F">
              <w:rPr>
                <w:rFonts w:cs="Arial"/>
                <w:color w:val="auto"/>
                <w:sz w:val="20"/>
                <w:szCs w:val="20"/>
              </w:rPr>
              <w:t>6</w:t>
            </w:r>
            <w:r w:rsidRPr="00AE225F">
              <w:rPr>
                <w:rFonts w:cs="Arial"/>
                <w:color w:val="auto"/>
                <w:sz w:val="20"/>
                <w:szCs w:val="20"/>
              </w:rPr>
              <w:t>/1</w:t>
            </w:r>
            <w:r w:rsidR="00AE225F" w:rsidRPr="00AE225F">
              <w:rPr>
                <w:rFonts w:cs="Arial"/>
                <w:color w:val="auto"/>
                <w:sz w:val="20"/>
                <w:szCs w:val="20"/>
              </w:rPr>
              <w:t>7</w:t>
            </w:r>
            <w:r w:rsidRPr="00AE225F">
              <w:rPr>
                <w:rFonts w:cs="Arial"/>
                <w:color w:val="auto"/>
                <w:sz w:val="20"/>
                <w:szCs w:val="20"/>
              </w:rPr>
              <w:t>) payment</w:t>
            </w:r>
          </w:p>
        </w:tc>
        <w:tc>
          <w:tcPr>
            <w:tcW w:w="1417" w:type="dxa"/>
          </w:tcPr>
          <w:p w:rsidR="00827092" w:rsidRPr="00AE225F" w:rsidRDefault="00827092"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E225F">
              <w:rPr>
                <w:rFonts w:cs="Arial"/>
                <w:color w:val="auto"/>
                <w:sz w:val="20"/>
                <w:szCs w:val="20"/>
              </w:rPr>
              <w:t>Associate</w:t>
            </w:r>
          </w:p>
        </w:tc>
        <w:tc>
          <w:tcPr>
            <w:cnfStyle w:val="000100000000" w:firstRow="0" w:lastRow="0" w:firstColumn="0" w:lastColumn="1" w:oddVBand="0" w:evenVBand="0" w:oddHBand="0" w:evenHBand="0" w:firstRowFirstColumn="0" w:firstRowLastColumn="0" w:lastRowFirstColumn="0" w:lastRowLastColumn="0"/>
            <w:tcW w:w="4820" w:type="dxa"/>
          </w:tcPr>
          <w:p w:rsidR="00827092" w:rsidRPr="00AE225F" w:rsidRDefault="00827092" w:rsidP="00827092">
            <w:pPr>
              <w:pStyle w:val="BodyText"/>
              <w:widowControl w:val="0"/>
              <w:rPr>
                <w:rFonts w:cs="Arial"/>
                <w:b w:val="0"/>
                <w:color w:val="auto"/>
                <w:sz w:val="20"/>
                <w:szCs w:val="20"/>
              </w:rPr>
            </w:pPr>
            <w:r w:rsidRPr="00AE225F">
              <w:rPr>
                <w:rFonts w:cs="Arial"/>
                <w:b w:val="0"/>
                <w:color w:val="auto"/>
                <w:sz w:val="20"/>
                <w:szCs w:val="20"/>
              </w:rPr>
              <w:t>Shareholding /Control: 25%</w:t>
            </w:r>
          </w:p>
          <w:p w:rsidR="00827092" w:rsidRPr="00AE225F" w:rsidRDefault="00827092" w:rsidP="00827092">
            <w:pPr>
              <w:pStyle w:val="BodyText"/>
              <w:widowControl w:val="0"/>
              <w:rPr>
                <w:rFonts w:cs="Arial"/>
                <w:b w:val="0"/>
                <w:color w:val="auto"/>
                <w:sz w:val="20"/>
                <w:szCs w:val="20"/>
              </w:rPr>
            </w:pPr>
            <w:r w:rsidRPr="00AE225F">
              <w:rPr>
                <w:rFonts w:cs="Arial"/>
                <w:b w:val="0"/>
                <w:color w:val="auto"/>
                <w:sz w:val="20"/>
                <w:szCs w:val="20"/>
              </w:rPr>
              <w:t>A list of directors is ava</w:t>
            </w:r>
            <w:r w:rsidR="00AE225F" w:rsidRPr="00AE225F">
              <w:rPr>
                <w:rFonts w:cs="Arial"/>
                <w:b w:val="0"/>
                <w:color w:val="auto"/>
                <w:sz w:val="20"/>
                <w:szCs w:val="20"/>
              </w:rPr>
              <w:t>ilable on the CSW group website.</w:t>
            </w:r>
          </w:p>
          <w:p w:rsidR="00827092" w:rsidRPr="00AE225F" w:rsidRDefault="00827092" w:rsidP="00AE225F">
            <w:pPr>
              <w:pStyle w:val="BodyText"/>
              <w:widowControl w:val="0"/>
              <w:rPr>
                <w:rFonts w:cs="Arial"/>
                <w:b w:val="0"/>
                <w:color w:val="auto"/>
                <w:sz w:val="20"/>
                <w:szCs w:val="20"/>
              </w:rPr>
            </w:pPr>
          </w:p>
        </w:tc>
      </w:tr>
      <w:tr w:rsidR="00827092" w:rsidRPr="0005794A" w:rsidTr="008C6A28">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4BACC6" w:themeColor="accent5"/>
              <w:bottom w:val="single" w:sz="4" w:space="0" w:color="4BACC6" w:themeColor="accent5"/>
            </w:tcBorders>
          </w:tcPr>
          <w:p w:rsidR="00827092" w:rsidRPr="008C6A28" w:rsidRDefault="00827092" w:rsidP="00827092">
            <w:pPr>
              <w:pStyle w:val="BodyText"/>
              <w:widowControl w:val="0"/>
              <w:jc w:val="center"/>
              <w:rPr>
                <w:rFonts w:cs="Arial"/>
                <w:b w:val="0"/>
                <w:color w:val="auto"/>
                <w:sz w:val="20"/>
                <w:szCs w:val="20"/>
              </w:rPr>
            </w:pPr>
            <w:r w:rsidRPr="008C6A28">
              <w:rPr>
                <w:rFonts w:cs="Arial"/>
                <w:b w:val="0"/>
                <w:color w:val="auto"/>
                <w:sz w:val="20"/>
                <w:szCs w:val="20"/>
              </w:rPr>
              <w:lastRenderedPageBreak/>
              <w:t>Torbay Public Services Trust</w:t>
            </w:r>
          </w:p>
          <w:p w:rsidR="00827092" w:rsidRPr="008C6A28" w:rsidRDefault="00827092" w:rsidP="00827092">
            <w:pPr>
              <w:pStyle w:val="BodyText"/>
              <w:widowControl w:val="0"/>
              <w:jc w:val="center"/>
              <w:rPr>
                <w:rFonts w:cs="Arial"/>
                <w:b w:val="0"/>
                <w:color w:val="auto"/>
                <w:sz w:val="20"/>
                <w:szCs w:val="20"/>
              </w:rPr>
            </w:pPr>
            <w:r w:rsidRPr="008C6A28">
              <w:rPr>
                <w:rFonts w:cs="Arial"/>
                <w:b w:val="0"/>
                <w:color w:val="auto"/>
                <w:sz w:val="20"/>
                <w:szCs w:val="20"/>
              </w:rPr>
              <w:t>09943577</w:t>
            </w:r>
          </w:p>
          <w:p w:rsidR="00827092" w:rsidRPr="008C6A28" w:rsidRDefault="00827092" w:rsidP="00827092">
            <w:pPr>
              <w:pStyle w:val="BodyText"/>
              <w:widowControl w:val="0"/>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top w:val="single" w:sz="4" w:space="0" w:color="4BACC6" w:themeColor="accent5"/>
              <w:bottom w:val="single" w:sz="4" w:space="0" w:color="4BACC6" w:themeColor="accent5"/>
            </w:tcBorders>
          </w:tcPr>
          <w:p w:rsidR="00827092" w:rsidRPr="008C6A28" w:rsidRDefault="00827092" w:rsidP="00827092">
            <w:pPr>
              <w:pStyle w:val="BodyText"/>
              <w:widowControl w:val="0"/>
              <w:jc w:val="center"/>
              <w:rPr>
                <w:rFonts w:cs="Arial"/>
                <w:color w:val="auto"/>
                <w:sz w:val="20"/>
                <w:szCs w:val="20"/>
              </w:rPr>
            </w:pPr>
            <w:r w:rsidRPr="008C6A28">
              <w:rPr>
                <w:rFonts w:cs="Arial"/>
                <w:color w:val="auto"/>
                <w:sz w:val="20"/>
                <w:szCs w:val="20"/>
              </w:rPr>
              <w:t>Company Limited by Guarantee and not having a share capital</w:t>
            </w:r>
          </w:p>
        </w:tc>
        <w:tc>
          <w:tcPr>
            <w:tcW w:w="1701" w:type="dxa"/>
            <w:tcBorders>
              <w:top w:val="single" w:sz="4" w:space="0" w:color="4BACC6" w:themeColor="accent5"/>
              <w:bottom w:val="single" w:sz="4" w:space="0" w:color="4BACC6" w:themeColor="accent5"/>
            </w:tcBorders>
          </w:tcPr>
          <w:p w:rsidR="00827092" w:rsidRPr="008C6A28" w:rsidRDefault="0082709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8C6A28">
              <w:rPr>
                <w:rFonts w:cs="Arial"/>
                <w:color w:val="auto"/>
                <w:sz w:val="20"/>
                <w:szCs w:val="20"/>
              </w:rPr>
              <w:t>Not trading in 201</w:t>
            </w:r>
            <w:r w:rsidR="008C6A28" w:rsidRPr="008C6A28">
              <w:rPr>
                <w:rFonts w:cs="Arial"/>
                <w:color w:val="auto"/>
                <w:sz w:val="20"/>
                <w:szCs w:val="20"/>
              </w:rPr>
              <w:t>7</w:t>
            </w:r>
            <w:r w:rsidRPr="008C6A28">
              <w:rPr>
                <w:rFonts w:cs="Arial"/>
                <w:color w:val="auto"/>
                <w:sz w:val="20"/>
                <w:szCs w:val="20"/>
              </w:rPr>
              <w:t>/1</w:t>
            </w:r>
            <w:r w:rsidR="008C6A28" w:rsidRPr="008C6A28">
              <w:rPr>
                <w:rFonts w:cs="Arial"/>
                <w:color w:val="auto"/>
                <w:sz w:val="20"/>
                <w:szCs w:val="20"/>
              </w:rPr>
              <w:t>8</w:t>
            </w:r>
          </w:p>
          <w:p w:rsidR="00827092" w:rsidRPr="008C6A28" w:rsidRDefault="0082709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Borders>
              <w:top w:val="single" w:sz="4" w:space="0" w:color="4BACC6" w:themeColor="accent5"/>
              <w:bottom w:val="single" w:sz="4" w:space="0" w:color="4BACC6" w:themeColor="accent5"/>
            </w:tcBorders>
          </w:tcPr>
          <w:p w:rsidR="00827092" w:rsidRPr="008C6A28" w:rsidRDefault="00827092" w:rsidP="00827092">
            <w:pPr>
              <w:autoSpaceDE w:val="0"/>
              <w:autoSpaceDN w:val="0"/>
              <w:adjustRightInd w:val="0"/>
              <w:spacing w:after="0" w:line="240" w:lineRule="auto"/>
              <w:jc w:val="center"/>
              <w:rPr>
                <w:rFonts w:cs="Arial"/>
                <w:bCs/>
                <w:color w:val="auto"/>
                <w:sz w:val="20"/>
                <w:szCs w:val="20"/>
              </w:rPr>
            </w:pPr>
            <w:r w:rsidRPr="008C6A28">
              <w:rPr>
                <w:rFonts w:cs="Arial"/>
                <w:bCs/>
                <w:color w:val="auto"/>
                <w:sz w:val="20"/>
                <w:szCs w:val="20"/>
              </w:rPr>
              <w:t>To provide a single co-ordinated local offer of help and support</w:t>
            </w:r>
          </w:p>
          <w:p w:rsidR="00827092" w:rsidRPr="008C6A28" w:rsidRDefault="00827092" w:rsidP="00827092">
            <w:pPr>
              <w:autoSpaceDE w:val="0"/>
              <w:autoSpaceDN w:val="0"/>
              <w:adjustRightInd w:val="0"/>
              <w:spacing w:after="0" w:line="240" w:lineRule="auto"/>
              <w:jc w:val="center"/>
              <w:rPr>
                <w:rFonts w:cs="Arial"/>
                <w:bCs/>
                <w:color w:val="auto"/>
                <w:sz w:val="20"/>
                <w:szCs w:val="20"/>
              </w:rPr>
            </w:pPr>
            <w:r w:rsidRPr="008C6A28">
              <w:rPr>
                <w:rFonts w:cs="Arial"/>
                <w:bCs/>
                <w:color w:val="auto"/>
                <w:sz w:val="20"/>
                <w:szCs w:val="20"/>
              </w:rPr>
              <w:t>for children and families in Torbay using the shared skills and assets of the Members to improve</w:t>
            </w:r>
          </w:p>
          <w:p w:rsidR="00827092" w:rsidRPr="008C6A28" w:rsidRDefault="00827092" w:rsidP="00827092">
            <w:pPr>
              <w:pStyle w:val="BodyText"/>
              <w:widowControl w:val="0"/>
              <w:jc w:val="center"/>
              <w:rPr>
                <w:rFonts w:cs="Arial"/>
                <w:color w:val="auto"/>
                <w:sz w:val="20"/>
                <w:szCs w:val="20"/>
              </w:rPr>
            </w:pPr>
            <w:proofErr w:type="gramStart"/>
            <w:r w:rsidRPr="008C6A28">
              <w:rPr>
                <w:rFonts w:cs="Arial"/>
                <w:bCs/>
                <w:color w:val="auto"/>
                <w:sz w:val="20"/>
                <w:szCs w:val="20"/>
              </w:rPr>
              <w:t>their</w:t>
            </w:r>
            <w:proofErr w:type="gramEnd"/>
            <w:r w:rsidRPr="008C6A28">
              <w:rPr>
                <w:rFonts w:cs="Arial"/>
                <w:bCs/>
                <w:color w:val="auto"/>
                <w:sz w:val="20"/>
                <w:szCs w:val="20"/>
              </w:rPr>
              <w:t xml:space="preserve"> outcomes.</w:t>
            </w:r>
          </w:p>
        </w:tc>
        <w:tc>
          <w:tcPr>
            <w:tcW w:w="1417" w:type="dxa"/>
            <w:tcBorders>
              <w:top w:val="single" w:sz="4" w:space="0" w:color="4BACC6" w:themeColor="accent5"/>
              <w:bottom w:val="single" w:sz="4" w:space="0" w:color="4BACC6" w:themeColor="accent5"/>
            </w:tcBorders>
          </w:tcPr>
          <w:p w:rsidR="00827092" w:rsidRPr="008C6A28" w:rsidRDefault="00827092"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8C6A28">
              <w:rPr>
                <w:rFonts w:cs="Arial"/>
                <w:color w:val="auto"/>
                <w:sz w:val="20"/>
                <w:szCs w:val="20"/>
              </w:rPr>
              <w:t>Member</w:t>
            </w:r>
          </w:p>
        </w:tc>
        <w:tc>
          <w:tcPr>
            <w:cnfStyle w:val="000100000000" w:firstRow="0" w:lastRow="0" w:firstColumn="0" w:lastColumn="1" w:oddVBand="0" w:evenVBand="0" w:oddHBand="0" w:evenHBand="0" w:firstRowFirstColumn="0" w:firstRowLastColumn="0" w:lastRowFirstColumn="0" w:lastRowLastColumn="0"/>
            <w:tcW w:w="4820" w:type="dxa"/>
            <w:tcBorders>
              <w:top w:val="single" w:sz="4" w:space="0" w:color="4BACC6" w:themeColor="accent5"/>
              <w:bottom w:val="single" w:sz="4" w:space="0" w:color="4BACC6" w:themeColor="accent5"/>
            </w:tcBorders>
          </w:tcPr>
          <w:p w:rsidR="00827092" w:rsidRPr="008C6A28" w:rsidRDefault="00827092" w:rsidP="00827092">
            <w:pPr>
              <w:autoSpaceDE w:val="0"/>
              <w:autoSpaceDN w:val="0"/>
              <w:adjustRightInd w:val="0"/>
              <w:spacing w:after="0" w:line="240" w:lineRule="auto"/>
              <w:rPr>
                <w:rFonts w:cs="Arial"/>
                <w:b w:val="0"/>
                <w:bCs w:val="0"/>
                <w:color w:val="auto"/>
                <w:sz w:val="18"/>
                <w:szCs w:val="20"/>
              </w:rPr>
            </w:pPr>
            <w:r w:rsidRPr="008C6A28">
              <w:rPr>
                <w:rFonts w:cs="Arial"/>
                <w:b w:val="0"/>
                <w:bCs w:val="0"/>
                <w:color w:val="auto"/>
                <w:sz w:val="18"/>
                <w:szCs w:val="20"/>
              </w:rPr>
              <w:t>One of six equal Members, 16.7% share.</w:t>
            </w:r>
          </w:p>
          <w:p w:rsidR="00827092" w:rsidRPr="008C6A28" w:rsidRDefault="00827092" w:rsidP="00827092">
            <w:pPr>
              <w:autoSpaceDE w:val="0"/>
              <w:autoSpaceDN w:val="0"/>
              <w:adjustRightInd w:val="0"/>
              <w:spacing w:after="0" w:line="240" w:lineRule="auto"/>
              <w:rPr>
                <w:rFonts w:cs="Arial"/>
                <w:b w:val="0"/>
                <w:bCs w:val="0"/>
                <w:color w:val="auto"/>
                <w:sz w:val="18"/>
                <w:szCs w:val="20"/>
              </w:rPr>
            </w:pPr>
            <w:r w:rsidRPr="008C6A28">
              <w:rPr>
                <w:rFonts w:cs="Arial"/>
                <w:b w:val="0"/>
                <w:bCs w:val="0"/>
                <w:color w:val="auto"/>
                <w:sz w:val="18"/>
                <w:szCs w:val="20"/>
              </w:rPr>
              <w:t>Devon &amp; Cornwall Police</w:t>
            </w:r>
          </w:p>
          <w:p w:rsidR="00827092" w:rsidRPr="008C6A28" w:rsidRDefault="00827092" w:rsidP="00827092">
            <w:pPr>
              <w:autoSpaceDE w:val="0"/>
              <w:autoSpaceDN w:val="0"/>
              <w:adjustRightInd w:val="0"/>
              <w:spacing w:after="0" w:line="240" w:lineRule="auto"/>
              <w:rPr>
                <w:rFonts w:cs="Arial"/>
                <w:b w:val="0"/>
                <w:bCs w:val="0"/>
                <w:color w:val="auto"/>
                <w:sz w:val="18"/>
                <w:szCs w:val="20"/>
              </w:rPr>
            </w:pPr>
            <w:r w:rsidRPr="008C6A28">
              <w:rPr>
                <w:rFonts w:cs="Arial"/>
                <w:b w:val="0"/>
                <w:bCs w:val="0"/>
                <w:color w:val="auto"/>
                <w:sz w:val="18"/>
                <w:szCs w:val="20"/>
              </w:rPr>
              <w:t>Devon Partnership NHS Trust</w:t>
            </w:r>
          </w:p>
          <w:p w:rsidR="00827092" w:rsidRPr="008C6A28" w:rsidRDefault="00827092" w:rsidP="00827092">
            <w:pPr>
              <w:autoSpaceDE w:val="0"/>
              <w:autoSpaceDN w:val="0"/>
              <w:adjustRightInd w:val="0"/>
              <w:spacing w:after="0" w:line="240" w:lineRule="auto"/>
              <w:rPr>
                <w:rFonts w:cs="Arial"/>
                <w:b w:val="0"/>
                <w:bCs w:val="0"/>
                <w:color w:val="auto"/>
                <w:sz w:val="18"/>
                <w:szCs w:val="20"/>
              </w:rPr>
            </w:pPr>
            <w:r w:rsidRPr="008C6A28">
              <w:rPr>
                <w:rFonts w:cs="Arial"/>
                <w:b w:val="0"/>
                <w:bCs w:val="0"/>
                <w:color w:val="auto"/>
                <w:sz w:val="18"/>
                <w:szCs w:val="20"/>
              </w:rPr>
              <w:t>Office of the Police and Crime Commissioner</w:t>
            </w:r>
          </w:p>
          <w:p w:rsidR="00827092" w:rsidRPr="008C6A28" w:rsidRDefault="00827092" w:rsidP="00827092">
            <w:pPr>
              <w:autoSpaceDE w:val="0"/>
              <w:autoSpaceDN w:val="0"/>
              <w:adjustRightInd w:val="0"/>
              <w:spacing w:after="0" w:line="240" w:lineRule="auto"/>
              <w:rPr>
                <w:rFonts w:cs="Arial"/>
                <w:b w:val="0"/>
                <w:bCs w:val="0"/>
                <w:color w:val="auto"/>
                <w:sz w:val="18"/>
                <w:szCs w:val="20"/>
              </w:rPr>
            </w:pPr>
            <w:r w:rsidRPr="008C6A28">
              <w:rPr>
                <w:rFonts w:cs="Arial"/>
                <w:b w:val="0"/>
                <w:bCs w:val="0"/>
                <w:color w:val="auto"/>
                <w:sz w:val="18"/>
                <w:szCs w:val="20"/>
              </w:rPr>
              <w:t>S. Devon &amp; Torbay Clinical Commissioning Group</w:t>
            </w:r>
          </w:p>
          <w:p w:rsidR="00827092" w:rsidRPr="008C6A28" w:rsidRDefault="00827092" w:rsidP="00827092">
            <w:pPr>
              <w:autoSpaceDE w:val="0"/>
              <w:autoSpaceDN w:val="0"/>
              <w:adjustRightInd w:val="0"/>
              <w:spacing w:after="0" w:line="240" w:lineRule="auto"/>
              <w:rPr>
                <w:rFonts w:cs="Arial"/>
                <w:b w:val="0"/>
                <w:bCs w:val="0"/>
                <w:color w:val="auto"/>
                <w:sz w:val="18"/>
                <w:szCs w:val="20"/>
              </w:rPr>
            </w:pPr>
            <w:r w:rsidRPr="008C6A28">
              <w:rPr>
                <w:rFonts w:cs="Arial"/>
                <w:b w:val="0"/>
                <w:bCs w:val="0"/>
                <w:color w:val="auto"/>
                <w:sz w:val="18"/>
                <w:szCs w:val="20"/>
              </w:rPr>
              <w:t>Torbay and South Devon NHS Foundation Trust</w:t>
            </w:r>
          </w:p>
          <w:p w:rsidR="00827092" w:rsidRPr="008C6A28" w:rsidRDefault="00827092" w:rsidP="00827092">
            <w:pPr>
              <w:autoSpaceDE w:val="0"/>
              <w:autoSpaceDN w:val="0"/>
              <w:adjustRightInd w:val="0"/>
              <w:spacing w:after="0" w:line="240" w:lineRule="auto"/>
              <w:rPr>
                <w:rFonts w:cs="Arial"/>
                <w:bCs w:val="0"/>
                <w:color w:val="auto"/>
                <w:sz w:val="20"/>
                <w:szCs w:val="20"/>
              </w:rPr>
            </w:pPr>
            <w:r w:rsidRPr="008C6A28">
              <w:rPr>
                <w:rFonts w:cs="Arial"/>
                <w:b w:val="0"/>
                <w:bCs w:val="0"/>
                <w:color w:val="auto"/>
                <w:sz w:val="18"/>
                <w:szCs w:val="20"/>
              </w:rPr>
              <w:t>Torbay Council</w:t>
            </w:r>
          </w:p>
          <w:p w:rsidR="00827092" w:rsidRPr="008C6A28" w:rsidRDefault="00827092" w:rsidP="00827092">
            <w:pPr>
              <w:autoSpaceDE w:val="0"/>
              <w:autoSpaceDN w:val="0"/>
              <w:adjustRightInd w:val="0"/>
              <w:spacing w:after="0" w:line="240" w:lineRule="auto"/>
              <w:jc w:val="center"/>
              <w:rPr>
                <w:rFonts w:cs="Arial"/>
                <w:b w:val="0"/>
                <w:color w:val="auto"/>
                <w:sz w:val="20"/>
                <w:szCs w:val="20"/>
              </w:rPr>
            </w:pPr>
          </w:p>
        </w:tc>
      </w:tr>
      <w:tr w:rsidR="008C6A28" w:rsidRPr="0005794A" w:rsidTr="008C6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C6A28" w:rsidRPr="00A16E98" w:rsidRDefault="00A16E98" w:rsidP="00A16E98">
            <w:pPr>
              <w:pStyle w:val="BodyText"/>
              <w:widowControl w:val="0"/>
              <w:jc w:val="center"/>
              <w:rPr>
                <w:rFonts w:cs="Arial"/>
                <w:b w:val="0"/>
                <w:color w:val="auto"/>
                <w:sz w:val="20"/>
                <w:szCs w:val="20"/>
              </w:rPr>
            </w:pPr>
            <w:r w:rsidRPr="00A16E98">
              <w:rPr>
                <w:rFonts w:cs="Arial"/>
                <w:b w:val="0"/>
                <w:color w:val="auto"/>
                <w:sz w:val="20"/>
                <w:szCs w:val="20"/>
              </w:rPr>
              <w:t xml:space="preserve">Torbay </w:t>
            </w:r>
            <w:r w:rsidR="008C6A28" w:rsidRPr="00A16E98">
              <w:rPr>
                <w:rFonts w:cs="Arial"/>
                <w:b w:val="0"/>
                <w:color w:val="auto"/>
                <w:sz w:val="20"/>
                <w:szCs w:val="20"/>
              </w:rPr>
              <w:t>H</w:t>
            </w:r>
            <w:r w:rsidRPr="00A16E98">
              <w:rPr>
                <w:rFonts w:cs="Arial"/>
                <w:b w:val="0"/>
                <w:color w:val="auto"/>
                <w:sz w:val="20"/>
                <w:szCs w:val="20"/>
              </w:rPr>
              <w:t>ousing Company Limited</w:t>
            </w:r>
          </w:p>
          <w:p w:rsidR="00A16E98" w:rsidRPr="00A16E98" w:rsidRDefault="00A16E98" w:rsidP="00A16E98">
            <w:pPr>
              <w:pStyle w:val="BodyText"/>
              <w:widowControl w:val="0"/>
              <w:jc w:val="center"/>
              <w:rPr>
                <w:rFonts w:cs="Arial"/>
                <w:b w:val="0"/>
                <w:color w:val="auto"/>
                <w:sz w:val="20"/>
                <w:szCs w:val="20"/>
              </w:rPr>
            </w:pPr>
            <w:r w:rsidRPr="00A16E98">
              <w:rPr>
                <w:rFonts w:cs="Arial"/>
                <w:b w:val="0"/>
                <w:color w:val="auto"/>
                <w:sz w:val="20"/>
                <w:szCs w:val="20"/>
              </w:rPr>
              <w:t>10960992</w:t>
            </w:r>
          </w:p>
        </w:tc>
        <w:tc>
          <w:tcPr>
            <w:cnfStyle w:val="000010000000" w:firstRow="0" w:lastRow="0" w:firstColumn="0" w:lastColumn="0" w:oddVBand="1" w:evenVBand="0" w:oddHBand="0" w:evenHBand="0" w:firstRowFirstColumn="0" w:firstRowLastColumn="0" w:lastRowFirstColumn="0" w:lastRowLastColumn="0"/>
            <w:tcW w:w="1985" w:type="dxa"/>
          </w:tcPr>
          <w:p w:rsidR="008C6A28" w:rsidRPr="0005794A" w:rsidRDefault="00A16E98" w:rsidP="00827092">
            <w:pPr>
              <w:pStyle w:val="BodyText"/>
              <w:widowControl w:val="0"/>
              <w:jc w:val="center"/>
              <w:rPr>
                <w:rFonts w:cs="Arial"/>
                <w:b/>
                <w:color w:val="548DD4" w:themeColor="text2" w:themeTint="99"/>
                <w:sz w:val="20"/>
                <w:szCs w:val="20"/>
              </w:rPr>
            </w:pPr>
            <w:r w:rsidRPr="00AE225F">
              <w:rPr>
                <w:rFonts w:cs="Arial"/>
                <w:color w:val="auto"/>
                <w:sz w:val="20"/>
                <w:szCs w:val="20"/>
              </w:rPr>
              <w:t>Company limited by share</w:t>
            </w:r>
          </w:p>
        </w:tc>
        <w:tc>
          <w:tcPr>
            <w:tcW w:w="1701" w:type="dxa"/>
          </w:tcPr>
          <w:p w:rsidR="0092092B" w:rsidRPr="0092092B" w:rsidRDefault="0092092B" w:rsidP="0092092B">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92092B">
              <w:rPr>
                <w:rFonts w:cs="Arial"/>
                <w:color w:val="auto"/>
                <w:sz w:val="20"/>
                <w:szCs w:val="20"/>
              </w:rPr>
              <w:t>Not trading in 2017/18</w:t>
            </w:r>
          </w:p>
          <w:p w:rsidR="008C6A28" w:rsidRPr="0092092B" w:rsidRDefault="008C6A28"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Pr>
          <w:p w:rsidR="008C6A28" w:rsidRPr="0005794A" w:rsidRDefault="00A16E98" w:rsidP="00827092">
            <w:pPr>
              <w:autoSpaceDE w:val="0"/>
              <w:autoSpaceDN w:val="0"/>
              <w:adjustRightInd w:val="0"/>
              <w:spacing w:after="0" w:line="240" w:lineRule="auto"/>
              <w:jc w:val="center"/>
              <w:rPr>
                <w:rFonts w:cs="Arial"/>
                <w:b/>
                <w:bCs/>
                <w:color w:val="548DD4" w:themeColor="text2" w:themeTint="99"/>
                <w:sz w:val="20"/>
                <w:szCs w:val="20"/>
              </w:rPr>
            </w:pPr>
            <w:r w:rsidRPr="00A16E98">
              <w:rPr>
                <w:rFonts w:cs="Arial"/>
                <w:bCs/>
                <w:color w:val="auto"/>
                <w:sz w:val="20"/>
                <w:szCs w:val="20"/>
              </w:rPr>
              <w:t>To support the implementation of the Cou</w:t>
            </w:r>
            <w:r>
              <w:rPr>
                <w:rFonts w:cs="Arial"/>
                <w:bCs/>
                <w:color w:val="auto"/>
                <w:sz w:val="20"/>
                <w:szCs w:val="20"/>
              </w:rPr>
              <w:t>ncil’s</w:t>
            </w:r>
            <w:r w:rsidRPr="00A16E98">
              <w:rPr>
                <w:rFonts w:cs="Arial"/>
                <w:bCs/>
                <w:color w:val="auto"/>
                <w:sz w:val="20"/>
                <w:szCs w:val="20"/>
              </w:rPr>
              <w:t xml:space="preserve"> Housing Strategy</w:t>
            </w:r>
          </w:p>
        </w:tc>
        <w:tc>
          <w:tcPr>
            <w:tcW w:w="1417" w:type="dxa"/>
          </w:tcPr>
          <w:p w:rsidR="008C6A28" w:rsidRPr="0005794A" w:rsidRDefault="008C6A28" w:rsidP="00827092">
            <w:pPr>
              <w:pStyle w:val="BodyText"/>
              <w:widowControl w:val="0"/>
              <w:jc w:val="center"/>
              <w:cnfStyle w:val="000000100000" w:firstRow="0" w:lastRow="0" w:firstColumn="0" w:lastColumn="0" w:oddVBand="0" w:evenVBand="0" w:oddHBand="1" w:evenHBand="0" w:firstRowFirstColumn="0" w:firstRowLastColumn="0" w:lastRowFirstColumn="0" w:lastRowLastColumn="0"/>
              <w:rPr>
                <w:rFonts w:cs="Arial"/>
                <w:b/>
                <w:color w:val="548DD4" w:themeColor="text2" w:themeTint="99"/>
                <w:sz w:val="20"/>
                <w:szCs w:val="20"/>
              </w:rPr>
            </w:pPr>
          </w:p>
        </w:tc>
        <w:tc>
          <w:tcPr>
            <w:cnfStyle w:val="000100000000" w:firstRow="0" w:lastRow="0" w:firstColumn="0" w:lastColumn="1" w:oddVBand="0" w:evenVBand="0" w:oddHBand="0" w:evenHBand="0" w:firstRowFirstColumn="0" w:firstRowLastColumn="0" w:lastRowFirstColumn="0" w:lastRowLastColumn="0"/>
            <w:tcW w:w="4820" w:type="dxa"/>
          </w:tcPr>
          <w:p w:rsidR="00A16E98" w:rsidRPr="0092092B" w:rsidRDefault="00A16E98" w:rsidP="00A16E98">
            <w:pPr>
              <w:pStyle w:val="BodyText"/>
              <w:widowControl w:val="0"/>
              <w:spacing w:after="0" w:line="240" w:lineRule="auto"/>
              <w:rPr>
                <w:rFonts w:cs="Arial"/>
                <w:b w:val="0"/>
                <w:color w:val="auto"/>
                <w:sz w:val="20"/>
                <w:szCs w:val="20"/>
              </w:rPr>
            </w:pPr>
            <w:r w:rsidRPr="0092092B">
              <w:rPr>
                <w:rFonts w:cs="Arial"/>
                <w:b w:val="0"/>
                <w:color w:val="auto"/>
                <w:sz w:val="20"/>
                <w:szCs w:val="20"/>
              </w:rPr>
              <w:t xml:space="preserve">Shareholding /Control: 100% </w:t>
            </w:r>
          </w:p>
          <w:p w:rsidR="00A16E98" w:rsidRPr="0092092B" w:rsidRDefault="00A16E98" w:rsidP="00A16E98">
            <w:pPr>
              <w:pStyle w:val="BodyText"/>
              <w:widowControl w:val="0"/>
              <w:spacing w:after="0" w:line="240" w:lineRule="auto"/>
              <w:rPr>
                <w:rFonts w:cs="Arial"/>
                <w:b w:val="0"/>
                <w:color w:val="auto"/>
                <w:sz w:val="20"/>
                <w:szCs w:val="20"/>
              </w:rPr>
            </w:pPr>
          </w:p>
          <w:p w:rsidR="00A16E98" w:rsidRPr="0092092B" w:rsidRDefault="00A16E98" w:rsidP="00A16E98">
            <w:pPr>
              <w:pStyle w:val="BodyText"/>
              <w:widowControl w:val="0"/>
              <w:spacing w:after="0" w:line="240" w:lineRule="auto"/>
              <w:rPr>
                <w:rFonts w:cs="Arial"/>
                <w:b w:val="0"/>
                <w:color w:val="auto"/>
                <w:sz w:val="20"/>
                <w:szCs w:val="20"/>
              </w:rPr>
            </w:pPr>
            <w:r w:rsidRPr="0092092B">
              <w:rPr>
                <w:rFonts w:cs="Arial"/>
                <w:b w:val="0"/>
                <w:color w:val="auto"/>
                <w:sz w:val="20"/>
                <w:szCs w:val="20"/>
              </w:rPr>
              <w:t>Directors:</w:t>
            </w:r>
          </w:p>
          <w:p w:rsidR="00A16E98" w:rsidRPr="0092092B" w:rsidRDefault="00A16E98" w:rsidP="00A16E98">
            <w:pPr>
              <w:pStyle w:val="BodyText"/>
              <w:widowControl w:val="0"/>
              <w:spacing w:after="0" w:line="240" w:lineRule="auto"/>
              <w:rPr>
                <w:rFonts w:cs="Arial"/>
                <w:b w:val="0"/>
                <w:color w:val="auto"/>
                <w:sz w:val="20"/>
                <w:szCs w:val="20"/>
              </w:rPr>
            </w:pPr>
            <w:r>
              <w:rPr>
                <w:rFonts w:cs="Arial"/>
                <w:b w:val="0"/>
                <w:color w:val="auto"/>
                <w:sz w:val="20"/>
                <w:szCs w:val="20"/>
              </w:rPr>
              <w:t>A-M Bond</w:t>
            </w:r>
            <w:r w:rsidRPr="0092092B">
              <w:rPr>
                <w:rFonts w:cs="Arial"/>
                <w:b w:val="0"/>
                <w:color w:val="auto"/>
                <w:sz w:val="20"/>
                <w:szCs w:val="20"/>
              </w:rPr>
              <w:t xml:space="preserve"> (Officer Torbay Council)</w:t>
            </w:r>
          </w:p>
          <w:p w:rsidR="00A16E98" w:rsidRPr="0092092B" w:rsidRDefault="00A16E98" w:rsidP="00A16E98">
            <w:pPr>
              <w:pStyle w:val="BodyText"/>
              <w:widowControl w:val="0"/>
              <w:spacing w:after="0" w:line="240" w:lineRule="auto"/>
              <w:rPr>
                <w:rFonts w:cs="Arial"/>
                <w:b w:val="0"/>
                <w:color w:val="auto"/>
                <w:sz w:val="20"/>
                <w:szCs w:val="20"/>
              </w:rPr>
            </w:pPr>
            <w:r>
              <w:rPr>
                <w:rFonts w:cs="Arial"/>
                <w:b w:val="0"/>
                <w:color w:val="auto"/>
                <w:sz w:val="20"/>
                <w:szCs w:val="20"/>
              </w:rPr>
              <w:t>C Taylor</w:t>
            </w:r>
            <w:r w:rsidRPr="0092092B">
              <w:rPr>
                <w:rFonts w:cs="Arial"/>
                <w:b w:val="0"/>
                <w:color w:val="auto"/>
                <w:sz w:val="20"/>
                <w:szCs w:val="20"/>
              </w:rPr>
              <w:t xml:space="preserve"> (Officer Torbay Council)</w:t>
            </w:r>
          </w:p>
          <w:p w:rsidR="008C6A28" w:rsidRPr="0005794A" w:rsidRDefault="00A16E98" w:rsidP="00A16E98">
            <w:pPr>
              <w:autoSpaceDE w:val="0"/>
              <w:autoSpaceDN w:val="0"/>
              <w:adjustRightInd w:val="0"/>
              <w:spacing w:after="0" w:line="240" w:lineRule="auto"/>
              <w:rPr>
                <w:rFonts w:cs="Arial"/>
                <w:b w:val="0"/>
                <w:bCs w:val="0"/>
                <w:color w:val="548DD4" w:themeColor="text2" w:themeTint="99"/>
                <w:sz w:val="18"/>
                <w:szCs w:val="20"/>
              </w:rPr>
            </w:pPr>
            <w:r w:rsidRPr="0092092B">
              <w:rPr>
                <w:rFonts w:cs="Arial"/>
                <w:b w:val="0"/>
                <w:color w:val="auto"/>
                <w:sz w:val="20"/>
                <w:szCs w:val="20"/>
              </w:rPr>
              <w:t xml:space="preserve">M </w:t>
            </w:r>
            <w:r>
              <w:rPr>
                <w:rFonts w:cs="Arial"/>
                <w:b w:val="0"/>
                <w:color w:val="auto"/>
                <w:sz w:val="20"/>
                <w:szCs w:val="20"/>
              </w:rPr>
              <w:t xml:space="preserve">Phillips </w:t>
            </w:r>
            <w:r w:rsidRPr="0092092B">
              <w:rPr>
                <w:rFonts w:cs="Arial"/>
                <w:b w:val="0"/>
                <w:color w:val="auto"/>
                <w:sz w:val="20"/>
                <w:szCs w:val="20"/>
              </w:rPr>
              <w:t>(Officer Torbay Council)</w:t>
            </w:r>
          </w:p>
        </w:tc>
      </w:tr>
      <w:tr w:rsidR="008C6A28" w:rsidRPr="0005794A" w:rsidTr="008C6A28">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4BACC6" w:themeColor="accent5"/>
              <w:bottom w:val="single" w:sz="4" w:space="0" w:color="4BACC6" w:themeColor="accent5"/>
            </w:tcBorders>
          </w:tcPr>
          <w:p w:rsidR="008C6A28" w:rsidRPr="00A16E98" w:rsidRDefault="00A16E98" w:rsidP="00A16E98">
            <w:pPr>
              <w:pStyle w:val="BodyText"/>
              <w:widowControl w:val="0"/>
              <w:jc w:val="center"/>
              <w:rPr>
                <w:rFonts w:cs="Arial"/>
                <w:b w:val="0"/>
                <w:color w:val="auto"/>
                <w:sz w:val="20"/>
                <w:szCs w:val="20"/>
              </w:rPr>
            </w:pPr>
            <w:r w:rsidRPr="00A16E98">
              <w:rPr>
                <w:rFonts w:cs="Arial"/>
                <w:b w:val="0"/>
                <w:color w:val="auto"/>
                <w:sz w:val="20"/>
                <w:szCs w:val="20"/>
              </w:rPr>
              <w:t xml:space="preserve">Torbay </w:t>
            </w:r>
            <w:r w:rsidR="008C6A28" w:rsidRPr="00A16E98">
              <w:rPr>
                <w:rFonts w:cs="Arial"/>
                <w:b w:val="0"/>
                <w:color w:val="auto"/>
                <w:sz w:val="20"/>
                <w:szCs w:val="20"/>
              </w:rPr>
              <w:t>Housing Dev</w:t>
            </w:r>
            <w:r w:rsidRPr="00A16E98">
              <w:rPr>
                <w:rFonts w:cs="Arial"/>
                <w:b w:val="0"/>
                <w:color w:val="auto"/>
                <w:sz w:val="20"/>
                <w:szCs w:val="20"/>
              </w:rPr>
              <w:t xml:space="preserve">elopment </w:t>
            </w:r>
            <w:r w:rsidR="008C6A28" w:rsidRPr="00A16E98">
              <w:rPr>
                <w:rFonts w:cs="Arial"/>
                <w:b w:val="0"/>
                <w:color w:val="auto"/>
                <w:sz w:val="20"/>
                <w:szCs w:val="20"/>
              </w:rPr>
              <w:t>Co</w:t>
            </w:r>
            <w:r w:rsidRPr="00A16E98">
              <w:rPr>
                <w:rFonts w:cs="Arial"/>
                <w:b w:val="0"/>
                <w:color w:val="auto"/>
                <w:sz w:val="20"/>
                <w:szCs w:val="20"/>
              </w:rPr>
              <w:t>mpany</w:t>
            </w:r>
          </w:p>
          <w:p w:rsidR="00A16E98" w:rsidRPr="00A16E98" w:rsidRDefault="00A16E98" w:rsidP="00A16E98">
            <w:pPr>
              <w:pStyle w:val="BodyText"/>
              <w:widowControl w:val="0"/>
              <w:jc w:val="center"/>
              <w:rPr>
                <w:rFonts w:cs="Arial"/>
                <w:b w:val="0"/>
                <w:color w:val="auto"/>
                <w:sz w:val="20"/>
                <w:szCs w:val="20"/>
              </w:rPr>
            </w:pPr>
            <w:r w:rsidRPr="00A16E98">
              <w:rPr>
                <w:rFonts w:cs="Arial"/>
                <w:b w:val="0"/>
                <w:color w:val="auto"/>
                <w:sz w:val="20"/>
                <w:szCs w:val="20"/>
              </w:rPr>
              <w:t>11214978</w:t>
            </w:r>
          </w:p>
        </w:tc>
        <w:tc>
          <w:tcPr>
            <w:cnfStyle w:val="000010000000" w:firstRow="0" w:lastRow="0" w:firstColumn="0" w:lastColumn="0" w:oddVBand="1" w:evenVBand="0" w:oddHBand="0" w:evenHBand="0" w:firstRowFirstColumn="0" w:firstRowLastColumn="0" w:lastRowFirstColumn="0" w:lastRowLastColumn="0"/>
            <w:tcW w:w="1985" w:type="dxa"/>
            <w:tcBorders>
              <w:top w:val="single" w:sz="4" w:space="0" w:color="4BACC6" w:themeColor="accent5"/>
              <w:bottom w:val="single" w:sz="4" w:space="0" w:color="4BACC6" w:themeColor="accent5"/>
            </w:tcBorders>
          </w:tcPr>
          <w:p w:rsidR="00A16E98" w:rsidRPr="00A16E98" w:rsidRDefault="00A16E98" w:rsidP="00A16E98">
            <w:pPr>
              <w:pStyle w:val="BodyText"/>
              <w:widowControl w:val="0"/>
              <w:jc w:val="center"/>
              <w:rPr>
                <w:rFonts w:cs="Arial"/>
                <w:color w:val="auto"/>
                <w:sz w:val="20"/>
                <w:szCs w:val="20"/>
              </w:rPr>
            </w:pPr>
            <w:r w:rsidRPr="00A16E98">
              <w:rPr>
                <w:rFonts w:cs="Arial"/>
                <w:color w:val="auto"/>
                <w:sz w:val="20"/>
                <w:szCs w:val="20"/>
              </w:rPr>
              <w:t xml:space="preserve">Company limited by share 100% owned by </w:t>
            </w:r>
            <w:r w:rsidR="00AE6752">
              <w:rPr>
                <w:rFonts w:cs="Arial"/>
                <w:color w:val="auto"/>
                <w:sz w:val="20"/>
                <w:szCs w:val="20"/>
              </w:rPr>
              <w:t>T</w:t>
            </w:r>
            <w:r w:rsidRPr="00A16E98">
              <w:rPr>
                <w:rFonts w:cs="Arial"/>
                <w:color w:val="auto"/>
                <w:sz w:val="20"/>
                <w:szCs w:val="20"/>
              </w:rPr>
              <w:t>orbay Housing Company Limited</w:t>
            </w:r>
          </w:p>
          <w:p w:rsidR="008C6A28" w:rsidRPr="00A16E98" w:rsidRDefault="008C6A28" w:rsidP="00827092">
            <w:pPr>
              <w:pStyle w:val="BodyText"/>
              <w:widowControl w:val="0"/>
              <w:jc w:val="center"/>
              <w:rPr>
                <w:rFonts w:cs="Arial"/>
                <w:color w:val="548DD4" w:themeColor="text2" w:themeTint="99"/>
                <w:sz w:val="20"/>
                <w:szCs w:val="20"/>
              </w:rPr>
            </w:pPr>
          </w:p>
        </w:tc>
        <w:tc>
          <w:tcPr>
            <w:tcW w:w="1701" w:type="dxa"/>
            <w:tcBorders>
              <w:top w:val="single" w:sz="4" w:space="0" w:color="4BACC6" w:themeColor="accent5"/>
              <w:bottom w:val="single" w:sz="4" w:space="0" w:color="4BACC6" w:themeColor="accent5"/>
            </w:tcBorders>
          </w:tcPr>
          <w:p w:rsidR="0092092B" w:rsidRPr="0092092B" w:rsidRDefault="0092092B" w:rsidP="0092092B">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92092B">
              <w:rPr>
                <w:rFonts w:cs="Arial"/>
                <w:color w:val="auto"/>
                <w:sz w:val="20"/>
                <w:szCs w:val="20"/>
              </w:rPr>
              <w:t>Not trading in 2017/18</w:t>
            </w:r>
          </w:p>
          <w:p w:rsidR="008C6A28" w:rsidRPr="0092092B" w:rsidRDefault="008C6A28"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Borders>
              <w:top w:val="single" w:sz="4" w:space="0" w:color="4BACC6" w:themeColor="accent5"/>
              <w:bottom w:val="single" w:sz="4" w:space="0" w:color="4BACC6" w:themeColor="accent5"/>
            </w:tcBorders>
          </w:tcPr>
          <w:p w:rsidR="008C6A28" w:rsidRPr="00A16E98" w:rsidRDefault="00A16E98" w:rsidP="00A16E98">
            <w:pPr>
              <w:autoSpaceDE w:val="0"/>
              <w:autoSpaceDN w:val="0"/>
              <w:adjustRightInd w:val="0"/>
              <w:spacing w:after="0" w:line="240" w:lineRule="auto"/>
              <w:jc w:val="center"/>
              <w:rPr>
                <w:rFonts w:cs="Arial"/>
                <w:bCs/>
                <w:color w:val="548DD4" w:themeColor="text2" w:themeTint="99"/>
                <w:sz w:val="20"/>
                <w:szCs w:val="20"/>
              </w:rPr>
            </w:pPr>
            <w:r w:rsidRPr="00A16E98">
              <w:rPr>
                <w:rFonts w:cs="Arial"/>
                <w:bCs/>
                <w:color w:val="auto"/>
                <w:sz w:val="20"/>
                <w:szCs w:val="20"/>
              </w:rPr>
              <w:t>To support the implementation of the Cou</w:t>
            </w:r>
            <w:r>
              <w:rPr>
                <w:rFonts w:cs="Arial"/>
                <w:bCs/>
                <w:color w:val="auto"/>
                <w:sz w:val="20"/>
                <w:szCs w:val="20"/>
              </w:rPr>
              <w:t>ncil’s</w:t>
            </w:r>
            <w:r w:rsidRPr="00A16E98">
              <w:rPr>
                <w:rFonts w:cs="Arial"/>
                <w:bCs/>
                <w:color w:val="auto"/>
                <w:sz w:val="20"/>
                <w:szCs w:val="20"/>
              </w:rPr>
              <w:t xml:space="preserve"> Housing Strategy</w:t>
            </w:r>
          </w:p>
        </w:tc>
        <w:tc>
          <w:tcPr>
            <w:tcW w:w="1417" w:type="dxa"/>
            <w:tcBorders>
              <w:top w:val="single" w:sz="4" w:space="0" w:color="4BACC6" w:themeColor="accent5"/>
              <w:bottom w:val="single" w:sz="4" w:space="0" w:color="4BACC6" w:themeColor="accent5"/>
            </w:tcBorders>
          </w:tcPr>
          <w:p w:rsidR="008C6A28" w:rsidRPr="0005794A" w:rsidRDefault="008C6A28" w:rsidP="00827092">
            <w:pPr>
              <w:pStyle w:val="BodyText"/>
              <w:widowControl w:val="0"/>
              <w:jc w:val="center"/>
              <w:cnfStyle w:val="000000000000" w:firstRow="0" w:lastRow="0" w:firstColumn="0" w:lastColumn="0" w:oddVBand="0" w:evenVBand="0" w:oddHBand="0" w:evenHBand="0" w:firstRowFirstColumn="0" w:firstRowLastColumn="0" w:lastRowFirstColumn="0" w:lastRowLastColumn="0"/>
              <w:rPr>
                <w:rFonts w:cs="Arial"/>
                <w:b/>
                <w:color w:val="548DD4" w:themeColor="text2" w:themeTint="99"/>
                <w:sz w:val="20"/>
                <w:szCs w:val="20"/>
              </w:rPr>
            </w:pPr>
          </w:p>
        </w:tc>
        <w:tc>
          <w:tcPr>
            <w:cnfStyle w:val="000100000000" w:firstRow="0" w:lastRow="0" w:firstColumn="0" w:lastColumn="1" w:oddVBand="0" w:evenVBand="0" w:oddHBand="0" w:evenHBand="0" w:firstRowFirstColumn="0" w:firstRowLastColumn="0" w:lastRowFirstColumn="0" w:lastRowLastColumn="0"/>
            <w:tcW w:w="4820" w:type="dxa"/>
            <w:tcBorders>
              <w:top w:val="single" w:sz="4" w:space="0" w:color="4BACC6" w:themeColor="accent5"/>
              <w:bottom w:val="single" w:sz="4" w:space="0" w:color="4BACC6" w:themeColor="accent5"/>
            </w:tcBorders>
          </w:tcPr>
          <w:p w:rsidR="00A16E98" w:rsidRPr="0092092B" w:rsidRDefault="00A16E98" w:rsidP="00A16E98">
            <w:pPr>
              <w:pStyle w:val="BodyText"/>
              <w:widowControl w:val="0"/>
              <w:spacing w:after="0" w:line="240" w:lineRule="auto"/>
              <w:rPr>
                <w:rFonts w:cs="Arial"/>
                <w:b w:val="0"/>
                <w:color w:val="auto"/>
                <w:sz w:val="20"/>
                <w:szCs w:val="20"/>
              </w:rPr>
            </w:pPr>
            <w:r w:rsidRPr="0092092B">
              <w:rPr>
                <w:rFonts w:cs="Arial"/>
                <w:b w:val="0"/>
                <w:color w:val="auto"/>
                <w:sz w:val="20"/>
                <w:szCs w:val="20"/>
              </w:rPr>
              <w:t xml:space="preserve">Shareholding /Control: 100% </w:t>
            </w:r>
            <w:r w:rsidR="000E0FF7">
              <w:rPr>
                <w:rFonts w:cs="Arial"/>
                <w:b w:val="0"/>
                <w:color w:val="auto"/>
                <w:sz w:val="20"/>
                <w:szCs w:val="20"/>
              </w:rPr>
              <w:t>(via Torbay Housing Company Limited)</w:t>
            </w:r>
          </w:p>
          <w:p w:rsidR="00A16E98" w:rsidRPr="0092092B" w:rsidRDefault="00A16E98" w:rsidP="00A16E98">
            <w:pPr>
              <w:pStyle w:val="BodyText"/>
              <w:widowControl w:val="0"/>
              <w:spacing w:after="0" w:line="240" w:lineRule="auto"/>
              <w:rPr>
                <w:rFonts w:cs="Arial"/>
                <w:b w:val="0"/>
                <w:color w:val="auto"/>
                <w:sz w:val="20"/>
                <w:szCs w:val="20"/>
              </w:rPr>
            </w:pPr>
          </w:p>
          <w:p w:rsidR="00A16E98" w:rsidRPr="0092092B" w:rsidRDefault="00A16E98" w:rsidP="00A16E98">
            <w:pPr>
              <w:pStyle w:val="BodyText"/>
              <w:widowControl w:val="0"/>
              <w:spacing w:after="0" w:line="240" w:lineRule="auto"/>
              <w:rPr>
                <w:rFonts w:cs="Arial"/>
                <w:b w:val="0"/>
                <w:color w:val="auto"/>
                <w:sz w:val="20"/>
                <w:szCs w:val="20"/>
              </w:rPr>
            </w:pPr>
            <w:r w:rsidRPr="0092092B">
              <w:rPr>
                <w:rFonts w:cs="Arial"/>
                <w:b w:val="0"/>
                <w:color w:val="auto"/>
                <w:sz w:val="20"/>
                <w:szCs w:val="20"/>
              </w:rPr>
              <w:t>Directors:</w:t>
            </w:r>
          </w:p>
          <w:p w:rsidR="00A16E98" w:rsidRPr="0092092B" w:rsidRDefault="00A16E98" w:rsidP="00A16E98">
            <w:pPr>
              <w:pStyle w:val="BodyText"/>
              <w:widowControl w:val="0"/>
              <w:spacing w:after="0" w:line="240" w:lineRule="auto"/>
              <w:rPr>
                <w:rFonts w:cs="Arial"/>
                <w:b w:val="0"/>
                <w:color w:val="auto"/>
                <w:sz w:val="20"/>
                <w:szCs w:val="20"/>
              </w:rPr>
            </w:pPr>
            <w:r>
              <w:rPr>
                <w:rFonts w:cs="Arial"/>
                <w:b w:val="0"/>
                <w:color w:val="auto"/>
                <w:sz w:val="20"/>
                <w:szCs w:val="20"/>
              </w:rPr>
              <w:t>A-M Bond</w:t>
            </w:r>
            <w:r w:rsidRPr="0092092B">
              <w:rPr>
                <w:rFonts w:cs="Arial"/>
                <w:b w:val="0"/>
                <w:color w:val="auto"/>
                <w:sz w:val="20"/>
                <w:szCs w:val="20"/>
              </w:rPr>
              <w:t xml:space="preserve"> (Officer Torbay Council)</w:t>
            </w:r>
          </w:p>
          <w:p w:rsidR="00A16E98" w:rsidRPr="0092092B" w:rsidRDefault="00A16E98" w:rsidP="00A16E98">
            <w:pPr>
              <w:pStyle w:val="BodyText"/>
              <w:widowControl w:val="0"/>
              <w:spacing w:after="0" w:line="240" w:lineRule="auto"/>
              <w:rPr>
                <w:rFonts w:cs="Arial"/>
                <w:b w:val="0"/>
                <w:color w:val="auto"/>
                <w:sz w:val="20"/>
                <w:szCs w:val="20"/>
              </w:rPr>
            </w:pPr>
            <w:r>
              <w:rPr>
                <w:rFonts w:cs="Arial"/>
                <w:b w:val="0"/>
                <w:color w:val="auto"/>
                <w:sz w:val="20"/>
                <w:szCs w:val="20"/>
              </w:rPr>
              <w:t>C Taylor</w:t>
            </w:r>
            <w:r w:rsidRPr="0092092B">
              <w:rPr>
                <w:rFonts w:cs="Arial"/>
                <w:b w:val="0"/>
                <w:color w:val="auto"/>
                <w:sz w:val="20"/>
                <w:szCs w:val="20"/>
              </w:rPr>
              <w:t xml:space="preserve"> (Officer Torbay Council)</w:t>
            </w:r>
          </w:p>
          <w:p w:rsidR="008C6A28" w:rsidRPr="0005794A" w:rsidRDefault="00A16E98" w:rsidP="00A16E98">
            <w:pPr>
              <w:autoSpaceDE w:val="0"/>
              <w:autoSpaceDN w:val="0"/>
              <w:adjustRightInd w:val="0"/>
              <w:spacing w:after="0" w:line="240" w:lineRule="auto"/>
              <w:rPr>
                <w:rFonts w:cs="Arial"/>
                <w:b w:val="0"/>
                <w:bCs w:val="0"/>
                <w:color w:val="548DD4" w:themeColor="text2" w:themeTint="99"/>
                <w:sz w:val="18"/>
                <w:szCs w:val="20"/>
              </w:rPr>
            </w:pPr>
            <w:r w:rsidRPr="0092092B">
              <w:rPr>
                <w:rFonts w:cs="Arial"/>
                <w:b w:val="0"/>
                <w:color w:val="auto"/>
                <w:sz w:val="20"/>
                <w:szCs w:val="20"/>
              </w:rPr>
              <w:t xml:space="preserve">M </w:t>
            </w:r>
            <w:r>
              <w:rPr>
                <w:rFonts w:cs="Arial"/>
                <w:b w:val="0"/>
                <w:color w:val="auto"/>
                <w:sz w:val="20"/>
                <w:szCs w:val="20"/>
              </w:rPr>
              <w:t xml:space="preserve">Phillips </w:t>
            </w:r>
            <w:r w:rsidRPr="0092092B">
              <w:rPr>
                <w:rFonts w:cs="Arial"/>
                <w:b w:val="0"/>
                <w:color w:val="auto"/>
                <w:sz w:val="20"/>
                <w:szCs w:val="20"/>
              </w:rPr>
              <w:t>(Officer Torbay Council)</w:t>
            </w:r>
          </w:p>
        </w:tc>
      </w:tr>
      <w:tr w:rsidR="008C6A28" w:rsidRPr="0005794A" w:rsidTr="00C40DB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951" w:type="dxa"/>
            <w:tcBorders>
              <w:top w:val="single" w:sz="4" w:space="0" w:color="4BACC6" w:themeColor="accent5"/>
            </w:tcBorders>
          </w:tcPr>
          <w:p w:rsidR="008C6A28" w:rsidRPr="00A16E98" w:rsidRDefault="00A16E98" w:rsidP="00A16E98">
            <w:pPr>
              <w:pStyle w:val="BodyText"/>
              <w:widowControl w:val="0"/>
              <w:jc w:val="center"/>
              <w:rPr>
                <w:rFonts w:cs="Arial"/>
                <w:b w:val="0"/>
                <w:color w:val="auto"/>
                <w:sz w:val="20"/>
                <w:szCs w:val="20"/>
              </w:rPr>
            </w:pPr>
            <w:r w:rsidRPr="00A16E98">
              <w:rPr>
                <w:rFonts w:cs="Arial"/>
                <w:b w:val="0"/>
                <w:color w:val="auto"/>
                <w:sz w:val="20"/>
                <w:szCs w:val="20"/>
              </w:rPr>
              <w:t xml:space="preserve">Torbay Housing </w:t>
            </w:r>
            <w:r w:rsidR="008C6A28" w:rsidRPr="00A16E98">
              <w:rPr>
                <w:rFonts w:cs="Arial"/>
                <w:b w:val="0"/>
                <w:color w:val="auto"/>
                <w:sz w:val="20"/>
                <w:szCs w:val="20"/>
              </w:rPr>
              <w:t>Rent</w:t>
            </w:r>
            <w:r w:rsidRPr="00A16E98">
              <w:rPr>
                <w:rFonts w:cs="Arial"/>
                <w:b w:val="0"/>
                <w:color w:val="auto"/>
                <w:sz w:val="20"/>
                <w:szCs w:val="20"/>
              </w:rPr>
              <w:t>al</w:t>
            </w:r>
            <w:r w:rsidR="008C6A28" w:rsidRPr="00A16E98">
              <w:rPr>
                <w:rFonts w:cs="Arial"/>
                <w:b w:val="0"/>
                <w:color w:val="auto"/>
                <w:sz w:val="20"/>
                <w:szCs w:val="20"/>
              </w:rPr>
              <w:t xml:space="preserve"> Co</w:t>
            </w:r>
            <w:r w:rsidRPr="00A16E98">
              <w:rPr>
                <w:rFonts w:cs="Arial"/>
                <w:b w:val="0"/>
                <w:color w:val="auto"/>
                <w:sz w:val="20"/>
                <w:szCs w:val="20"/>
              </w:rPr>
              <w:t>mpany</w:t>
            </w:r>
          </w:p>
          <w:p w:rsidR="00A16E98" w:rsidRPr="00A16E98" w:rsidRDefault="00A16E98" w:rsidP="00A16E98">
            <w:pPr>
              <w:pStyle w:val="BodyText"/>
              <w:widowControl w:val="0"/>
              <w:jc w:val="center"/>
              <w:rPr>
                <w:rFonts w:cs="Arial"/>
                <w:b w:val="0"/>
                <w:color w:val="auto"/>
                <w:sz w:val="20"/>
                <w:szCs w:val="20"/>
              </w:rPr>
            </w:pPr>
            <w:r w:rsidRPr="00A16E98">
              <w:rPr>
                <w:rFonts w:cs="Arial"/>
                <w:b w:val="0"/>
                <w:color w:val="auto"/>
                <w:sz w:val="20"/>
                <w:szCs w:val="20"/>
              </w:rPr>
              <w:t>11214868</w:t>
            </w:r>
          </w:p>
        </w:tc>
        <w:tc>
          <w:tcPr>
            <w:cnfStyle w:val="000010000000" w:firstRow="0" w:lastRow="0" w:firstColumn="0" w:lastColumn="0" w:oddVBand="1" w:evenVBand="0" w:oddHBand="0" w:evenHBand="0" w:firstRowFirstColumn="0" w:firstRowLastColumn="0" w:lastRowFirstColumn="0" w:lastRowLastColumn="0"/>
            <w:tcW w:w="1985" w:type="dxa"/>
            <w:tcBorders>
              <w:top w:val="single" w:sz="4" w:space="0" w:color="4BACC6" w:themeColor="accent5"/>
            </w:tcBorders>
          </w:tcPr>
          <w:p w:rsidR="00A16E98" w:rsidRPr="00A16E98" w:rsidRDefault="00A16E98" w:rsidP="00A16E98">
            <w:pPr>
              <w:pStyle w:val="BodyText"/>
              <w:widowControl w:val="0"/>
              <w:jc w:val="center"/>
              <w:rPr>
                <w:rFonts w:cs="Arial"/>
                <w:b w:val="0"/>
                <w:color w:val="auto"/>
                <w:sz w:val="20"/>
                <w:szCs w:val="20"/>
              </w:rPr>
            </w:pPr>
            <w:r w:rsidRPr="00A16E98">
              <w:rPr>
                <w:rFonts w:cs="Arial"/>
                <w:b w:val="0"/>
                <w:color w:val="auto"/>
                <w:sz w:val="20"/>
                <w:szCs w:val="20"/>
              </w:rPr>
              <w:t>Company limited by share 100% owned by</w:t>
            </w:r>
            <w:r w:rsidR="00AE6752">
              <w:rPr>
                <w:rFonts w:cs="Arial"/>
                <w:b w:val="0"/>
                <w:color w:val="auto"/>
                <w:sz w:val="20"/>
                <w:szCs w:val="20"/>
              </w:rPr>
              <w:t xml:space="preserve"> </w:t>
            </w:r>
            <w:r w:rsidRPr="00A16E98">
              <w:rPr>
                <w:rFonts w:cs="Arial"/>
                <w:b w:val="0"/>
                <w:color w:val="auto"/>
                <w:sz w:val="20"/>
                <w:szCs w:val="20"/>
              </w:rPr>
              <w:t>Torbay Housing Company Limited</w:t>
            </w:r>
          </w:p>
          <w:p w:rsidR="008C6A28" w:rsidRPr="00A16E98" w:rsidRDefault="008C6A28" w:rsidP="00827092">
            <w:pPr>
              <w:pStyle w:val="BodyText"/>
              <w:widowControl w:val="0"/>
              <w:jc w:val="center"/>
              <w:rPr>
                <w:rFonts w:cs="Arial"/>
                <w:b w:val="0"/>
                <w:color w:val="548DD4" w:themeColor="text2" w:themeTint="99"/>
                <w:sz w:val="20"/>
                <w:szCs w:val="20"/>
              </w:rPr>
            </w:pPr>
          </w:p>
        </w:tc>
        <w:tc>
          <w:tcPr>
            <w:tcW w:w="1701" w:type="dxa"/>
            <w:tcBorders>
              <w:top w:val="single" w:sz="4" w:space="0" w:color="4BACC6" w:themeColor="accent5"/>
            </w:tcBorders>
          </w:tcPr>
          <w:p w:rsidR="0092092B" w:rsidRPr="0092092B" w:rsidRDefault="0092092B" w:rsidP="0092092B">
            <w:pPr>
              <w:pStyle w:val="BodyText"/>
              <w:widowControl w:val="0"/>
              <w:jc w:val="center"/>
              <w:cnfStyle w:val="010000000000" w:firstRow="0" w:lastRow="1" w:firstColumn="0" w:lastColumn="0" w:oddVBand="0" w:evenVBand="0" w:oddHBand="0" w:evenHBand="0" w:firstRowFirstColumn="0" w:firstRowLastColumn="0" w:lastRowFirstColumn="0" w:lastRowLastColumn="0"/>
              <w:rPr>
                <w:rFonts w:cs="Arial"/>
                <w:b w:val="0"/>
                <w:color w:val="auto"/>
                <w:sz w:val="20"/>
                <w:szCs w:val="20"/>
              </w:rPr>
            </w:pPr>
            <w:r w:rsidRPr="0092092B">
              <w:rPr>
                <w:rFonts w:cs="Arial"/>
                <w:b w:val="0"/>
                <w:color w:val="auto"/>
                <w:sz w:val="20"/>
                <w:szCs w:val="20"/>
              </w:rPr>
              <w:t>Not trading in 2017/18</w:t>
            </w:r>
          </w:p>
          <w:p w:rsidR="008C6A28" w:rsidRPr="0092092B" w:rsidRDefault="008C6A28" w:rsidP="00827092">
            <w:pPr>
              <w:pStyle w:val="BodyText"/>
              <w:widowControl w:val="0"/>
              <w:jc w:val="center"/>
              <w:cnfStyle w:val="010000000000" w:firstRow="0" w:lastRow="1" w:firstColumn="0" w:lastColumn="0" w:oddVBand="0" w:evenVBand="0" w:oddHBand="0" w:evenHBand="0" w:firstRowFirstColumn="0" w:firstRowLastColumn="0" w:lastRowFirstColumn="0" w:lastRowLastColumn="0"/>
              <w:rPr>
                <w:rFonts w:cs="Arial"/>
                <w:b w:val="0"/>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Borders>
              <w:top w:val="single" w:sz="4" w:space="0" w:color="4BACC6" w:themeColor="accent5"/>
            </w:tcBorders>
          </w:tcPr>
          <w:p w:rsidR="008C6A28" w:rsidRPr="00A16E98" w:rsidRDefault="00A16E98" w:rsidP="00827092">
            <w:pPr>
              <w:autoSpaceDE w:val="0"/>
              <w:autoSpaceDN w:val="0"/>
              <w:adjustRightInd w:val="0"/>
              <w:spacing w:after="0" w:line="240" w:lineRule="auto"/>
              <w:jc w:val="center"/>
              <w:rPr>
                <w:rFonts w:cs="Arial"/>
                <w:b w:val="0"/>
                <w:bCs w:val="0"/>
                <w:color w:val="548DD4" w:themeColor="text2" w:themeTint="99"/>
                <w:sz w:val="20"/>
                <w:szCs w:val="20"/>
              </w:rPr>
            </w:pPr>
            <w:r w:rsidRPr="00A16E98">
              <w:rPr>
                <w:rFonts w:cs="Arial"/>
                <w:b w:val="0"/>
                <w:bCs w:val="0"/>
                <w:color w:val="auto"/>
                <w:sz w:val="20"/>
                <w:szCs w:val="20"/>
              </w:rPr>
              <w:t>To support the implementation of the Council’s Housing Strategy</w:t>
            </w:r>
          </w:p>
        </w:tc>
        <w:tc>
          <w:tcPr>
            <w:tcW w:w="1417" w:type="dxa"/>
            <w:tcBorders>
              <w:top w:val="single" w:sz="4" w:space="0" w:color="4BACC6" w:themeColor="accent5"/>
            </w:tcBorders>
          </w:tcPr>
          <w:p w:rsidR="008C6A28" w:rsidRPr="0005794A" w:rsidRDefault="008C6A28" w:rsidP="00827092">
            <w:pPr>
              <w:pStyle w:val="BodyText"/>
              <w:widowControl w:val="0"/>
              <w:jc w:val="center"/>
              <w:cnfStyle w:val="010000000000" w:firstRow="0" w:lastRow="1" w:firstColumn="0" w:lastColumn="0" w:oddVBand="0" w:evenVBand="0" w:oddHBand="0" w:evenHBand="0" w:firstRowFirstColumn="0" w:firstRowLastColumn="0" w:lastRowFirstColumn="0" w:lastRowLastColumn="0"/>
              <w:rPr>
                <w:rFonts w:cs="Arial"/>
                <w:b w:val="0"/>
                <w:color w:val="548DD4" w:themeColor="text2" w:themeTint="99"/>
                <w:sz w:val="20"/>
                <w:szCs w:val="20"/>
              </w:rPr>
            </w:pPr>
          </w:p>
        </w:tc>
        <w:tc>
          <w:tcPr>
            <w:cnfStyle w:val="000100000010" w:firstRow="0" w:lastRow="0" w:firstColumn="0" w:lastColumn="1" w:oddVBand="0" w:evenVBand="0" w:oddHBand="0" w:evenHBand="0" w:firstRowFirstColumn="0" w:firstRowLastColumn="0" w:lastRowFirstColumn="0" w:lastRowLastColumn="1"/>
            <w:tcW w:w="4820" w:type="dxa"/>
            <w:tcBorders>
              <w:top w:val="single" w:sz="4" w:space="0" w:color="4BACC6" w:themeColor="accent5"/>
            </w:tcBorders>
          </w:tcPr>
          <w:p w:rsidR="000E0FF7" w:rsidRPr="0092092B" w:rsidRDefault="00A16E98" w:rsidP="000E0FF7">
            <w:pPr>
              <w:pStyle w:val="BodyText"/>
              <w:widowControl w:val="0"/>
              <w:spacing w:after="0" w:line="240" w:lineRule="auto"/>
              <w:rPr>
                <w:rFonts w:cs="Arial"/>
                <w:b w:val="0"/>
                <w:color w:val="auto"/>
                <w:sz w:val="20"/>
                <w:szCs w:val="20"/>
              </w:rPr>
            </w:pPr>
            <w:r w:rsidRPr="0092092B">
              <w:rPr>
                <w:rFonts w:cs="Arial"/>
                <w:b w:val="0"/>
                <w:color w:val="auto"/>
                <w:sz w:val="20"/>
                <w:szCs w:val="20"/>
              </w:rPr>
              <w:t xml:space="preserve">Shareholding /Control: 100% </w:t>
            </w:r>
            <w:r w:rsidR="000E0FF7">
              <w:rPr>
                <w:rFonts w:cs="Arial"/>
                <w:b w:val="0"/>
                <w:color w:val="auto"/>
                <w:sz w:val="20"/>
                <w:szCs w:val="20"/>
              </w:rPr>
              <w:t>(via Torbay Housing Company Limited)</w:t>
            </w:r>
          </w:p>
          <w:p w:rsidR="00A16E98" w:rsidRPr="0092092B" w:rsidRDefault="00A16E98" w:rsidP="00A16E98">
            <w:pPr>
              <w:pStyle w:val="BodyText"/>
              <w:widowControl w:val="0"/>
              <w:spacing w:after="0" w:line="240" w:lineRule="auto"/>
              <w:rPr>
                <w:rFonts w:cs="Arial"/>
                <w:b w:val="0"/>
                <w:color w:val="auto"/>
                <w:sz w:val="20"/>
                <w:szCs w:val="20"/>
              </w:rPr>
            </w:pPr>
          </w:p>
          <w:p w:rsidR="00A16E98" w:rsidRPr="0092092B" w:rsidRDefault="00A16E98" w:rsidP="00A16E98">
            <w:pPr>
              <w:pStyle w:val="BodyText"/>
              <w:widowControl w:val="0"/>
              <w:spacing w:after="0" w:line="240" w:lineRule="auto"/>
              <w:rPr>
                <w:rFonts w:cs="Arial"/>
                <w:b w:val="0"/>
                <w:color w:val="auto"/>
                <w:sz w:val="20"/>
                <w:szCs w:val="20"/>
              </w:rPr>
            </w:pPr>
            <w:r w:rsidRPr="0092092B">
              <w:rPr>
                <w:rFonts w:cs="Arial"/>
                <w:b w:val="0"/>
                <w:color w:val="auto"/>
                <w:sz w:val="20"/>
                <w:szCs w:val="20"/>
              </w:rPr>
              <w:t>Directors:</w:t>
            </w:r>
          </w:p>
          <w:p w:rsidR="00A16E98" w:rsidRPr="0092092B" w:rsidRDefault="00A16E98" w:rsidP="00A16E98">
            <w:pPr>
              <w:pStyle w:val="BodyText"/>
              <w:widowControl w:val="0"/>
              <w:spacing w:after="0" w:line="240" w:lineRule="auto"/>
              <w:rPr>
                <w:rFonts w:cs="Arial"/>
                <w:b w:val="0"/>
                <w:color w:val="auto"/>
                <w:sz w:val="20"/>
                <w:szCs w:val="20"/>
              </w:rPr>
            </w:pPr>
            <w:r>
              <w:rPr>
                <w:rFonts w:cs="Arial"/>
                <w:b w:val="0"/>
                <w:color w:val="auto"/>
                <w:sz w:val="20"/>
                <w:szCs w:val="20"/>
              </w:rPr>
              <w:t>A-M Bond</w:t>
            </w:r>
            <w:r w:rsidRPr="0092092B">
              <w:rPr>
                <w:rFonts w:cs="Arial"/>
                <w:b w:val="0"/>
                <w:color w:val="auto"/>
                <w:sz w:val="20"/>
                <w:szCs w:val="20"/>
              </w:rPr>
              <w:t xml:space="preserve"> (Officer Torbay Council)</w:t>
            </w:r>
          </w:p>
          <w:p w:rsidR="00A16E98" w:rsidRPr="0092092B" w:rsidRDefault="00A16E98" w:rsidP="00A16E98">
            <w:pPr>
              <w:pStyle w:val="BodyText"/>
              <w:widowControl w:val="0"/>
              <w:spacing w:after="0" w:line="240" w:lineRule="auto"/>
              <w:rPr>
                <w:rFonts w:cs="Arial"/>
                <w:b w:val="0"/>
                <w:color w:val="auto"/>
                <w:sz w:val="20"/>
                <w:szCs w:val="20"/>
              </w:rPr>
            </w:pPr>
            <w:r>
              <w:rPr>
                <w:rFonts w:cs="Arial"/>
                <w:b w:val="0"/>
                <w:color w:val="auto"/>
                <w:sz w:val="20"/>
                <w:szCs w:val="20"/>
              </w:rPr>
              <w:t>C Taylor</w:t>
            </w:r>
            <w:r w:rsidRPr="0092092B">
              <w:rPr>
                <w:rFonts w:cs="Arial"/>
                <w:b w:val="0"/>
                <w:color w:val="auto"/>
                <w:sz w:val="20"/>
                <w:szCs w:val="20"/>
              </w:rPr>
              <w:t xml:space="preserve"> (Officer Torbay Council)</w:t>
            </w:r>
          </w:p>
          <w:p w:rsidR="008C6A28" w:rsidRPr="0005794A" w:rsidRDefault="00A16E98" w:rsidP="00A16E98">
            <w:pPr>
              <w:autoSpaceDE w:val="0"/>
              <w:autoSpaceDN w:val="0"/>
              <w:adjustRightInd w:val="0"/>
              <w:spacing w:after="0" w:line="240" w:lineRule="auto"/>
              <w:rPr>
                <w:rFonts w:cs="Arial"/>
                <w:b w:val="0"/>
                <w:bCs w:val="0"/>
                <w:color w:val="548DD4" w:themeColor="text2" w:themeTint="99"/>
                <w:sz w:val="18"/>
                <w:szCs w:val="20"/>
              </w:rPr>
            </w:pPr>
            <w:r w:rsidRPr="0092092B">
              <w:rPr>
                <w:rFonts w:cs="Arial"/>
                <w:b w:val="0"/>
                <w:color w:val="auto"/>
                <w:sz w:val="20"/>
                <w:szCs w:val="20"/>
              </w:rPr>
              <w:t xml:space="preserve">M </w:t>
            </w:r>
            <w:r>
              <w:rPr>
                <w:rFonts w:cs="Arial"/>
                <w:b w:val="0"/>
                <w:color w:val="auto"/>
                <w:sz w:val="20"/>
                <w:szCs w:val="20"/>
              </w:rPr>
              <w:t xml:space="preserve">Phillips </w:t>
            </w:r>
            <w:r w:rsidRPr="0092092B">
              <w:rPr>
                <w:rFonts w:cs="Arial"/>
                <w:b w:val="0"/>
                <w:color w:val="auto"/>
                <w:sz w:val="20"/>
                <w:szCs w:val="20"/>
              </w:rPr>
              <w:t>(Officer Torbay Council)</w:t>
            </w:r>
          </w:p>
        </w:tc>
      </w:tr>
    </w:tbl>
    <w:p w:rsidR="00827092" w:rsidRPr="0005794A" w:rsidRDefault="00827092" w:rsidP="000F3312">
      <w:pPr>
        <w:autoSpaceDE w:val="0"/>
        <w:autoSpaceDN w:val="0"/>
        <w:spacing w:line="240" w:lineRule="auto"/>
        <w:rPr>
          <w:color w:val="548DD4" w:themeColor="text2" w:themeTint="99"/>
          <w:sz w:val="20"/>
          <w:szCs w:val="20"/>
          <w:highlight w:val="yellow"/>
          <w:lang w:eastAsia="en-GB"/>
        </w:rPr>
        <w:sectPr w:rsidR="00827092" w:rsidRPr="0005794A" w:rsidSect="00827092">
          <w:pgSz w:w="16838" w:h="11906" w:orient="landscape" w:code="9"/>
          <w:pgMar w:top="1440" w:right="1440" w:bottom="1440" w:left="1440" w:header="544" w:footer="544" w:gutter="0"/>
          <w:cols w:space="708"/>
          <w:titlePg/>
          <w:docGrid w:linePitch="360"/>
        </w:sectPr>
      </w:pPr>
    </w:p>
    <w:p w:rsidR="00235453" w:rsidRPr="00F5767F" w:rsidRDefault="00827092" w:rsidP="00D54D5E">
      <w:pPr>
        <w:pStyle w:val="ExampleSub"/>
        <w:keepNext w:val="0"/>
        <w:keepLines w:val="0"/>
        <w:ind w:left="0"/>
        <w:outlineLvl w:val="0"/>
        <w:rPr>
          <w:rFonts w:ascii="Arial" w:hAnsi="Arial" w:cs="Times New Roman"/>
          <w:bCs w:val="0"/>
          <w:color w:val="auto"/>
          <w:sz w:val="21"/>
          <w:szCs w:val="21"/>
          <w:lang w:eastAsia="en-US"/>
        </w:rPr>
      </w:pPr>
      <w:r w:rsidRPr="00F5767F">
        <w:rPr>
          <w:rFonts w:ascii="Arial" w:hAnsi="Arial" w:cs="Times New Roman"/>
          <w:bCs w:val="0"/>
          <w:color w:val="auto"/>
          <w:sz w:val="21"/>
          <w:szCs w:val="21"/>
          <w:lang w:eastAsia="en-US"/>
        </w:rPr>
        <w:lastRenderedPageBreak/>
        <w:t>Sum</w:t>
      </w:r>
      <w:r w:rsidR="00235453" w:rsidRPr="00F5767F">
        <w:rPr>
          <w:rFonts w:ascii="Arial" w:hAnsi="Arial" w:cs="Times New Roman"/>
          <w:bCs w:val="0"/>
          <w:color w:val="auto"/>
          <w:sz w:val="21"/>
          <w:szCs w:val="21"/>
          <w:lang w:eastAsia="en-US"/>
        </w:rPr>
        <w:t>mary financial information of Subsidiary Companies</w:t>
      </w:r>
    </w:p>
    <w:p w:rsidR="00E451FD" w:rsidRDefault="00235453" w:rsidP="00154CE1">
      <w:pPr>
        <w:pStyle w:val="ExampleSub"/>
        <w:keepNext w:val="0"/>
        <w:keepLines w:val="0"/>
        <w:outlineLvl w:val="0"/>
        <w:rPr>
          <w:rFonts w:ascii="Arial" w:hAnsi="Arial" w:cs="Arial"/>
          <w:b w:val="0"/>
          <w:color w:val="auto"/>
          <w:sz w:val="20"/>
          <w:szCs w:val="20"/>
        </w:rPr>
      </w:pPr>
      <w:r w:rsidRPr="00F5767F">
        <w:rPr>
          <w:rFonts w:ascii="Arial" w:hAnsi="Arial" w:cs="Arial"/>
          <w:b w:val="0"/>
          <w:color w:val="auto"/>
          <w:sz w:val="20"/>
          <w:szCs w:val="20"/>
        </w:rPr>
        <w:t xml:space="preserve">This table lists summary information about the Council’s interest in subsidiary companies and its relationship with them in terms of ownership and trading. </w:t>
      </w:r>
      <w:r w:rsidR="000134DC" w:rsidRPr="00F5767F">
        <w:rPr>
          <w:rFonts w:ascii="Arial" w:hAnsi="Arial" w:cs="Arial"/>
          <w:b w:val="0"/>
          <w:color w:val="auto"/>
          <w:sz w:val="20"/>
          <w:szCs w:val="20"/>
        </w:rPr>
        <w:t>Torbay share 100%</w:t>
      </w:r>
      <w:proofErr w:type="gramStart"/>
      <w:r w:rsidR="0076042C">
        <w:rPr>
          <w:rFonts w:ascii="Arial" w:hAnsi="Arial" w:cs="Arial"/>
          <w:b w:val="0"/>
          <w:color w:val="auto"/>
          <w:sz w:val="20"/>
          <w:szCs w:val="20"/>
        </w:rPr>
        <w:t>..</w:t>
      </w:r>
      <w:proofErr w:type="gramEnd"/>
      <w:r w:rsidR="0076042C">
        <w:rPr>
          <w:rFonts w:ascii="Arial" w:hAnsi="Arial" w:cs="Arial"/>
          <w:b w:val="0"/>
          <w:color w:val="auto"/>
          <w:sz w:val="20"/>
          <w:szCs w:val="20"/>
        </w:rPr>
        <w:t xml:space="preserve"> </w:t>
      </w:r>
    </w:p>
    <w:p w:rsidR="00154CE1" w:rsidRPr="00154CE1" w:rsidRDefault="00154CE1" w:rsidP="00154CE1">
      <w:pPr>
        <w:pStyle w:val="ExampleSub"/>
        <w:keepNext w:val="0"/>
        <w:keepLines w:val="0"/>
        <w:outlineLvl w:val="0"/>
        <w:rPr>
          <w:rFonts w:ascii="Arial" w:hAnsi="Arial" w:cs="Arial"/>
          <w:b w:val="0"/>
          <w:color w:val="auto"/>
          <w:sz w:val="20"/>
          <w:szCs w:val="20"/>
        </w:rPr>
      </w:pPr>
    </w:p>
    <w:tbl>
      <w:tblPr>
        <w:tblStyle w:val="ListTable3-Accent51"/>
        <w:tblW w:w="9781" w:type="dxa"/>
        <w:tblInd w:w="-34" w:type="dxa"/>
        <w:tblBorders>
          <w:insideH w:val="single" w:sz="4" w:space="0" w:color="4BACC6" w:themeColor="accent5"/>
          <w:insideV w:val="single" w:sz="4" w:space="0" w:color="4BACC6" w:themeColor="accent5"/>
        </w:tblBorders>
        <w:tblLayout w:type="fixed"/>
        <w:tblLook w:val="01E0" w:firstRow="1" w:lastRow="1" w:firstColumn="1" w:lastColumn="1" w:noHBand="0" w:noVBand="0"/>
      </w:tblPr>
      <w:tblGrid>
        <w:gridCol w:w="3403"/>
        <w:gridCol w:w="1134"/>
        <w:gridCol w:w="992"/>
        <w:gridCol w:w="992"/>
        <w:gridCol w:w="992"/>
        <w:gridCol w:w="993"/>
        <w:gridCol w:w="1275"/>
      </w:tblGrid>
      <w:tr w:rsidR="00E451FD" w:rsidRPr="0005794A" w:rsidTr="00675C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3" w:type="dxa"/>
            <w:tcBorders>
              <w:bottom w:val="none" w:sz="0" w:space="0" w:color="auto"/>
              <w:right w:val="none" w:sz="0" w:space="0" w:color="auto"/>
            </w:tcBorders>
          </w:tcPr>
          <w:p w:rsidR="00235453" w:rsidRPr="00F5767F" w:rsidRDefault="00235453" w:rsidP="003326F2">
            <w:pPr>
              <w:widowControl w:val="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tcBorders>
              <w:left w:val="none" w:sz="0" w:space="0" w:color="auto"/>
              <w:right w:val="none" w:sz="0" w:space="0" w:color="auto"/>
            </w:tcBorders>
          </w:tcPr>
          <w:p w:rsidR="00235453" w:rsidRPr="00F5767F" w:rsidRDefault="00E451FD" w:rsidP="003326F2">
            <w:pPr>
              <w:widowControl w:val="0"/>
              <w:jc w:val="center"/>
              <w:rPr>
                <w:rFonts w:cs="Arial"/>
                <w:color w:val="auto"/>
                <w:sz w:val="20"/>
                <w:szCs w:val="20"/>
              </w:rPr>
            </w:pPr>
            <w:r w:rsidRPr="00F5767F">
              <w:rPr>
                <w:rFonts w:cs="Arial"/>
                <w:color w:val="auto"/>
                <w:sz w:val="20"/>
                <w:szCs w:val="20"/>
              </w:rPr>
              <w:t>T</w:t>
            </w:r>
            <w:r w:rsidR="009856C5" w:rsidRPr="00F5767F">
              <w:rPr>
                <w:rFonts w:cs="Arial"/>
                <w:color w:val="auto"/>
                <w:sz w:val="20"/>
                <w:szCs w:val="20"/>
              </w:rPr>
              <w:t xml:space="preserve">orbay </w:t>
            </w:r>
            <w:r w:rsidR="00235453" w:rsidRPr="00F5767F">
              <w:rPr>
                <w:rFonts w:cs="Arial"/>
                <w:color w:val="auto"/>
                <w:sz w:val="20"/>
                <w:szCs w:val="20"/>
              </w:rPr>
              <w:t>E</w:t>
            </w:r>
            <w:r w:rsidR="009856C5" w:rsidRPr="00F5767F">
              <w:rPr>
                <w:rFonts w:cs="Arial"/>
                <w:color w:val="auto"/>
                <w:sz w:val="20"/>
                <w:szCs w:val="20"/>
              </w:rPr>
              <w:t xml:space="preserve">conomic </w:t>
            </w:r>
            <w:r w:rsidR="00235453" w:rsidRPr="00F5767F">
              <w:rPr>
                <w:rFonts w:cs="Arial"/>
                <w:color w:val="auto"/>
                <w:sz w:val="20"/>
                <w:szCs w:val="20"/>
              </w:rPr>
              <w:t>D</w:t>
            </w:r>
            <w:r w:rsidR="009856C5" w:rsidRPr="00F5767F">
              <w:rPr>
                <w:rFonts w:cs="Arial"/>
                <w:color w:val="auto"/>
                <w:sz w:val="20"/>
                <w:szCs w:val="20"/>
              </w:rPr>
              <w:t xml:space="preserve">evelopment </w:t>
            </w:r>
            <w:r w:rsidR="00235453" w:rsidRPr="00F5767F">
              <w:rPr>
                <w:rFonts w:cs="Arial"/>
                <w:color w:val="auto"/>
                <w:sz w:val="20"/>
                <w:szCs w:val="20"/>
              </w:rPr>
              <w:t>C</w:t>
            </w:r>
            <w:r w:rsidR="009856C5" w:rsidRPr="00F5767F">
              <w:rPr>
                <w:rFonts w:cs="Arial"/>
                <w:color w:val="auto"/>
                <w:sz w:val="20"/>
                <w:szCs w:val="20"/>
              </w:rPr>
              <w:t>o Ltd</w:t>
            </w:r>
            <w:r w:rsidR="0076042C">
              <w:rPr>
                <w:rFonts w:cs="Arial"/>
                <w:color w:val="auto"/>
                <w:sz w:val="20"/>
                <w:szCs w:val="20"/>
              </w:rPr>
              <w:t xml:space="preserve"> *</w:t>
            </w:r>
          </w:p>
        </w:tc>
        <w:tc>
          <w:tcPr>
            <w:tcW w:w="1984" w:type="dxa"/>
            <w:gridSpan w:val="2"/>
          </w:tcPr>
          <w:p w:rsidR="00235453" w:rsidRPr="00F5767F" w:rsidRDefault="00235453" w:rsidP="003326F2">
            <w:pPr>
              <w:widowControl w:val="0"/>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5767F">
              <w:rPr>
                <w:rFonts w:cs="Arial"/>
                <w:color w:val="auto"/>
                <w:sz w:val="20"/>
                <w:szCs w:val="20"/>
              </w:rPr>
              <w:t>E</w:t>
            </w:r>
            <w:r w:rsidR="009856C5" w:rsidRPr="00F5767F">
              <w:rPr>
                <w:rFonts w:cs="Arial"/>
                <w:color w:val="auto"/>
                <w:sz w:val="20"/>
                <w:szCs w:val="20"/>
              </w:rPr>
              <w:t xml:space="preserve">nglish </w:t>
            </w:r>
            <w:r w:rsidRPr="00F5767F">
              <w:rPr>
                <w:rFonts w:cs="Arial"/>
                <w:color w:val="auto"/>
                <w:sz w:val="20"/>
                <w:szCs w:val="20"/>
              </w:rPr>
              <w:t>R</w:t>
            </w:r>
            <w:r w:rsidR="009856C5" w:rsidRPr="00F5767F">
              <w:rPr>
                <w:rFonts w:cs="Arial"/>
                <w:color w:val="auto"/>
                <w:sz w:val="20"/>
                <w:szCs w:val="20"/>
              </w:rPr>
              <w:t xml:space="preserve">iviera </w:t>
            </w:r>
            <w:r w:rsidRPr="00F5767F">
              <w:rPr>
                <w:rFonts w:cs="Arial"/>
                <w:color w:val="auto"/>
                <w:sz w:val="20"/>
                <w:szCs w:val="20"/>
              </w:rPr>
              <w:t>T</w:t>
            </w:r>
            <w:r w:rsidR="009856C5" w:rsidRPr="00F5767F">
              <w:rPr>
                <w:rFonts w:cs="Arial"/>
                <w:color w:val="auto"/>
                <w:sz w:val="20"/>
                <w:szCs w:val="20"/>
              </w:rPr>
              <w:t xml:space="preserve">ourism </w:t>
            </w:r>
            <w:r w:rsidRPr="00F5767F">
              <w:rPr>
                <w:rFonts w:cs="Arial"/>
                <w:color w:val="auto"/>
                <w:sz w:val="20"/>
                <w:szCs w:val="20"/>
              </w:rPr>
              <w:t>C</w:t>
            </w:r>
            <w:r w:rsidR="009856C5" w:rsidRPr="00F5767F">
              <w:rPr>
                <w:rFonts w:cs="Arial"/>
                <w:color w:val="auto"/>
                <w:sz w:val="20"/>
                <w:szCs w:val="20"/>
              </w:rPr>
              <w:t>o Lt</w:t>
            </w:r>
            <w:r w:rsidR="009856C5" w:rsidRPr="00802ABC">
              <w:rPr>
                <w:rFonts w:cs="Arial"/>
                <w:color w:val="auto"/>
                <w:sz w:val="20"/>
                <w:szCs w:val="20"/>
              </w:rPr>
              <w:t>d</w:t>
            </w:r>
            <w:r w:rsidR="00154CE1" w:rsidRPr="00802ABC">
              <w:rPr>
                <w:rFonts w:cs="Arial"/>
                <w:color w:val="auto"/>
                <w:sz w:val="20"/>
                <w:szCs w:val="20"/>
              </w:rPr>
              <w:t>**</w:t>
            </w:r>
          </w:p>
        </w:tc>
        <w:tc>
          <w:tcPr>
            <w:cnfStyle w:val="000100001000" w:firstRow="0" w:lastRow="0" w:firstColumn="0" w:lastColumn="1" w:oddVBand="0" w:evenVBand="0" w:oddHBand="0" w:evenHBand="0" w:firstRowFirstColumn="0" w:firstRowLastColumn="1" w:lastRowFirstColumn="0" w:lastRowLastColumn="0"/>
            <w:tcW w:w="2268" w:type="dxa"/>
            <w:gridSpan w:val="2"/>
            <w:tcBorders>
              <w:left w:val="none" w:sz="0" w:space="0" w:color="auto"/>
              <w:bottom w:val="none" w:sz="0" w:space="0" w:color="auto"/>
            </w:tcBorders>
          </w:tcPr>
          <w:p w:rsidR="00235453" w:rsidRPr="00F5767F" w:rsidRDefault="00235453" w:rsidP="009856C5">
            <w:pPr>
              <w:widowControl w:val="0"/>
              <w:jc w:val="center"/>
              <w:rPr>
                <w:rFonts w:cs="Arial"/>
                <w:color w:val="auto"/>
                <w:sz w:val="20"/>
                <w:szCs w:val="20"/>
              </w:rPr>
            </w:pPr>
            <w:proofErr w:type="spellStart"/>
            <w:r w:rsidRPr="00F5767F">
              <w:rPr>
                <w:rFonts w:cs="Arial"/>
                <w:color w:val="auto"/>
                <w:sz w:val="20"/>
                <w:szCs w:val="20"/>
              </w:rPr>
              <w:t>O</w:t>
            </w:r>
            <w:r w:rsidR="009856C5" w:rsidRPr="00F5767F">
              <w:rPr>
                <w:rFonts w:cs="Arial"/>
                <w:color w:val="auto"/>
                <w:sz w:val="20"/>
                <w:szCs w:val="20"/>
              </w:rPr>
              <w:t>ldway</w:t>
            </w:r>
            <w:proofErr w:type="spellEnd"/>
            <w:r w:rsidR="009856C5" w:rsidRPr="00F5767F">
              <w:rPr>
                <w:rFonts w:cs="Arial"/>
                <w:color w:val="auto"/>
                <w:sz w:val="20"/>
                <w:szCs w:val="20"/>
              </w:rPr>
              <w:t xml:space="preserve"> Mansion </w:t>
            </w:r>
            <w:r w:rsidRPr="00F5767F">
              <w:rPr>
                <w:rFonts w:cs="Arial"/>
                <w:color w:val="auto"/>
                <w:sz w:val="20"/>
                <w:szCs w:val="20"/>
              </w:rPr>
              <w:t>M</w:t>
            </w:r>
            <w:r w:rsidR="009856C5" w:rsidRPr="00F5767F">
              <w:rPr>
                <w:rFonts w:cs="Arial"/>
                <w:color w:val="auto"/>
                <w:sz w:val="20"/>
                <w:szCs w:val="20"/>
              </w:rPr>
              <w:t xml:space="preserve">anagement </w:t>
            </w:r>
            <w:r w:rsidRPr="00F5767F">
              <w:rPr>
                <w:rFonts w:cs="Arial"/>
                <w:color w:val="auto"/>
                <w:sz w:val="20"/>
                <w:szCs w:val="20"/>
              </w:rPr>
              <w:t>C</w:t>
            </w:r>
            <w:r w:rsidR="009856C5" w:rsidRPr="00F5767F">
              <w:rPr>
                <w:rFonts w:cs="Arial"/>
                <w:color w:val="auto"/>
                <w:sz w:val="20"/>
                <w:szCs w:val="20"/>
              </w:rPr>
              <w:t>o Ltd</w:t>
            </w:r>
          </w:p>
        </w:tc>
      </w:tr>
      <w:tr w:rsidR="00883761" w:rsidRPr="0005794A" w:rsidTr="0067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bottom w:val="none" w:sz="0" w:space="0" w:color="auto"/>
              <w:right w:val="none" w:sz="0" w:space="0" w:color="auto"/>
            </w:tcBorders>
            <w:shd w:val="clear" w:color="auto" w:fill="4BACC6" w:themeFill="accent5"/>
          </w:tcPr>
          <w:p w:rsidR="00883761" w:rsidRPr="00F5767F" w:rsidRDefault="00883761" w:rsidP="003326F2">
            <w:pPr>
              <w:widowControl w:val="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4BACC6" w:themeFill="accent5"/>
          </w:tcPr>
          <w:p w:rsidR="00883761" w:rsidRPr="00F5767F" w:rsidRDefault="00883761" w:rsidP="00DC589D">
            <w:pPr>
              <w:widowControl w:val="0"/>
              <w:jc w:val="center"/>
              <w:rPr>
                <w:rFonts w:cs="Arial"/>
                <w:color w:val="auto"/>
                <w:sz w:val="18"/>
                <w:szCs w:val="18"/>
              </w:rPr>
            </w:pPr>
            <w:r w:rsidRPr="00F5767F">
              <w:rPr>
                <w:rFonts w:cs="Arial"/>
                <w:color w:val="auto"/>
                <w:sz w:val="18"/>
                <w:szCs w:val="18"/>
              </w:rPr>
              <w:t>201</w:t>
            </w:r>
            <w:r w:rsidR="00F5767F" w:rsidRPr="00F5767F">
              <w:rPr>
                <w:rFonts w:cs="Arial"/>
                <w:color w:val="auto"/>
                <w:sz w:val="18"/>
                <w:szCs w:val="18"/>
              </w:rPr>
              <w:t>6</w:t>
            </w:r>
            <w:r w:rsidRPr="00F5767F">
              <w:rPr>
                <w:rFonts w:cs="Arial"/>
                <w:color w:val="auto"/>
                <w:sz w:val="18"/>
                <w:szCs w:val="18"/>
              </w:rPr>
              <w:t>/1</w:t>
            </w:r>
            <w:r w:rsidR="00F5767F" w:rsidRPr="00F5767F">
              <w:rPr>
                <w:rFonts w:cs="Arial"/>
                <w:color w:val="auto"/>
                <w:sz w:val="18"/>
                <w:szCs w:val="18"/>
              </w:rPr>
              <w:t>7</w:t>
            </w:r>
          </w:p>
        </w:tc>
        <w:tc>
          <w:tcPr>
            <w:tcW w:w="992" w:type="dxa"/>
            <w:tcBorders>
              <w:top w:val="none" w:sz="0" w:space="0" w:color="auto"/>
              <w:bottom w:val="none" w:sz="0" w:space="0" w:color="auto"/>
            </w:tcBorders>
            <w:shd w:val="clear" w:color="auto" w:fill="4BACC6" w:themeFill="accent5"/>
          </w:tcPr>
          <w:p w:rsidR="00883761" w:rsidRPr="00F5767F" w:rsidRDefault="00883761" w:rsidP="00DC589D">
            <w:pPr>
              <w:widowControl w:val="0"/>
              <w:jc w:val="center"/>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F5767F">
              <w:rPr>
                <w:rFonts w:cs="Arial"/>
                <w:b/>
                <w:color w:val="auto"/>
                <w:sz w:val="18"/>
                <w:szCs w:val="18"/>
              </w:rPr>
              <w:t>201</w:t>
            </w:r>
            <w:r w:rsidR="00F5767F" w:rsidRPr="00F5767F">
              <w:rPr>
                <w:rFonts w:cs="Arial"/>
                <w:b/>
                <w:color w:val="auto"/>
                <w:sz w:val="18"/>
                <w:szCs w:val="18"/>
              </w:rPr>
              <w:t>7</w:t>
            </w:r>
            <w:r w:rsidRPr="00F5767F">
              <w:rPr>
                <w:rFonts w:cs="Arial"/>
                <w:b/>
                <w:color w:val="auto"/>
                <w:sz w:val="18"/>
                <w:szCs w:val="18"/>
              </w:rPr>
              <w:t>/1</w:t>
            </w:r>
            <w:r w:rsidR="00F5767F" w:rsidRPr="00F5767F">
              <w:rPr>
                <w:rFonts w:cs="Arial"/>
                <w:b/>
                <w:color w:val="auto"/>
                <w:sz w:val="18"/>
                <w:szCs w:val="18"/>
              </w:rPr>
              <w:t>8</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4BACC6" w:themeFill="accent5"/>
          </w:tcPr>
          <w:p w:rsidR="00883761" w:rsidRPr="00F5767F" w:rsidRDefault="00883761" w:rsidP="00DC589D">
            <w:pPr>
              <w:widowControl w:val="0"/>
              <w:jc w:val="center"/>
              <w:rPr>
                <w:rFonts w:cs="Arial"/>
                <w:color w:val="auto"/>
                <w:sz w:val="18"/>
                <w:szCs w:val="18"/>
              </w:rPr>
            </w:pPr>
            <w:r w:rsidRPr="00F5767F">
              <w:rPr>
                <w:rFonts w:cs="Arial"/>
                <w:color w:val="auto"/>
                <w:sz w:val="18"/>
                <w:szCs w:val="18"/>
              </w:rPr>
              <w:t>201</w:t>
            </w:r>
            <w:r w:rsidR="00F5767F" w:rsidRPr="00F5767F">
              <w:rPr>
                <w:rFonts w:cs="Arial"/>
                <w:color w:val="auto"/>
                <w:sz w:val="18"/>
                <w:szCs w:val="18"/>
              </w:rPr>
              <w:t>6</w:t>
            </w:r>
            <w:r w:rsidRPr="00F5767F">
              <w:rPr>
                <w:rFonts w:cs="Arial"/>
                <w:color w:val="auto"/>
                <w:sz w:val="18"/>
                <w:szCs w:val="18"/>
              </w:rPr>
              <w:t>/1</w:t>
            </w:r>
            <w:r w:rsidR="00F5767F" w:rsidRPr="00F5767F">
              <w:rPr>
                <w:rFonts w:cs="Arial"/>
                <w:color w:val="auto"/>
                <w:sz w:val="18"/>
                <w:szCs w:val="18"/>
              </w:rPr>
              <w:t>7</w:t>
            </w:r>
          </w:p>
        </w:tc>
        <w:tc>
          <w:tcPr>
            <w:tcW w:w="992" w:type="dxa"/>
            <w:tcBorders>
              <w:top w:val="none" w:sz="0" w:space="0" w:color="auto"/>
              <w:bottom w:val="none" w:sz="0" w:space="0" w:color="auto"/>
            </w:tcBorders>
            <w:shd w:val="clear" w:color="auto" w:fill="4BACC6" w:themeFill="accent5"/>
          </w:tcPr>
          <w:p w:rsidR="00883761" w:rsidRPr="00F5767F" w:rsidRDefault="00883761" w:rsidP="00DC589D">
            <w:pPr>
              <w:widowControl w:val="0"/>
              <w:jc w:val="center"/>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F5767F">
              <w:rPr>
                <w:rFonts w:cs="Arial"/>
                <w:b/>
                <w:color w:val="auto"/>
                <w:sz w:val="18"/>
                <w:szCs w:val="18"/>
              </w:rPr>
              <w:t>201</w:t>
            </w:r>
            <w:r w:rsidR="00F5767F" w:rsidRPr="00F5767F">
              <w:rPr>
                <w:rFonts w:cs="Arial"/>
                <w:b/>
                <w:color w:val="auto"/>
                <w:sz w:val="18"/>
                <w:szCs w:val="18"/>
              </w:rPr>
              <w:t>7</w:t>
            </w:r>
            <w:r w:rsidRPr="00F5767F">
              <w:rPr>
                <w:rFonts w:cs="Arial"/>
                <w:b/>
                <w:color w:val="auto"/>
                <w:sz w:val="18"/>
                <w:szCs w:val="18"/>
              </w:rPr>
              <w:t>/1</w:t>
            </w:r>
            <w:r w:rsidR="00F5767F" w:rsidRPr="00F5767F">
              <w:rPr>
                <w:rFonts w:cs="Arial"/>
                <w:b/>
                <w:color w:val="auto"/>
                <w:sz w:val="18"/>
                <w:szCs w:val="18"/>
              </w:rPr>
              <w:t>8</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4BACC6" w:themeFill="accent5"/>
          </w:tcPr>
          <w:p w:rsidR="00883761" w:rsidRPr="00F5767F" w:rsidRDefault="00883761" w:rsidP="00DC589D">
            <w:pPr>
              <w:widowControl w:val="0"/>
              <w:jc w:val="center"/>
              <w:rPr>
                <w:rFonts w:cs="Arial"/>
                <w:color w:val="auto"/>
                <w:sz w:val="18"/>
                <w:szCs w:val="18"/>
              </w:rPr>
            </w:pPr>
            <w:r w:rsidRPr="00F5767F">
              <w:rPr>
                <w:rFonts w:cs="Arial"/>
                <w:color w:val="auto"/>
                <w:sz w:val="18"/>
                <w:szCs w:val="18"/>
              </w:rPr>
              <w:t>201</w:t>
            </w:r>
            <w:r w:rsidR="00F5767F" w:rsidRPr="00F5767F">
              <w:rPr>
                <w:rFonts w:cs="Arial"/>
                <w:color w:val="auto"/>
                <w:sz w:val="18"/>
                <w:szCs w:val="18"/>
              </w:rPr>
              <w:t>6</w:t>
            </w:r>
            <w:r w:rsidRPr="00F5767F">
              <w:rPr>
                <w:rFonts w:cs="Arial"/>
                <w:color w:val="auto"/>
                <w:sz w:val="18"/>
                <w:szCs w:val="18"/>
              </w:rPr>
              <w:t>/1</w:t>
            </w:r>
            <w:r w:rsidR="00F5767F" w:rsidRPr="00F5767F">
              <w:rPr>
                <w:rFonts w:cs="Arial"/>
                <w:color w:val="auto"/>
                <w:sz w:val="18"/>
                <w:szCs w:val="18"/>
              </w:rPr>
              <w:t>7</w:t>
            </w:r>
          </w:p>
        </w:tc>
        <w:tc>
          <w:tcPr>
            <w:cnfStyle w:val="000100000000" w:firstRow="0" w:lastRow="0" w:firstColumn="0" w:lastColumn="1" w:oddVBand="0" w:evenVBand="0" w:oddHBand="0" w:evenHBand="0" w:firstRowFirstColumn="0" w:firstRowLastColumn="0" w:lastRowFirstColumn="0" w:lastRowLastColumn="0"/>
            <w:tcW w:w="1275" w:type="dxa"/>
            <w:tcBorders>
              <w:top w:val="none" w:sz="0" w:space="0" w:color="auto"/>
              <w:left w:val="none" w:sz="0" w:space="0" w:color="auto"/>
              <w:bottom w:val="none" w:sz="0" w:space="0" w:color="auto"/>
            </w:tcBorders>
            <w:shd w:val="clear" w:color="auto" w:fill="4BACC6" w:themeFill="accent5"/>
          </w:tcPr>
          <w:p w:rsidR="00883761" w:rsidRPr="00F5767F" w:rsidRDefault="00883761" w:rsidP="00DC589D">
            <w:pPr>
              <w:widowControl w:val="0"/>
              <w:jc w:val="center"/>
              <w:rPr>
                <w:rFonts w:cs="Arial"/>
                <w:color w:val="auto"/>
                <w:sz w:val="18"/>
                <w:szCs w:val="18"/>
              </w:rPr>
            </w:pPr>
            <w:r w:rsidRPr="00F5767F">
              <w:rPr>
                <w:rFonts w:cs="Arial"/>
                <w:color w:val="auto"/>
                <w:sz w:val="18"/>
                <w:szCs w:val="18"/>
              </w:rPr>
              <w:t>201</w:t>
            </w:r>
            <w:r w:rsidR="00F5767F" w:rsidRPr="00F5767F">
              <w:rPr>
                <w:rFonts w:cs="Arial"/>
                <w:color w:val="auto"/>
                <w:sz w:val="18"/>
                <w:szCs w:val="18"/>
              </w:rPr>
              <w:t>7</w:t>
            </w:r>
            <w:r w:rsidRPr="00F5767F">
              <w:rPr>
                <w:rFonts w:cs="Arial"/>
                <w:color w:val="auto"/>
                <w:sz w:val="18"/>
                <w:szCs w:val="18"/>
              </w:rPr>
              <w:t>/1</w:t>
            </w:r>
            <w:r w:rsidR="00F5767F" w:rsidRPr="00F5767F">
              <w:rPr>
                <w:rFonts w:cs="Arial"/>
                <w:color w:val="auto"/>
                <w:sz w:val="18"/>
                <w:szCs w:val="18"/>
              </w:rPr>
              <w:t>8</w:t>
            </w:r>
          </w:p>
        </w:tc>
      </w:tr>
      <w:tr w:rsidR="00E451FD" w:rsidRPr="0005794A" w:rsidTr="00675CF1">
        <w:tc>
          <w:tcPr>
            <w:cnfStyle w:val="001000000000" w:firstRow="0" w:lastRow="0" w:firstColumn="1" w:lastColumn="0" w:oddVBand="0" w:evenVBand="0" w:oddHBand="0" w:evenHBand="0" w:firstRowFirstColumn="0" w:firstRowLastColumn="0" w:lastRowFirstColumn="0" w:lastRowLastColumn="0"/>
            <w:tcW w:w="3403" w:type="dxa"/>
            <w:tcBorders>
              <w:right w:val="none" w:sz="0" w:space="0" w:color="auto"/>
            </w:tcBorders>
            <w:shd w:val="clear" w:color="auto" w:fill="4BACC6" w:themeFill="accent5"/>
          </w:tcPr>
          <w:p w:rsidR="00235453" w:rsidRPr="00F5767F" w:rsidRDefault="00235453" w:rsidP="003326F2">
            <w:pPr>
              <w:widowControl w:val="0"/>
              <w:rPr>
                <w:rFonts w:cs="Arial"/>
                <w:b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4BACC6" w:themeFill="accent5"/>
          </w:tcPr>
          <w:p w:rsidR="00235453" w:rsidRPr="00F5767F" w:rsidRDefault="00235453" w:rsidP="00741B9C">
            <w:pPr>
              <w:widowControl w:val="0"/>
              <w:jc w:val="center"/>
              <w:rPr>
                <w:rFonts w:cs="Arial"/>
                <w:color w:val="auto"/>
                <w:sz w:val="20"/>
                <w:szCs w:val="20"/>
              </w:rPr>
            </w:pPr>
            <w:r w:rsidRPr="00F5767F">
              <w:rPr>
                <w:rFonts w:cs="Arial"/>
                <w:color w:val="auto"/>
                <w:sz w:val="20"/>
                <w:szCs w:val="20"/>
              </w:rPr>
              <w:t>£m</w:t>
            </w:r>
          </w:p>
        </w:tc>
        <w:tc>
          <w:tcPr>
            <w:tcW w:w="992" w:type="dxa"/>
            <w:shd w:val="clear" w:color="auto" w:fill="4BACC6" w:themeFill="accent5"/>
          </w:tcPr>
          <w:p w:rsidR="00235453" w:rsidRPr="00F5767F" w:rsidRDefault="00235453" w:rsidP="00741B9C">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5767F">
              <w:rPr>
                <w:rFonts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4BACC6" w:themeFill="accent5"/>
          </w:tcPr>
          <w:p w:rsidR="00235453" w:rsidRPr="00F5767F" w:rsidRDefault="00235453" w:rsidP="00741B9C">
            <w:pPr>
              <w:widowControl w:val="0"/>
              <w:jc w:val="center"/>
              <w:rPr>
                <w:rFonts w:cs="Arial"/>
                <w:color w:val="auto"/>
                <w:sz w:val="20"/>
                <w:szCs w:val="20"/>
              </w:rPr>
            </w:pPr>
            <w:r w:rsidRPr="00F5767F">
              <w:rPr>
                <w:rFonts w:cs="Arial"/>
                <w:color w:val="auto"/>
                <w:sz w:val="20"/>
                <w:szCs w:val="20"/>
              </w:rPr>
              <w:t>£m</w:t>
            </w:r>
          </w:p>
        </w:tc>
        <w:tc>
          <w:tcPr>
            <w:tcW w:w="992" w:type="dxa"/>
            <w:shd w:val="clear" w:color="auto" w:fill="4BACC6" w:themeFill="accent5"/>
          </w:tcPr>
          <w:p w:rsidR="00235453" w:rsidRPr="00F5767F" w:rsidRDefault="00235453" w:rsidP="00741B9C">
            <w:pPr>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5767F">
              <w:rPr>
                <w:rFonts w:cs="Arial"/>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shd w:val="clear" w:color="auto" w:fill="4BACC6" w:themeFill="accent5"/>
          </w:tcPr>
          <w:p w:rsidR="00235453" w:rsidRPr="00F5767F" w:rsidRDefault="00235453" w:rsidP="00741B9C">
            <w:pPr>
              <w:widowControl w:val="0"/>
              <w:jc w:val="center"/>
              <w:rPr>
                <w:rFonts w:cs="Arial"/>
                <w:color w:val="auto"/>
                <w:sz w:val="20"/>
                <w:szCs w:val="20"/>
              </w:rPr>
            </w:pPr>
            <w:r w:rsidRPr="00F5767F">
              <w:rPr>
                <w:rFonts w:cs="Arial"/>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1275" w:type="dxa"/>
            <w:tcBorders>
              <w:left w:val="none" w:sz="0" w:space="0" w:color="auto"/>
            </w:tcBorders>
            <w:shd w:val="clear" w:color="auto" w:fill="4BACC6" w:themeFill="accent5"/>
          </w:tcPr>
          <w:p w:rsidR="00235453" w:rsidRPr="00F5767F" w:rsidRDefault="00235453" w:rsidP="00741B9C">
            <w:pPr>
              <w:widowControl w:val="0"/>
              <w:jc w:val="center"/>
              <w:rPr>
                <w:rFonts w:cs="Arial"/>
                <w:b w:val="0"/>
                <w:color w:val="auto"/>
                <w:sz w:val="20"/>
                <w:szCs w:val="20"/>
              </w:rPr>
            </w:pPr>
            <w:r w:rsidRPr="00F5767F">
              <w:rPr>
                <w:rFonts w:cs="Arial"/>
                <w:b w:val="0"/>
                <w:color w:val="auto"/>
                <w:sz w:val="20"/>
                <w:szCs w:val="20"/>
              </w:rPr>
              <w:t>£m</w:t>
            </w:r>
          </w:p>
        </w:tc>
      </w:tr>
      <w:tr w:rsidR="00F5767F" w:rsidRPr="0005794A" w:rsidTr="00F5767F">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bottom w:val="none" w:sz="0" w:space="0" w:color="auto"/>
              <w:right w:val="none" w:sz="0" w:space="0" w:color="auto"/>
            </w:tcBorders>
          </w:tcPr>
          <w:p w:rsidR="00F5767F" w:rsidRPr="00F5767F" w:rsidRDefault="00F5767F" w:rsidP="00E451FD">
            <w:pPr>
              <w:widowControl w:val="0"/>
              <w:spacing w:after="0" w:line="240" w:lineRule="auto"/>
              <w:rPr>
                <w:rFonts w:cs="Arial"/>
                <w:b w:val="0"/>
                <w:color w:val="auto"/>
                <w:sz w:val="20"/>
                <w:szCs w:val="20"/>
              </w:rPr>
            </w:pPr>
            <w:r w:rsidRPr="00F5767F">
              <w:rPr>
                <w:rFonts w:cs="Arial"/>
                <w:b w:val="0"/>
                <w:color w:val="auto"/>
                <w:sz w:val="20"/>
                <w:szCs w:val="20"/>
              </w:rPr>
              <w:t>Income</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F5767F" w:rsidRPr="0063727F" w:rsidRDefault="00F5767F" w:rsidP="00F5767F">
            <w:pPr>
              <w:widowControl w:val="0"/>
              <w:spacing w:after="0" w:line="240" w:lineRule="auto"/>
              <w:jc w:val="center"/>
              <w:rPr>
                <w:rFonts w:cs="Arial"/>
                <w:color w:val="auto"/>
                <w:sz w:val="20"/>
                <w:szCs w:val="20"/>
              </w:rPr>
            </w:pPr>
            <w:r w:rsidRPr="0063727F">
              <w:rPr>
                <w:rFonts w:cs="Arial"/>
                <w:color w:val="auto"/>
                <w:sz w:val="20"/>
                <w:szCs w:val="20"/>
              </w:rPr>
              <w:t>(5.6)</w:t>
            </w:r>
          </w:p>
        </w:tc>
        <w:tc>
          <w:tcPr>
            <w:tcW w:w="992" w:type="dxa"/>
            <w:tcBorders>
              <w:top w:val="none" w:sz="0" w:space="0" w:color="auto"/>
              <w:bottom w:val="none" w:sz="0" w:space="0" w:color="auto"/>
            </w:tcBorders>
          </w:tcPr>
          <w:p w:rsidR="00F5767F" w:rsidRPr="0076042C" w:rsidRDefault="0076042C" w:rsidP="00065C6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6042C">
              <w:rPr>
                <w:rFonts w:cs="Arial"/>
                <w:b/>
                <w:color w:val="auto"/>
                <w:sz w:val="20"/>
                <w:szCs w:val="20"/>
              </w:rPr>
              <w:t>(7.0)</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(0.3)</w:t>
            </w:r>
          </w:p>
        </w:tc>
        <w:tc>
          <w:tcPr>
            <w:tcW w:w="992" w:type="dxa"/>
            <w:tcBorders>
              <w:top w:val="none" w:sz="0" w:space="0" w:color="auto"/>
              <w:bottom w:val="none" w:sz="0" w:space="0" w:color="auto"/>
            </w:tcBorders>
            <w:shd w:val="clear" w:color="auto" w:fill="auto"/>
          </w:tcPr>
          <w:p w:rsidR="00F5767F" w:rsidRPr="00F5767F" w:rsidRDefault="00C45851" w:rsidP="001C02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(0.1)</w:t>
            </w:r>
          </w:p>
        </w:tc>
        <w:tc>
          <w:tcPr>
            <w:cnfStyle w:val="000100000000" w:firstRow="0" w:lastRow="0" w:firstColumn="0" w:lastColumn="1" w:oddVBand="0" w:evenVBand="0" w:oddHBand="0" w:evenHBand="0" w:firstRowFirstColumn="0" w:firstRowLastColumn="0" w:lastRowFirstColumn="0" w:lastRowLastColumn="0"/>
            <w:tcW w:w="1275" w:type="dxa"/>
            <w:tcBorders>
              <w:top w:val="none" w:sz="0" w:space="0" w:color="auto"/>
              <w:left w:val="none" w:sz="0" w:space="0" w:color="auto"/>
              <w:bottom w:val="none" w:sz="0" w:space="0" w:color="auto"/>
            </w:tcBorders>
          </w:tcPr>
          <w:p w:rsidR="00F5767F" w:rsidRPr="00F5767F" w:rsidRDefault="002B43AD" w:rsidP="00E451FD">
            <w:pPr>
              <w:widowControl w:val="0"/>
              <w:spacing w:after="0" w:line="240" w:lineRule="auto"/>
              <w:jc w:val="center"/>
              <w:rPr>
                <w:rFonts w:cs="Arial"/>
                <w:color w:val="auto"/>
                <w:sz w:val="20"/>
                <w:szCs w:val="20"/>
              </w:rPr>
            </w:pPr>
            <w:r>
              <w:rPr>
                <w:rFonts w:cs="Arial"/>
                <w:color w:val="auto"/>
                <w:sz w:val="20"/>
                <w:szCs w:val="20"/>
              </w:rPr>
              <w:t>(0.1)</w:t>
            </w:r>
          </w:p>
        </w:tc>
      </w:tr>
      <w:tr w:rsidR="00F5767F" w:rsidRPr="0005794A" w:rsidTr="001C0235">
        <w:tc>
          <w:tcPr>
            <w:cnfStyle w:val="001000000000" w:firstRow="0" w:lastRow="0" w:firstColumn="1" w:lastColumn="0" w:oddVBand="0" w:evenVBand="0" w:oddHBand="0" w:evenHBand="0" w:firstRowFirstColumn="0" w:firstRowLastColumn="0" w:lastRowFirstColumn="0" w:lastRowLastColumn="0"/>
            <w:tcW w:w="3403" w:type="dxa"/>
            <w:tcBorders>
              <w:right w:val="none" w:sz="0" w:space="0" w:color="auto"/>
            </w:tcBorders>
          </w:tcPr>
          <w:p w:rsidR="00F5767F" w:rsidRPr="00F5767F" w:rsidRDefault="00F5767F" w:rsidP="00E451FD">
            <w:pPr>
              <w:widowControl w:val="0"/>
              <w:spacing w:after="0" w:line="240" w:lineRule="auto"/>
              <w:rPr>
                <w:rFonts w:cs="Arial"/>
                <w:b w:val="0"/>
                <w:color w:val="auto"/>
                <w:sz w:val="20"/>
                <w:szCs w:val="20"/>
              </w:rPr>
            </w:pPr>
            <w:r w:rsidRPr="00F5767F">
              <w:rPr>
                <w:rFonts w:cs="Arial"/>
                <w:b w:val="0"/>
                <w:color w:val="auto"/>
                <w:sz w:val="20"/>
                <w:szCs w:val="20"/>
              </w:rPr>
              <w:t>Expenditure</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F5767F" w:rsidRPr="0063727F" w:rsidRDefault="00F5767F" w:rsidP="00F5767F">
            <w:pPr>
              <w:widowControl w:val="0"/>
              <w:spacing w:after="0" w:line="240" w:lineRule="auto"/>
              <w:jc w:val="center"/>
              <w:rPr>
                <w:rFonts w:cs="Arial"/>
                <w:color w:val="auto"/>
                <w:sz w:val="20"/>
                <w:szCs w:val="20"/>
              </w:rPr>
            </w:pPr>
            <w:r w:rsidRPr="0063727F">
              <w:rPr>
                <w:rFonts w:cs="Arial"/>
                <w:color w:val="auto"/>
                <w:sz w:val="20"/>
                <w:szCs w:val="20"/>
              </w:rPr>
              <w:t>5.5</w:t>
            </w:r>
          </w:p>
        </w:tc>
        <w:tc>
          <w:tcPr>
            <w:tcW w:w="992" w:type="dxa"/>
          </w:tcPr>
          <w:p w:rsidR="00F5767F" w:rsidRPr="0076042C" w:rsidRDefault="0076042C" w:rsidP="004018B2">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6.8</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0.3</w:t>
            </w:r>
          </w:p>
        </w:tc>
        <w:tc>
          <w:tcPr>
            <w:tcW w:w="992" w:type="dxa"/>
            <w:shd w:val="clear" w:color="auto" w:fill="auto"/>
          </w:tcPr>
          <w:p w:rsidR="00F5767F" w:rsidRPr="00F5767F" w:rsidRDefault="00C45851" w:rsidP="00065C6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0.1</w:t>
            </w:r>
          </w:p>
        </w:tc>
        <w:tc>
          <w:tcPr>
            <w:cnfStyle w:val="000100000000" w:firstRow="0" w:lastRow="0" w:firstColumn="0" w:lastColumn="1" w:oddVBand="0" w:evenVBand="0" w:oddHBand="0" w:evenHBand="0" w:firstRowFirstColumn="0" w:firstRowLastColumn="0" w:lastRowFirstColumn="0" w:lastRowLastColumn="0"/>
            <w:tcW w:w="1275" w:type="dxa"/>
            <w:tcBorders>
              <w:left w:val="none" w:sz="0" w:space="0" w:color="auto"/>
            </w:tcBorders>
          </w:tcPr>
          <w:p w:rsidR="00F5767F" w:rsidRPr="00F5767F" w:rsidRDefault="002B43AD" w:rsidP="00E451FD">
            <w:pPr>
              <w:widowControl w:val="0"/>
              <w:spacing w:after="0" w:line="240" w:lineRule="auto"/>
              <w:jc w:val="center"/>
              <w:rPr>
                <w:rFonts w:cs="Arial"/>
                <w:color w:val="auto"/>
                <w:sz w:val="20"/>
                <w:szCs w:val="20"/>
              </w:rPr>
            </w:pPr>
            <w:r>
              <w:rPr>
                <w:rFonts w:cs="Arial"/>
                <w:color w:val="auto"/>
                <w:sz w:val="20"/>
                <w:szCs w:val="20"/>
              </w:rPr>
              <w:t>0.1</w:t>
            </w:r>
          </w:p>
        </w:tc>
      </w:tr>
      <w:tr w:rsidR="00F5767F" w:rsidRPr="0005794A" w:rsidTr="001C0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bottom w:val="none" w:sz="0" w:space="0" w:color="auto"/>
              <w:right w:val="none" w:sz="0" w:space="0" w:color="auto"/>
            </w:tcBorders>
          </w:tcPr>
          <w:p w:rsidR="00F5767F" w:rsidRPr="00F5767F" w:rsidRDefault="00F5767F" w:rsidP="004018B2">
            <w:pPr>
              <w:widowControl w:val="0"/>
              <w:spacing w:after="0" w:line="240" w:lineRule="auto"/>
              <w:rPr>
                <w:rFonts w:cs="Arial"/>
                <w:color w:val="auto"/>
                <w:sz w:val="20"/>
                <w:szCs w:val="20"/>
              </w:rPr>
            </w:pPr>
            <w:r w:rsidRPr="00F5767F">
              <w:rPr>
                <w:rFonts w:cs="Arial"/>
                <w:color w:val="auto"/>
                <w:sz w:val="20"/>
                <w:szCs w:val="20"/>
              </w:rPr>
              <w:t xml:space="preserve">Operating </w:t>
            </w:r>
            <w:r w:rsidR="004018B2">
              <w:rPr>
                <w:rFonts w:cs="Arial"/>
                <w:color w:val="auto"/>
                <w:sz w:val="20"/>
                <w:szCs w:val="20"/>
              </w:rPr>
              <w:t>(</w:t>
            </w:r>
            <w:r w:rsidRPr="00F5767F">
              <w:rPr>
                <w:rFonts w:cs="Arial"/>
                <w:color w:val="auto"/>
                <w:sz w:val="20"/>
                <w:szCs w:val="20"/>
              </w:rPr>
              <w:t>Profit) or loss</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F5767F" w:rsidRPr="0063727F" w:rsidRDefault="0063727F" w:rsidP="00F5767F">
            <w:pPr>
              <w:widowControl w:val="0"/>
              <w:spacing w:after="0" w:line="240" w:lineRule="auto"/>
              <w:jc w:val="center"/>
              <w:rPr>
                <w:rFonts w:cs="Arial"/>
                <w:color w:val="auto"/>
                <w:sz w:val="20"/>
                <w:szCs w:val="20"/>
              </w:rPr>
            </w:pPr>
            <w:r w:rsidRPr="0063727F">
              <w:rPr>
                <w:rFonts w:cs="Arial"/>
                <w:color w:val="auto"/>
                <w:sz w:val="20"/>
                <w:szCs w:val="20"/>
              </w:rPr>
              <w:t>(</w:t>
            </w:r>
            <w:r w:rsidR="00F5767F" w:rsidRPr="0063727F">
              <w:rPr>
                <w:rFonts w:cs="Arial"/>
                <w:color w:val="auto"/>
                <w:sz w:val="20"/>
                <w:szCs w:val="20"/>
              </w:rPr>
              <w:t>0.1</w:t>
            </w:r>
            <w:r w:rsidRPr="0063727F">
              <w:rPr>
                <w:rFonts w:cs="Arial"/>
                <w:color w:val="auto"/>
                <w:sz w:val="20"/>
                <w:szCs w:val="20"/>
              </w:rPr>
              <w:t>)</w:t>
            </w:r>
          </w:p>
        </w:tc>
        <w:tc>
          <w:tcPr>
            <w:tcW w:w="992" w:type="dxa"/>
            <w:tcBorders>
              <w:top w:val="none" w:sz="0" w:space="0" w:color="auto"/>
              <w:bottom w:val="none" w:sz="0" w:space="0" w:color="auto"/>
            </w:tcBorders>
          </w:tcPr>
          <w:p w:rsidR="00F5767F" w:rsidRPr="0076042C" w:rsidRDefault="004018B2" w:rsidP="00065C6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w:t>
            </w:r>
            <w:r w:rsidR="0076042C">
              <w:rPr>
                <w:rFonts w:cs="Arial"/>
                <w:b/>
                <w:color w:val="auto"/>
                <w:sz w:val="20"/>
                <w:szCs w:val="20"/>
              </w:rPr>
              <w:t>0.2</w:t>
            </w: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tcW w:w="992" w:type="dxa"/>
            <w:tcBorders>
              <w:top w:val="none" w:sz="0" w:space="0" w:color="auto"/>
              <w:bottom w:val="none" w:sz="0" w:space="0" w:color="auto"/>
            </w:tcBorders>
            <w:shd w:val="clear" w:color="auto" w:fill="auto"/>
          </w:tcPr>
          <w:p w:rsidR="00F5767F" w:rsidRPr="00F5767F" w:rsidRDefault="00C45851" w:rsidP="001C02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Borders>
              <w:top w:val="none" w:sz="0" w:space="0" w:color="auto"/>
              <w:left w:val="none" w:sz="0" w:space="0" w:color="auto"/>
              <w:bottom w:val="none" w:sz="0" w:space="0" w:color="auto"/>
            </w:tcBorders>
          </w:tcPr>
          <w:p w:rsidR="00F5767F" w:rsidRPr="00F5767F" w:rsidRDefault="002B43AD" w:rsidP="00E451FD">
            <w:pPr>
              <w:widowControl w:val="0"/>
              <w:spacing w:after="0" w:line="240" w:lineRule="auto"/>
              <w:jc w:val="center"/>
              <w:rPr>
                <w:rFonts w:cs="Arial"/>
                <w:color w:val="auto"/>
                <w:sz w:val="20"/>
                <w:szCs w:val="20"/>
              </w:rPr>
            </w:pPr>
            <w:r>
              <w:rPr>
                <w:rFonts w:cs="Arial"/>
                <w:color w:val="auto"/>
                <w:sz w:val="20"/>
                <w:szCs w:val="20"/>
              </w:rPr>
              <w:t>0</w:t>
            </w:r>
          </w:p>
        </w:tc>
      </w:tr>
      <w:tr w:rsidR="00F5767F" w:rsidRPr="0005794A" w:rsidTr="001C0235">
        <w:tc>
          <w:tcPr>
            <w:cnfStyle w:val="001000000000" w:firstRow="0" w:lastRow="0" w:firstColumn="1" w:lastColumn="0" w:oddVBand="0" w:evenVBand="0" w:oddHBand="0" w:evenHBand="0" w:firstRowFirstColumn="0" w:firstRowLastColumn="0" w:lastRowFirstColumn="0" w:lastRowLastColumn="0"/>
            <w:tcW w:w="3403" w:type="dxa"/>
            <w:tcBorders>
              <w:right w:val="none" w:sz="0" w:space="0" w:color="auto"/>
            </w:tcBorders>
          </w:tcPr>
          <w:p w:rsidR="00F5767F" w:rsidRPr="00F5767F" w:rsidRDefault="00F5767F" w:rsidP="00E451FD">
            <w:pPr>
              <w:widowControl w:val="0"/>
              <w:spacing w:after="0" w:line="240" w:lineRule="auto"/>
              <w:rPr>
                <w:rFonts w:cs="Arial"/>
                <w:b w:val="0"/>
                <w:color w:val="auto"/>
                <w:sz w:val="20"/>
                <w:szCs w:val="20"/>
              </w:rPr>
            </w:pPr>
            <w:r w:rsidRPr="00F5767F">
              <w:rPr>
                <w:rFonts w:cs="Arial"/>
                <w:b w:val="0"/>
                <w:color w:val="auto"/>
                <w:sz w:val="20"/>
                <w:szCs w:val="20"/>
              </w:rPr>
              <w:t>Other Comprehensive Income</w:t>
            </w:r>
            <w:r w:rsidR="004018B2">
              <w:rPr>
                <w:rFonts w:cs="Arial"/>
                <w:b w:val="0"/>
                <w:color w:val="auto"/>
                <w:sz w:val="20"/>
                <w:szCs w:val="20"/>
              </w:rPr>
              <w:t xml:space="preserve"> and Expenditure</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F5767F" w:rsidRPr="0063727F" w:rsidRDefault="00F5767F" w:rsidP="0063727F">
            <w:pPr>
              <w:widowControl w:val="0"/>
              <w:spacing w:after="0" w:line="240" w:lineRule="auto"/>
              <w:jc w:val="center"/>
              <w:rPr>
                <w:rFonts w:cs="Arial"/>
                <w:color w:val="auto"/>
                <w:sz w:val="20"/>
                <w:szCs w:val="20"/>
              </w:rPr>
            </w:pPr>
            <w:r w:rsidRPr="0063727F">
              <w:rPr>
                <w:rFonts w:cs="Arial"/>
                <w:color w:val="auto"/>
                <w:sz w:val="20"/>
                <w:szCs w:val="20"/>
              </w:rPr>
              <w:t>0.2</w:t>
            </w:r>
          </w:p>
        </w:tc>
        <w:tc>
          <w:tcPr>
            <w:tcW w:w="992" w:type="dxa"/>
          </w:tcPr>
          <w:p w:rsidR="00F5767F" w:rsidRPr="0076042C" w:rsidRDefault="004018B2" w:rsidP="003B35C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0.</w:t>
            </w:r>
            <w:r w:rsidR="003B35C3">
              <w:rPr>
                <w:rFonts w:cs="Arial"/>
                <w:b/>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tcW w:w="992" w:type="dxa"/>
            <w:shd w:val="clear" w:color="auto" w:fill="auto"/>
          </w:tcPr>
          <w:p w:rsidR="00F5767F" w:rsidRPr="00F5767F" w:rsidRDefault="00C45851" w:rsidP="00065C6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Borders>
              <w:left w:val="none" w:sz="0" w:space="0" w:color="auto"/>
            </w:tcBorders>
          </w:tcPr>
          <w:p w:rsidR="00F5767F" w:rsidRPr="00F5767F" w:rsidRDefault="002B43AD" w:rsidP="00E451FD">
            <w:pPr>
              <w:widowControl w:val="0"/>
              <w:spacing w:after="0" w:line="240" w:lineRule="auto"/>
              <w:jc w:val="center"/>
              <w:rPr>
                <w:rFonts w:cs="Arial"/>
                <w:color w:val="auto"/>
                <w:sz w:val="20"/>
                <w:szCs w:val="20"/>
              </w:rPr>
            </w:pPr>
            <w:r>
              <w:rPr>
                <w:rFonts w:cs="Arial"/>
                <w:color w:val="auto"/>
                <w:sz w:val="20"/>
                <w:szCs w:val="20"/>
              </w:rPr>
              <w:t>0</w:t>
            </w:r>
          </w:p>
        </w:tc>
      </w:tr>
      <w:tr w:rsidR="00F5767F" w:rsidRPr="0005794A" w:rsidTr="001C0235">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bottom w:val="none" w:sz="0" w:space="0" w:color="auto"/>
              <w:right w:val="none" w:sz="0" w:space="0" w:color="auto"/>
            </w:tcBorders>
          </w:tcPr>
          <w:p w:rsidR="00F5767F" w:rsidRPr="00F5767F" w:rsidRDefault="00F5767F" w:rsidP="004018B2">
            <w:pPr>
              <w:widowControl w:val="0"/>
              <w:spacing w:after="0" w:line="240" w:lineRule="auto"/>
              <w:rPr>
                <w:rFonts w:cs="Arial"/>
                <w:b w:val="0"/>
                <w:color w:val="auto"/>
                <w:sz w:val="20"/>
                <w:szCs w:val="20"/>
              </w:rPr>
            </w:pPr>
            <w:r w:rsidRPr="00F5767F">
              <w:rPr>
                <w:rFonts w:cs="Arial"/>
                <w:b w:val="0"/>
                <w:color w:val="auto"/>
                <w:sz w:val="20"/>
                <w:szCs w:val="20"/>
              </w:rPr>
              <w:t xml:space="preserve">Actuarial </w:t>
            </w:r>
            <w:r w:rsidR="004018B2">
              <w:rPr>
                <w:rFonts w:cs="Arial"/>
                <w:b w:val="0"/>
                <w:color w:val="auto"/>
                <w:sz w:val="20"/>
                <w:szCs w:val="20"/>
              </w:rPr>
              <w:t>(</w:t>
            </w:r>
            <w:r w:rsidRPr="00F5767F">
              <w:rPr>
                <w:rFonts w:cs="Arial"/>
                <w:b w:val="0"/>
                <w:color w:val="auto"/>
                <w:sz w:val="20"/>
                <w:szCs w:val="20"/>
              </w:rPr>
              <w:t>gains</w:t>
            </w:r>
            <w:r w:rsidR="004018B2">
              <w:rPr>
                <w:rFonts w:cs="Arial"/>
                <w:b w:val="0"/>
                <w:color w:val="auto"/>
                <w:sz w:val="20"/>
                <w:szCs w:val="20"/>
              </w:rPr>
              <w:t>)</w:t>
            </w:r>
            <w:r w:rsidRPr="00F5767F">
              <w:rPr>
                <w:rFonts w:cs="Arial"/>
                <w:b w:val="0"/>
                <w:color w:val="auto"/>
                <w:sz w:val="20"/>
                <w:szCs w:val="20"/>
              </w:rPr>
              <w:t>/Losses recognised in the pension scheme</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F5767F" w:rsidRPr="0063727F" w:rsidRDefault="00F5767F" w:rsidP="0063727F">
            <w:pPr>
              <w:widowControl w:val="0"/>
              <w:spacing w:after="0" w:line="240" w:lineRule="auto"/>
              <w:jc w:val="center"/>
              <w:rPr>
                <w:rFonts w:cs="Arial"/>
                <w:color w:val="auto"/>
                <w:sz w:val="20"/>
                <w:szCs w:val="20"/>
              </w:rPr>
            </w:pPr>
            <w:r w:rsidRPr="0063727F">
              <w:rPr>
                <w:rFonts w:cs="Arial"/>
                <w:color w:val="auto"/>
                <w:sz w:val="20"/>
                <w:szCs w:val="20"/>
              </w:rPr>
              <w:t>1.7</w:t>
            </w:r>
          </w:p>
        </w:tc>
        <w:tc>
          <w:tcPr>
            <w:tcW w:w="992" w:type="dxa"/>
            <w:tcBorders>
              <w:top w:val="none" w:sz="0" w:space="0" w:color="auto"/>
              <w:bottom w:val="none" w:sz="0" w:space="0" w:color="auto"/>
            </w:tcBorders>
          </w:tcPr>
          <w:p w:rsidR="00F5767F" w:rsidRPr="0076042C" w:rsidRDefault="004018B2" w:rsidP="004018B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(0.7)</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(0.2)</w:t>
            </w:r>
          </w:p>
        </w:tc>
        <w:tc>
          <w:tcPr>
            <w:tcW w:w="992" w:type="dxa"/>
            <w:tcBorders>
              <w:top w:val="none" w:sz="0" w:space="0" w:color="auto"/>
              <w:bottom w:val="none" w:sz="0" w:space="0" w:color="auto"/>
            </w:tcBorders>
            <w:shd w:val="clear" w:color="auto" w:fill="auto"/>
          </w:tcPr>
          <w:p w:rsidR="00F5767F" w:rsidRPr="00F5767F" w:rsidRDefault="00C45851" w:rsidP="00065C6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Borders>
              <w:top w:val="none" w:sz="0" w:space="0" w:color="auto"/>
              <w:left w:val="none" w:sz="0" w:space="0" w:color="auto"/>
              <w:bottom w:val="none" w:sz="0" w:space="0" w:color="auto"/>
            </w:tcBorders>
          </w:tcPr>
          <w:p w:rsidR="00F5767F" w:rsidRPr="00F5767F" w:rsidRDefault="002B43AD" w:rsidP="00E451FD">
            <w:pPr>
              <w:widowControl w:val="0"/>
              <w:spacing w:after="0" w:line="240" w:lineRule="auto"/>
              <w:jc w:val="center"/>
              <w:rPr>
                <w:rFonts w:cs="Arial"/>
                <w:color w:val="auto"/>
                <w:sz w:val="20"/>
                <w:szCs w:val="20"/>
              </w:rPr>
            </w:pPr>
            <w:r>
              <w:rPr>
                <w:rFonts w:cs="Arial"/>
                <w:color w:val="auto"/>
                <w:sz w:val="20"/>
                <w:szCs w:val="20"/>
              </w:rPr>
              <w:t>0</w:t>
            </w:r>
          </w:p>
        </w:tc>
      </w:tr>
      <w:tr w:rsidR="00F5767F" w:rsidRPr="0005794A" w:rsidTr="001C0235">
        <w:tc>
          <w:tcPr>
            <w:cnfStyle w:val="001000000000" w:firstRow="0" w:lastRow="0" w:firstColumn="1" w:lastColumn="0" w:oddVBand="0" w:evenVBand="0" w:oddHBand="0" w:evenHBand="0" w:firstRowFirstColumn="0" w:firstRowLastColumn="0" w:lastRowFirstColumn="0" w:lastRowLastColumn="0"/>
            <w:tcW w:w="3403" w:type="dxa"/>
            <w:tcBorders>
              <w:right w:val="none" w:sz="0" w:space="0" w:color="auto"/>
            </w:tcBorders>
          </w:tcPr>
          <w:p w:rsidR="00F5767F" w:rsidRPr="00F5767F" w:rsidRDefault="00F5767F" w:rsidP="00E451FD">
            <w:pPr>
              <w:widowControl w:val="0"/>
              <w:spacing w:after="0" w:line="240" w:lineRule="auto"/>
              <w:rPr>
                <w:rFonts w:cs="Arial"/>
                <w:b w:val="0"/>
                <w:color w:val="auto"/>
                <w:sz w:val="20"/>
                <w:szCs w:val="20"/>
              </w:rPr>
            </w:pPr>
            <w:r w:rsidRPr="00F5767F">
              <w:rPr>
                <w:rFonts w:cs="Arial"/>
                <w:b w:val="0"/>
                <w:color w:val="auto"/>
                <w:sz w:val="20"/>
                <w:szCs w:val="20"/>
              </w:rPr>
              <w:t>Taxation (including deferred)</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F5767F" w:rsidRPr="0063727F" w:rsidRDefault="00F5767F" w:rsidP="00F5767F">
            <w:pPr>
              <w:widowControl w:val="0"/>
              <w:spacing w:after="0" w:line="240" w:lineRule="auto"/>
              <w:jc w:val="center"/>
              <w:rPr>
                <w:rFonts w:cs="Arial"/>
                <w:color w:val="auto"/>
                <w:sz w:val="20"/>
                <w:szCs w:val="20"/>
              </w:rPr>
            </w:pPr>
            <w:r w:rsidRPr="0063727F">
              <w:rPr>
                <w:rFonts w:cs="Arial"/>
                <w:color w:val="auto"/>
                <w:sz w:val="20"/>
                <w:szCs w:val="20"/>
              </w:rPr>
              <w:t>0</w:t>
            </w:r>
          </w:p>
        </w:tc>
        <w:tc>
          <w:tcPr>
            <w:tcW w:w="992" w:type="dxa"/>
          </w:tcPr>
          <w:p w:rsidR="00F5767F" w:rsidRPr="0076042C" w:rsidRDefault="004018B2" w:rsidP="00065C6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tcW w:w="992" w:type="dxa"/>
            <w:shd w:val="clear" w:color="auto" w:fill="auto"/>
          </w:tcPr>
          <w:p w:rsidR="00F5767F" w:rsidRPr="00F5767F" w:rsidRDefault="00C45851" w:rsidP="00065C6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Borders>
              <w:left w:val="none" w:sz="0" w:space="0" w:color="auto"/>
            </w:tcBorders>
          </w:tcPr>
          <w:p w:rsidR="00F5767F" w:rsidRPr="00F5767F" w:rsidRDefault="002B43AD" w:rsidP="00E451FD">
            <w:pPr>
              <w:widowControl w:val="0"/>
              <w:spacing w:after="0" w:line="240" w:lineRule="auto"/>
              <w:jc w:val="center"/>
              <w:rPr>
                <w:rFonts w:cs="Arial"/>
                <w:color w:val="auto"/>
                <w:sz w:val="20"/>
                <w:szCs w:val="20"/>
              </w:rPr>
            </w:pPr>
            <w:r>
              <w:rPr>
                <w:rFonts w:cs="Arial"/>
                <w:color w:val="auto"/>
                <w:sz w:val="20"/>
                <w:szCs w:val="20"/>
              </w:rPr>
              <w:t>0</w:t>
            </w:r>
          </w:p>
        </w:tc>
      </w:tr>
      <w:tr w:rsidR="00F5767F" w:rsidRPr="0005794A" w:rsidTr="001C0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bottom w:val="none" w:sz="0" w:space="0" w:color="auto"/>
              <w:right w:val="none" w:sz="0" w:space="0" w:color="auto"/>
            </w:tcBorders>
          </w:tcPr>
          <w:p w:rsidR="00F5767F" w:rsidRPr="00F5767F" w:rsidRDefault="00F5767F" w:rsidP="00E451FD">
            <w:pPr>
              <w:widowControl w:val="0"/>
              <w:spacing w:after="0" w:line="240" w:lineRule="auto"/>
              <w:rPr>
                <w:rFonts w:cs="Arial"/>
                <w:color w:val="auto"/>
                <w:sz w:val="20"/>
                <w:szCs w:val="20"/>
              </w:rPr>
            </w:pPr>
            <w:r w:rsidRPr="00F5767F">
              <w:rPr>
                <w:rFonts w:cs="Arial"/>
                <w:color w:val="auto"/>
                <w:sz w:val="20"/>
                <w:szCs w:val="20"/>
              </w:rPr>
              <w:t>Total (Profit) or loss</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F5767F" w:rsidRPr="0063727F" w:rsidRDefault="00F5767F" w:rsidP="0063727F">
            <w:pPr>
              <w:widowControl w:val="0"/>
              <w:spacing w:after="0" w:line="240" w:lineRule="auto"/>
              <w:jc w:val="center"/>
              <w:rPr>
                <w:rFonts w:cs="Arial"/>
                <w:color w:val="auto"/>
                <w:sz w:val="20"/>
                <w:szCs w:val="20"/>
              </w:rPr>
            </w:pPr>
            <w:r w:rsidRPr="0063727F">
              <w:rPr>
                <w:rFonts w:cs="Arial"/>
                <w:color w:val="auto"/>
                <w:sz w:val="20"/>
                <w:szCs w:val="20"/>
              </w:rPr>
              <w:t>1.8</w:t>
            </w:r>
          </w:p>
        </w:tc>
        <w:tc>
          <w:tcPr>
            <w:tcW w:w="992" w:type="dxa"/>
            <w:tcBorders>
              <w:top w:val="none" w:sz="0" w:space="0" w:color="auto"/>
              <w:bottom w:val="none" w:sz="0" w:space="0" w:color="auto"/>
            </w:tcBorders>
          </w:tcPr>
          <w:p w:rsidR="00F5767F" w:rsidRPr="0076042C" w:rsidRDefault="004018B2" w:rsidP="003B35C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(0.</w:t>
            </w:r>
            <w:r w:rsidR="003B35C3">
              <w:rPr>
                <w:rFonts w:cs="Arial"/>
                <w:b/>
                <w:color w:val="auto"/>
                <w:sz w:val="20"/>
                <w:szCs w:val="20"/>
              </w:rPr>
              <w:t>4</w:t>
            </w: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(0.2)</w:t>
            </w:r>
          </w:p>
        </w:tc>
        <w:tc>
          <w:tcPr>
            <w:tcW w:w="992" w:type="dxa"/>
            <w:tcBorders>
              <w:top w:val="none" w:sz="0" w:space="0" w:color="auto"/>
              <w:bottom w:val="none" w:sz="0" w:space="0" w:color="auto"/>
            </w:tcBorders>
            <w:shd w:val="clear" w:color="auto" w:fill="auto"/>
          </w:tcPr>
          <w:p w:rsidR="00F5767F" w:rsidRPr="00F5767F" w:rsidRDefault="00C45851" w:rsidP="00065C6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Borders>
              <w:top w:val="none" w:sz="0" w:space="0" w:color="auto"/>
              <w:left w:val="none" w:sz="0" w:space="0" w:color="auto"/>
              <w:bottom w:val="none" w:sz="0" w:space="0" w:color="auto"/>
            </w:tcBorders>
          </w:tcPr>
          <w:p w:rsidR="00F5767F" w:rsidRPr="00F5767F" w:rsidRDefault="002B43AD" w:rsidP="00E451FD">
            <w:pPr>
              <w:widowControl w:val="0"/>
              <w:spacing w:after="0" w:line="240" w:lineRule="auto"/>
              <w:jc w:val="center"/>
              <w:rPr>
                <w:rFonts w:cs="Arial"/>
                <w:color w:val="auto"/>
                <w:sz w:val="20"/>
                <w:szCs w:val="20"/>
              </w:rPr>
            </w:pPr>
            <w:r>
              <w:rPr>
                <w:rFonts w:cs="Arial"/>
                <w:color w:val="auto"/>
                <w:sz w:val="20"/>
                <w:szCs w:val="20"/>
              </w:rPr>
              <w:t>0</w:t>
            </w:r>
          </w:p>
        </w:tc>
      </w:tr>
      <w:tr w:rsidR="00F5767F" w:rsidRPr="0005794A" w:rsidTr="001C0235">
        <w:tc>
          <w:tcPr>
            <w:cnfStyle w:val="001000000000" w:firstRow="0" w:lastRow="0" w:firstColumn="1" w:lastColumn="0" w:oddVBand="0" w:evenVBand="0" w:oddHBand="0" w:evenHBand="0" w:firstRowFirstColumn="0" w:firstRowLastColumn="0" w:lastRowFirstColumn="0" w:lastRowLastColumn="0"/>
            <w:tcW w:w="3403" w:type="dxa"/>
            <w:tcBorders>
              <w:right w:val="none" w:sz="0" w:space="0" w:color="auto"/>
            </w:tcBorders>
          </w:tcPr>
          <w:p w:rsidR="00F5767F" w:rsidRPr="00F5767F" w:rsidRDefault="00F5767F" w:rsidP="00E451FD">
            <w:pPr>
              <w:widowControl w:val="0"/>
              <w:spacing w:after="0" w:line="240" w:lineRule="auto"/>
              <w:rPr>
                <w:rFonts w:cs="Arial"/>
                <w:color w:val="auto"/>
                <w:sz w:val="20"/>
                <w:szCs w:val="20"/>
              </w:rPr>
            </w:pPr>
            <w:r w:rsidRPr="00F5767F">
              <w:rPr>
                <w:rFonts w:cs="Arial"/>
                <w:color w:val="auto"/>
                <w:sz w:val="20"/>
                <w:szCs w:val="20"/>
              </w:rPr>
              <w:t>Assets</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tcPr>
          <w:p w:rsidR="00F5767F" w:rsidRPr="0063727F" w:rsidRDefault="00F5767F" w:rsidP="00F5767F">
            <w:pPr>
              <w:widowControl w:val="0"/>
              <w:spacing w:after="0" w:line="240" w:lineRule="auto"/>
              <w:jc w:val="center"/>
              <w:rPr>
                <w:rFonts w:cs="Arial"/>
                <w:color w:val="auto"/>
                <w:sz w:val="20"/>
                <w:szCs w:val="20"/>
              </w:rPr>
            </w:pPr>
            <w:r w:rsidRPr="0063727F">
              <w:rPr>
                <w:rFonts w:cs="Arial"/>
                <w:color w:val="auto"/>
                <w:sz w:val="20"/>
                <w:szCs w:val="20"/>
              </w:rPr>
              <w:t>9.2</w:t>
            </w:r>
          </w:p>
        </w:tc>
        <w:tc>
          <w:tcPr>
            <w:tcW w:w="992" w:type="dxa"/>
          </w:tcPr>
          <w:p w:rsidR="00F5767F" w:rsidRPr="0076042C" w:rsidRDefault="004018B2" w:rsidP="00065C6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9.7</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tcW w:w="992" w:type="dxa"/>
            <w:shd w:val="clear" w:color="auto" w:fill="auto"/>
          </w:tcPr>
          <w:p w:rsidR="00F5767F" w:rsidRPr="00F5767F" w:rsidRDefault="00C45851" w:rsidP="00065C6D">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Borders>
              <w:left w:val="none" w:sz="0" w:space="0" w:color="auto"/>
            </w:tcBorders>
          </w:tcPr>
          <w:p w:rsidR="00F5767F" w:rsidRPr="00F5767F" w:rsidRDefault="002B43AD" w:rsidP="00E451FD">
            <w:pPr>
              <w:widowControl w:val="0"/>
              <w:spacing w:after="0" w:line="240" w:lineRule="auto"/>
              <w:jc w:val="center"/>
              <w:rPr>
                <w:rFonts w:cs="Arial"/>
                <w:color w:val="auto"/>
                <w:sz w:val="20"/>
                <w:szCs w:val="20"/>
              </w:rPr>
            </w:pPr>
            <w:r>
              <w:rPr>
                <w:rFonts w:cs="Arial"/>
                <w:color w:val="auto"/>
                <w:sz w:val="20"/>
                <w:szCs w:val="20"/>
              </w:rPr>
              <w:t>0</w:t>
            </w:r>
          </w:p>
        </w:tc>
      </w:tr>
      <w:tr w:rsidR="00F5767F" w:rsidRPr="0005794A" w:rsidTr="001C0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Borders>
              <w:top w:val="none" w:sz="0" w:space="0" w:color="auto"/>
              <w:bottom w:val="none" w:sz="0" w:space="0" w:color="auto"/>
              <w:right w:val="none" w:sz="0" w:space="0" w:color="auto"/>
            </w:tcBorders>
          </w:tcPr>
          <w:p w:rsidR="00F5767F" w:rsidRPr="00F5767F" w:rsidRDefault="00F5767F" w:rsidP="00E451FD">
            <w:pPr>
              <w:widowControl w:val="0"/>
              <w:spacing w:after="0" w:line="240" w:lineRule="auto"/>
              <w:rPr>
                <w:rFonts w:cs="Arial"/>
                <w:color w:val="auto"/>
                <w:sz w:val="20"/>
                <w:szCs w:val="20"/>
              </w:rPr>
            </w:pPr>
            <w:r w:rsidRPr="00F5767F">
              <w:rPr>
                <w:rFonts w:cs="Arial"/>
                <w:color w:val="auto"/>
                <w:sz w:val="20"/>
                <w:szCs w:val="20"/>
              </w:rPr>
              <w:t>Liabilities</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tcPr>
          <w:p w:rsidR="00F5767F" w:rsidRPr="0063727F" w:rsidRDefault="00F5767F" w:rsidP="00F5767F">
            <w:pPr>
              <w:widowControl w:val="0"/>
              <w:spacing w:after="0" w:line="240" w:lineRule="auto"/>
              <w:jc w:val="center"/>
              <w:rPr>
                <w:rFonts w:cs="Arial"/>
                <w:color w:val="auto"/>
                <w:sz w:val="20"/>
                <w:szCs w:val="20"/>
              </w:rPr>
            </w:pPr>
            <w:r w:rsidRPr="0063727F">
              <w:rPr>
                <w:rFonts w:cs="Arial"/>
                <w:color w:val="auto"/>
                <w:sz w:val="20"/>
                <w:szCs w:val="20"/>
              </w:rPr>
              <w:t>(9.4)</w:t>
            </w:r>
          </w:p>
        </w:tc>
        <w:tc>
          <w:tcPr>
            <w:tcW w:w="992" w:type="dxa"/>
            <w:tcBorders>
              <w:top w:val="none" w:sz="0" w:space="0" w:color="auto"/>
              <w:bottom w:val="none" w:sz="0" w:space="0" w:color="auto"/>
            </w:tcBorders>
          </w:tcPr>
          <w:p w:rsidR="00F5767F" w:rsidRPr="0076042C" w:rsidRDefault="0076042C" w:rsidP="004018B2">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76042C">
              <w:rPr>
                <w:rFonts w:cs="Arial"/>
                <w:b/>
                <w:color w:val="auto"/>
                <w:sz w:val="20"/>
                <w:szCs w:val="20"/>
              </w:rPr>
              <w:t>(9.</w:t>
            </w:r>
            <w:r w:rsidR="004018B2">
              <w:rPr>
                <w:rFonts w:cs="Arial"/>
                <w:b/>
                <w:color w:val="auto"/>
                <w:sz w:val="20"/>
                <w:szCs w:val="20"/>
              </w:rPr>
              <w:t>3</w:t>
            </w:r>
            <w:r w:rsidRPr="0076042C">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tcW w:w="992" w:type="dxa"/>
            <w:tcBorders>
              <w:top w:val="none" w:sz="0" w:space="0" w:color="auto"/>
              <w:bottom w:val="none" w:sz="0" w:space="0" w:color="auto"/>
            </w:tcBorders>
            <w:shd w:val="clear" w:color="auto" w:fill="auto"/>
          </w:tcPr>
          <w:p w:rsidR="00F5767F" w:rsidRPr="00F5767F" w:rsidRDefault="00C45851" w:rsidP="00065C6D">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F5767F" w:rsidRPr="00F5767F" w:rsidRDefault="00F5767F" w:rsidP="00F5767F">
            <w:pPr>
              <w:widowControl w:val="0"/>
              <w:spacing w:after="0" w:line="240" w:lineRule="auto"/>
              <w:jc w:val="center"/>
              <w:rPr>
                <w:rFonts w:cs="Arial"/>
                <w:color w:val="auto"/>
                <w:sz w:val="20"/>
                <w:szCs w:val="20"/>
              </w:rPr>
            </w:pPr>
            <w:r w:rsidRPr="00F5767F">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275" w:type="dxa"/>
            <w:tcBorders>
              <w:top w:val="none" w:sz="0" w:space="0" w:color="auto"/>
              <w:left w:val="none" w:sz="0" w:space="0" w:color="auto"/>
              <w:bottom w:val="none" w:sz="0" w:space="0" w:color="auto"/>
            </w:tcBorders>
          </w:tcPr>
          <w:p w:rsidR="00F5767F" w:rsidRPr="00F5767F" w:rsidRDefault="002B43AD" w:rsidP="00E451FD">
            <w:pPr>
              <w:widowControl w:val="0"/>
              <w:spacing w:after="0" w:line="240" w:lineRule="auto"/>
              <w:jc w:val="center"/>
              <w:rPr>
                <w:rFonts w:cs="Arial"/>
                <w:color w:val="auto"/>
                <w:sz w:val="20"/>
                <w:szCs w:val="20"/>
              </w:rPr>
            </w:pPr>
            <w:r>
              <w:rPr>
                <w:rFonts w:cs="Arial"/>
                <w:color w:val="auto"/>
                <w:sz w:val="20"/>
                <w:szCs w:val="20"/>
              </w:rPr>
              <w:t>0</w:t>
            </w:r>
          </w:p>
        </w:tc>
      </w:tr>
      <w:tr w:rsidR="00F5767F" w:rsidRPr="0005794A" w:rsidTr="001C023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403" w:type="dxa"/>
            <w:tcBorders>
              <w:top w:val="none" w:sz="0" w:space="0" w:color="auto"/>
              <w:right w:val="none" w:sz="0" w:space="0" w:color="auto"/>
            </w:tcBorders>
          </w:tcPr>
          <w:p w:rsidR="00F5767F" w:rsidRPr="00F5767F" w:rsidRDefault="00F5767F" w:rsidP="00E451FD">
            <w:pPr>
              <w:widowControl w:val="0"/>
              <w:spacing w:after="0" w:line="240" w:lineRule="auto"/>
              <w:rPr>
                <w:rFonts w:cs="Arial"/>
                <w:color w:val="auto"/>
                <w:sz w:val="20"/>
                <w:szCs w:val="20"/>
              </w:rPr>
            </w:pPr>
            <w:r w:rsidRPr="00F5767F">
              <w:rPr>
                <w:rFonts w:cs="Arial"/>
                <w:color w:val="auto"/>
                <w:sz w:val="20"/>
                <w:szCs w:val="20"/>
              </w:rPr>
              <w:t>Total Net Assets</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right w:val="none" w:sz="0" w:space="0" w:color="auto"/>
            </w:tcBorders>
          </w:tcPr>
          <w:p w:rsidR="00F5767F" w:rsidRPr="0063727F" w:rsidRDefault="00F5767F" w:rsidP="00F5767F">
            <w:pPr>
              <w:widowControl w:val="0"/>
              <w:spacing w:after="0" w:line="240" w:lineRule="auto"/>
              <w:jc w:val="center"/>
              <w:rPr>
                <w:rFonts w:cs="Arial"/>
                <w:b w:val="0"/>
                <w:color w:val="auto"/>
                <w:sz w:val="20"/>
                <w:szCs w:val="20"/>
              </w:rPr>
            </w:pPr>
            <w:r w:rsidRPr="0063727F">
              <w:rPr>
                <w:rFonts w:cs="Arial"/>
                <w:b w:val="0"/>
                <w:color w:val="auto"/>
                <w:sz w:val="20"/>
                <w:szCs w:val="20"/>
              </w:rPr>
              <w:t>(0.2)</w:t>
            </w:r>
          </w:p>
        </w:tc>
        <w:tc>
          <w:tcPr>
            <w:tcW w:w="992" w:type="dxa"/>
            <w:tcBorders>
              <w:top w:val="none" w:sz="0" w:space="0" w:color="auto"/>
            </w:tcBorders>
          </w:tcPr>
          <w:p w:rsidR="00F5767F" w:rsidRPr="0076042C" w:rsidRDefault="0076042C" w:rsidP="004018B2">
            <w:pPr>
              <w:widowControl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rPr>
            </w:pPr>
            <w:r w:rsidRPr="0076042C">
              <w:rPr>
                <w:rFonts w:cs="Arial"/>
                <w:color w:val="auto"/>
                <w:sz w:val="20"/>
                <w:szCs w:val="20"/>
              </w:rPr>
              <w:t>0.</w:t>
            </w:r>
            <w:r w:rsidR="004018B2">
              <w:rPr>
                <w:rFonts w:cs="Arial"/>
                <w:color w:val="auto"/>
                <w:sz w:val="20"/>
                <w:szCs w:val="20"/>
              </w:rPr>
              <w:t>4</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right w:val="none" w:sz="0" w:space="0" w:color="auto"/>
            </w:tcBorders>
          </w:tcPr>
          <w:p w:rsidR="00F5767F" w:rsidRPr="00F5767F" w:rsidRDefault="00F5767F" w:rsidP="00F5767F">
            <w:pPr>
              <w:widowControl w:val="0"/>
              <w:spacing w:after="0" w:line="240" w:lineRule="auto"/>
              <w:jc w:val="center"/>
              <w:rPr>
                <w:rFonts w:cs="Arial"/>
                <w:b w:val="0"/>
                <w:color w:val="auto"/>
                <w:sz w:val="20"/>
                <w:szCs w:val="20"/>
              </w:rPr>
            </w:pPr>
            <w:r w:rsidRPr="00F5767F">
              <w:rPr>
                <w:rFonts w:cs="Arial"/>
                <w:b w:val="0"/>
                <w:color w:val="auto"/>
                <w:sz w:val="20"/>
                <w:szCs w:val="20"/>
              </w:rPr>
              <w:t>0</w:t>
            </w:r>
          </w:p>
        </w:tc>
        <w:tc>
          <w:tcPr>
            <w:tcW w:w="992" w:type="dxa"/>
            <w:tcBorders>
              <w:top w:val="none" w:sz="0" w:space="0" w:color="auto"/>
            </w:tcBorders>
            <w:shd w:val="clear" w:color="auto" w:fill="auto"/>
          </w:tcPr>
          <w:p w:rsidR="00F5767F" w:rsidRPr="00F5767F" w:rsidRDefault="00C45851" w:rsidP="00065C6D">
            <w:pPr>
              <w:widowControl w:val="0"/>
              <w:spacing w:after="0" w:line="240" w:lineRule="auto"/>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right w:val="none" w:sz="0" w:space="0" w:color="auto"/>
            </w:tcBorders>
          </w:tcPr>
          <w:p w:rsidR="00F5767F" w:rsidRPr="002B43AD" w:rsidRDefault="00F5767F" w:rsidP="00F5767F">
            <w:pPr>
              <w:widowControl w:val="0"/>
              <w:spacing w:after="0" w:line="240" w:lineRule="auto"/>
              <w:jc w:val="center"/>
              <w:rPr>
                <w:rFonts w:cs="Arial"/>
                <w:b w:val="0"/>
                <w:color w:val="auto"/>
                <w:sz w:val="20"/>
                <w:szCs w:val="20"/>
              </w:rPr>
            </w:pPr>
            <w:r w:rsidRPr="002B43AD">
              <w:rPr>
                <w:rFonts w:cs="Arial"/>
                <w:b w:val="0"/>
                <w:color w:val="auto"/>
                <w:sz w:val="20"/>
                <w:szCs w:val="20"/>
              </w:rPr>
              <w:t>0</w:t>
            </w:r>
          </w:p>
        </w:tc>
        <w:tc>
          <w:tcPr>
            <w:cnfStyle w:val="000100000010" w:firstRow="0" w:lastRow="0" w:firstColumn="0" w:lastColumn="1" w:oddVBand="0" w:evenVBand="0" w:oddHBand="0" w:evenHBand="0" w:firstRowFirstColumn="0" w:firstRowLastColumn="0" w:lastRowFirstColumn="0" w:lastRowLastColumn="1"/>
            <w:tcW w:w="1275" w:type="dxa"/>
            <w:tcBorders>
              <w:top w:val="none" w:sz="0" w:space="0" w:color="auto"/>
              <w:left w:val="none" w:sz="0" w:space="0" w:color="auto"/>
            </w:tcBorders>
          </w:tcPr>
          <w:p w:rsidR="00F5767F" w:rsidRPr="00F5767F" w:rsidRDefault="002B43AD" w:rsidP="00E451FD">
            <w:pPr>
              <w:widowControl w:val="0"/>
              <w:spacing w:after="0" w:line="240" w:lineRule="auto"/>
              <w:jc w:val="center"/>
              <w:rPr>
                <w:rFonts w:cs="Arial"/>
                <w:color w:val="auto"/>
                <w:sz w:val="20"/>
                <w:szCs w:val="20"/>
              </w:rPr>
            </w:pPr>
            <w:r>
              <w:rPr>
                <w:rFonts w:cs="Arial"/>
                <w:color w:val="auto"/>
                <w:sz w:val="20"/>
                <w:szCs w:val="20"/>
              </w:rPr>
              <w:t>0</w:t>
            </w:r>
          </w:p>
        </w:tc>
      </w:tr>
    </w:tbl>
    <w:p w:rsidR="0076042C" w:rsidRDefault="0076042C" w:rsidP="00154CE1">
      <w:pPr>
        <w:pStyle w:val="ExampleSub"/>
        <w:keepNext w:val="0"/>
        <w:keepLines w:val="0"/>
        <w:spacing w:line="180" w:lineRule="atLeast"/>
        <w:ind w:left="0"/>
        <w:outlineLvl w:val="0"/>
        <w:rPr>
          <w:rFonts w:ascii="Arial" w:hAnsi="Arial" w:cs="Arial"/>
          <w:b w:val="0"/>
          <w:color w:val="auto"/>
          <w:sz w:val="18"/>
          <w:szCs w:val="18"/>
        </w:rPr>
      </w:pPr>
      <w:r w:rsidRPr="0076042C">
        <w:rPr>
          <w:rFonts w:ascii="Arial" w:hAnsi="Arial" w:cs="Arial"/>
          <w:b w:val="0"/>
          <w:color w:val="auto"/>
          <w:sz w:val="18"/>
          <w:szCs w:val="18"/>
        </w:rPr>
        <w:t>Note *: Torbay Economic Development Company limited for 2017/18 is the consolidated position including the company’s 100% owned subsidiary Complete Facilities Management Solutions Limited</w:t>
      </w:r>
    </w:p>
    <w:p w:rsidR="00154CE1" w:rsidRPr="0076042C" w:rsidRDefault="00154CE1" w:rsidP="00154CE1">
      <w:pPr>
        <w:pStyle w:val="ExampleSub"/>
        <w:keepNext w:val="0"/>
        <w:keepLines w:val="0"/>
        <w:spacing w:line="180" w:lineRule="atLeast"/>
        <w:ind w:left="0"/>
        <w:outlineLvl w:val="0"/>
        <w:rPr>
          <w:rFonts w:ascii="Arial" w:hAnsi="Arial" w:cs="Times New Roman"/>
          <w:bCs w:val="0"/>
          <w:color w:val="auto"/>
          <w:sz w:val="18"/>
          <w:szCs w:val="18"/>
          <w:lang w:eastAsia="en-US"/>
        </w:rPr>
      </w:pPr>
      <w:r w:rsidRPr="00802ABC">
        <w:rPr>
          <w:rFonts w:ascii="Arial" w:hAnsi="Arial" w:cs="Arial"/>
          <w:b w:val="0"/>
          <w:color w:val="auto"/>
          <w:sz w:val="18"/>
          <w:szCs w:val="18"/>
        </w:rPr>
        <w:t xml:space="preserve">Note ** English Riviera </w:t>
      </w:r>
      <w:proofErr w:type="spellStart"/>
      <w:r w:rsidRPr="00802ABC">
        <w:rPr>
          <w:rFonts w:ascii="Arial" w:hAnsi="Arial" w:cs="Arial"/>
          <w:b w:val="0"/>
          <w:color w:val="auto"/>
          <w:sz w:val="18"/>
          <w:szCs w:val="18"/>
        </w:rPr>
        <w:t>Toursim</w:t>
      </w:r>
      <w:proofErr w:type="spellEnd"/>
      <w:r w:rsidRPr="00802ABC">
        <w:rPr>
          <w:rFonts w:ascii="Arial" w:hAnsi="Arial" w:cs="Arial"/>
          <w:b w:val="0"/>
          <w:color w:val="auto"/>
          <w:sz w:val="18"/>
          <w:szCs w:val="18"/>
        </w:rPr>
        <w:t xml:space="preserve"> Co Ltd this company is now dormant and was not trading in 2017/18.</w:t>
      </w:r>
    </w:p>
    <w:p w:rsidR="0009755C" w:rsidRPr="00C45851" w:rsidRDefault="0009755C" w:rsidP="00546B1B">
      <w:pPr>
        <w:pStyle w:val="ExampleSub"/>
        <w:keepNext w:val="0"/>
        <w:keepLines w:val="0"/>
        <w:ind w:left="0" w:firstLine="567"/>
        <w:outlineLvl w:val="0"/>
        <w:rPr>
          <w:rFonts w:ascii="Arial" w:hAnsi="Arial" w:cs="Times New Roman"/>
          <w:bCs w:val="0"/>
          <w:color w:val="auto"/>
          <w:sz w:val="21"/>
          <w:szCs w:val="21"/>
          <w:lang w:eastAsia="en-US"/>
        </w:rPr>
      </w:pPr>
      <w:r w:rsidRPr="00C45851">
        <w:rPr>
          <w:rFonts w:ascii="Arial" w:hAnsi="Arial" w:cs="Times New Roman"/>
          <w:bCs w:val="0"/>
          <w:color w:val="auto"/>
          <w:sz w:val="21"/>
          <w:szCs w:val="21"/>
          <w:lang w:eastAsia="en-US"/>
        </w:rPr>
        <w:t>Summary financial information of Associate Companies</w:t>
      </w:r>
    </w:p>
    <w:p w:rsidR="0009755C" w:rsidRDefault="0009755C" w:rsidP="0009755C">
      <w:pPr>
        <w:pStyle w:val="ExampleSub"/>
        <w:keepNext w:val="0"/>
        <w:keepLines w:val="0"/>
        <w:outlineLvl w:val="0"/>
        <w:rPr>
          <w:rFonts w:ascii="Arial" w:hAnsi="Arial" w:cs="Arial"/>
          <w:b w:val="0"/>
          <w:color w:val="auto"/>
          <w:sz w:val="20"/>
          <w:szCs w:val="20"/>
        </w:rPr>
      </w:pPr>
      <w:r w:rsidRPr="00C45851">
        <w:rPr>
          <w:rFonts w:ascii="Arial" w:hAnsi="Arial" w:cs="Arial"/>
          <w:b w:val="0"/>
          <w:color w:val="auto"/>
          <w:sz w:val="20"/>
          <w:szCs w:val="20"/>
        </w:rPr>
        <w:t xml:space="preserve">This table lists summary information about the Council’s interest in associate companies and its relationship with them in terms of ownership and trading. </w:t>
      </w:r>
    </w:p>
    <w:p w:rsidR="00C45851" w:rsidRPr="00C45851" w:rsidRDefault="00C45851" w:rsidP="0009755C">
      <w:pPr>
        <w:pStyle w:val="ExampleSub"/>
        <w:keepNext w:val="0"/>
        <w:keepLines w:val="0"/>
        <w:outlineLvl w:val="0"/>
        <w:rPr>
          <w:rFonts w:ascii="Arial" w:hAnsi="Arial" w:cs="Arial"/>
          <w:b w:val="0"/>
          <w:color w:val="auto"/>
          <w:sz w:val="20"/>
          <w:szCs w:val="20"/>
        </w:rPr>
      </w:pPr>
    </w:p>
    <w:tbl>
      <w:tblPr>
        <w:tblStyle w:val="ListTable3-Accent51"/>
        <w:tblW w:w="7621" w:type="dxa"/>
        <w:tblInd w:w="706" w:type="dxa"/>
        <w:tblBorders>
          <w:insideH w:val="single" w:sz="4" w:space="0" w:color="4BACC6" w:themeColor="accent5"/>
          <w:insideV w:val="single" w:sz="4" w:space="0" w:color="4BACC6" w:themeColor="accent5"/>
        </w:tblBorders>
        <w:tblLayout w:type="fixed"/>
        <w:tblLook w:val="01E0" w:firstRow="1" w:lastRow="1" w:firstColumn="1" w:lastColumn="1" w:noHBand="0" w:noVBand="0"/>
      </w:tblPr>
      <w:tblGrid>
        <w:gridCol w:w="3369"/>
        <w:gridCol w:w="850"/>
        <w:gridCol w:w="1134"/>
        <w:gridCol w:w="1134"/>
        <w:gridCol w:w="1134"/>
      </w:tblGrid>
      <w:tr w:rsidR="00315C3E" w:rsidRPr="0005794A" w:rsidTr="00FB6D2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69" w:type="dxa"/>
          </w:tcPr>
          <w:p w:rsidR="00315C3E" w:rsidRPr="0005794A" w:rsidRDefault="00315C3E" w:rsidP="00E451FD">
            <w:pPr>
              <w:widowControl w:val="0"/>
              <w:spacing w:after="0"/>
              <w:rPr>
                <w:rFonts w:cs="Arial"/>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1984" w:type="dxa"/>
            <w:gridSpan w:val="2"/>
          </w:tcPr>
          <w:p w:rsidR="00315C3E" w:rsidRPr="00A545A5" w:rsidRDefault="00315C3E" w:rsidP="00E451FD">
            <w:pPr>
              <w:widowControl w:val="0"/>
              <w:spacing w:after="0"/>
              <w:jc w:val="center"/>
              <w:rPr>
                <w:rFonts w:cs="Arial"/>
                <w:color w:val="auto"/>
                <w:sz w:val="20"/>
                <w:szCs w:val="20"/>
              </w:rPr>
            </w:pPr>
            <w:r w:rsidRPr="00A545A5">
              <w:rPr>
                <w:rFonts w:cs="Arial"/>
                <w:color w:val="auto"/>
                <w:sz w:val="20"/>
                <w:szCs w:val="20"/>
              </w:rPr>
              <w:t>TOR2 Ltd *</w:t>
            </w:r>
          </w:p>
        </w:tc>
        <w:tc>
          <w:tcPr>
            <w:cnfStyle w:val="000100001000" w:firstRow="0" w:lastRow="0" w:firstColumn="0" w:lastColumn="1" w:oddVBand="0" w:evenVBand="0" w:oddHBand="0" w:evenHBand="0" w:firstRowFirstColumn="0" w:firstRowLastColumn="1" w:lastRowFirstColumn="0" w:lastRowLastColumn="0"/>
            <w:tcW w:w="2268" w:type="dxa"/>
            <w:gridSpan w:val="2"/>
          </w:tcPr>
          <w:p w:rsidR="00315C3E" w:rsidRPr="00A545A5" w:rsidRDefault="00315C3E" w:rsidP="00E451FD">
            <w:pPr>
              <w:widowControl w:val="0"/>
              <w:spacing w:after="0"/>
              <w:jc w:val="center"/>
              <w:rPr>
                <w:rFonts w:cs="Arial"/>
                <w:color w:val="auto"/>
                <w:sz w:val="20"/>
                <w:szCs w:val="20"/>
              </w:rPr>
            </w:pPr>
            <w:r w:rsidRPr="00A545A5">
              <w:rPr>
                <w:rFonts w:cs="Arial"/>
                <w:color w:val="auto"/>
                <w:sz w:val="20"/>
                <w:szCs w:val="20"/>
              </w:rPr>
              <w:t xml:space="preserve">CSW Group Ltd </w:t>
            </w:r>
            <w:r w:rsidRPr="00A545A5">
              <w:rPr>
                <w:rFonts w:cs="Arial"/>
                <w:color w:val="auto"/>
                <w:sz w:val="18"/>
                <w:szCs w:val="18"/>
              </w:rPr>
              <w:t>(formally Careers South West Ltd)</w:t>
            </w:r>
          </w:p>
        </w:tc>
      </w:tr>
      <w:tr w:rsidR="00315C3E"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4BACC6" w:themeFill="accent5"/>
          </w:tcPr>
          <w:p w:rsidR="00315C3E" w:rsidRPr="0005794A" w:rsidRDefault="00315C3E" w:rsidP="00E451FD">
            <w:pPr>
              <w:widowControl w:val="0"/>
              <w:spacing w:after="0"/>
              <w:rPr>
                <w:rFonts w:cs="Arial"/>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315C3E" w:rsidRPr="00A545A5" w:rsidRDefault="00315C3E" w:rsidP="003326F2">
            <w:pPr>
              <w:widowControl w:val="0"/>
              <w:jc w:val="center"/>
              <w:rPr>
                <w:rFonts w:cs="Arial"/>
                <w:b/>
                <w:color w:val="auto"/>
                <w:sz w:val="18"/>
                <w:szCs w:val="18"/>
              </w:rPr>
            </w:pPr>
            <w:r w:rsidRPr="00A545A5">
              <w:rPr>
                <w:rFonts w:cs="Arial"/>
                <w:b/>
                <w:color w:val="auto"/>
                <w:sz w:val="18"/>
                <w:szCs w:val="18"/>
              </w:rPr>
              <w:t>Total</w:t>
            </w:r>
          </w:p>
        </w:tc>
        <w:tc>
          <w:tcPr>
            <w:tcW w:w="1134" w:type="dxa"/>
            <w:shd w:val="clear" w:color="auto" w:fill="4BACC6" w:themeFill="accent5"/>
          </w:tcPr>
          <w:p w:rsidR="00315C3E" w:rsidRPr="00A545A5" w:rsidRDefault="00315C3E" w:rsidP="003326F2">
            <w:pPr>
              <w:widowControl w:val="0"/>
              <w:jc w:val="center"/>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A545A5">
              <w:rPr>
                <w:rFonts w:cs="Arial"/>
                <w:b/>
                <w:color w:val="auto"/>
                <w:sz w:val="18"/>
                <w:szCs w:val="18"/>
              </w:rPr>
              <w:t>Torbay Council’s Share (19.99%)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315C3E" w:rsidRPr="00A545A5" w:rsidRDefault="00315C3E" w:rsidP="003326F2">
            <w:pPr>
              <w:widowControl w:val="0"/>
              <w:jc w:val="center"/>
              <w:rPr>
                <w:rFonts w:cs="Arial"/>
                <w:b/>
                <w:color w:val="auto"/>
                <w:sz w:val="18"/>
                <w:szCs w:val="18"/>
              </w:rPr>
            </w:pPr>
            <w:r w:rsidRPr="00A545A5">
              <w:rPr>
                <w:rFonts w:cs="Arial"/>
                <w:b/>
                <w:color w:val="auto"/>
                <w:sz w:val="18"/>
                <w:szCs w:val="18"/>
              </w:rPr>
              <w:t>Total</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4BACC6" w:themeFill="accent5"/>
          </w:tcPr>
          <w:p w:rsidR="00315C3E" w:rsidRPr="00A545A5" w:rsidRDefault="00315C3E" w:rsidP="003326F2">
            <w:pPr>
              <w:widowControl w:val="0"/>
              <w:jc w:val="center"/>
              <w:rPr>
                <w:rFonts w:cs="Arial"/>
                <w:b w:val="0"/>
                <w:color w:val="auto"/>
                <w:sz w:val="18"/>
                <w:szCs w:val="18"/>
              </w:rPr>
            </w:pPr>
            <w:r w:rsidRPr="00A545A5">
              <w:rPr>
                <w:rFonts w:cs="Arial"/>
                <w:color w:val="auto"/>
                <w:sz w:val="18"/>
                <w:szCs w:val="18"/>
              </w:rPr>
              <w:t>Torbay Council’s Share (25%)</w:t>
            </w:r>
          </w:p>
        </w:tc>
      </w:tr>
      <w:tr w:rsidR="00315C3E" w:rsidRPr="0005794A" w:rsidTr="00FB6D21">
        <w:tc>
          <w:tcPr>
            <w:cnfStyle w:val="001000000000" w:firstRow="0" w:lastRow="0" w:firstColumn="1" w:lastColumn="0" w:oddVBand="0" w:evenVBand="0" w:oddHBand="0" w:evenHBand="0" w:firstRowFirstColumn="0" w:firstRowLastColumn="0" w:lastRowFirstColumn="0" w:lastRowLastColumn="0"/>
            <w:tcW w:w="3369" w:type="dxa"/>
            <w:shd w:val="clear" w:color="auto" w:fill="4BACC6" w:themeFill="accent5"/>
          </w:tcPr>
          <w:p w:rsidR="00315C3E" w:rsidRPr="0005794A" w:rsidRDefault="00315C3E" w:rsidP="000579C2">
            <w:pPr>
              <w:widowControl w:val="0"/>
              <w:spacing w:after="0" w:line="276" w:lineRule="auto"/>
              <w:rPr>
                <w:rFonts w:cs="Arial"/>
                <w:b w:val="0"/>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315C3E" w:rsidRPr="00A545A5" w:rsidRDefault="00315C3E" w:rsidP="00E81F8A">
            <w:pPr>
              <w:widowControl w:val="0"/>
              <w:spacing w:after="0" w:line="276" w:lineRule="auto"/>
              <w:jc w:val="center"/>
              <w:rPr>
                <w:rFonts w:cs="Arial"/>
                <w:b/>
                <w:color w:val="auto"/>
                <w:sz w:val="20"/>
                <w:szCs w:val="20"/>
              </w:rPr>
            </w:pPr>
            <w:r w:rsidRPr="00A545A5">
              <w:rPr>
                <w:rFonts w:cs="Arial"/>
                <w:b/>
                <w:color w:val="auto"/>
                <w:sz w:val="20"/>
                <w:szCs w:val="20"/>
              </w:rPr>
              <w:t>£m</w:t>
            </w:r>
          </w:p>
        </w:tc>
        <w:tc>
          <w:tcPr>
            <w:tcW w:w="1134" w:type="dxa"/>
            <w:shd w:val="clear" w:color="auto" w:fill="4BACC6" w:themeFill="accent5"/>
          </w:tcPr>
          <w:p w:rsidR="00315C3E" w:rsidRPr="00A545A5" w:rsidRDefault="00315C3E" w:rsidP="00E81F8A">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A545A5">
              <w:rPr>
                <w:rFonts w:cs="Arial"/>
                <w:b/>
                <w:color w:val="auto"/>
                <w:sz w:val="20"/>
                <w:szCs w:val="20"/>
              </w:rPr>
              <w:t>£m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315C3E" w:rsidRPr="00A545A5" w:rsidRDefault="00315C3E" w:rsidP="00E81F8A">
            <w:pPr>
              <w:widowControl w:val="0"/>
              <w:spacing w:after="0" w:line="276" w:lineRule="auto"/>
              <w:jc w:val="center"/>
              <w:rPr>
                <w:rFonts w:cs="Arial"/>
                <w:b/>
                <w:color w:val="auto"/>
                <w:sz w:val="20"/>
                <w:szCs w:val="20"/>
              </w:rPr>
            </w:pPr>
            <w:r w:rsidRPr="00A545A5">
              <w:rPr>
                <w:rFonts w:cs="Arial"/>
                <w:b/>
                <w:color w:val="auto"/>
                <w:sz w:val="20"/>
                <w:szCs w:val="20"/>
              </w:rPr>
              <w:t>£m</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4BACC6" w:themeFill="accent5"/>
          </w:tcPr>
          <w:p w:rsidR="00315C3E" w:rsidRPr="00A545A5" w:rsidRDefault="00315C3E" w:rsidP="00E81F8A">
            <w:pPr>
              <w:widowControl w:val="0"/>
              <w:spacing w:after="0" w:line="276" w:lineRule="auto"/>
              <w:jc w:val="center"/>
              <w:rPr>
                <w:rFonts w:cs="Arial"/>
                <w:b w:val="0"/>
                <w:color w:val="auto"/>
                <w:sz w:val="20"/>
                <w:szCs w:val="20"/>
              </w:rPr>
            </w:pPr>
            <w:r w:rsidRPr="00A545A5">
              <w:rPr>
                <w:rFonts w:cs="Arial"/>
                <w:color w:val="auto"/>
                <w:sz w:val="20"/>
                <w:szCs w:val="20"/>
              </w:rPr>
              <w:t>£m</w:t>
            </w:r>
          </w:p>
        </w:tc>
      </w:tr>
      <w:tr w:rsidR="00A545A5"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color w:val="auto"/>
                <w:sz w:val="20"/>
                <w:szCs w:val="20"/>
              </w:rPr>
            </w:pPr>
            <w:r w:rsidRPr="00A545A5">
              <w:rPr>
                <w:rFonts w:cs="Arial"/>
                <w:color w:val="auto"/>
                <w:sz w:val="20"/>
                <w:szCs w:val="20"/>
              </w:rPr>
              <w:t>2016/17</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w:t>
            </w:r>
          </w:p>
        </w:tc>
        <w:tc>
          <w:tcPr>
            <w:tcW w:w="1134" w:type="dxa"/>
          </w:tcPr>
          <w:p w:rsidR="00A545A5" w:rsidRPr="00A545A5"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highlight w:val="yellow"/>
              </w:rPr>
            </w:pPr>
            <w:r w:rsidRPr="00A545A5">
              <w:rPr>
                <w:rFonts w:cs="Arial"/>
                <w:color w:val="auto"/>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highlight w:val="yellow"/>
              </w:rPr>
            </w:pPr>
          </w:p>
        </w:tc>
      </w:tr>
      <w:tr w:rsidR="00A545A5" w:rsidRPr="0005794A" w:rsidTr="00FB6D21">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b w:val="0"/>
                <w:color w:val="auto"/>
                <w:sz w:val="20"/>
                <w:szCs w:val="20"/>
              </w:rPr>
            </w:pPr>
            <w:r w:rsidRPr="00A545A5">
              <w:rPr>
                <w:rFonts w:cs="Arial"/>
                <w:b w:val="0"/>
                <w:color w:val="auto"/>
                <w:sz w:val="20"/>
                <w:szCs w:val="20"/>
              </w:rPr>
              <w:t>Income</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(14.9)</w:t>
            </w:r>
          </w:p>
        </w:tc>
        <w:tc>
          <w:tcPr>
            <w:tcW w:w="1134" w:type="dxa"/>
          </w:tcPr>
          <w:p w:rsidR="00A545A5" w:rsidRPr="00A545A5" w:rsidRDefault="00A545A5" w:rsidP="00A545A5">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A545A5">
              <w:rPr>
                <w:rFonts w:cs="Arial"/>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(7.4)</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b w:val="0"/>
                <w:color w:val="auto"/>
                <w:sz w:val="20"/>
                <w:szCs w:val="20"/>
              </w:rPr>
            </w:pPr>
            <w:r w:rsidRPr="00A545A5">
              <w:rPr>
                <w:rFonts w:cs="Arial"/>
                <w:b w:val="0"/>
                <w:color w:val="auto"/>
                <w:sz w:val="20"/>
                <w:szCs w:val="20"/>
              </w:rPr>
              <w:t>(1,9)</w:t>
            </w:r>
          </w:p>
        </w:tc>
      </w:tr>
      <w:tr w:rsidR="00A545A5"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b w:val="0"/>
                <w:color w:val="auto"/>
                <w:sz w:val="20"/>
                <w:szCs w:val="20"/>
              </w:rPr>
            </w:pPr>
            <w:r w:rsidRPr="00A545A5">
              <w:rPr>
                <w:rFonts w:cs="Arial"/>
                <w:b w:val="0"/>
                <w:color w:val="auto"/>
                <w:sz w:val="20"/>
                <w:szCs w:val="20"/>
              </w:rPr>
              <w:t>Expenditure</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545A5" w:rsidRDefault="00A545A5" w:rsidP="00BF5ADA">
            <w:pPr>
              <w:widowControl w:val="0"/>
              <w:spacing w:after="0" w:line="276" w:lineRule="auto"/>
              <w:jc w:val="center"/>
              <w:rPr>
                <w:rFonts w:cs="Arial"/>
                <w:color w:val="auto"/>
                <w:sz w:val="20"/>
                <w:szCs w:val="20"/>
              </w:rPr>
            </w:pPr>
            <w:r w:rsidRPr="00A545A5">
              <w:rPr>
                <w:rFonts w:cs="Arial"/>
                <w:color w:val="auto"/>
                <w:sz w:val="20"/>
                <w:szCs w:val="20"/>
              </w:rPr>
              <w:t>1</w:t>
            </w:r>
            <w:r w:rsidR="00BF5ADA">
              <w:rPr>
                <w:rFonts w:cs="Arial"/>
                <w:color w:val="auto"/>
                <w:sz w:val="20"/>
                <w:szCs w:val="20"/>
              </w:rPr>
              <w:t>4.3</w:t>
            </w:r>
          </w:p>
        </w:tc>
        <w:tc>
          <w:tcPr>
            <w:tcW w:w="1134" w:type="dxa"/>
          </w:tcPr>
          <w:p w:rsidR="00A545A5" w:rsidRPr="00A545A5"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545A5">
              <w:rPr>
                <w:rFonts w:cs="Arial"/>
                <w:color w:val="auto"/>
                <w:sz w:val="20"/>
                <w:szCs w:val="20"/>
              </w:rPr>
              <w:t>2.9</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7.2</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b w:val="0"/>
                <w:color w:val="auto"/>
                <w:sz w:val="20"/>
                <w:szCs w:val="20"/>
              </w:rPr>
            </w:pPr>
            <w:r w:rsidRPr="00A545A5">
              <w:rPr>
                <w:rFonts w:cs="Arial"/>
                <w:b w:val="0"/>
                <w:color w:val="auto"/>
                <w:sz w:val="20"/>
                <w:szCs w:val="20"/>
              </w:rPr>
              <w:t>1.8</w:t>
            </w:r>
          </w:p>
        </w:tc>
      </w:tr>
      <w:tr w:rsidR="00A545A5" w:rsidRPr="0005794A" w:rsidTr="00FB6D21">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color w:val="auto"/>
                <w:sz w:val="20"/>
                <w:szCs w:val="20"/>
              </w:rPr>
            </w:pPr>
            <w:r w:rsidRPr="00A545A5">
              <w:rPr>
                <w:rFonts w:cs="Arial"/>
                <w:color w:val="auto"/>
                <w:sz w:val="20"/>
                <w:szCs w:val="20"/>
              </w:rPr>
              <w:t>Operating (Profit) or Loss</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545A5" w:rsidRDefault="00BF5ADA" w:rsidP="00BF5ADA">
            <w:pPr>
              <w:widowControl w:val="0"/>
              <w:spacing w:after="0" w:line="276" w:lineRule="auto"/>
              <w:jc w:val="center"/>
              <w:rPr>
                <w:rFonts w:cs="Arial"/>
                <w:b/>
                <w:color w:val="auto"/>
                <w:sz w:val="20"/>
                <w:szCs w:val="20"/>
              </w:rPr>
            </w:pPr>
            <w:r>
              <w:rPr>
                <w:rFonts w:cs="Arial"/>
                <w:b/>
                <w:color w:val="auto"/>
                <w:sz w:val="20"/>
                <w:szCs w:val="20"/>
              </w:rPr>
              <w:t>(</w:t>
            </w:r>
            <w:r w:rsidR="00A545A5" w:rsidRPr="00A545A5">
              <w:rPr>
                <w:rFonts w:cs="Arial"/>
                <w:b/>
                <w:color w:val="auto"/>
                <w:sz w:val="20"/>
                <w:szCs w:val="20"/>
              </w:rPr>
              <w:t>0.</w:t>
            </w:r>
            <w:r>
              <w:rPr>
                <w:rFonts w:cs="Arial"/>
                <w:b/>
                <w:color w:val="auto"/>
                <w:sz w:val="20"/>
                <w:szCs w:val="20"/>
              </w:rPr>
              <w:t>6)</w:t>
            </w:r>
          </w:p>
        </w:tc>
        <w:tc>
          <w:tcPr>
            <w:tcW w:w="1134" w:type="dxa"/>
          </w:tcPr>
          <w:p w:rsidR="00A545A5" w:rsidRPr="00A545A5" w:rsidRDefault="00A545A5" w:rsidP="00A545A5">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A545A5">
              <w:rPr>
                <w:rFonts w:cs="Arial"/>
                <w:b/>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b/>
                <w:color w:val="auto"/>
                <w:sz w:val="20"/>
                <w:szCs w:val="20"/>
              </w:rPr>
            </w:pPr>
            <w:r w:rsidRPr="00A545A5">
              <w:rPr>
                <w:rFonts w:cs="Arial"/>
                <w:b/>
                <w:color w:val="auto"/>
                <w:sz w:val="20"/>
                <w:szCs w:val="20"/>
              </w:rPr>
              <w:t>(0.2)</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(0.1)</w:t>
            </w:r>
          </w:p>
        </w:tc>
      </w:tr>
      <w:tr w:rsidR="00A545A5"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b w:val="0"/>
                <w:color w:val="auto"/>
                <w:sz w:val="20"/>
                <w:szCs w:val="20"/>
              </w:rPr>
            </w:pPr>
            <w:r w:rsidRPr="00A545A5">
              <w:rPr>
                <w:rFonts w:cs="Arial"/>
                <w:b w:val="0"/>
                <w:color w:val="auto"/>
                <w:sz w:val="20"/>
                <w:szCs w:val="20"/>
              </w:rPr>
              <w:t>Other comprehensive income and expenditure</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0</w:t>
            </w:r>
          </w:p>
        </w:tc>
        <w:tc>
          <w:tcPr>
            <w:tcW w:w="1134" w:type="dxa"/>
          </w:tcPr>
          <w:p w:rsidR="00A545A5" w:rsidRPr="00A545A5"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545A5">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b w:val="0"/>
                <w:color w:val="auto"/>
                <w:sz w:val="20"/>
                <w:szCs w:val="20"/>
              </w:rPr>
            </w:pPr>
            <w:r w:rsidRPr="00A545A5">
              <w:rPr>
                <w:rFonts w:cs="Arial"/>
                <w:b w:val="0"/>
                <w:color w:val="auto"/>
                <w:sz w:val="20"/>
                <w:szCs w:val="20"/>
              </w:rPr>
              <w:t>0</w:t>
            </w:r>
          </w:p>
        </w:tc>
      </w:tr>
      <w:tr w:rsidR="00A545A5" w:rsidRPr="0005794A" w:rsidTr="00FB6D21">
        <w:trPr>
          <w:trHeight w:val="566"/>
        </w:trPr>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b w:val="0"/>
                <w:color w:val="auto"/>
                <w:sz w:val="20"/>
                <w:szCs w:val="20"/>
              </w:rPr>
            </w:pPr>
            <w:r w:rsidRPr="00A545A5">
              <w:rPr>
                <w:rFonts w:cs="Arial"/>
                <w:b w:val="0"/>
                <w:color w:val="auto"/>
                <w:sz w:val="20"/>
                <w:szCs w:val="20"/>
              </w:rPr>
              <w:lastRenderedPageBreak/>
              <w:t>Actuarial (Gains)/Losses recognised in the pension scheme</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0</w:t>
            </w:r>
          </w:p>
        </w:tc>
        <w:tc>
          <w:tcPr>
            <w:tcW w:w="1134" w:type="dxa"/>
          </w:tcPr>
          <w:p w:rsidR="00A545A5" w:rsidRPr="00A545A5" w:rsidRDefault="00A545A5" w:rsidP="00A545A5">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A545A5">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b w:val="0"/>
                <w:color w:val="auto"/>
                <w:sz w:val="20"/>
                <w:szCs w:val="20"/>
              </w:rPr>
            </w:pPr>
            <w:r w:rsidRPr="00A545A5">
              <w:rPr>
                <w:rFonts w:cs="Arial"/>
                <w:b w:val="0"/>
                <w:color w:val="auto"/>
                <w:sz w:val="20"/>
                <w:szCs w:val="20"/>
              </w:rPr>
              <w:t>0</w:t>
            </w:r>
          </w:p>
        </w:tc>
      </w:tr>
      <w:tr w:rsidR="00A545A5"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b w:val="0"/>
                <w:color w:val="auto"/>
                <w:sz w:val="20"/>
                <w:szCs w:val="20"/>
              </w:rPr>
            </w:pPr>
            <w:r w:rsidRPr="00A545A5">
              <w:rPr>
                <w:rFonts w:cs="Arial"/>
                <w:b w:val="0"/>
                <w:color w:val="auto"/>
                <w:sz w:val="20"/>
                <w:szCs w:val="20"/>
              </w:rPr>
              <w:t>Taxation</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545A5" w:rsidRDefault="00A545A5" w:rsidP="00BF5ADA">
            <w:pPr>
              <w:widowControl w:val="0"/>
              <w:spacing w:after="0" w:line="276" w:lineRule="auto"/>
              <w:jc w:val="center"/>
              <w:rPr>
                <w:rFonts w:cs="Arial"/>
                <w:color w:val="auto"/>
                <w:sz w:val="20"/>
                <w:szCs w:val="20"/>
              </w:rPr>
            </w:pPr>
            <w:r w:rsidRPr="00A545A5">
              <w:rPr>
                <w:rFonts w:cs="Arial"/>
                <w:color w:val="auto"/>
                <w:sz w:val="20"/>
                <w:szCs w:val="20"/>
              </w:rPr>
              <w:t>0.</w:t>
            </w:r>
            <w:r w:rsidR="00BF5ADA">
              <w:rPr>
                <w:rFonts w:cs="Arial"/>
                <w:color w:val="auto"/>
                <w:sz w:val="20"/>
                <w:szCs w:val="20"/>
              </w:rPr>
              <w:t>1</w:t>
            </w:r>
          </w:p>
        </w:tc>
        <w:tc>
          <w:tcPr>
            <w:tcW w:w="1134" w:type="dxa"/>
          </w:tcPr>
          <w:p w:rsidR="00A545A5" w:rsidRPr="00A545A5"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545A5">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b w:val="0"/>
                <w:color w:val="auto"/>
                <w:sz w:val="20"/>
                <w:szCs w:val="20"/>
              </w:rPr>
            </w:pPr>
            <w:r w:rsidRPr="00A545A5">
              <w:rPr>
                <w:rFonts w:cs="Arial"/>
                <w:b w:val="0"/>
                <w:color w:val="auto"/>
                <w:sz w:val="20"/>
                <w:szCs w:val="20"/>
              </w:rPr>
              <w:t>0</w:t>
            </w:r>
          </w:p>
        </w:tc>
      </w:tr>
      <w:tr w:rsidR="00A545A5" w:rsidRPr="0005794A" w:rsidTr="00FB6D21">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color w:val="auto"/>
                <w:sz w:val="20"/>
                <w:szCs w:val="20"/>
              </w:rPr>
            </w:pPr>
            <w:r w:rsidRPr="00A545A5">
              <w:rPr>
                <w:rFonts w:cs="Arial"/>
                <w:color w:val="auto"/>
                <w:sz w:val="20"/>
                <w:szCs w:val="20"/>
              </w:rPr>
              <w:t>Total (Profit) or loss</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545A5" w:rsidRDefault="00BF5ADA" w:rsidP="00BF5ADA">
            <w:pPr>
              <w:widowControl w:val="0"/>
              <w:spacing w:after="0" w:line="276" w:lineRule="auto"/>
              <w:jc w:val="center"/>
              <w:rPr>
                <w:rFonts w:cs="Arial"/>
                <w:b/>
                <w:color w:val="auto"/>
                <w:sz w:val="20"/>
                <w:szCs w:val="20"/>
              </w:rPr>
            </w:pPr>
            <w:r>
              <w:rPr>
                <w:rFonts w:cs="Arial"/>
                <w:b/>
                <w:color w:val="auto"/>
                <w:sz w:val="20"/>
                <w:szCs w:val="20"/>
              </w:rPr>
              <w:t>(</w:t>
            </w:r>
            <w:r w:rsidR="00A545A5" w:rsidRPr="00A545A5">
              <w:rPr>
                <w:rFonts w:cs="Arial"/>
                <w:b/>
                <w:color w:val="auto"/>
                <w:sz w:val="20"/>
                <w:szCs w:val="20"/>
              </w:rPr>
              <w:t>0.5</w:t>
            </w:r>
            <w:r>
              <w:rPr>
                <w:rFonts w:cs="Arial"/>
                <w:b/>
                <w:color w:val="auto"/>
                <w:sz w:val="20"/>
                <w:szCs w:val="20"/>
              </w:rPr>
              <w:t>)</w:t>
            </w:r>
          </w:p>
        </w:tc>
        <w:tc>
          <w:tcPr>
            <w:tcW w:w="1134" w:type="dxa"/>
          </w:tcPr>
          <w:p w:rsidR="00A545A5" w:rsidRPr="00A545A5" w:rsidRDefault="00A545A5" w:rsidP="00A545A5">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A545A5">
              <w:rPr>
                <w:rFonts w:cs="Arial"/>
                <w:b/>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b/>
                <w:color w:val="auto"/>
                <w:sz w:val="20"/>
                <w:szCs w:val="20"/>
              </w:rPr>
            </w:pPr>
            <w:r w:rsidRPr="00A545A5">
              <w:rPr>
                <w:rFonts w:cs="Arial"/>
                <w:b/>
                <w:color w:val="auto"/>
                <w:sz w:val="20"/>
                <w:szCs w:val="20"/>
              </w:rPr>
              <w:t>(0.2)</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(0.1)</w:t>
            </w:r>
          </w:p>
        </w:tc>
      </w:tr>
      <w:tr w:rsidR="00A545A5"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b w:val="0"/>
                <w:color w:val="auto"/>
                <w:sz w:val="20"/>
                <w:szCs w:val="20"/>
              </w:rPr>
            </w:pPr>
            <w:r w:rsidRPr="00A545A5">
              <w:rPr>
                <w:rFonts w:cs="Arial"/>
                <w:b w:val="0"/>
                <w:color w:val="auto"/>
                <w:sz w:val="20"/>
                <w:szCs w:val="20"/>
              </w:rPr>
              <w:t>Fixed Assets &amp; Net Current Assets</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(0.4)</w:t>
            </w:r>
          </w:p>
        </w:tc>
        <w:tc>
          <w:tcPr>
            <w:tcW w:w="1134" w:type="dxa"/>
          </w:tcPr>
          <w:p w:rsidR="00A545A5" w:rsidRPr="00A545A5"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545A5">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1.7</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b w:val="0"/>
                <w:color w:val="auto"/>
                <w:sz w:val="20"/>
                <w:szCs w:val="20"/>
              </w:rPr>
            </w:pPr>
            <w:r w:rsidRPr="00A545A5">
              <w:rPr>
                <w:rFonts w:cs="Arial"/>
                <w:b w:val="0"/>
                <w:color w:val="auto"/>
                <w:sz w:val="20"/>
                <w:szCs w:val="20"/>
              </w:rPr>
              <w:t>0.4</w:t>
            </w:r>
          </w:p>
        </w:tc>
      </w:tr>
      <w:tr w:rsidR="00A545A5" w:rsidRPr="0005794A" w:rsidTr="00FB6D21">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b w:val="0"/>
                <w:color w:val="auto"/>
                <w:sz w:val="20"/>
                <w:szCs w:val="20"/>
              </w:rPr>
            </w:pPr>
            <w:r w:rsidRPr="00A545A5">
              <w:rPr>
                <w:rFonts w:cs="Arial"/>
                <w:b w:val="0"/>
                <w:color w:val="auto"/>
                <w:sz w:val="20"/>
                <w:szCs w:val="20"/>
              </w:rPr>
              <w:t>Long Term Liabilities</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(0.1)</w:t>
            </w:r>
          </w:p>
        </w:tc>
        <w:tc>
          <w:tcPr>
            <w:tcW w:w="1134" w:type="dxa"/>
          </w:tcPr>
          <w:p w:rsidR="00A545A5" w:rsidRPr="00A545A5" w:rsidRDefault="00A545A5" w:rsidP="00A545A5">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A545A5">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color w:val="auto"/>
                <w:sz w:val="20"/>
                <w:szCs w:val="20"/>
              </w:rPr>
            </w:pPr>
            <w:r w:rsidRPr="00A545A5">
              <w:rPr>
                <w:rFonts w:cs="Arial"/>
                <w:color w:val="auto"/>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b w:val="0"/>
                <w:color w:val="auto"/>
                <w:sz w:val="20"/>
                <w:szCs w:val="20"/>
              </w:rPr>
            </w:pPr>
            <w:r w:rsidRPr="00A545A5">
              <w:rPr>
                <w:rFonts w:cs="Arial"/>
                <w:b w:val="0"/>
                <w:color w:val="auto"/>
                <w:sz w:val="20"/>
                <w:szCs w:val="20"/>
              </w:rPr>
              <w:t>0</w:t>
            </w:r>
          </w:p>
        </w:tc>
      </w:tr>
      <w:tr w:rsidR="00A545A5"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A545A5" w:rsidRPr="00A545A5" w:rsidRDefault="00A545A5" w:rsidP="006C61A5">
            <w:pPr>
              <w:widowControl w:val="0"/>
              <w:spacing w:after="0" w:line="276" w:lineRule="auto"/>
              <w:rPr>
                <w:rFonts w:cs="Arial"/>
                <w:color w:val="auto"/>
                <w:sz w:val="20"/>
                <w:szCs w:val="20"/>
              </w:rPr>
            </w:pPr>
            <w:r w:rsidRPr="00A545A5">
              <w:rPr>
                <w:rFonts w:cs="Arial"/>
                <w:color w:val="auto"/>
                <w:sz w:val="20"/>
                <w:szCs w:val="20"/>
              </w:rPr>
              <w:t>Total Capital &amp; Reserves</w:t>
            </w:r>
          </w:p>
        </w:tc>
        <w:tc>
          <w:tcPr>
            <w:cnfStyle w:val="000010000000" w:firstRow="0" w:lastRow="0" w:firstColumn="0" w:lastColumn="0" w:oddVBand="1" w:evenVBand="0" w:oddHBand="0" w:evenHBand="0" w:firstRowFirstColumn="0" w:firstRowLastColumn="0" w:lastRowFirstColumn="0" w:lastRowLastColumn="0"/>
            <w:tcW w:w="850" w:type="dxa"/>
          </w:tcPr>
          <w:p w:rsidR="00A545A5" w:rsidRPr="00AA3652" w:rsidRDefault="00A545A5" w:rsidP="00A545A5">
            <w:pPr>
              <w:widowControl w:val="0"/>
              <w:spacing w:after="0" w:line="276" w:lineRule="auto"/>
              <w:jc w:val="center"/>
              <w:rPr>
                <w:rFonts w:cs="Arial"/>
                <w:b/>
                <w:color w:val="auto"/>
                <w:sz w:val="20"/>
                <w:szCs w:val="20"/>
              </w:rPr>
            </w:pPr>
            <w:r w:rsidRPr="00AA3652">
              <w:rPr>
                <w:rFonts w:cs="Arial"/>
                <w:b/>
                <w:color w:val="auto"/>
                <w:sz w:val="20"/>
                <w:szCs w:val="20"/>
              </w:rPr>
              <w:t>(0.5)</w:t>
            </w:r>
          </w:p>
        </w:tc>
        <w:tc>
          <w:tcPr>
            <w:tcW w:w="1134" w:type="dxa"/>
          </w:tcPr>
          <w:p w:rsidR="00A545A5" w:rsidRPr="00AA3652" w:rsidRDefault="00A545A5" w:rsidP="00A545A5">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AA3652">
              <w:rPr>
                <w:rFonts w:cs="Arial"/>
                <w:b/>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Pr>
          <w:p w:rsidR="00A545A5" w:rsidRPr="00AA3652" w:rsidRDefault="00A545A5" w:rsidP="00A545A5">
            <w:pPr>
              <w:widowControl w:val="0"/>
              <w:spacing w:after="0" w:line="276" w:lineRule="auto"/>
              <w:jc w:val="center"/>
              <w:rPr>
                <w:rFonts w:cs="Arial"/>
                <w:b/>
                <w:color w:val="auto"/>
                <w:sz w:val="20"/>
                <w:szCs w:val="20"/>
              </w:rPr>
            </w:pPr>
            <w:r w:rsidRPr="00AA3652">
              <w:rPr>
                <w:rFonts w:cs="Arial"/>
                <w:b/>
                <w:color w:val="auto"/>
                <w:sz w:val="20"/>
                <w:szCs w:val="20"/>
              </w:rPr>
              <w:t>1.7</w:t>
            </w:r>
          </w:p>
        </w:tc>
        <w:tc>
          <w:tcPr>
            <w:cnfStyle w:val="000100000000" w:firstRow="0" w:lastRow="0" w:firstColumn="0" w:lastColumn="1" w:oddVBand="0" w:evenVBand="0" w:oddHBand="0" w:evenHBand="0" w:firstRowFirstColumn="0" w:firstRowLastColumn="0" w:lastRowFirstColumn="0" w:lastRowLastColumn="0"/>
            <w:tcW w:w="1134" w:type="dxa"/>
          </w:tcPr>
          <w:p w:rsidR="00A545A5" w:rsidRPr="00A545A5" w:rsidRDefault="00A545A5" w:rsidP="00A545A5">
            <w:pPr>
              <w:widowControl w:val="0"/>
              <w:spacing w:after="0" w:line="276" w:lineRule="auto"/>
              <w:jc w:val="center"/>
              <w:rPr>
                <w:rFonts w:cs="Arial"/>
                <w:bCs w:val="0"/>
                <w:color w:val="auto"/>
                <w:sz w:val="20"/>
                <w:szCs w:val="20"/>
              </w:rPr>
            </w:pPr>
            <w:r w:rsidRPr="00A545A5">
              <w:rPr>
                <w:rFonts w:cs="Arial"/>
                <w:bCs w:val="0"/>
                <w:color w:val="auto"/>
                <w:sz w:val="20"/>
                <w:szCs w:val="20"/>
              </w:rPr>
              <w:t>0.4</w:t>
            </w:r>
          </w:p>
        </w:tc>
      </w:tr>
      <w:tr w:rsidR="00315C3E" w:rsidRPr="0005794A" w:rsidTr="00FB6D21">
        <w:tc>
          <w:tcPr>
            <w:cnfStyle w:val="001000000000" w:firstRow="0" w:lastRow="0" w:firstColumn="1" w:lastColumn="0" w:oddVBand="0" w:evenVBand="0" w:oddHBand="0" w:evenHBand="0" w:firstRowFirstColumn="0" w:firstRowLastColumn="0" w:lastRowFirstColumn="0" w:lastRowLastColumn="0"/>
            <w:tcW w:w="3369" w:type="dxa"/>
          </w:tcPr>
          <w:p w:rsidR="00315C3E" w:rsidRPr="00A545A5" w:rsidRDefault="00A545A5" w:rsidP="00BC0367">
            <w:pPr>
              <w:widowControl w:val="0"/>
              <w:spacing w:after="0" w:line="276" w:lineRule="auto"/>
              <w:rPr>
                <w:rFonts w:cs="Arial"/>
                <w:color w:val="auto"/>
                <w:sz w:val="20"/>
                <w:szCs w:val="20"/>
              </w:rPr>
            </w:pPr>
            <w:r w:rsidRPr="00A545A5">
              <w:rPr>
                <w:rFonts w:cs="Arial"/>
                <w:color w:val="auto"/>
                <w:sz w:val="20"/>
                <w:szCs w:val="20"/>
              </w:rPr>
              <w:t>2017/18</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05794A" w:rsidRDefault="00315C3E" w:rsidP="00061169">
            <w:pPr>
              <w:widowControl w:val="0"/>
              <w:spacing w:after="0" w:line="276" w:lineRule="auto"/>
              <w:jc w:val="center"/>
              <w:rPr>
                <w:rFonts w:cs="Arial"/>
                <w:color w:val="548DD4" w:themeColor="text2" w:themeTint="99"/>
                <w:sz w:val="20"/>
                <w:szCs w:val="20"/>
              </w:rPr>
            </w:pPr>
          </w:p>
        </w:tc>
        <w:tc>
          <w:tcPr>
            <w:tcW w:w="1134" w:type="dxa"/>
          </w:tcPr>
          <w:p w:rsidR="00315C3E" w:rsidRPr="0005794A" w:rsidRDefault="00315C3E" w:rsidP="00061169">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315C3E" w:rsidRPr="0005794A" w:rsidRDefault="00315C3E" w:rsidP="00061169">
            <w:pPr>
              <w:widowControl w:val="0"/>
              <w:spacing w:after="0" w:line="276" w:lineRule="auto"/>
              <w:jc w:val="center"/>
              <w:rPr>
                <w:rFonts w:cs="Arial"/>
                <w:color w:val="548DD4" w:themeColor="text2" w:themeTint="99"/>
                <w:sz w:val="20"/>
                <w:szCs w:val="20"/>
                <w:highlight w:val="yellow"/>
              </w:rPr>
            </w:pPr>
          </w:p>
        </w:tc>
        <w:tc>
          <w:tcPr>
            <w:cnfStyle w:val="000100000000" w:firstRow="0" w:lastRow="0" w:firstColumn="0" w:lastColumn="1" w:oddVBand="0" w:evenVBand="0" w:oddHBand="0" w:evenHBand="0" w:firstRowFirstColumn="0" w:firstRowLastColumn="0" w:lastRowFirstColumn="0" w:lastRowLastColumn="0"/>
            <w:tcW w:w="1134" w:type="dxa"/>
          </w:tcPr>
          <w:p w:rsidR="00315C3E" w:rsidRPr="0005794A" w:rsidRDefault="00315C3E" w:rsidP="00061169">
            <w:pPr>
              <w:widowControl w:val="0"/>
              <w:spacing w:after="0" w:line="276" w:lineRule="auto"/>
              <w:jc w:val="center"/>
              <w:rPr>
                <w:rFonts w:cs="Arial"/>
                <w:color w:val="548DD4" w:themeColor="text2" w:themeTint="99"/>
                <w:sz w:val="20"/>
                <w:szCs w:val="20"/>
                <w:highlight w:val="yellow"/>
              </w:rPr>
            </w:pPr>
          </w:p>
        </w:tc>
      </w:tr>
      <w:tr w:rsidR="00315C3E"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15C3E" w:rsidRPr="00A545A5" w:rsidRDefault="00315C3E" w:rsidP="00E451FD">
            <w:pPr>
              <w:widowControl w:val="0"/>
              <w:spacing w:after="0" w:line="276" w:lineRule="auto"/>
              <w:rPr>
                <w:rFonts w:cs="Arial"/>
                <w:b w:val="0"/>
                <w:color w:val="auto"/>
                <w:sz w:val="20"/>
                <w:szCs w:val="20"/>
              </w:rPr>
            </w:pPr>
            <w:r w:rsidRPr="00A545A5">
              <w:rPr>
                <w:rFonts w:cs="Arial"/>
                <w:b w:val="0"/>
                <w:color w:val="auto"/>
                <w:sz w:val="20"/>
                <w:szCs w:val="20"/>
              </w:rPr>
              <w:t>Income</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BF5ADA" w:rsidRDefault="00BF5ADA" w:rsidP="00E451FD">
            <w:pPr>
              <w:widowControl w:val="0"/>
              <w:spacing w:after="0" w:line="276" w:lineRule="auto"/>
              <w:jc w:val="center"/>
              <w:rPr>
                <w:rFonts w:cs="Arial"/>
                <w:color w:val="auto"/>
                <w:sz w:val="20"/>
                <w:szCs w:val="20"/>
              </w:rPr>
            </w:pPr>
            <w:r w:rsidRPr="00BF5ADA">
              <w:rPr>
                <w:rFonts w:cs="Arial"/>
                <w:color w:val="auto"/>
                <w:sz w:val="20"/>
                <w:szCs w:val="20"/>
              </w:rPr>
              <w:t>(14.8)</w:t>
            </w:r>
          </w:p>
        </w:tc>
        <w:tc>
          <w:tcPr>
            <w:tcW w:w="1134" w:type="dxa"/>
          </w:tcPr>
          <w:p w:rsidR="00315C3E" w:rsidRPr="00BF5ADA" w:rsidRDefault="00BF5ADA" w:rsidP="00E451FD">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5ADA">
              <w:rPr>
                <w:rFonts w:cs="Arial"/>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D22A54" w:rsidRDefault="00D22A54" w:rsidP="00E451FD">
            <w:pPr>
              <w:widowControl w:val="0"/>
              <w:spacing w:after="0" w:line="276" w:lineRule="auto"/>
              <w:jc w:val="center"/>
              <w:rPr>
                <w:rFonts w:cs="Arial"/>
                <w:color w:val="auto"/>
                <w:sz w:val="20"/>
                <w:szCs w:val="20"/>
              </w:rPr>
            </w:pPr>
            <w:r w:rsidRPr="00D22A54">
              <w:rPr>
                <w:rFonts w:cs="Arial"/>
                <w:color w:val="auto"/>
                <w:sz w:val="20"/>
                <w:szCs w:val="20"/>
              </w:rPr>
              <w:t>(9.8)</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D22A54" w:rsidRDefault="00D22A54" w:rsidP="00E451FD">
            <w:pPr>
              <w:widowControl w:val="0"/>
              <w:spacing w:after="0" w:line="276" w:lineRule="auto"/>
              <w:jc w:val="center"/>
              <w:rPr>
                <w:rFonts w:cs="Arial"/>
                <w:b w:val="0"/>
                <w:color w:val="auto"/>
                <w:sz w:val="20"/>
                <w:szCs w:val="20"/>
              </w:rPr>
            </w:pPr>
            <w:r w:rsidRPr="00D22A54">
              <w:rPr>
                <w:rFonts w:cs="Arial"/>
                <w:b w:val="0"/>
                <w:color w:val="auto"/>
                <w:sz w:val="20"/>
                <w:szCs w:val="20"/>
              </w:rPr>
              <w:t>(2.5)</w:t>
            </w:r>
          </w:p>
        </w:tc>
      </w:tr>
      <w:tr w:rsidR="00315C3E" w:rsidRPr="0005794A" w:rsidTr="00FB6D21">
        <w:tc>
          <w:tcPr>
            <w:cnfStyle w:val="001000000000" w:firstRow="0" w:lastRow="0" w:firstColumn="1" w:lastColumn="0" w:oddVBand="0" w:evenVBand="0" w:oddHBand="0" w:evenHBand="0" w:firstRowFirstColumn="0" w:firstRowLastColumn="0" w:lastRowFirstColumn="0" w:lastRowLastColumn="0"/>
            <w:tcW w:w="3369" w:type="dxa"/>
          </w:tcPr>
          <w:p w:rsidR="00315C3E" w:rsidRPr="00A545A5" w:rsidRDefault="00315C3E" w:rsidP="00E451FD">
            <w:pPr>
              <w:widowControl w:val="0"/>
              <w:spacing w:after="0" w:line="276" w:lineRule="auto"/>
              <w:rPr>
                <w:rFonts w:cs="Arial"/>
                <w:b w:val="0"/>
                <w:color w:val="auto"/>
                <w:sz w:val="20"/>
                <w:szCs w:val="20"/>
              </w:rPr>
            </w:pPr>
            <w:r w:rsidRPr="00A545A5">
              <w:rPr>
                <w:rFonts w:cs="Arial"/>
                <w:b w:val="0"/>
                <w:color w:val="auto"/>
                <w:sz w:val="20"/>
                <w:szCs w:val="20"/>
              </w:rPr>
              <w:t>Expenditure</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BF5ADA" w:rsidRDefault="00BF5ADA" w:rsidP="00E451FD">
            <w:pPr>
              <w:widowControl w:val="0"/>
              <w:spacing w:after="0" w:line="276" w:lineRule="auto"/>
              <w:jc w:val="center"/>
              <w:rPr>
                <w:rFonts w:cs="Arial"/>
                <w:color w:val="auto"/>
                <w:sz w:val="20"/>
                <w:szCs w:val="20"/>
              </w:rPr>
            </w:pPr>
            <w:r w:rsidRPr="00BF5ADA">
              <w:rPr>
                <w:rFonts w:cs="Arial"/>
                <w:color w:val="auto"/>
                <w:sz w:val="20"/>
                <w:szCs w:val="20"/>
              </w:rPr>
              <w:t>14.5</w:t>
            </w:r>
          </w:p>
        </w:tc>
        <w:tc>
          <w:tcPr>
            <w:tcW w:w="1134" w:type="dxa"/>
          </w:tcPr>
          <w:p w:rsidR="00315C3E" w:rsidRPr="00BF5ADA" w:rsidRDefault="00BF5ADA" w:rsidP="00E451FD">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5ADA">
              <w:rPr>
                <w:rFonts w:cs="Arial"/>
                <w:color w:val="auto"/>
                <w:sz w:val="20"/>
                <w:szCs w:val="20"/>
              </w:rPr>
              <w:t>2.9</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D22A54" w:rsidRDefault="00D22A54" w:rsidP="00356CD6">
            <w:pPr>
              <w:widowControl w:val="0"/>
              <w:spacing w:after="0" w:line="276" w:lineRule="auto"/>
              <w:jc w:val="center"/>
              <w:rPr>
                <w:rFonts w:cs="Arial"/>
                <w:color w:val="auto"/>
                <w:sz w:val="20"/>
                <w:szCs w:val="20"/>
              </w:rPr>
            </w:pPr>
            <w:r w:rsidRPr="00D22A54">
              <w:rPr>
                <w:rFonts w:cs="Arial"/>
                <w:color w:val="auto"/>
                <w:sz w:val="20"/>
                <w:szCs w:val="20"/>
              </w:rPr>
              <w:t>9.5</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D22A54" w:rsidRDefault="00D22A54" w:rsidP="00E451FD">
            <w:pPr>
              <w:widowControl w:val="0"/>
              <w:spacing w:after="0" w:line="276" w:lineRule="auto"/>
              <w:jc w:val="center"/>
              <w:rPr>
                <w:rFonts w:cs="Arial"/>
                <w:b w:val="0"/>
                <w:color w:val="auto"/>
                <w:sz w:val="20"/>
                <w:szCs w:val="20"/>
              </w:rPr>
            </w:pPr>
            <w:r w:rsidRPr="00D22A54">
              <w:rPr>
                <w:rFonts w:cs="Arial"/>
                <w:b w:val="0"/>
                <w:color w:val="auto"/>
                <w:sz w:val="20"/>
                <w:szCs w:val="20"/>
              </w:rPr>
              <w:t>2.4</w:t>
            </w:r>
          </w:p>
        </w:tc>
      </w:tr>
      <w:tr w:rsidR="00315C3E"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15C3E" w:rsidRPr="00A545A5" w:rsidRDefault="00315C3E" w:rsidP="00E451FD">
            <w:pPr>
              <w:widowControl w:val="0"/>
              <w:spacing w:after="0" w:line="276" w:lineRule="auto"/>
              <w:rPr>
                <w:rFonts w:cs="Arial"/>
                <w:color w:val="auto"/>
                <w:sz w:val="20"/>
                <w:szCs w:val="20"/>
              </w:rPr>
            </w:pPr>
            <w:r w:rsidRPr="00A545A5">
              <w:rPr>
                <w:rFonts w:cs="Arial"/>
                <w:color w:val="auto"/>
                <w:sz w:val="20"/>
                <w:szCs w:val="20"/>
              </w:rPr>
              <w:t>Operating (Profit) or Loss</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BF5ADA" w:rsidRDefault="00BF5ADA" w:rsidP="00E451FD">
            <w:pPr>
              <w:widowControl w:val="0"/>
              <w:spacing w:after="0" w:line="276" w:lineRule="auto"/>
              <w:jc w:val="center"/>
              <w:rPr>
                <w:rFonts w:cs="Arial"/>
                <w:b/>
                <w:color w:val="auto"/>
                <w:sz w:val="20"/>
                <w:szCs w:val="20"/>
              </w:rPr>
            </w:pPr>
            <w:r w:rsidRPr="00BF5ADA">
              <w:rPr>
                <w:rFonts w:cs="Arial"/>
                <w:b/>
                <w:color w:val="auto"/>
                <w:sz w:val="20"/>
                <w:szCs w:val="20"/>
              </w:rPr>
              <w:t>(0.3)</w:t>
            </w:r>
          </w:p>
        </w:tc>
        <w:tc>
          <w:tcPr>
            <w:tcW w:w="1134" w:type="dxa"/>
          </w:tcPr>
          <w:p w:rsidR="00315C3E" w:rsidRPr="00BF5ADA" w:rsidRDefault="00BF5ADA" w:rsidP="00E451FD">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5ADA">
              <w:rPr>
                <w:rFonts w:cs="Arial"/>
                <w:b/>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D22A54" w:rsidRDefault="00D22A54" w:rsidP="00EC7A3F">
            <w:pPr>
              <w:widowControl w:val="0"/>
              <w:spacing w:after="0" w:line="276" w:lineRule="auto"/>
              <w:jc w:val="center"/>
              <w:rPr>
                <w:rFonts w:cs="Arial"/>
                <w:b/>
                <w:color w:val="auto"/>
                <w:sz w:val="20"/>
                <w:szCs w:val="20"/>
              </w:rPr>
            </w:pPr>
            <w:r w:rsidRPr="00D22A54">
              <w:rPr>
                <w:rFonts w:cs="Arial"/>
                <w:b/>
                <w:color w:val="auto"/>
                <w:sz w:val="20"/>
                <w:szCs w:val="20"/>
              </w:rPr>
              <w:t>(0.3)</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D22A54" w:rsidRDefault="00D22A54" w:rsidP="00E451FD">
            <w:pPr>
              <w:widowControl w:val="0"/>
              <w:spacing w:after="0" w:line="276" w:lineRule="auto"/>
              <w:jc w:val="center"/>
              <w:rPr>
                <w:rFonts w:cs="Arial"/>
                <w:color w:val="auto"/>
                <w:sz w:val="20"/>
                <w:szCs w:val="20"/>
              </w:rPr>
            </w:pPr>
            <w:r w:rsidRPr="00D22A54">
              <w:rPr>
                <w:rFonts w:cs="Arial"/>
                <w:color w:val="auto"/>
                <w:sz w:val="20"/>
                <w:szCs w:val="20"/>
              </w:rPr>
              <w:t>(0.1)</w:t>
            </w:r>
          </w:p>
        </w:tc>
      </w:tr>
      <w:tr w:rsidR="00315C3E" w:rsidRPr="0005794A" w:rsidTr="00FB6D21">
        <w:tc>
          <w:tcPr>
            <w:cnfStyle w:val="001000000000" w:firstRow="0" w:lastRow="0" w:firstColumn="1" w:lastColumn="0" w:oddVBand="0" w:evenVBand="0" w:oddHBand="0" w:evenHBand="0" w:firstRowFirstColumn="0" w:firstRowLastColumn="0" w:lastRowFirstColumn="0" w:lastRowLastColumn="0"/>
            <w:tcW w:w="3369" w:type="dxa"/>
          </w:tcPr>
          <w:p w:rsidR="00315C3E" w:rsidRPr="00A545A5" w:rsidRDefault="00315C3E" w:rsidP="00E451FD">
            <w:pPr>
              <w:widowControl w:val="0"/>
              <w:spacing w:after="0" w:line="276" w:lineRule="auto"/>
              <w:rPr>
                <w:rFonts w:cs="Arial"/>
                <w:b w:val="0"/>
                <w:color w:val="auto"/>
                <w:sz w:val="20"/>
                <w:szCs w:val="20"/>
              </w:rPr>
            </w:pPr>
            <w:r w:rsidRPr="00A545A5">
              <w:rPr>
                <w:rFonts w:cs="Arial"/>
                <w:b w:val="0"/>
                <w:color w:val="auto"/>
                <w:sz w:val="20"/>
                <w:szCs w:val="20"/>
              </w:rPr>
              <w:t>Other comprehensive income and expenditure</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BF5ADA" w:rsidRDefault="00BF5ADA" w:rsidP="00E451FD">
            <w:pPr>
              <w:widowControl w:val="0"/>
              <w:spacing w:after="0" w:line="276" w:lineRule="auto"/>
              <w:jc w:val="center"/>
              <w:rPr>
                <w:rFonts w:cs="Arial"/>
                <w:color w:val="auto"/>
                <w:sz w:val="20"/>
                <w:szCs w:val="20"/>
              </w:rPr>
            </w:pPr>
            <w:r w:rsidRPr="00BF5ADA">
              <w:rPr>
                <w:rFonts w:cs="Arial"/>
                <w:color w:val="auto"/>
                <w:sz w:val="20"/>
                <w:szCs w:val="20"/>
              </w:rPr>
              <w:t>0.2</w:t>
            </w:r>
          </w:p>
        </w:tc>
        <w:tc>
          <w:tcPr>
            <w:tcW w:w="1134" w:type="dxa"/>
          </w:tcPr>
          <w:p w:rsidR="00315C3E" w:rsidRPr="00BF5ADA" w:rsidRDefault="00BF5ADA" w:rsidP="00E451FD">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5ADA">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05794A" w:rsidRDefault="00D22A54" w:rsidP="00EC7A3F">
            <w:pPr>
              <w:widowControl w:val="0"/>
              <w:spacing w:after="0" w:line="276" w:lineRule="auto"/>
              <w:jc w:val="center"/>
              <w:rPr>
                <w:rFonts w:cs="Arial"/>
                <w:color w:val="548DD4" w:themeColor="text2" w:themeTint="99"/>
                <w:sz w:val="20"/>
                <w:szCs w:val="20"/>
              </w:rPr>
            </w:pPr>
            <w:r>
              <w:rPr>
                <w:rFonts w:cs="Arial"/>
                <w:color w:val="548DD4" w:themeColor="text2" w:themeTint="99"/>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05794A" w:rsidRDefault="00D22A54" w:rsidP="00E451FD">
            <w:pPr>
              <w:widowControl w:val="0"/>
              <w:spacing w:after="0" w:line="276" w:lineRule="auto"/>
              <w:jc w:val="center"/>
              <w:rPr>
                <w:rFonts w:cs="Arial"/>
                <w:b w:val="0"/>
                <w:color w:val="548DD4" w:themeColor="text2" w:themeTint="99"/>
                <w:sz w:val="20"/>
                <w:szCs w:val="20"/>
              </w:rPr>
            </w:pPr>
            <w:r>
              <w:rPr>
                <w:rFonts w:cs="Arial"/>
                <w:b w:val="0"/>
                <w:color w:val="548DD4" w:themeColor="text2" w:themeTint="99"/>
                <w:sz w:val="20"/>
                <w:szCs w:val="20"/>
              </w:rPr>
              <w:t>-</w:t>
            </w:r>
          </w:p>
        </w:tc>
      </w:tr>
      <w:tr w:rsidR="00315C3E"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15C3E" w:rsidRPr="00A545A5" w:rsidRDefault="00315C3E" w:rsidP="00E451FD">
            <w:pPr>
              <w:widowControl w:val="0"/>
              <w:spacing w:after="0" w:line="276" w:lineRule="auto"/>
              <w:rPr>
                <w:rFonts w:cs="Arial"/>
                <w:b w:val="0"/>
                <w:color w:val="auto"/>
                <w:sz w:val="20"/>
                <w:szCs w:val="20"/>
              </w:rPr>
            </w:pPr>
            <w:r w:rsidRPr="00A545A5">
              <w:rPr>
                <w:rFonts w:cs="Arial"/>
                <w:b w:val="0"/>
                <w:color w:val="auto"/>
                <w:sz w:val="20"/>
                <w:szCs w:val="20"/>
              </w:rPr>
              <w:t>Actuarial (Gains)/Losses recognised in the pension scheme</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BF5ADA" w:rsidRDefault="00BF5ADA" w:rsidP="00E451FD">
            <w:pPr>
              <w:widowControl w:val="0"/>
              <w:spacing w:after="0" w:line="276" w:lineRule="auto"/>
              <w:jc w:val="center"/>
              <w:rPr>
                <w:rFonts w:cs="Arial"/>
                <w:color w:val="auto"/>
                <w:sz w:val="20"/>
                <w:szCs w:val="20"/>
              </w:rPr>
            </w:pPr>
            <w:r w:rsidRPr="00BF5ADA">
              <w:rPr>
                <w:rFonts w:cs="Arial"/>
                <w:color w:val="auto"/>
                <w:sz w:val="20"/>
                <w:szCs w:val="20"/>
              </w:rPr>
              <w:t>0</w:t>
            </w:r>
          </w:p>
        </w:tc>
        <w:tc>
          <w:tcPr>
            <w:tcW w:w="1134" w:type="dxa"/>
          </w:tcPr>
          <w:p w:rsidR="00315C3E" w:rsidRPr="00BF5ADA" w:rsidRDefault="00BF5ADA" w:rsidP="00E451FD">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5ADA">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05794A" w:rsidRDefault="00D22A54" w:rsidP="00E451FD">
            <w:pPr>
              <w:widowControl w:val="0"/>
              <w:spacing w:after="0" w:line="276" w:lineRule="auto"/>
              <w:jc w:val="center"/>
              <w:rPr>
                <w:rFonts w:cs="Arial"/>
                <w:color w:val="548DD4" w:themeColor="text2" w:themeTint="99"/>
                <w:sz w:val="20"/>
                <w:szCs w:val="20"/>
              </w:rPr>
            </w:pPr>
            <w:r>
              <w:rPr>
                <w:rFonts w:cs="Arial"/>
                <w:color w:val="548DD4" w:themeColor="text2" w:themeTint="99"/>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05794A" w:rsidRDefault="00D22A54" w:rsidP="00E451FD">
            <w:pPr>
              <w:widowControl w:val="0"/>
              <w:spacing w:after="0" w:line="276" w:lineRule="auto"/>
              <w:jc w:val="center"/>
              <w:rPr>
                <w:rFonts w:cs="Arial"/>
                <w:b w:val="0"/>
                <w:color w:val="548DD4" w:themeColor="text2" w:themeTint="99"/>
                <w:sz w:val="20"/>
                <w:szCs w:val="20"/>
              </w:rPr>
            </w:pPr>
            <w:r>
              <w:rPr>
                <w:rFonts w:cs="Arial"/>
                <w:b w:val="0"/>
                <w:color w:val="548DD4" w:themeColor="text2" w:themeTint="99"/>
                <w:sz w:val="20"/>
                <w:szCs w:val="20"/>
              </w:rPr>
              <w:t>-</w:t>
            </w:r>
          </w:p>
        </w:tc>
      </w:tr>
      <w:tr w:rsidR="00315C3E" w:rsidRPr="0005794A" w:rsidTr="00FB6D21">
        <w:tc>
          <w:tcPr>
            <w:cnfStyle w:val="001000000000" w:firstRow="0" w:lastRow="0" w:firstColumn="1" w:lastColumn="0" w:oddVBand="0" w:evenVBand="0" w:oddHBand="0" w:evenHBand="0" w:firstRowFirstColumn="0" w:firstRowLastColumn="0" w:lastRowFirstColumn="0" w:lastRowLastColumn="0"/>
            <w:tcW w:w="3369" w:type="dxa"/>
          </w:tcPr>
          <w:p w:rsidR="00315C3E" w:rsidRPr="00A545A5" w:rsidRDefault="00315C3E" w:rsidP="00E451FD">
            <w:pPr>
              <w:widowControl w:val="0"/>
              <w:spacing w:after="0" w:line="276" w:lineRule="auto"/>
              <w:rPr>
                <w:rFonts w:cs="Arial"/>
                <w:b w:val="0"/>
                <w:color w:val="auto"/>
                <w:sz w:val="20"/>
                <w:szCs w:val="20"/>
              </w:rPr>
            </w:pPr>
            <w:r w:rsidRPr="00A545A5">
              <w:rPr>
                <w:rFonts w:cs="Arial"/>
                <w:b w:val="0"/>
                <w:color w:val="auto"/>
                <w:sz w:val="20"/>
                <w:szCs w:val="20"/>
              </w:rPr>
              <w:t>Taxation</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BF5ADA" w:rsidRDefault="00BF5ADA" w:rsidP="00E451FD">
            <w:pPr>
              <w:widowControl w:val="0"/>
              <w:spacing w:after="0" w:line="276" w:lineRule="auto"/>
              <w:jc w:val="center"/>
              <w:rPr>
                <w:rFonts w:cs="Arial"/>
                <w:color w:val="auto"/>
                <w:sz w:val="20"/>
                <w:szCs w:val="20"/>
              </w:rPr>
            </w:pPr>
            <w:r w:rsidRPr="00BF5ADA">
              <w:rPr>
                <w:rFonts w:cs="Arial"/>
                <w:color w:val="auto"/>
                <w:sz w:val="20"/>
                <w:szCs w:val="20"/>
              </w:rPr>
              <w:t>0</w:t>
            </w:r>
          </w:p>
        </w:tc>
        <w:tc>
          <w:tcPr>
            <w:tcW w:w="1134" w:type="dxa"/>
          </w:tcPr>
          <w:p w:rsidR="00315C3E" w:rsidRPr="00BF5ADA" w:rsidRDefault="00BF5ADA" w:rsidP="00E451FD">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5ADA">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05794A" w:rsidRDefault="00D22A54" w:rsidP="00E451FD">
            <w:pPr>
              <w:widowControl w:val="0"/>
              <w:spacing w:after="0" w:line="276" w:lineRule="auto"/>
              <w:jc w:val="center"/>
              <w:rPr>
                <w:rFonts w:cs="Arial"/>
                <w:color w:val="548DD4" w:themeColor="text2" w:themeTint="99"/>
                <w:sz w:val="20"/>
                <w:szCs w:val="20"/>
              </w:rPr>
            </w:pPr>
            <w:r>
              <w:rPr>
                <w:rFonts w:cs="Arial"/>
                <w:color w:val="548DD4" w:themeColor="text2" w:themeTint="99"/>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05794A" w:rsidRDefault="00D22A54" w:rsidP="00E451FD">
            <w:pPr>
              <w:widowControl w:val="0"/>
              <w:spacing w:after="0" w:line="276" w:lineRule="auto"/>
              <w:jc w:val="center"/>
              <w:rPr>
                <w:rFonts w:cs="Arial"/>
                <w:b w:val="0"/>
                <w:color w:val="548DD4" w:themeColor="text2" w:themeTint="99"/>
                <w:sz w:val="20"/>
                <w:szCs w:val="20"/>
              </w:rPr>
            </w:pPr>
            <w:r>
              <w:rPr>
                <w:rFonts w:cs="Arial"/>
                <w:b w:val="0"/>
                <w:color w:val="548DD4" w:themeColor="text2" w:themeTint="99"/>
                <w:sz w:val="20"/>
                <w:szCs w:val="20"/>
              </w:rPr>
              <w:t>-</w:t>
            </w:r>
          </w:p>
        </w:tc>
      </w:tr>
      <w:tr w:rsidR="00315C3E" w:rsidRPr="0005794A" w:rsidTr="00FB6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15C3E" w:rsidRPr="00A545A5" w:rsidRDefault="00315C3E" w:rsidP="00E451FD">
            <w:pPr>
              <w:widowControl w:val="0"/>
              <w:spacing w:after="0" w:line="276" w:lineRule="auto"/>
              <w:rPr>
                <w:rFonts w:cs="Arial"/>
                <w:color w:val="auto"/>
                <w:sz w:val="20"/>
                <w:szCs w:val="20"/>
              </w:rPr>
            </w:pPr>
            <w:r w:rsidRPr="00A545A5">
              <w:rPr>
                <w:rFonts w:cs="Arial"/>
                <w:color w:val="auto"/>
                <w:sz w:val="20"/>
                <w:szCs w:val="20"/>
              </w:rPr>
              <w:t>Total (Profit) or loss</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BF5ADA" w:rsidRDefault="00E32651" w:rsidP="00E451FD">
            <w:pPr>
              <w:widowControl w:val="0"/>
              <w:spacing w:after="0" w:line="276" w:lineRule="auto"/>
              <w:jc w:val="center"/>
              <w:rPr>
                <w:rFonts w:cs="Arial"/>
                <w:b/>
                <w:color w:val="auto"/>
                <w:sz w:val="20"/>
                <w:szCs w:val="20"/>
              </w:rPr>
            </w:pPr>
            <w:r>
              <w:rPr>
                <w:rFonts w:cs="Arial"/>
                <w:b/>
                <w:color w:val="auto"/>
                <w:sz w:val="20"/>
                <w:szCs w:val="20"/>
              </w:rPr>
              <w:t>(</w:t>
            </w:r>
            <w:r w:rsidR="00BF5ADA" w:rsidRPr="00BF5ADA">
              <w:rPr>
                <w:rFonts w:cs="Arial"/>
                <w:b/>
                <w:color w:val="auto"/>
                <w:sz w:val="20"/>
                <w:szCs w:val="20"/>
              </w:rPr>
              <w:t>0.1</w:t>
            </w:r>
            <w:r>
              <w:rPr>
                <w:rFonts w:cs="Arial"/>
                <w:b/>
                <w:color w:val="auto"/>
                <w:sz w:val="20"/>
                <w:szCs w:val="20"/>
              </w:rPr>
              <w:t>)</w:t>
            </w:r>
          </w:p>
        </w:tc>
        <w:tc>
          <w:tcPr>
            <w:tcW w:w="1134" w:type="dxa"/>
          </w:tcPr>
          <w:p w:rsidR="00315C3E" w:rsidRPr="00BF5ADA" w:rsidRDefault="00BF5ADA" w:rsidP="00E451FD">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5ADA">
              <w:rPr>
                <w:rFonts w:cs="Arial"/>
                <w:b/>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05794A" w:rsidRDefault="00D22A54" w:rsidP="00EC7A3F">
            <w:pPr>
              <w:widowControl w:val="0"/>
              <w:spacing w:after="0" w:line="276" w:lineRule="auto"/>
              <w:jc w:val="center"/>
              <w:rPr>
                <w:rFonts w:cs="Arial"/>
                <w:b/>
                <w:color w:val="548DD4" w:themeColor="text2" w:themeTint="99"/>
                <w:sz w:val="20"/>
                <w:szCs w:val="20"/>
              </w:rPr>
            </w:pPr>
            <w:r>
              <w:rPr>
                <w:rFonts w:cs="Arial"/>
                <w:b/>
                <w:color w:val="548DD4" w:themeColor="text2" w:themeTint="99"/>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05794A" w:rsidRDefault="00D22A54" w:rsidP="00EC7A3F">
            <w:pPr>
              <w:widowControl w:val="0"/>
              <w:spacing w:after="0" w:line="276" w:lineRule="auto"/>
              <w:jc w:val="center"/>
              <w:rPr>
                <w:rFonts w:cs="Arial"/>
                <w:color w:val="548DD4" w:themeColor="text2" w:themeTint="99"/>
                <w:sz w:val="20"/>
                <w:szCs w:val="20"/>
              </w:rPr>
            </w:pPr>
            <w:r>
              <w:rPr>
                <w:rFonts w:cs="Arial"/>
                <w:color w:val="548DD4" w:themeColor="text2" w:themeTint="99"/>
                <w:sz w:val="20"/>
                <w:szCs w:val="20"/>
              </w:rPr>
              <w:t>-</w:t>
            </w:r>
          </w:p>
        </w:tc>
      </w:tr>
      <w:tr w:rsidR="00315C3E" w:rsidRPr="0005794A" w:rsidTr="00FB6D21">
        <w:tc>
          <w:tcPr>
            <w:cnfStyle w:val="001000000000" w:firstRow="0" w:lastRow="0" w:firstColumn="1" w:lastColumn="0" w:oddVBand="0" w:evenVBand="0" w:oddHBand="0" w:evenHBand="0" w:firstRowFirstColumn="0" w:firstRowLastColumn="0" w:lastRowFirstColumn="0" w:lastRowLastColumn="0"/>
            <w:tcW w:w="3369" w:type="dxa"/>
          </w:tcPr>
          <w:p w:rsidR="00315C3E" w:rsidRPr="00A545A5" w:rsidRDefault="00315C3E" w:rsidP="00AE4A5D">
            <w:pPr>
              <w:widowControl w:val="0"/>
              <w:spacing w:after="0" w:line="276" w:lineRule="auto"/>
              <w:rPr>
                <w:rFonts w:cs="Arial"/>
                <w:b w:val="0"/>
                <w:color w:val="auto"/>
                <w:sz w:val="20"/>
                <w:szCs w:val="20"/>
              </w:rPr>
            </w:pPr>
            <w:r w:rsidRPr="00A545A5">
              <w:rPr>
                <w:rFonts w:cs="Arial"/>
                <w:b w:val="0"/>
                <w:color w:val="auto"/>
                <w:sz w:val="20"/>
                <w:szCs w:val="20"/>
              </w:rPr>
              <w:t>Fixed Assets &amp; Net Current Assets</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BF5ADA" w:rsidRDefault="00BF5ADA" w:rsidP="000643A8">
            <w:pPr>
              <w:widowControl w:val="0"/>
              <w:spacing w:after="0" w:line="276" w:lineRule="auto"/>
              <w:jc w:val="center"/>
              <w:rPr>
                <w:rFonts w:cs="Arial"/>
                <w:color w:val="auto"/>
                <w:sz w:val="20"/>
                <w:szCs w:val="20"/>
              </w:rPr>
            </w:pPr>
            <w:r w:rsidRPr="00BF5ADA">
              <w:rPr>
                <w:rFonts w:cs="Arial"/>
                <w:color w:val="auto"/>
                <w:sz w:val="20"/>
                <w:szCs w:val="20"/>
              </w:rPr>
              <w:t>(0.4)</w:t>
            </w:r>
          </w:p>
        </w:tc>
        <w:tc>
          <w:tcPr>
            <w:tcW w:w="1134" w:type="dxa"/>
          </w:tcPr>
          <w:p w:rsidR="00315C3E" w:rsidRPr="00BF5ADA" w:rsidRDefault="00BF5ADA" w:rsidP="00E451FD">
            <w:pPr>
              <w:widowControl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5ADA">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05794A" w:rsidRDefault="00D22A54" w:rsidP="00A40181">
            <w:pPr>
              <w:widowControl w:val="0"/>
              <w:spacing w:after="0" w:line="276" w:lineRule="auto"/>
              <w:jc w:val="center"/>
              <w:rPr>
                <w:rFonts w:cs="Arial"/>
                <w:color w:val="548DD4" w:themeColor="text2" w:themeTint="99"/>
                <w:sz w:val="20"/>
                <w:szCs w:val="20"/>
              </w:rPr>
            </w:pPr>
            <w:r>
              <w:rPr>
                <w:rFonts w:cs="Arial"/>
                <w:color w:val="548DD4" w:themeColor="text2" w:themeTint="99"/>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05794A" w:rsidRDefault="00D22A54" w:rsidP="00A40181">
            <w:pPr>
              <w:widowControl w:val="0"/>
              <w:spacing w:after="0" w:line="276" w:lineRule="auto"/>
              <w:jc w:val="center"/>
              <w:rPr>
                <w:rFonts w:cs="Arial"/>
                <w:b w:val="0"/>
                <w:color w:val="548DD4" w:themeColor="text2" w:themeTint="99"/>
                <w:sz w:val="20"/>
                <w:szCs w:val="20"/>
              </w:rPr>
            </w:pPr>
            <w:r>
              <w:rPr>
                <w:rFonts w:cs="Arial"/>
                <w:b w:val="0"/>
                <w:color w:val="548DD4" w:themeColor="text2" w:themeTint="99"/>
                <w:sz w:val="20"/>
                <w:szCs w:val="20"/>
              </w:rPr>
              <w:t>-</w:t>
            </w:r>
          </w:p>
        </w:tc>
      </w:tr>
      <w:tr w:rsidR="00315C3E" w:rsidRPr="0005794A" w:rsidTr="00EE6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15C3E" w:rsidRPr="00A545A5" w:rsidRDefault="00315C3E" w:rsidP="00E451FD">
            <w:pPr>
              <w:widowControl w:val="0"/>
              <w:spacing w:after="0" w:line="276" w:lineRule="auto"/>
              <w:rPr>
                <w:rFonts w:cs="Arial"/>
                <w:b w:val="0"/>
                <w:color w:val="auto"/>
                <w:sz w:val="20"/>
                <w:szCs w:val="20"/>
              </w:rPr>
            </w:pPr>
            <w:r w:rsidRPr="00A545A5">
              <w:rPr>
                <w:rFonts w:cs="Arial"/>
                <w:b w:val="0"/>
                <w:color w:val="auto"/>
                <w:sz w:val="20"/>
                <w:szCs w:val="20"/>
              </w:rPr>
              <w:t>Long Term Liabilities</w:t>
            </w:r>
          </w:p>
        </w:tc>
        <w:tc>
          <w:tcPr>
            <w:cnfStyle w:val="000010000000" w:firstRow="0" w:lastRow="0" w:firstColumn="0" w:lastColumn="0" w:oddVBand="1" w:evenVBand="0" w:oddHBand="0" w:evenHBand="0" w:firstRowFirstColumn="0" w:firstRowLastColumn="0" w:lastRowFirstColumn="0" w:lastRowLastColumn="0"/>
            <w:tcW w:w="850" w:type="dxa"/>
          </w:tcPr>
          <w:p w:rsidR="00315C3E" w:rsidRPr="00BF5ADA" w:rsidRDefault="00BF5ADA" w:rsidP="00A40181">
            <w:pPr>
              <w:widowControl w:val="0"/>
              <w:spacing w:after="0" w:line="276" w:lineRule="auto"/>
              <w:jc w:val="center"/>
              <w:rPr>
                <w:rFonts w:cs="Arial"/>
                <w:color w:val="auto"/>
                <w:sz w:val="20"/>
                <w:szCs w:val="20"/>
              </w:rPr>
            </w:pPr>
            <w:r w:rsidRPr="00BF5ADA">
              <w:rPr>
                <w:rFonts w:cs="Arial"/>
                <w:color w:val="auto"/>
                <w:sz w:val="20"/>
                <w:szCs w:val="20"/>
              </w:rPr>
              <w:t>0</w:t>
            </w:r>
          </w:p>
        </w:tc>
        <w:tc>
          <w:tcPr>
            <w:tcW w:w="1134" w:type="dxa"/>
          </w:tcPr>
          <w:p w:rsidR="00315C3E" w:rsidRPr="00BF5ADA" w:rsidRDefault="00BF5ADA" w:rsidP="00E451FD">
            <w:pPr>
              <w:widowControl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5ADA">
              <w:rPr>
                <w:rFonts w:cs="Arial"/>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1134" w:type="dxa"/>
          </w:tcPr>
          <w:p w:rsidR="00315C3E" w:rsidRPr="0005794A" w:rsidRDefault="00D22A54" w:rsidP="00EC7A3F">
            <w:pPr>
              <w:widowControl w:val="0"/>
              <w:spacing w:after="0" w:line="276" w:lineRule="auto"/>
              <w:jc w:val="center"/>
              <w:rPr>
                <w:rFonts w:cs="Arial"/>
                <w:color w:val="548DD4" w:themeColor="text2" w:themeTint="99"/>
                <w:sz w:val="20"/>
                <w:szCs w:val="20"/>
              </w:rPr>
            </w:pPr>
            <w:r>
              <w:rPr>
                <w:rFonts w:cs="Arial"/>
                <w:color w:val="548DD4" w:themeColor="text2" w:themeTint="99"/>
                <w:sz w:val="20"/>
                <w:szCs w:val="20"/>
              </w:rPr>
              <w:t>-</w:t>
            </w:r>
          </w:p>
        </w:tc>
        <w:tc>
          <w:tcPr>
            <w:cnfStyle w:val="000100000000" w:firstRow="0" w:lastRow="0" w:firstColumn="0" w:lastColumn="1" w:oddVBand="0" w:evenVBand="0" w:oddHBand="0" w:evenHBand="0" w:firstRowFirstColumn="0" w:firstRowLastColumn="0" w:lastRowFirstColumn="0" w:lastRowLastColumn="0"/>
            <w:tcW w:w="1134" w:type="dxa"/>
          </w:tcPr>
          <w:p w:rsidR="00315C3E" w:rsidRPr="0005794A" w:rsidRDefault="00D22A54" w:rsidP="00E451FD">
            <w:pPr>
              <w:widowControl w:val="0"/>
              <w:spacing w:after="0" w:line="276" w:lineRule="auto"/>
              <w:jc w:val="center"/>
              <w:rPr>
                <w:rFonts w:cs="Arial"/>
                <w:b w:val="0"/>
                <w:color w:val="548DD4" w:themeColor="text2" w:themeTint="99"/>
                <w:sz w:val="20"/>
                <w:szCs w:val="20"/>
              </w:rPr>
            </w:pPr>
            <w:r>
              <w:rPr>
                <w:rFonts w:cs="Arial"/>
                <w:b w:val="0"/>
                <w:color w:val="548DD4" w:themeColor="text2" w:themeTint="99"/>
                <w:sz w:val="20"/>
                <w:szCs w:val="20"/>
              </w:rPr>
              <w:t>-</w:t>
            </w:r>
          </w:p>
        </w:tc>
      </w:tr>
      <w:tr w:rsidR="00315C3E" w:rsidRPr="0005794A" w:rsidTr="00EE629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369" w:type="dxa"/>
            <w:tcBorders>
              <w:top w:val="single" w:sz="4" w:space="0" w:color="4BACC6" w:themeColor="accent5"/>
            </w:tcBorders>
          </w:tcPr>
          <w:p w:rsidR="00315C3E" w:rsidRPr="00A545A5" w:rsidRDefault="00315C3E" w:rsidP="00E451FD">
            <w:pPr>
              <w:widowControl w:val="0"/>
              <w:spacing w:after="0" w:line="276" w:lineRule="auto"/>
              <w:rPr>
                <w:rFonts w:cs="Arial"/>
                <w:color w:val="auto"/>
                <w:sz w:val="20"/>
                <w:szCs w:val="20"/>
              </w:rPr>
            </w:pPr>
            <w:r w:rsidRPr="00A545A5">
              <w:rPr>
                <w:rFonts w:cs="Arial"/>
                <w:color w:val="auto"/>
                <w:sz w:val="20"/>
                <w:szCs w:val="20"/>
              </w:rPr>
              <w:t>Total Capital &amp; Reserves</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4BACC6" w:themeColor="accent5"/>
            </w:tcBorders>
          </w:tcPr>
          <w:p w:rsidR="00315C3E" w:rsidRPr="00BF5ADA" w:rsidRDefault="00BF5ADA" w:rsidP="00E451FD">
            <w:pPr>
              <w:widowControl w:val="0"/>
              <w:spacing w:after="0" w:line="276" w:lineRule="auto"/>
              <w:jc w:val="center"/>
              <w:rPr>
                <w:rFonts w:cs="Arial"/>
                <w:color w:val="auto"/>
                <w:sz w:val="20"/>
                <w:szCs w:val="20"/>
              </w:rPr>
            </w:pPr>
            <w:r w:rsidRPr="00BF5ADA">
              <w:rPr>
                <w:rFonts w:cs="Arial"/>
                <w:color w:val="auto"/>
                <w:sz w:val="20"/>
                <w:szCs w:val="20"/>
              </w:rPr>
              <w:t>(0.4)</w:t>
            </w:r>
          </w:p>
        </w:tc>
        <w:tc>
          <w:tcPr>
            <w:tcW w:w="1134" w:type="dxa"/>
            <w:tcBorders>
              <w:top w:val="single" w:sz="4" w:space="0" w:color="4BACC6" w:themeColor="accent5"/>
            </w:tcBorders>
          </w:tcPr>
          <w:p w:rsidR="00315C3E" w:rsidRPr="00BF5ADA" w:rsidRDefault="00BF5ADA" w:rsidP="00E451FD">
            <w:pPr>
              <w:widowControl w:val="0"/>
              <w:spacing w:after="0" w:line="276" w:lineRule="auto"/>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rPr>
            </w:pPr>
            <w:r w:rsidRPr="00BF5ADA">
              <w:rPr>
                <w:rFonts w:cs="Arial"/>
                <w:color w:val="auto"/>
                <w:sz w:val="20"/>
                <w:szCs w:val="20"/>
              </w:rPr>
              <w:t>(0.1)</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4BACC6" w:themeColor="accent5"/>
            </w:tcBorders>
          </w:tcPr>
          <w:p w:rsidR="00315C3E" w:rsidRPr="0005794A" w:rsidRDefault="00D22A54" w:rsidP="00E451FD">
            <w:pPr>
              <w:widowControl w:val="0"/>
              <w:spacing w:after="0" w:line="276" w:lineRule="auto"/>
              <w:jc w:val="center"/>
              <w:rPr>
                <w:rFonts w:cs="Arial"/>
                <w:color w:val="548DD4" w:themeColor="text2" w:themeTint="99"/>
                <w:sz w:val="20"/>
                <w:szCs w:val="20"/>
              </w:rPr>
            </w:pPr>
            <w:r>
              <w:rPr>
                <w:rFonts w:cs="Arial"/>
                <w:color w:val="548DD4" w:themeColor="text2" w:themeTint="99"/>
                <w:sz w:val="20"/>
                <w:szCs w:val="20"/>
              </w:rPr>
              <w:t>-</w:t>
            </w:r>
          </w:p>
        </w:tc>
        <w:tc>
          <w:tcPr>
            <w:cnfStyle w:val="000100000010" w:firstRow="0" w:lastRow="0" w:firstColumn="0" w:lastColumn="1" w:oddVBand="0" w:evenVBand="0" w:oddHBand="0" w:evenHBand="0" w:firstRowFirstColumn="0" w:firstRowLastColumn="0" w:lastRowFirstColumn="0" w:lastRowLastColumn="1"/>
            <w:tcW w:w="1134" w:type="dxa"/>
            <w:tcBorders>
              <w:top w:val="single" w:sz="4" w:space="0" w:color="4BACC6" w:themeColor="accent5"/>
            </w:tcBorders>
          </w:tcPr>
          <w:p w:rsidR="00315C3E" w:rsidRPr="0005794A" w:rsidRDefault="00D22A54" w:rsidP="00E451FD">
            <w:pPr>
              <w:widowControl w:val="0"/>
              <w:spacing w:after="0" w:line="276" w:lineRule="auto"/>
              <w:jc w:val="center"/>
              <w:rPr>
                <w:rFonts w:cs="Arial"/>
                <w:bCs w:val="0"/>
                <w:color w:val="548DD4" w:themeColor="text2" w:themeTint="99"/>
                <w:sz w:val="20"/>
                <w:szCs w:val="20"/>
              </w:rPr>
            </w:pPr>
            <w:r>
              <w:rPr>
                <w:rFonts w:cs="Arial"/>
                <w:bCs w:val="0"/>
                <w:color w:val="548DD4" w:themeColor="text2" w:themeTint="99"/>
                <w:sz w:val="20"/>
                <w:szCs w:val="20"/>
              </w:rPr>
              <w:t>-</w:t>
            </w:r>
          </w:p>
        </w:tc>
      </w:tr>
    </w:tbl>
    <w:p w:rsidR="00A7490E" w:rsidRPr="00154CE1" w:rsidRDefault="00BE08BA" w:rsidP="00154CE1">
      <w:pPr>
        <w:pStyle w:val="ExampleSub"/>
        <w:keepNext w:val="0"/>
        <w:keepLines w:val="0"/>
        <w:spacing w:line="180" w:lineRule="atLeast"/>
        <w:ind w:left="0" w:firstLine="720"/>
        <w:outlineLvl w:val="0"/>
        <w:rPr>
          <w:rFonts w:ascii="Arial" w:hAnsi="Arial" w:cs="Arial"/>
          <w:b w:val="0"/>
          <w:color w:val="auto"/>
          <w:sz w:val="18"/>
          <w:szCs w:val="18"/>
        </w:rPr>
      </w:pPr>
      <w:r w:rsidRPr="00154CE1">
        <w:rPr>
          <w:rFonts w:ascii="Arial" w:hAnsi="Arial" w:cs="Arial"/>
          <w:b w:val="0"/>
          <w:color w:val="auto"/>
          <w:sz w:val="18"/>
          <w:szCs w:val="18"/>
        </w:rPr>
        <w:t xml:space="preserve">Note* </w:t>
      </w:r>
      <w:proofErr w:type="gramStart"/>
      <w:r w:rsidRPr="00154CE1">
        <w:rPr>
          <w:rFonts w:ascii="Arial" w:hAnsi="Arial" w:cs="Arial"/>
          <w:b w:val="0"/>
          <w:color w:val="auto"/>
          <w:sz w:val="18"/>
          <w:szCs w:val="18"/>
        </w:rPr>
        <w:t>-  TOR2</w:t>
      </w:r>
      <w:proofErr w:type="gramEnd"/>
      <w:r w:rsidRPr="00154CE1">
        <w:rPr>
          <w:rFonts w:ascii="Arial" w:hAnsi="Arial" w:cs="Arial"/>
          <w:b w:val="0"/>
          <w:color w:val="auto"/>
          <w:sz w:val="18"/>
          <w:szCs w:val="18"/>
        </w:rPr>
        <w:t xml:space="preserve"> accounts </w:t>
      </w:r>
      <w:r w:rsidR="00FA4752" w:rsidRPr="00154CE1">
        <w:rPr>
          <w:rFonts w:ascii="Arial" w:hAnsi="Arial" w:cs="Arial"/>
          <w:b w:val="0"/>
          <w:color w:val="auto"/>
          <w:sz w:val="18"/>
          <w:szCs w:val="18"/>
        </w:rPr>
        <w:t>to end June 201</w:t>
      </w:r>
      <w:r w:rsidR="00BF5ADA" w:rsidRPr="00154CE1">
        <w:rPr>
          <w:rFonts w:ascii="Arial" w:hAnsi="Arial" w:cs="Arial"/>
          <w:b w:val="0"/>
          <w:color w:val="auto"/>
          <w:sz w:val="18"/>
          <w:szCs w:val="18"/>
        </w:rPr>
        <w:t>7</w:t>
      </w:r>
      <w:r w:rsidR="00FA4752" w:rsidRPr="00154CE1">
        <w:rPr>
          <w:rFonts w:ascii="Arial" w:hAnsi="Arial" w:cs="Arial"/>
          <w:b w:val="0"/>
          <w:color w:val="auto"/>
          <w:sz w:val="18"/>
          <w:szCs w:val="18"/>
        </w:rPr>
        <w:t>.</w:t>
      </w:r>
      <w:r w:rsidR="00154CE1">
        <w:rPr>
          <w:rFonts w:ascii="Arial" w:hAnsi="Arial" w:cs="Arial"/>
          <w:b w:val="0"/>
          <w:color w:val="auto"/>
          <w:sz w:val="18"/>
          <w:szCs w:val="18"/>
        </w:rPr>
        <w:t xml:space="preserve"> </w:t>
      </w:r>
      <w:r w:rsidR="00191CE5" w:rsidRPr="00154CE1">
        <w:rPr>
          <w:rFonts w:ascii="Arial" w:hAnsi="Arial" w:cs="Arial"/>
          <w:b w:val="0"/>
          <w:color w:val="auto"/>
          <w:sz w:val="18"/>
          <w:szCs w:val="18"/>
        </w:rPr>
        <w:t xml:space="preserve">Note ** - </w:t>
      </w:r>
      <w:r w:rsidR="006B046C" w:rsidRPr="00154CE1">
        <w:rPr>
          <w:rFonts w:ascii="Arial" w:hAnsi="Arial" w:cs="Arial"/>
          <w:b w:val="0"/>
          <w:color w:val="auto"/>
          <w:sz w:val="18"/>
          <w:szCs w:val="18"/>
        </w:rPr>
        <w:t xml:space="preserve">CSW Group Ltd </w:t>
      </w:r>
      <w:r w:rsidR="00191CE5" w:rsidRPr="00154CE1">
        <w:rPr>
          <w:rFonts w:ascii="Arial" w:hAnsi="Arial" w:cs="Arial"/>
          <w:b w:val="0"/>
          <w:color w:val="auto"/>
          <w:sz w:val="18"/>
          <w:szCs w:val="18"/>
        </w:rPr>
        <w:t xml:space="preserve">– excludes </w:t>
      </w:r>
      <w:r w:rsidR="00315C3E" w:rsidRPr="00154CE1">
        <w:rPr>
          <w:rFonts w:ascii="Arial" w:hAnsi="Arial" w:cs="Arial"/>
          <w:b w:val="0"/>
          <w:color w:val="auto"/>
          <w:sz w:val="18"/>
          <w:szCs w:val="18"/>
        </w:rPr>
        <w:t xml:space="preserve">IAS19 </w:t>
      </w:r>
      <w:r w:rsidR="00191CE5" w:rsidRPr="00154CE1">
        <w:rPr>
          <w:rFonts w:ascii="Arial" w:hAnsi="Arial" w:cs="Arial"/>
          <w:b w:val="0"/>
          <w:color w:val="auto"/>
          <w:sz w:val="18"/>
          <w:szCs w:val="18"/>
        </w:rPr>
        <w:t>pension entries</w:t>
      </w:r>
    </w:p>
    <w:p w:rsidR="00E51139" w:rsidRPr="001C14AE" w:rsidRDefault="00E51139" w:rsidP="008D0906">
      <w:pPr>
        <w:pStyle w:val="Default"/>
        <w:ind w:left="567"/>
        <w:outlineLvl w:val="0"/>
        <w:rPr>
          <w:rFonts w:ascii="Arial" w:hAnsi="Arial" w:cs="Arial"/>
          <w:b/>
          <w:color w:val="auto"/>
          <w:sz w:val="20"/>
          <w:szCs w:val="20"/>
        </w:rPr>
      </w:pPr>
      <w:r w:rsidRPr="001C14AE">
        <w:rPr>
          <w:rFonts w:ascii="Arial" w:hAnsi="Arial" w:cs="Arial"/>
          <w:b/>
          <w:bCs/>
          <w:color w:val="auto"/>
          <w:sz w:val="20"/>
          <w:szCs w:val="20"/>
        </w:rPr>
        <w:t>Other interests in Companies</w:t>
      </w:r>
    </w:p>
    <w:p w:rsidR="00E51139" w:rsidRPr="001C14AE" w:rsidRDefault="00E51139" w:rsidP="00E5683F">
      <w:pPr>
        <w:pStyle w:val="Default"/>
        <w:ind w:left="567"/>
        <w:rPr>
          <w:rFonts w:ascii="Arial" w:hAnsi="Arial" w:cs="Times New Roman"/>
          <w:color w:val="auto"/>
          <w:sz w:val="20"/>
          <w:szCs w:val="20"/>
        </w:rPr>
      </w:pPr>
    </w:p>
    <w:p w:rsidR="00E51139" w:rsidRPr="001C14AE" w:rsidRDefault="00E51139" w:rsidP="008D0906">
      <w:pPr>
        <w:pStyle w:val="ExampleSub"/>
        <w:keepNext w:val="0"/>
        <w:keepLines w:val="0"/>
        <w:spacing w:before="0" w:line="240" w:lineRule="auto"/>
        <w:outlineLvl w:val="0"/>
        <w:rPr>
          <w:rFonts w:ascii="Arial" w:hAnsi="Arial" w:cs="Arial"/>
          <w:b w:val="0"/>
          <w:bCs w:val="0"/>
          <w:color w:val="auto"/>
          <w:sz w:val="20"/>
          <w:szCs w:val="20"/>
        </w:rPr>
      </w:pPr>
      <w:r w:rsidRPr="001C14AE">
        <w:rPr>
          <w:rFonts w:ascii="Arial" w:hAnsi="Arial" w:cs="Arial"/>
          <w:b w:val="0"/>
          <w:bCs w:val="0"/>
          <w:color w:val="auto"/>
          <w:sz w:val="20"/>
          <w:szCs w:val="20"/>
        </w:rPr>
        <w:t xml:space="preserve">The following companies are also </w:t>
      </w:r>
      <w:r w:rsidR="00C36321" w:rsidRPr="001C14AE">
        <w:rPr>
          <w:rFonts w:ascii="Arial" w:hAnsi="Arial" w:cs="Arial"/>
          <w:b w:val="0"/>
          <w:bCs w:val="0"/>
          <w:color w:val="auto"/>
          <w:sz w:val="20"/>
          <w:szCs w:val="20"/>
        </w:rPr>
        <w:t>linked</w:t>
      </w:r>
      <w:r w:rsidRPr="001C14AE">
        <w:rPr>
          <w:rFonts w:ascii="Arial" w:hAnsi="Arial" w:cs="Arial"/>
          <w:b w:val="0"/>
          <w:bCs w:val="0"/>
          <w:color w:val="auto"/>
          <w:sz w:val="20"/>
          <w:szCs w:val="20"/>
        </w:rPr>
        <w:t xml:space="preserve"> to the Council. However they are not conside</w:t>
      </w:r>
      <w:r w:rsidR="0061478F" w:rsidRPr="001C14AE">
        <w:rPr>
          <w:rFonts w:ascii="Arial" w:hAnsi="Arial" w:cs="Arial"/>
          <w:b w:val="0"/>
          <w:bCs w:val="0"/>
          <w:color w:val="auto"/>
          <w:sz w:val="20"/>
          <w:szCs w:val="20"/>
        </w:rPr>
        <w:t>red material in financial terms.</w:t>
      </w:r>
    </w:p>
    <w:p w:rsidR="00E51139" w:rsidRPr="0005794A" w:rsidRDefault="00E51139" w:rsidP="008E1961">
      <w:pPr>
        <w:pStyle w:val="ExampleSub"/>
        <w:keepNext w:val="0"/>
        <w:keepLines w:val="0"/>
        <w:spacing w:before="0" w:line="240" w:lineRule="auto"/>
        <w:rPr>
          <w:rFonts w:ascii="Arial" w:hAnsi="Arial" w:cs="Arial"/>
          <w:b w:val="0"/>
          <w:bCs w:val="0"/>
          <w:color w:val="548DD4" w:themeColor="text2" w:themeTint="99"/>
          <w:sz w:val="20"/>
          <w:szCs w:val="20"/>
        </w:rPr>
      </w:pPr>
    </w:p>
    <w:p w:rsidR="00E51139" w:rsidRPr="000664DA" w:rsidRDefault="00E51139" w:rsidP="00D50FBC">
      <w:pPr>
        <w:pStyle w:val="Default"/>
        <w:ind w:left="567"/>
        <w:rPr>
          <w:rFonts w:ascii="Arial" w:hAnsi="Arial" w:cs="Arial"/>
          <w:bCs/>
          <w:color w:val="auto"/>
          <w:sz w:val="20"/>
          <w:szCs w:val="20"/>
        </w:rPr>
      </w:pPr>
      <w:r w:rsidRPr="000664DA">
        <w:rPr>
          <w:rFonts w:ascii="Arial" w:hAnsi="Arial" w:cs="Arial"/>
          <w:bCs/>
          <w:color w:val="auto"/>
          <w:sz w:val="20"/>
          <w:szCs w:val="20"/>
        </w:rPr>
        <w:t>South West Grid for Learning Trust is limited by guarantee and was incorporated on 9th October 2005 with the 15 South West Regional Authorities as members. The company objectives are the advancement of education as a solely charitable purpose by any means relating to the effective use of information and communication technologies for the benefit of the public. There are no transactions/liabilities associated with Torbay</w:t>
      </w:r>
      <w:r w:rsidRPr="000664DA">
        <w:rPr>
          <w:rFonts w:ascii="Arial" w:hAnsi="Arial" w:cs="Arial"/>
          <w:b/>
          <w:bCs/>
          <w:color w:val="auto"/>
          <w:sz w:val="20"/>
          <w:szCs w:val="20"/>
        </w:rPr>
        <w:t xml:space="preserve"> </w:t>
      </w:r>
      <w:r w:rsidRPr="000664DA">
        <w:rPr>
          <w:rFonts w:ascii="Arial" w:hAnsi="Arial" w:cs="Arial"/>
          <w:bCs/>
          <w:color w:val="auto"/>
          <w:sz w:val="20"/>
          <w:szCs w:val="20"/>
        </w:rPr>
        <w:t>Council's membership</w:t>
      </w:r>
      <w:r w:rsidRPr="000664DA">
        <w:rPr>
          <w:rFonts w:ascii="Arial" w:hAnsi="Arial" w:cs="Arial"/>
          <w:b/>
          <w:bCs/>
          <w:color w:val="auto"/>
          <w:sz w:val="20"/>
          <w:szCs w:val="20"/>
        </w:rPr>
        <w:t xml:space="preserve"> </w:t>
      </w:r>
      <w:r w:rsidRPr="000664DA">
        <w:rPr>
          <w:rFonts w:ascii="Arial" w:hAnsi="Arial" w:cs="Arial"/>
          <w:bCs/>
          <w:color w:val="auto"/>
          <w:sz w:val="20"/>
          <w:szCs w:val="20"/>
        </w:rPr>
        <w:t>other than the nominal initial one-off fee.  For financial reporting this relationship has been treated as an investment.</w:t>
      </w:r>
      <w:r w:rsidR="0053169B" w:rsidRPr="000664DA">
        <w:rPr>
          <w:rFonts w:ascii="Arial" w:hAnsi="Arial" w:cs="Arial"/>
          <w:bCs/>
          <w:color w:val="auto"/>
          <w:sz w:val="20"/>
          <w:szCs w:val="20"/>
        </w:rPr>
        <w:t xml:space="preserve"> </w:t>
      </w:r>
    </w:p>
    <w:p w:rsidR="00E51139" w:rsidRPr="0005794A" w:rsidRDefault="00E51139" w:rsidP="00D50FBC">
      <w:pPr>
        <w:pStyle w:val="Default"/>
        <w:ind w:left="567"/>
        <w:rPr>
          <w:rFonts w:ascii="Arial" w:hAnsi="Arial" w:cs="Arial"/>
          <w:bCs/>
          <w:color w:val="548DD4" w:themeColor="text2" w:themeTint="99"/>
          <w:sz w:val="20"/>
          <w:szCs w:val="20"/>
        </w:rPr>
      </w:pPr>
    </w:p>
    <w:p w:rsidR="00E51139" w:rsidRPr="0005794A" w:rsidRDefault="00C76DD8" w:rsidP="00D50FBC">
      <w:pPr>
        <w:pStyle w:val="Default"/>
        <w:ind w:left="567"/>
        <w:rPr>
          <w:rFonts w:ascii="Arial" w:hAnsi="Arial" w:cs="Arial"/>
          <w:bCs/>
          <w:color w:val="548DD4" w:themeColor="text2" w:themeTint="99"/>
          <w:sz w:val="20"/>
          <w:szCs w:val="20"/>
        </w:rPr>
      </w:pPr>
      <w:r w:rsidRPr="001C14AE">
        <w:rPr>
          <w:rFonts w:ascii="Arial" w:hAnsi="Arial" w:cs="Arial"/>
          <w:bCs/>
          <w:color w:val="auto"/>
          <w:sz w:val="20"/>
          <w:szCs w:val="20"/>
        </w:rPr>
        <w:t xml:space="preserve">English Riviera BID Company Limited was formed to manage the </w:t>
      </w:r>
      <w:r w:rsidR="007052B7">
        <w:rPr>
          <w:rFonts w:ascii="Arial" w:hAnsi="Arial" w:cs="Arial"/>
          <w:bCs/>
          <w:color w:val="auto"/>
          <w:sz w:val="20"/>
          <w:szCs w:val="20"/>
        </w:rPr>
        <w:t>T</w:t>
      </w:r>
      <w:r w:rsidRPr="001C14AE">
        <w:rPr>
          <w:rFonts w:ascii="Arial" w:hAnsi="Arial" w:cs="Arial"/>
          <w:bCs/>
          <w:color w:val="auto"/>
          <w:sz w:val="20"/>
          <w:szCs w:val="20"/>
        </w:rPr>
        <w:t>ourism B</w:t>
      </w:r>
      <w:r w:rsidR="007052B7">
        <w:rPr>
          <w:rFonts w:ascii="Arial" w:hAnsi="Arial" w:cs="Arial"/>
          <w:bCs/>
          <w:color w:val="auto"/>
          <w:sz w:val="20"/>
          <w:szCs w:val="20"/>
        </w:rPr>
        <w:t xml:space="preserve">usiness </w:t>
      </w:r>
      <w:r w:rsidRPr="001C14AE">
        <w:rPr>
          <w:rFonts w:ascii="Arial" w:hAnsi="Arial" w:cs="Arial"/>
          <w:bCs/>
          <w:color w:val="auto"/>
          <w:sz w:val="20"/>
          <w:szCs w:val="20"/>
        </w:rPr>
        <w:t>I</w:t>
      </w:r>
      <w:r w:rsidR="007052B7">
        <w:rPr>
          <w:rFonts w:ascii="Arial" w:hAnsi="Arial" w:cs="Arial"/>
          <w:bCs/>
          <w:color w:val="auto"/>
          <w:sz w:val="20"/>
          <w:szCs w:val="20"/>
        </w:rPr>
        <w:t xml:space="preserve">mprovement District (BID) </w:t>
      </w:r>
      <w:r w:rsidRPr="001C14AE">
        <w:rPr>
          <w:rFonts w:ascii="Arial" w:hAnsi="Arial" w:cs="Arial"/>
          <w:bCs/>
          <w:color w:val="auto"/>
          <w:sz w:val="20"/>
          <w:szCs w:val="20"/>
        </w:rPr>
        <w:t>and the Cou</w:t>
      </w:r>
      <w:r w:rsidR="00246EFC" w:rsidRPr="001C14AE">
        <w:rPr>
          <w:rFonts w:ascii="Arial" w:hAnsi="Arial" w:cs="Arial"/>
          <w:bCs/>
          <w:color w:val="auto"/>
          <w:sz w:val="20"/>
          <w:szCs w:val="20"/>
        </w:rPr>
        <w:t>nc</w:t>
      </w:r>
      <w:r w:rsidRPr="001C14AE">
        <w:rPr>
          <w:rFonts w:ascii="Arial" w:hAnsi="Arial" w:cs="Arial"/>
          <w:bCs/>
          <w:color w:val="auto"/>
          <w:sz w:val="20"/>
          <w:szCs w:val="20"/>
        </w:rPr>
        <w:t>il collects the BID levy on an agency basis. Value of levy collected in 201</w:t>
      </w:r>
      <w:r w:rsidR="001C14AE" w:rsidRPr="001C14AE">
        <w:rPr>
          <w:rFonts w:ascii="Arial" w:hAnsi="Arial" w:cs="Arial"/>
          <w:bCs/>
          <w:color w:val="auto"/>
          <w:sz w:val="20"/>
          <w:szCs w:val="20"/>
        </w:rPr>
        <w:t>7</w:t>
      </w:r>
      <w:r w:rsidRPr="001C14AE">
        <w:rPr>
          <w:rFonts w:ascii="Arial" w:hAnsi="Arial" w:cs="Arial"/>
          <w:bCs/>
          <w:color w:val="auto"/>
          <w:sz w:val="20"/>
          <w:szCs w:val="20"/>
        </w:rPr>
        <w:t>/1</w:t>
      </w:r>
      <w:r w:rsidR="001C14AE" w:rsidRPr="001C14AE">
        <w:rPr>
          <w:rFonts w:ascii="Arial" w:hAnsi="Arial" w:cs="Arial"/>
          <w:bCs/>
          <w:color w:val="auto"/>
          <w:sz w:val="20"/>
          <w:szCs w:val="20"/>
        </w:rPr>
        <w:t>8</w:t>
      </w:r>
      <w:r w:rsidRPr="001C14AE">
        <w:rPr>
          <w:rFonts w:ascii="Arial" w:hAnsi="Arial" w:cs="Arial"/>
          <w:bCs/>
          <w:color w:val="auto"/>
          <w:sz w:val="20"/>
          <w:szCs w:val="20"/>
        </w:rPr>
        <w:t xml:space="preserve"> was £0.</w:t>
      </w:r>
      <w:r w:rsidR="001C14AE" w:rsidRPr="001C14AE">
        <w:rPr>
          <w:rFonts w:ascii="Arial" w:hAnsi="Arial" w:cs="Arial"/>
          <w:bCs/>
          <w:color w:val="auto"/>
          <w:sz w:val="20"/>
          <w:szCs w:val="20"/>
        </w:rPr>
        <w:t>5</w:t>
      </w:r>
      <w:r w:rsidRPr="001C14AE">
        <w:rPr>
          <w:rFonts w:ascii="Arial" w:hAnsi="Arial" w:cs="Arial"/>
          <w:bCs/>
          <w:color w:val="auto"/>
          <w:sz w:val="20"/>
          <w:szCs w:val="20"/>
        </w:rPr>
        <w:t>m, (</w:t>
      </w:r>
      <w:r w:rsidR="001C14AE" w:rsidRPr="001C14AE">
        <w:rPr>
          <w:rFonts w:ascii="Arial" w:hAnsi="Arial" w:cs="Arial"/>
          <w:bCs/>
          <w:color w:val="auto"/>
          <w:sz w:val="20"/>
          <w:szCs w:val="20"/>
        </w:rPr>
        <w:t>£0.4m</w:t>
      </w:r>
      <w:r w:rsidRPr="001C14AE">
        <w:rPr>
          <w:rFonts w:ascii="Arial" w:hAnsi="Arial" w:cs="Arial"/>
          <w:bCs/>
          <w:color w:val="auto"/>
          <w:sz w:val="20"/>
          <w:szCs w:val="20"/>
        </w:rPr>
        <w:t xml:space="preserve"> 1</w:t>
      </w:r>
      <w:r w:rsidR="001C14AE" w:rsidRPr="001C14AE">
        <w:rPr>
          <w:rFonts w:ascii="Arial" w:hAnsi="Arial" w:cs="Arial"/>
          <w:bCs/>
          <w:color w:val="auto"/>
          <w:sz w:val="20"/>
          <w:szCs w:val="20"/>
        </w:rPr>
        <w:t>6</w:t>
      </w:r>
      <w:r w:rsidRPr="001C14AE">
        <w:rPr>
          <w:rFonts w:ascii="Arial" w:hAnsi="Arial" w:cs="Arial"/>
          <w:bCs/>
          <w:color w:val="auto"/>
          <w:sz w:val="20"/>
          <w:szCs w:val="20"/>
        </w:rPr>
        <w:t>/1</w:t>
      </w:r>
      <w:r w:rsidR="001C14AE" w:rsidRPr="001C14AE">
        <w:rPr>
          <w:rFonts w:ascii="Arial" w:hAnsi="Arial" w:cs="Arial"/>
          <w:bCs/>
          <w:color w:val="auto"/>
          <w:sz w:val="20"/>
          <w:szCs w:val="20"/>
        </w:rPr>
        <w:t>7</w:t>
      </w:r>
      <w:r w:rsidRPr="001C14AE">
        <w:rPr>
          <w:rFonts w:ascii="Arial" w:hAnsi="Arial" w:cs="Arial"/>
          <w:bCs/>
          <w:color w:val="auto"/>
          <w:sz w:val="20"/>
          <w:szCs w:val="20"/>
        </w:rPr>
        <w:t>)</w:t>
      </w:r>
      <w:r w:rsidR="007052B7">
        <w:rPr>
          <w:rFonts w:ascii="Arial" w:hAnsi="Arial" w:cs="Arial"/>
          <w:bCs/>
          <w:color w:val="auto"/>
          <w:sz w:val="20"/>
          <w:szCs w:val="20"/>
        </w:rPr>
        <w:t>.</w:t>
      </w:r>
      <w:r w:rsidRPr="0005794A">
        <w:rPr>
          <w:rFonts w:ascii="Arial" w:hAnsi="Arial" w:cs="Arial"/>
          <w:bCs/>
          <w:color w:val="548DD4" w:themeColor="text2" w:themeTint="99"/>
          <w:sz w:val="20"/>
          <w:szCs w:val="20"/>
        </w:rPr>
        <w:t xml:space="preserve"> </w:t>
      </w:r>
    </w:p>
    <w:p w:rsidR="00E51139" w:rsidRPr="0005794A" w:rsidRDefault="00E51139" w:rsidP="00D50FBC">
      <w:pPr>
        <w:pStyle w:val="Default"/>
        <w:ind w:left="567"/>
        <w:rPr>
          <w:rFonts w:ascii="Arial" w:hAnsi="Arial" w:cs="Arial"/>
          <w:bCs/>
          <w:color w:val="548DD4" w:themeColor="text2" w:themeTint="99"/>
          <w:sz w:val="20"/>
          <w:szCs w:val="20"/>
        </w:rPr>
      </w:pPr>
      <w:r w:rsidRPr="0005794A">
        <w:rPr>
          <w:rFonts w:ascii="Arial" w:hAnsi="Arial" w:cs="Arial"/>
          <w:bCs/>
          <w:color w:val="548DD4" w:themeColor="text2" w:themeTint="99"/>
          <w:sz w:val="20"/>
          <w:szCs w:val="20"/>
        </w:rPr>
        <w:t xml:space="preserve">   </w:t>
      </w:r>
    </w:p>
    <w:p w:rsidR="00E51139" w:rsidRPr="001C14AE" w:rsidRDefault="00E51139" w:rsidP="00D50FBC">
      <w:pPr>
        <w:pStyle w:val="Default"/>
        <w:ind w:left="567"/>
        <w:rPr>
          <w:rFonts w:ascii="Arial" w:hAnsi="Arial" w:cs="Arial"/>
          <w:bCs/>
          <w:color w:val="auto"/>
          <w:sz w:val="20"/>
          <w:szCs w:val="20"/>
        </w:rPr>
      </w:pPr>
      <w:r w:rsidRPr="001C14AE">
        <w:rPr>
          <w:rFonts w:ascii="Arial" w:hAnsi="Arial" w:cs="Arial"/>
          <w:bCs/>
          <w:color w:val="auto"/>
          <w:sz w:val="20"/>
          <w:szCs w:val="20"/>
        </w:rPr>
        <w:t xml:space="preserve">Riviera International Conference Centre. The Council has a maximum voting right of 19.99% on the board of the Riviera International Conference Centre Ltd, in addition the Council provides a peppercorn lease for the centre and an annual </w:t>
      </w:r>
      <w:r w:rsidR="006E1190" w:rsidRPr="001C14AE">
        <w:rPr>
          <w:rFonts w:ascii="Arial" w:hAnsi="Arial" w:cs="Arial"/>
          <w:bCs/>
          <w:color w:val="auto"/>
          <w:sz w:val="20"/>
          <w:szCs w:val="20"/>
        </w:rPr>
        <w:t xml:space="preserve">revenue </w:t>
      </w:r>
      <w:r w:rsidRPr="001C14AE">
        <w:rPr>
          <w:rFonts w:ascii="Arial" w:hAnsi="Arial" w:cs="Arial"/>
          <w:bCs/>
          <w:color w:val="auto"/>
          <w:sz w:val="20"/>
          <w:szCs w:val="20"/>
        </w:rPr>
        <w:t>grant – 201</w:t>
      </w:r>
      <w:r w:rsidR="00E32651">
        <w:rPr>
          <w:rFonts w:ascii="Arial" w:hAnsi="Arial" w:cs="Arial"/>
          <w:bCs/>
          <w:color w:val="auto"/>
          <w:sz w:val="20"/>
          <w:szCs w:val="20"/>
        </w:rPr>
        <w:t>7</w:t>
      </w:r>
      <w:r w:rsidR="00CF6DE8" w:rsidRPr="001C14AE">
        <w:rPr>
          <w:rFonts w:ascii="Arial" w:hAnsi="Arial" w:cs="Arial"/>
          <w:bCs/>
          <w:color w:val="auto"/>
          <w:sz w:val="20"/>
          <w:szCs w:val="20"/>
        </w:rPr>
        <w:t>/1</w:t>
      </w:r>
      <w:r w:rsidR="00E32651">
        <w:rPr>
          <w:rFonts w:ascii="Arial" w:hAnsi="Arial" w:cs="Arial"/>
          <w:bCs/>
          <w:color w:val="auto"/>
          <w:sz w:val="20"/>
          <w:szCs w:val="20"/>
        </w:rPr>
        <w:t>8</w:t>
      </w:r>
      <w:r w:rsidRPr="001C14AE">
        <w:rPr>
          <w:rFonts w:ascii="Arial" w:hAnsi="Arial" w:cs="Arial"/>
          <w:bCs/>
          <w:color w:val="auto"/>
          <w:sz w:val="20"/>
          <w:szCs w:val="20"/>
        </w:rPr>
        <w:t xml:space="preserve"> £</w:t>
      </w:r>
      <w:r w:rsidR="0004065D" w:rsidRPr="001C14AE">
        <w:rPr>
          <w:rFonts w:ascii="Arial" w:hAnsi="Arial" w:cs="Arial"/>
          <w:bCs/>
          <w:color w:val="auto"/>
          <w:sz w:val="20"/>
          <w:szCs w:val="20"/>
        </w:rPr>
        <w:t>0.</w:t>
      </w:r>
      <w:r w:rsidR="001C14AE" w:rsidRPr="001C14AE">
        <w:rPr>
          <w:rFonts w:ascii="Arial" w:hAnsi="Arial" w:cs="Arial"/>
          <w:bCs/>
          <w:color w:val="auto"/>
          <w:sz w:val="20"/>
          <w:szCs w:val="20"/>
        </w:rPr>
        <w:t>350</w:t>
      </w:r>
      <w:r w:rsidR="00FB55B3" w:rsidRPr="001C14AE">
        <w:rPr>
          <w:rFonts w:ascii="Arial" w:hAnsi="Arial" w:cs="Arial"/>
          <w:bCs/>
          <w:color w:val="auto"/>
          <w:sz w:val="20"/>
          <w:szCs w:val="20"/>
        </w:rPr>
        <w:t xml:space="preserve">m </w:t>
      </w:r>
      <w:r w:rsidRPr="001C14AE">
        <w:rPr>
          <w:rFonts w:ascii="Arial" w:hAnsi="Arial" w:cs="Arial"/>
          <w:bCs/>
          <w:color w:val="auto"/>
          <w:sz w:val="20"/>
          <w:szCs w:val="20"/>
        </w:rPr>
        <w:t>(201</w:t>
      </w:r>
      <w:r w:rsidR="00E32651">
        <w:rPr>
          <w:rFonts w:ascii="Arial" w:hAnsi="Arial" w:cs="Arial"/>
          <w:bCs/>
          <w:color w:val="auto"/>
          <w:sz w:val="20"/>
          <w:szCs w:val="20"/>
        </w:rPr>
        <w:t>6</w:t>
      </w:r>
      <w:r w:rsidR="00CF6DE8" w:rsidRPr="001C14AE">
        <w:rPr>
          <w:rFonts w:ascii="Arial" w:hAnsi="Arial" w:cs="Arial"/>
          <w:bCs/>
          <w:color w:val="auto"/>
          <w:sz w:val="20"/>
          <w:szCs w:val="20"/>
        </w:rPr>
        <w:t>/1</w:t>
      </w:r>
      <w:r w:rsidR="00E32651">
        <w:rPr>
          <w:rFonts w:ascii="Arial" w:hAnsi="Arial" w:cs="Arial"/>
          <w:bCs/>
          <w:color w:val="auto"/>
          <w:sz w:val="20"/>
          <w:szCs w:val="20"/>
        </w:rPr>
        <w:t>7</w:t>
      </w:r>
      <w:r w:rsidR="00CF6DE8" w:rsidRPr="001C14AE">
        <w:rPr>
          <w:rFonts w:ascii="Arial" w:hAnsi="Arial" w:cs="Arial"/>
          <w:bCs/>
          <w:color w:val="auto"/>
          <w:sz w:val="20"/>
          <w:szCs w:val="20"/>
        </w:rPr>
        <w:t xml:space="preserve"> </w:t>
      </w:r>
      <w:r w:rsidRPr="001C14AE">
        <w:rPr>
          <w:rFonts w:ascii="Arial" w:hAnsi="Arial" w:cs="Arial"/>
          <w:bCs/>
          <w:color w:val="auto"/>
          <w:sz w:val="20"/>
          <w:szCs w:val="20"/>
        </w:rPr>
        <w:t>£0.</w:t>
      </w:r>
      <w:r w:rsidR="001C14AE" w:rsidRPr="001C14AE">
        <w:rPr>
          <w:rFonts w:ascii="Arial" w:hAnsi="Arial" w:cs="Arial"/>
          <w:bCs/>
          <w:color w:val="auto"/>
          <w:sz w:val="20"/>
          <w:szCs w:val="20"/>
        </w:rPr>
        <w:t>350m</w:t>
      </w:r>
      <w:r w:rsidRPr="001C14AE">
        <w:rPr>
          <w:rFonts w:ascii="Arial" w:hAnsi="Arial" w:cs="Arial"/>
          <w:bCs/>
          <w:color w:val="auto"/>
          <w:sz w:val="20"/>
          <w:szCs w:val="20"/>
        </w:rPr>
        <w:t>).</w:t>
      </w:r>
      <w:r w:rsidR="005C3999" w:rsidRPr="001C14AE">
        <w:rPr>
          <w:rFonts w:ascii="Arial" w:hAnsi="Arial" w:cs="Arial"/>
          <w:bCs/>
          <w:color w:val="auto"/>
          <w:sz w:val="20"/>
          <w:szCs w:val="20"/>
        </w:rPr>
        <w:t xml:space="preserve"> </w:t>
      </w:r>
      <w:r w:rsidR="0004065D" w:rsidRPr="001C14AE">
        <w:rPr>
          <w:rFonts w:ascii="Arial" w:hAnsi="Arial" w:cs="Arial"/>
          <w:bCs/>
          <w:color w:val="auto"/>
          <w:sz w:val="20"/>
          <w:szCs w:val="20"/>
        </w:rPr>
        <w:t>No capital funds were provided in 201</w:t>
      </w:r>
      <w:r w:rsidR="001C14AE" w:rsidRPr="001C14AE">
        <w:rPr>
          <w:rFonts w:ascii="Arial" w:hAnsi="Arial" w:cs="Arial"/>
          <w:bCs/>
          <w:color w:val="auto"/>
          <w:sz w:val="20"/>
          <w:szCs w:val="20"/>
        </w:rPr>
        <w:t>7</w:t>
      </w:r>
      <w:r w:rsidR="0004065D" w:rsidRPr="001C14AE">
        <w:rPr>
          <w:rFonts w:ascii="Arial" w:hAnsi="Arial" w:cs="Arial"/>
          <w:bCs/>
          <w:color w:val="auto"/>
          <w:sz w:val="20"/>
          <w:szCs w:val="20"/>
        </w:rPr>
        <w:t>/1</w:t>
      </w:r>
      <w:r w:rsidR="001C14AE" w:rsidRPr="001C14AE">
        <w:rPr>
          <w:rFonts w:ascii="Arial" w:hAnsi="Arial" w:cs="Arial"/>
          <w:bCs/>
          <w:color w:val="auto"/>
          <w:sz w:val="20"/>
          <w:szCs w:val="20"/>
        </w:rPr>
        <w:t>8</w:t>
      </w:r>
      <w:r w:rsidR="0004065D" w:rsidRPr="001C14AE">
        <w:rPr>
          <w:rFonts w:ascii="Arial" w:hAnsi="Arial" w:cs="Arial"/>
          <w:bCs/>
          <w:color w:val="auto"/>
          <w:sz w:val="20"/>
          <w:szCs w:val="20"/>
        </w:rPr>
        <w:t xml:space="preserve"> </w:t>
      </w:r>
      <w:r w:rsidR="005C3999" w:rsidRPr="001C14AE">
        <w:rPr>
          <w:rFonts w:ascii="Arial" w:hAnsi="Arial" w:cs="Arial"/>
          <w:bCs/>
          <w:color w:val="auto"/>
          <w:sz w:val="20"/>
          <w:szCs w:val="20"/>
        </w:rPr>
        <w:t>(</w:t>
      </w:r>
      <w:r w:rsidR="001C14AE" w:rsidRPr="001C14AE">
        <w:rPr>
          <w:rFonts w:ascii="Arial" w:hAnsi="Arial" w:cs="Arial"/>
          <w:bCs/>
          <w:color w:val="auto"/>
          <w:sz w:val="20"/>
          <w:szCs w:val="20"/>
        </w:rPr>
        <w:t>nil 2016/17)</w:t>
      </w:r>
      <w:r w:rsidR="00C51EBC" w:rsidRPr="001C14AE">
        <w:rPr>
          <w:rFonts w:ascii="Arial" w:hAnsi="Arial" w:cs="Arial"/>
          <w:bCs/>
          <w:color w:val="auto"/>
          <w:sz w:val="20"/>
          <w:szCs w:val="20"/>
        </w:rPr>
        <w:t>.</w:t>
      </w:r>
    </w:p>
    <w:p w:rsidR="00A27F87" w:rsidRPr="0005794A" w:rsidRDefault="00A27F87" w:rsidP="00D50FBC">
      <w:pPr>
        <w:pStyle w:val="Default"/>
        <w:ind w:left="567"/>
        <w:rPr>
          <w:rFonts w:ascii="Arial" w:hAnsi="Arial" w:cs="Arial"/>
          <w:bCs/>
          <w:color w:val="548DD4" w:themeColor="text2" w:themeTint="99"/>
          <w:sz w:val="20"/>
          <w:szCs w:val="20"/>
        </w:rPr>
      </w:pPr>
    </w:p>
    <w:p w:rsidR="00DC091E" w:rsidRPr="0005794A" w:rsidRDefault="00A27F87" w:rsidP="00D50FBC">
      <w:pPr>
        <w:pStyle w:val="Default"/>
        <w:ind w:left="567"/>
        <w:rPr>
          <w:rFonts w:ascii="Arial" w:hAnsi="Arial" w:cs="Arial"/>
          <w:bCs/>
          <w:color w:val="548DD4" w:themeColor="text2" w:themeTint="99"/>
          <w:sz w:val="20"/>
          <w:szCs w:val="20"/>
        </w:rPr>
      </w:pPr>
      <w:r w:rsidRPr="005277EC">
        <w:rPr>
          <w:rFonts w:ascii="Arial" w:hAnsi="Arial" w:cs="Arial"/>
          <w:bCs/>
          <w:color w:val="auto"/>
          <w:sz w:val="20"/>
          <w:szCs w:val="20"/>
        </w:rPr>
        <w:t>Heart of the South West Local Enterprise partnersh</w:t>
      </w:r>
      <w:r w:rsidR="00D14D40" w:rsidRPr="005277EC">
        <w:rPr>
          <w:rFonts w:ascii="Arial" w:hAnsi="Arial" w:cs="Arial"/>
          <w:bCs/>
          <w:color w:val="auto"/>
          <w:sz w:val="20"/>
          <w:szCs w:val="20"/>
        </w:rPr>
        <w:t xml:space="preserve">ip (LEP). This is a Community Interest Company limited by guarantee with </w:t>
      </w:r>
      <w:r w:rsidR="00E32651">
        <w:rPr>
          <w:rFonts w:ascii="Arial" w:hAnsi="Arial" w:cs="Arial"/>
          <w:bCs/>
          <w:color w:val="auto"/>
          <w:sz w:val="20"/>
          <w:szCs w:val="20"/>
        </w:rPr>
        <w:t>f</w:t>
      </w:r>
      <w:r w:rsidR="00D14D40" w:rsidRPr="005277EC">
        <w:rPr>
          <w:rFonts w:ascii="Arial" w:hAnsi="Arial" w:cs="Arial"/>
          <w:bCs/>
          <w:color w:val="auto"/>
          <w:sz w:val="20"/>
          <w:szCs w:val="20"/>
        </w:rPr>
        <w:t xml:space="preserve">our councils </w:t>
      </w:r>
      <w:r w:rsidR="00E32651">
        <w:rPr>
          <w:rFonts w:ascii="Arial" w:hAnsi="Arial" w:cs="Arial"/>
          <w:bCs/>
          <w:color w:val="auto"/>
          <w:sz w:val="20"/>
          <w:szCs w:val="20"/>
        </w:rPr>
        <w:t>(</w:t>
      </w:r>
      <w:r w:rsidR="007C5CB4" w:rsidRPr="005277EC">
        <w:rPr>
          <w:rFonts w:ascii="Arial" w:hAnsi="Arial" w:cs="Arial"/>
          <w:bCs/>
          <w:color w:val="auto"/>
          <w:sz w:val="20"/>
          <w:szCs w:val="20"/>
        </w:rPr>
        <w:t>Torbay</w:t>
      </w:r>
      <w:r w:rsidR="00E32651">
        <w:rPr>
          <w:rFonts w:ascii="Arial" w:hAnsi="Arial" w:cs="Arial"/>
          <w:bCs/>
          <w:color w:val="auto"/>
          <w:sz w:val="20"/>
          <w:szCs w:val="20"/>
        </w:rPr>
        <w:t>, Devon, Somerset and Plymouth),</w:t>
      </w:r>
      <w:r w:rsidR="007C5CB4" w:rsidRPr="005277EC">
        <w:rPr>
          <w:rFonts w:ascii="Arial" w:hAnsi="Arial" w:cs="Arial"/>
          <w:bCs/>
          <w:color w:val="auto"/>
          <w:sz w:val="20"/>
          <w:szCs w:val="20"/>
        </w:rPr>
        <w:t xml:space="preserve"> in</w:t>
      </w:r>
      <w:r w:rsidR="00D14D40" w:rsidRPr="005277EC">
        <w:rPr>
          <w:rFonts w:ascii="Arial" w:hAnsi="Arial" w:cs="Arial"/>
          <w:bCs/>
          <w:color w:val="auto"/>
          <w:sz w:val="20"/>
          <w:szCs w:val="20"/>
        </w:rPr>
        <w:t xml:space="preserve"> the LEP area acting as members of the company. </w:t>
      </w:r>
    </w:p>
    <w:p w:rsidR="00E51139" w:rsidRPr="0005794A" w:rsidRDefault="00E51139" w:rsidP="00D50FBC">
      <w:pPr>
        <w:pStyle w:val="Default"/>
        <w:ind w:left="567"/>
        <w:rPr>
          <w:rFonts w:ascii="Arial" w:hAnsi="Arial" w:cs="Arial"/>
          <w:bCs/>
          <w:color w:val="548DD4" w:themeColor="text2" w:themeTint="99"/>
          <w:sz w:val="20"/>
          <w:szCs w:val="20"/>
        </w:rPr>
      </w:pPr>
    </w:p>
    <w:p w:rsidR="00E51139" w:rsidRPr="00945D7D" w:rsidRDefault="00E51139" w:rsidP="008D0906">
      <w:pPr>
        <w:pStyle w:val="Default"/>
        <w:ind w:left="567"/>
        <w:outlineLvl w:val="0"/>
        <w:rPr>
          <w:rFonts w:ascii="Arial" w:hAnsi="Arial" w:cs="Arial"/>
          <w:b/>
          <w:bCs/>
          <w:color w:val="auto"/>
          <w:sz w:val="20"/>
          <w:szCs w:val="20"/>
        </w:rPr>
      </w:pPr>
      <w:r w:rsidRPr="00945D7D">
        <w:rPr>
          <w:rFonts w:ascii="Arial" w:hAnsi="Arial" w:cs="Arial"/>
          <w:b/>
          <w:bCs/>
          <w:color w:val="auto"/>
          <w:sz w:val="20"/>
          <w:szCs w:val="20"/>
        </w:rPr>
        <w:t>Trust Funds</w:t>
      </w:r>
    </w:p>
    <w:p w:rsidR="00E51139" w:rsidRPr="00945D7D" w:rsidRDefault="00E51139" w:rsidP="00D50FBC">
      <w:pPr>
        <w:pStyle w:val="Default"/>
        <w:ind w:left="567"/>
        <w:rPr>
          <w:rFonts w:ascii="Arial" w:hAnsi="Arial" w:cs="Arial"/>
          <w:bCs/>
          <w:color w:val="auto"/>
          <w:sz w:val="20"/>
          <w:szCs w:val="20"/>
        </w:rPr>
      </w:pPr>
    </w:p>
    <w:p w:rsidR="00E51139" w:rsidRPr="00BD6E74" w:rsidRDefault="00E51139" w:rsidP="00D50FBC">
      <w:pPr>
        <w:pStyle w:val="Default"/>
        <w:ind w:left="567"/>
        <w:rPr>
          <w:rFonts w:ascii="Arial" w:hAnsi="Arial" w:cs="Arial"/>
          <w:bCs/>
          <w:color w:val="auto"/>
          <w:sz w:val="20"/>
          <w:szCs w:val="20"/>
        </w:rPr>
      </w:pPr>
      <w:r w:rsidRPr="00945D7D">
        <w:rPr>
          <w:rFonts w:ascii="Arial" w:hAnsi="Arial" w:cs="Arial"/>
          <w:bCs/>
          <w:color w:val="auto"/>
          <w:sz w:val="20"/>
          <w:szCs w:val="20"/>
        </w:rPr>
        <w:t xml:space="preserve">The Council acts as a Trustee for a number of funds. These balances do not form part of the Council’s </w:t>
      </w:r>
      <w:r w:rsidRPr="00BD6E74">
        <w:rPr>
          <w:rFonts w:ascii="Arial" w:hAnsi="Arial" w:cs="Arial"/>
          <w:bCs/>
          <w:color w:val="auto"/>
          <w:sz w:val="20"/>
          <w:szCs w:val="20"/>
        </w:rPr>
        <w:t>accounts. The value of these funds as at 31st March 201</w:t>
      </w:r>
      <w:r w:rsidR="00C51EBC" w:rsidRPr="00BD6E74">
        <w:rPr>
          <w:rFonts w:ascii="Arial" w:hAnsi="Arial" w:cs="Arial"/>
          <w:bCs/>
          <w:color w:val="auto"/>
          <w:sz w:val="20"/>
          <w:szCs w:val="20"/>
        </w:rPr>
        <w:t>7</w:t>
      </w:r>
      <w:r w:rsidRPr="00BD6E74">
        <w:rPr>
          <w:rFonts w:ascii="Arial" w:hAnsi="Arial" w:cs="Arial"/>
          <w:bCs/>
          <w:color w:val="auto"/>
          <w:sz w:val="20"/>
          <w:szCs w:val="20"/>
        </w:rPr>
        <w:t xml:space="preserve"> was £</w:t>
      </w:r>
      <w:r w:rsidR="00054DBA" w:rsidRPr="00BD6E74">
        <w:rPr>
          <w:rFonts w:ascii="Arial" w:hAnsi="Arial" w:cs="Arial"/>
          <w:bCs/>
          <w:color w:val="auto"/>
          <w:sz w:val="20"/>
          <w:szCs w:val="20"/>
        </w:rPr>
        <w:t>24</w:t>
      </w:r>
      <w:r w:rsidR="00D26D2B" w:rsidRPr="00BD6E74">
        <w:rPr>
          <w:rFonts w:ascii="Arial" w:hAnsi="Arial" w:cs="Arial"/>
          <w:bCs/>
          <w:color w:val="auto"/>
          <w:sz w:val="20"/>
          <w:szCs w:val="20"/>
        </w:rPr>
        <w:t>,000</w:t>
      </w:r>
      <w:r w:rsidRPr="00BD6E74">
        <w:rPr>
          <w:rFonts w:ascii="Arial" w:hAnsi="Arial" w:cs="Arial"/>
          <w:bCs/>
          <w:color w:val="auto"/>
          <w:sz w:val="20"/>
          <w:szCs w:val="20"/>
        </w:rPr>
        <w:t xml:space="preserve"> (£</w:t>
      </w:r>
      <w:r w:rsidR="00CD2FAD" w:rsidRPr="00BD6E74">
        <w:rPr>
          <w:rFonts w:ascii="Arial" w:hAnsi="Arial" w:cs="Arial"/>
          <w:bCs/>
          <w:color w:val="auto"/>
          <w:sz w:val="20"/>
          <w:szCs w:val="20"/>
        </w:rPr>
        <w:t>2</w:t>
      </w:r>
      <w:r w:rsidR="00945D7D" w:rsidRPr="00BD6E74">
        <w:rPr>
          <w:rFonts w:ascii="Arial" w:hAnsi="Arial" w:cs="Arial"/>
          <w:bCs/>
          <w:color w:val="auto"/>
          <w:sz w:val="20"/>
          <w:szCs w:val="20"/>
        </w:rPr>
        <w:t>4</w:t>
      </w:r>
      <w:r w:rsidRPr="00BD6E74">
        <w:rPr>
          <w:rFonts w:ascii="Arial" w:hAnsi="Arial" w:cs="Arial"/>
          <w:bCs/>
          <w:color w:val="auto"/>
          <w:sz w:val="20"/>
          <w:szCs w:val="20"/>
        </w:rPr>
        <w:t xml:space="preserve">,000 </w:t>
      </w:r>
      <w:r w:rsidRPr="00BD6E74">
        <w:rPr>
          <w:rFonts w:ascii="Arial" w:hAnsi="Arial" w:cs="Arial"/>
          <w:bCs/>
          <w:color w:val="auto"/>
          <w:sz w:val="20"/>
          <w:szCs w:val="20"/>
        </w:rPr>
        <w:lastRenderedPageBreak/>
        <w:t>201</w:t>
      </w:r>
      <w:r w:rsidR="00945D7D" w:rsidRPr="00BD6E74">
        <w:rPr>
          <w:rFonts w:ascii="Arial" w:hAnsi="Arial" w:cs="Arial"/>
          <w:bCs/>
          <w:color w:val="auto"/>
          <w:sz w:val="20"/>
          <w:szCs w:val="20"/>
        </w:rPr>
        <w:t>6</w:t>
      </w:r>
      <w:r w:rsidR="000900B9" w:rsidRPr="00BD6E74">
        <w:rPr>
          <w:rFonts w:ascii="Arial" w:hAnsi="Arial" w:cs="Arial"/>
          <w:bCs/>
          <w:color w:val="auto"/>
          <w:sz w:val="20"/>
          <w:szCs w:val="20"/>
        </w:rPr>
        <w:t>/1</w:t>
      </w:r>
      <w:r w:rsidR="00945D7D" w:rsidRPr="00BD6E74">
        <w:rPr>
          <w:rFonts w:ascii="Arial" w:hAnsi="Arial" w:cs="Arial"/>
          <w:bCs/>
          <w:color w:val="auto"/>
          <w:sz w:val="20"/>
          <w:szCs w:val="20"/>
        </w:rPr>
        <w:t>7</w:t>
      </w:r>
      <w:r w:rsidRPr="00BD6E74">
        <w:rPr>
          <w:rFonts w:ascii="Arial" w:hAnsi="Arial" w:cs="Arial"/>
          <w:bCs/>
          <w:color w:val="auto"/>
          <w:sz w:val="20"/>
          <w:szCs w:val="20"/>
        </w:rPr>
        <w:t>). Of this balance £</w:t>
      </w:r>
      <w:r w:rsidR="006F1500" w:rsidRPr="00BD6E74">
        <w:rPr>
          <w:rFonts w:ascii="Arial" w:hAnsi="Arial" w:cs="Arial"/>
          <w:bCs/>
          <w:color w:val="auto"/>
          <w:sz w:val="20"/>
          <w:szCs w:val="20"/>
        </w:rPr>
        <w:t>1</w:t>
      </w:r>
      <w:r w:rsidR="00945D7D" w:rsidRPr="00BD6E74">
        <w:rPr>
          <w:rFonts w:ascii="Arial" w:hAnsi="Arial" w:cs="Arial"/>
          <w:bCs/>
          <w:color w:val="auto"/>
          <w:sz w:val="20"/>
          <w:szCs w:val="20"/>
        </w:rPr>
        <w:t>8</w:t>
      </w:r>
      <w:r w:rsidR="00D26D2B" w:rsidRPr="00BD6E74">
        <w:rPr>
          <w:rFonts w:ascii="Arial" w:hAnsi="Arial" w:cs="Arial"/>
          <w:bCs/>
          <w:color w:val="auto"/>
          <w:sz w:val="20"/>
          <w:szCs w:val="20"/>
        </w:rPr>
        <w:t>,000</w:t>
      </w:r>
      <w:r w:rsidRPr="00BD6E74">
        <w:rPr>
          <w:rFonts w:ascii="Arial" w:hAnsi="Arial" w:cs="Arial"/>
          <w:bCs/>
          <w:color w:val="auto"/>
          <w:sz w:val="20"/>
          <w:szCs w:val="20"/>
        </w:rPr>
        <w:t xml:space="preserve"> is held within the Council’s bank account with the balance of £</w:t>
      </w:r>
      <w:r w:rsidR="00BD6E74" w:rsidRPr="00BD6E74">
        <w:rPr>
          <w:rFonts w:ascii="Arial" w:hAnsi="Arial" w:cs="Arial"/>
          <w:bCs/>
          <w:color w:val="auto"/>
          <w:sz w:val="20"/>
          <w:szCs w:val="20"/>
        </w:rPr>
        <w:t>6</w:t>
      </w:r>
      <w:r w:rsidR="001E12AB" w:rsidRPr="00BD6E74">
        <w:rPr>
          <w:rFonts w:ascii="Arial" w:hAnsi="Arial" w:cs="Arial"/>
          <w:bCs/>
          <w:color w:val="auto"/>
          <w:sz w:val="20"/>
          <w:szCs w:val="20"/>
        </w:rPr>
        <w:t>,000</w:t>
      </w:r>
      <w:r w:rsidRPr="00BD6E74">
        <w:rPr>
          <w:rFonts w:ascii="Arial" w:hAnsi="Arial" w:cs="Arial"/>
          <w:bCs/>
          <w:color w:val="auto"/>
          <w:sz w:val="20"/>
          <w:szCs w:val="20"/>
        </w:rPr>
        <w:t xml:space="preserve"> </w:t>
      </w:r>
      <w:r w:rsidR="00CD2FAD" w:rsidRPr="00BD6E74">
        <w:rPr>
          <w:rFonts w:ascii="Arial" w:hAnsi="Arial" w:cs="Arial"/>
          <w:bCs/>
          <w:color w:val="auto"/>
          <w:sz w:val="20"/>
          <w:szCs w:val="20"/>
        </w:rPr>
        <w:t>(£</w:t>
      </w:r>
      <w:r w:rsidR="00945D7D" w:rsidRPr="00BD6E74">
        <w:rPr>
          <w:rFonts w:ascii="Arial" w:hAnsi="Arial" w:cs="Arial"/>
          <w:bCs/>
          <w:color w:val="auto"/>
          <w:sz w:val="20"/>
          <w:szCs w:val="20"/>
        </w:rPr>
        <w:t>5</w:t>
      </w:r>
      <w:r w:rsidR="00CD2FAD" w:rsidRPr="00BD6E74">
        <w:rPr>
          <w:rFonts w:ascii="Arial" w:hAnsi="Arial" w:cs="Arial"/>
          <w:bCs/>
          <w:color w:val="auto"/>
          <w:sz w:val="20"/>
          <w:szCs w:val="20"/>
        </w:rPr>
        <w:t>,000</w:t>
      </w:r>
      <w:r w:rsidR="00191430" w:rsidRPr="00BD6E74">
        <w:rPr>
          <w:rFonts w:ascii="Arial" w:hAnsi="Arial" w:cs="Arial"/>
          <w:bCs/>
          <w:color w:val="auto"/>
          <w:sz w:val="20"/>
          <w:szCs w:val="20"/>
        </w:rPr>
        <w:t xml:space="preserve"> </w:t>
      </w:r>
      <w:r w:rsidR="00CD2FAD" w:rsidRPr="00BD6E74">
        <w:rPr>
          <w:rFonts w:ascii="Arial" w:hAnsi="Arial" w:cs="Arial"/>
          <w:bCs/>
          <w:color w:val="auto"/>
          <w:sz w:val="20"/>
          <w:szCs w:val="20"/>
        </w:rPr>
        <w:t>1</w:t>
      </w:r>
      <w:r w:rsidR="00945D7D" w:rsidRPr="00BD6E74">
        <w:rPr>
          <w:rFonts w:ascii="Arial" w:hAnsi="Arial" w:cs="Arial"/>
          <w:bCs/>
          <w:color w:val="auto"/>
          <w:sz w:val="20"/>
          <w:szCs w:val="20"/>
        </w:rPr>
        <w:t>6</w:t>
      </w:r>
      <w:r w:rsidR="00CD2FAD" w:rsidRPr="00BD6E74">
        <w:rPr>
          <w:rFonts w:ascii="Arial" w:hAnsi="Arial" w:cs="Arial"/>
          <w:bCs/>
          <w:color w:val="auto"/>
          <w:sz w:val="20"/>
          <w:szCs w:val="20"/>
        </w:rPr>
        <w:t>/1</w:t>
      </w:r>
      <w:r w:rsidR="00945D7D" w:rsidRPr="00BD6E74">
        <w:rPr>
          <w:rFonts w:ascii="Arial" w:hAnsi="Arial" w:cs="Arial"/>
          <w:bCs/>
          <w:color w:val="auto"/>
          <w:sz w:val="20"/>
          <w:szCs w:val="20"/>
        </w:rPr>
        <w:t>7</w:t>
      </w:r>
      <w:r w:rsidR="00CD2FAD" w:rsidRPr="00BD6E74">
        <w:rPr>
          <w:rFonts w:ascii="Arial" w:hAnsi="Arial" w:cs="Arial"/>
          <w:bCs/>
          <w:color w:val="auto"/>
          <w:sz w:val="20"/>
          <w:szCs w:val="20"/>
        </w:rPr>
        <w:t xml:space="preserve">) </w:t>
      </w:r>
      <w:r w:rsidRPr="00BD6E74">
        <w:rPr>
          <w:rFonts w:ascii="Arial" w:hAnsi="Arial" w:cs="Arial"/>
          <w:bCs/>
          <w:color w:val="auto"/>
          <w:sz w:val="20"/>
          <w:szCs w:val="20"/>
        </w:rPr>
        <w:t>relating to the (civic) Mayor of Torbay’s charity fund held in a separate bank account.</w:t>
      </w:r>
    </w:p>
    <w:p w:rsidR="00E51139" w:rsidRPr="0005794A" w:rsidRDefault="00E51139" w:rsidP="00D50FBC">
      <w:pPr>
        <w:pStyle w:val="Default"/>
        <w:ind w:left="567"/>
        <w:rPr>
          <w:rFonts w:ascii="Arial" w:hAnsi="Arial" w:cs="Arial"/>
          <w:bCs/>
          <w:color w:val="548DD4" w:themeColor="text2" w:themeTint="99"/>
          <w:sz w:val="20"/>
          <w:szCs w:val="20"/>
        </w:rPr>
      </w:pPr>
    </w:p>
    <w:p w:rsidR="00E51139" w:rsidRPr="00C4415C" w:rsidRDefault="00E51139" w:rsidP="008D0906">
      <w:pPr>
        <w:pStyle w:val="Default"/>
        <w:ind w:left="567"/>
        <w:outlineLvl w:val="0"/>
        <w:rPr>
          <w:rFonts w:ascii="Arial" w:hAnsi="Arial" w:cs="Arial"/>
          <w:b/>
          <w:bCs/>
          <w:color w:val="auto"/>
          <w:sz w:val="20"/>
          <w:szCs w:val="20"/>
        </w:rPr>
      </w:pPr>
      <w:r w:rsidRPr="00C4415C">
        <w:rPr>
          <w:rFonts w:ascii="Arial" w:hAnsi="Arial" w:cs="Arial"/>
          <w:b/>
          <w:bCs/>
          <w:color w:val="auto"/>
          <w:sz w:val="20"/>
          <w:szCs w:val="20"/>
        </w:rPr>
        <w:t>Central Government</w:t>
      </w:r>
    </w:p>
    <w:p w:rsidR="00E51139" w:rsidRPr="00C4415C" w:rsidRDefault="00E51139" w:rsidP="00D50FBC">
      <w:pPr>
        <w:pStyle w:val="Default"/>
        <w:ind w:left="567"/>
        <w:rPr>
          <w:rFonts w:ascii="Arial" w:hAnsi="Arial" w:cs="Arial"/>
          <w:bCs/>
          <w:color w:val="auto"/>
          <w:sz w:val="20"/>
          <w:szCs w:val="20"/>
        </w:rPr>
      </w:pPr>
    </w:p>
    <w:p w:rsidR="00E51139" w:rsidRPr="00C4415C" w:rsidRDefault="00E51139" w:rsidP="00D50FBC">
      <w:pPr>
        <w:pStyle w:val="Default"/>
        <w:ind w:left="567"/>
        <w:rPr>
          <w:rFonts w:ascii="Arial" w:hAnsi="Arial" w:cs="Arial"/>
          <w:bCs/>
          <w:color w:val="auto"/>
          <w:sz w:val="20"/>
          <w:szCs w:val="20"/>
        </w:rPr>
      </w:pPr>
      <w:r w:rsidRPr="00C4415C">
        <w:rPr>
          <w:rFonts w:ascii="Arial" w:hAnsi="Arial" w:cs="Arial"/>
          <w:bCs/>
          <w:color w:val="auto"/>
          <w:sz w:val="20"/>
          <w:szCs w:val="20"/>
        </w:rPr>
        <w:t xml:space="preserve">Central government (Her Majesty’s Government for the United Kingdom of Britain and Northern Ireland) has effective control over the general operations of the Council – it is responsible for providing the statutory framework within which the Council operates, provides the majority of its funding in the form of grants and prescribes the terms of many of the transactions that the Council has with other parties (e.g. council tax bills, housing benefits).  </w:t>
      </w:r>
      <w:r w:rsidR="00BD680D" w:rsidRPr="00C4415C">
        <w:rPr>
          <w:rFonts w:ascii="Arial" w:hAnsi="Arial" w:cs="Arial"/>
          <w:bCs/>
          <w:color w:val="auto"/>
          <w:sz w:val="20"/>
          <w:szCs w:val="20"/>
        </w:rPr>
        <w:t>Significant g</w:t>
      </w:r>
      <w:r w:rsidRPr="00C4415C">
        <w:rPr>
          <w:rFonts w:ascii="Arial" w:hAnsi="Arial" w:cs="Arial"/>
          <w:bCs/>
          <w:color w:val="auto"/>
          <w:sz w:val="20"/>
          <w:szCs w:val="20"/>
        </w:rPr>
        <w:t xml:space="preserve">rants received from government departments are set out in </w:t>
      </w:r>
      <w:r w:rsidR="00E04581" w:rsidRPr="00C4415C">
        <w:rPr>
          <w:rFonts w:ascii="Arial" w:hAnsi="Arial" w:cs="Arial"/>
          <w:bCs/>
          <w:color w:val="auto"/>
          <w:sz w:val="20"/>
          <w:szCs w:val="20"/>
        </w:rPr>
        <w:t>the Grants n</w:t>
      </w:r>
      <w:r w:rsidRPr="00C4415C">
        <w:rPr>
          <w:rFonts w:ascii="Arial" w:hAnsi="Arial" w:cs="Arial"/>
          <w:bCs/>
          <w:color w:val="auto"/>
          <w:sz w:val="20"/>
          <w:szCs w:val="20"/>
        </w:rPr>
        <w:t xml:space="preserve">ote.  </w:t>
      </w:r>
    </w:p>
    <w:p w:rsidR="00E51139" w:rsidRPr="0005794A" w:rsidRDefault="00E51139" w:rsidP="00D50FBC">
      <w:pPr>
        <w:pStyle w:val="Default"/>
        <w:ind w:left="567"/>
        <w:rPr>
          <w:rFonts w:ascii="Arial" w:hAnsi="Arial" w:cs="Arial"/>
          <w:bCs/>
          <w:color w:val="548DD4" w:themeColor="text2" w:themeTint="99"/>
          <w:sz w:val="20"/>
          <w:szCs w:val="20"/>
        </w:rPr>
      </w:pPr>
    </w:p>
    <w:p w:rsidR="00E51139" w:rsidRPr="00C4415C" w:rsidRDefault="00E51139" w:rsidP="008D0906">
      <w:pPr>
        <w:pStyle w:val="Default"/>
        <w:ind w:left="567"/>
        <w:outlineLvl w:val="0"/>
        <w:rPr>
          <w:rFonts w:ascii="Arial" w:hAnsi="Arial" w:cs="Arial"/>
          <w:b/>
          <w:bCs/>
          <w:color w:val="auto"/>
          <w:sz w:val="20"/>
          <w:szCs w:val="20"/>
        </w:rPr>
      </w:pPr>
      <w:r w:rsidRPr="00C4415C">
        <w:rPr>
          <w:rFonts w:ascii="Arial" w:hAnsi="Arial" w:cs="Arial"/>
          <w:b/>
          <w:bCs/>
          <w:color w:val="auto"/>
          <w:sz w:val="20"/>
          <w:szCs w:val="20"/>
        </w:rPr>
        <w:t>Members</w:t>
      </w:r>
    </w:p>
    <w:p w:rsidR="00E51139" w:rsidRPr="00C4415C" w:rsidRDefault="00E51139" w:rsidP="00D50FBC">
      <w:pPr>
        <w:pStyle w:val="Default"/>
        <w:ind w:left="567"/>
        <w:rPr>
          <w:rFonts w:ascii="Arial" w:hAnsi="Arial" w:cs="Arial"/>
          <w:bCs/>
          <w:color w:val="auto"/>
          <w:sz w:val="20"/>
          <w:szCs w:val="20"/>
        </w:rPr>
      </w:pPr>
    </w:p>
    <w:p w:rsidR="00E51139" w:rsidRPr="00C4415C" w:rsidRDefault="00E51139" w:rsidP="00D50FBC">
      <w:pPr>
        <w:pStyle w:val="Default"/>
        <w:ind w:left="567"/>
        <w:rPr>
          <w:rFonts w:ascii="Arial" w:hAnsi="Arial" w:cs="Arial"/>
          <w:bCs/>
          <w:color w:val="auto"/>
          <w:sz w:val="20"/>
          <w:szCs w:val="20"/>
        </w:rPr>
      </w:pPr>
      <w:r w:rsidRPr="00C4415C">
        <w:rPr>
          <w:rFonts w:ascii="Arial" w:hAnsi="Arial" w:cs="Arial"/>
          <w:bCs/>
          <w:color w:val="auto"/>
          <w:sz w:val="20"/>
          <w:szCs w:val="20"/>
        </w:rPr>
        <w:t>Members of the council have direct control over the Council’s financial and operating policies.  The total of members’ allowances paid in 201</w:t>
      </w:r>
      <w:r w:rsidR="00C4415C" w:rsidRPr="00C4415C">
        <w:rPr>
          <w:rFonts w:ascii="Arial" w:hAnsi="Arial" w:cs="Arial"/>
          <w:bCs/>
          <w:color w:val="auto"/>
          <w:sz w:val="20"/>
          <w:szCs w:val="20"/>
        </w:rPr>
        <w:t>7</w:t>
      </w:r>
      <w:r w:rsidR="0085553D" w:rsidRPr="00C4415C">
        <w:rPr>
          <w:rFonts w:ascii="Arial" w:hAnsi="Arial" w:cs="Arial"/>
          <w:bCs/>
          <w:color w:val="auto"/>
          <w:sz w:val="20"/>
          <w:szCs w:val="20"/>
        </w:rPr>
        <w:t>/1</w:t>
      </w:r>
      <w:r w:rsidR="00C4415C" w:rsidRPr="00C4415C">
        <w:rPr>
          <w:rFonts w:ascii="Arial" w:hAnsi="Arial" w:cs="Arial"/>
          <w:bCs/>
          <w:color w:val="auto"/>
          <w:sz w:val="20"/>
          <w:szCs w:val="20"/>
        </w:rPr>
        <w:t>8</w:t>
      </w:r>
      <w:r w:rsidRPr="00C4415C">
        <w:rPr>
          <w:rFonts w:ascii="Arial" w:hAnsi="Arial" w:cs="Arial"/>
          <w:bCs/>
          <w:color w:val="auto"/>
          <w:sz w:val="20"/>
          <w:szCs w:val="20"/>
        </w:rPr>
        <w:t xml:space="preserve"> is shown in </w:t>
      </w:r>
      <w:r w:rsidR="00E04581" w:rsidRPr="00C4415C">
        <w:rPr>
          <w:rFonts w:ascii="Arial" w:hAnsi="Arial" w:cs="Arial"/>
          <w:bCs/>
          <w:color w:val="auto"/>
          <w:sz w:val="20"/>
          <w:szCs w:val="20"/>
        </w:rPr>
        <w:t>the Members Allowances’ Note</w:t>
      </w:r>
      <w:r w:rsidR="003C6FFB" w:rsidRPr="00C4415C">
        <w:rPr>
          <w:rFonts w:ascii="Arial" w:hAnsi="Arial" w:cs="Arial"/>
          <w:bCs/>
          <w:color w:val="auto"/>
          <w:sz w:val="20"/>
          <w:szCs w:val="20"/>
        </w:rPr>
        <w:t xml:space="preserve">. Members have not disclosed any material transactions with </w:t>
      </w:r>
      <w:r w:rsidR="00B85453" w:rsidRPr="00C4415C">
        <w:rPr>
          <w:rFonts w:ascii="Arial" w:hAnsi="Arial" w:cs="Arial"/>
          <w:bCs/>
          <w:color w:val="auto"/>
          <w:sz w:val="20"/>
          <w:szCs w:val="20"/>
        </w:rPr>
        <w:t>the Council</w:t>
      </w:r>
      <w:r w:rsidRPr="00C4415C">
        <w:rPr>
          <w:rFonts w:ascii="Arial" w:hAnsi="Arial" w:cs="Arial"/>
          <w:bCs/>
          <w:color w:val="auto"/>
          <w:sz w:val="20"/>
          <w:szCs w:val="20"/>
        </w:rPr>
        <w:t>. The Members’ Record of Interests and Register of Gifts &amp; Hospitality for each Member are available on the Council’s website.</w:t>
      </w:r>
    </w:p>
    <w:p w:rsidR="0061478F" w:rsidRPr="0005794A" w:rsidRDefault="0061478F" w:rsidP="00D50FBC">
      <w:pPr>
        <w:pStyle w:val="Default"/>
        <w:ind w:left="567"/>
        <w:rPr>
          <w:rFonts w:ascii="Arial" w:hAnsi="Arial" w:cs="Arial"/>
          <w:bCs/>
          <w:color w:val="548DD4" w:themeColor="text2" w:themeTint="99"/>
          <w:sz w:val="20"/>
          <w:szCs w:val="20"/>
        </w:rPr>
      </w:pPr>
    </w:p>
    <w:p w:rsidR="00E51139" w:rsidRPr="00C4415C" w:rsidRDefault="00E51139" w:rsidP="008D0906">
      <w:pPr>
        <w:pStyle w:val="Default"/>
        <w:ind w:left="567"/>
        <w:outlineLvl w:val="0"/>
        <w:rPr>
          <w:rFonts w:ascii="Arial" w:hAnsi="Arial" w:cs="Arial"/>
          <w:b/>
          <w:bCs/>
          <w:color w:val="auto"/>
          <w:sz w:val="20"/>
          <w:szCs w:val="20"/>
        </w:rPr>
      </w:pPr>
      <w:r w:rsidRPr="00C4415C">
        <w:rPr>
          <w:rFonts w:ascii="Arial" w:hAnsi="Arial" w:cs="Arial"/>
          <w:b/>
          <w:bCs/>
          <w:color w:val="auto"/>
          <w:sz w:val="20"/>
          <w:szCs w:val="20"/>
        </w:rPr>
        <w:t>Officers</w:t>
      </w:r>
    </w:p>
    <w:p w:rsidR="00E51139" w:rsidRPr="00C4415C" w:rsidRDefault="00E51139" w:rsidP="00D50FBC">
      <w:pPr>
        <w:pStyle w:val="Default"/>
        <w:ind w:left="567"/>
        <w:rPr>
          <w:rFonts w:ascii="Arial" w:hAnsi="Arial" w:cs="Arial"/>
          <w:bCs/>
          <w:color w:val="auto"/>
          <w:sz w:val="20"/>
          <w:szCs w:val="20"/>
        </w:rPr>
      </w:pPr>
    </w:p>
    <w:p w:rsidR="00E51139" w:rsidRPr="00C4415C" w:rsidRDefault="00E51139" w:rsidP="008D0906">
      <w:pPr>
        <w:pStyle w:val="Default"/>
        <w:ind w:left="567"/>
        <w:outlineLvl w:val="0"/>
        <w:rPr>
          <w:rFonts w:ascii="Arial" w:hAnsi="Arial" w:cs="Arial"/>
          <w:bCs/>
          <w:color w:val="auto"/>
          <w:sz w:val="20"/>
          <w:szCs w:val="20"/>
        </w:rPr>
      </w:pPr>
      <w:r w:rsidRPr="00C4415C">
        <w:rPr>
          <w:rFonts w:ascii="Arial" w:hAnsi="Arial" w:cs="Arial"/>
          <w:bCs/>
          <w:color w:val="auto"/>
          <w:sz w:val="20"/>
          <w:szCs w:val="20"/>
        </w:rPr>
        <w:t>Officers complete a register of interests and the Council maintains a Register of Gifts &amp; Hospitality for officers</w:t>
      </w:r>
    </w:p>
    <w:p w:rsidR="00E51139" w:rsidRPr="0005794A" w:rsidRDefault="00E51139" w:rsidP="00D50FBC">
      <w:pPr>
        <w:pStyle w:val="Default"/>
        <w:ind w:left="567"/>
        <w:rPr>
          <w:rFonts w:ascii="Arial" w:hAnsi="Arial" w:cs="Arial"/>
          <w:bCs/>
          <w:color w:val="548DD4" w:themeColor="text2" w:themeTint="99"/>
          <w:sz w:val="20"/>
          <w:szCs w:val="20"/>
        </w:rPr>
      </w:pPr>
    </w:p>
    <w:p w:rsidR="00E51139" w:rsidRPr="00B50CAF" w:rsidRDefault="00E51139" w:rsidP="008D0906">
      <w:pPr>
        <w:pStyle w:val="Default"/>
        <w:ind w:left="567"/>
        <w:outlineLvl w:val="0"/>
        <w:rPr>
          <w:rFonts w:ascii="Arial" w:hAnsi="Arial" w:cs="Arial"/>
          <w:b/>
          <w:bCs/>
          <w:color w:val="auto"/>
          <w:sz w:val="20"/>
          <w:szCs w:val="20"/>
        </w:rPr>
      </w:pPr>
      <w:r w:rsidRPr="00B50CAF">
        <w:rPr>
          <w:rFonts w:ascii="Arial" w:hAnsi="Arial" w:cs="Arial"/>
          <w:b/>
          <w:bCs/>
          <w:color w:val="auto"/>
          <w:sz w:val="20"/>
          <w:szCs w:val="20"/>
        </w:rPr>
        <w:t>Other Public Bodies [subject to common control by central government]</w:t>
      </w:r>
    </w:p>
    <w:p w:rsidR="00E51139" w:rsidRPr="0005794A" w:rsidRDefault="00E51139" w:rsidP="00D50FBC">
      <w:pPr>
        <w:pStyle w:val="Default"/>
        <w:ind w:left="567"/>
        <w:rPr>
          <w:rFonts w:ascii="Arial" w:hAnsi="Arial" w:cs="Arial"/>
          <w:bCs/>
          <w:color w:val="548DD4" w:themeColor="text2" w:themeTint="99"/>
          <w:sz w:val="20"/>
          <w:szCs w:val="20"/>
        </w:rPr>
      </w:pPr>
    </w:p>
    <w:p w:rsidR="00D2616B" w:rsidRPr="00B50CAF" w:rsidRDefault="00D2616B" w:rsidP="00D50FBC">
      <w:pPr>
        <w:pStyle w:val="Default"/>
        <w:ind w:left="567"/>
        <w:rPr>
          <w:rFonts w:ascii="Arial" w:hAnsi="Arial" w:cs="Arial"/>
          <w:bCs/>
          <w:color w:val="auto"/>
          <w:sz w:val="20"/>
          <w:szCs w:val="20"/>
        </w:rPr>
      </w:pPr>
      <w:r w:rsidRPr="00B50CAF">
        <w:rPr>
          <w:rFonts w:ascii="Arial" w:hAnsi="Arial" w:cs="Arial"/>
          <w:bCs/>
          <w:color w:val="auto"/>
          <w:sz w:val="20"/>
          <w:szCs w:val="20"/>
          <w:u w:val="single"/>
        </w:rPr>
        <w:t>SWERCOTS</w:t>
      </w:r>
      <w:r w:rsidRPr="00B50CAF">
        <w:rPr>
          <w:rFonts w:ascii="Arial" w:hAnsi="Arial" w:cs="Arial"/>
          <w:bCs/>
          <w:color w:val="auto"/>
          <w:sz w:val="20"/>
          <w:szCs w:val="20"/>
        </w:rPr>
        <w:t xml:space="preserve"> </w:t>
      </w:r>
      <w:r w:rsidR="007E33E1" w:rsidRPr="00B50CAF">
        <w:rPr>
          <w:rFonts w:ascii="Arial" w:hAnsi="Arial" w:cs="Arial"/>
          <w:bCs/>
          <w:color w:val="auto"/>
          <w:sz w:val="20"/>
          <w:szCs w:val="20"/>
        </w:rPr>
        <w:t>is a</w:t>
      </w:r>
      <w:r w:rsidRPr="00B50CAF">
        <w:rPr>
          <w:rFonts w:ascii="Arial" w:hAnsi="Arial" w:cs="Arial"/>
          <w:bCs/>
          <w:color w:val="auto"/>
          <w:sz w:val="20"/>
          <w:szCs w:val="20"/>
        </w:rPr>
        <w:t xml:space="preserve"> partnership of 15 local authority trading standard services, who work together to maximise the benefits of regional collaboration to </w:t>
      </w:r>
      <w:r w:rsidR="007E33E1" w:rsidRPr="00B50CAF">
        <w:rPr>
          <w:rFonts w:ascii="Arial" w:hAnsi="Arial" w:cs="Arial"/>
          <w:bCs/>
          <w:color w:val="auto"/>
          <w:sz w:val="20"/>
          <w:szCs w:val="20"/>
        </w:rPr>
        <w:t>protect</w:t>
      </w:r>
      <w:r w:rsidRPr="00B50CAF">
        <w:rPr>
          <w:rFonts w:ascii="Arial" w:hAnsi="Arial" w:cs="Arial"/>
          <w:bCs/>
          <w:color w:val="auto"/>
          <w:sz w:val="20"/>
          <w:szCs w:val="20"/>
        </w:rPr>
        <w:t xml:space="preserve"> the interest of consumers and reputable businesses in the South West of England.  The partnerships funds are held by Cornwall County Council.</w:t>
      </w:r>
      <w:r w:rsidR="00F1654E">
        <w:rPr>
          <w:rFonts w:ascii="Arial" w:hAnsi="Arial" w:cs="Arial"/>
          <w:bCs/>
          <w:color w:val="auto"/>
          <w:sz w:val="20"/>
          <w:szCs w:val="20"/>
        </w:rPr>
        <w:t xml:space="preserve"> In 2017/18 SWERCOTS established a Community Interest Company and staff transferred to the company from Cornwall County Council. </w:t>
      </w:r>
    </w:p>
    <w:p w:rsidR="00B50CAF" w:rsidRDefault="00B50CAF" w:rsidP="00D50FBC">
      <w:pPr>
        <w:pStyle w:val="Default"/>
        <w:ind w:left="567"/>
        <w:rPr>
          <w:rFonts w:ascii="Arial" w:hAnsi="Arial" w:cs="Arial"/>
          <w:bCs/>
          <w:color w:val="548DD4" w:themeColor="text2" w:themeTint="99"/>
          <w:sz w:val="20"/>
          <w:szCs w:val="20"/>
        </w:rPr>
      </w:pPr>
    </w:p>
    <w:p w:rsidR="00CA1D40" w:rsidRPr="00005857" w:rsidRDefault="005D54FE" w:rsidP="00005857">
      <w:pPr>
        <w:pStyle w:val="Default"/>
        <w:ind w:left="567"/>
        <w:rPr>
          <w:rFonts w:ascii="Arial" w:hAnsi="Arial" w:cs="Arial"/>
          <w:bCs/>
          <w:color w:val="auto"/>
          <w:sz w:val="20"/>
          <w:szCs w:val="20"/>
        </w:rPr>
      </w:pPr>
      <w:r w:rsidRPr="00005857">
        <w:rPr>
          <w:rFonts w:ascii="Arial" w:hAnsi="Arial" w:cs="Arial"/>
          <w:bCs/>
          <w:color w:val="auto"/>
          <w:sz w:val="20"/>
          <w:szCs w:val="20"/>
          <w:u w:val="single"/>
        </w:rPr>
        <w:t>Torbay and South Devon NHS Foundation Trust (ICO).</w:t>
      </w:r>
      <w:r w:rsidRPr="00005857">
        <w:rPr>
          <w:rFonts w:ascii="Arial" w:hAnsi="Arial" w:cs="Arial"/>
          <w:bCs/>
          <w:color w:val="auto"/>
          <w:sz w:val="20"/>
          <w:szCs w:val="20"/>
        </w:rPr>
        <w:t xml:space="preserve"> </w:t>
      </w:r>
      <w:r w:rsidR="00005857">
        <w:rPr>
          <w:rFonts w:ascii="Arial" w:hAnsi="Arial" w:cs="Arial"/>
          <w:bCs/>
          <w:color w:val="auto"/>
          <w:sz w:val="20"/>
          <w:szCs w:val="20"/>
        </w:rPr>
        <w:t xml:space="preserve">In </w:t>
      </w:r>
      <w:r w:rsidRPr="00005857">
        <w:rPr>
          <w:rFonts w:ascii="Arial" w:hAnsi="Arial" w:cs="Arial"/>
          <w:bCs/>
          <w:color w:val="auto"/>
          <w:sz w:val="20"/>
          <w:szCs w:val="20"/>
        </w:rPr>
        <w:t>October 2015 the ICO "a</w:t>
      </w:r>
      <w:r w:rsidR="00CA1D40" w:rsidRPr="00005857">
        <w:rPr>
          <w:rFonts w:ascii="Arial" w:hAnsi="Arial" w:cs="Arial"/>
          <w:bCs/>
          <w:color w:val="auto"/>
          <w:sz w:val="20"/>
          <w:szCs w:val="20"/>
        </w:rPr>
        <w:t>c</w:t>
      </w:r>
      <w:r w:rsidRPr="00005857">
        <w:rPr>
          <w:rFonts w:ascii="Arial" w:hAnsi="Arial" w:cs="Arial"/>
          <w:bCs/>
          <w:color w:val="auto"/>
          <w:sz w:val="20"/>
          <w:szCs w:val="20"/>
        </w:rPr>
        <w:t xml:space="preserve">quired" the </w:t>
      </w:r>
      <w:r w:rsidR="00CA1D40" w:rsidRPr="00005857">
        <w:rPr>
          <w:rFonts w:ascii="Arial" w:hAnsi="Arial" w:cs="Arial"/>
          <w:bCs/>
          <w:color w:val="auto"/>
          <w:sz w:val="20"/>
          <w:szCs w:val="20"/>
        </w:rPr>
        <w:t>Torbay and Southern Devon Health and Care NHS Trust with all its assets and liabilities transferred to the ICO</w:t>
      </w:r>
      <w:r w:rsidR="00B222C2" w:rsidRPr="00005857">
        <w:rPr>
          <w:rFonts w:ascii="Arial" w:hAnsi="Arial" w:cs="Arial"/>
          <w:bCs/>
          <w:color w:val="auto"/>
          <w:sz w:val="20"/>
          <w:szCs w:val="20"/>
        </w:rPr>
        <w:t xml:space="preserve"> including the partnership agreement for the provision of adult social care services</w:t>
      </w:r>
      <w:r w:rsidR="00CA1D40" w:rsidRPr="00005857">
        <w:rPr>
          <w:rFonts w:ascii="Arial" w:hAnsi="Arial" w:cs="Arial"/>
          <w:bCs/>
          <w:color w:val="auto"/>
          <w:sz w:val="20"/>
          <w:szCs w:val="20"/>
        </w:rPr>
        <w:t xml:space="preserve">. </w:t>
      </w:r>
      <w:r w:rsidR="007E33E1" w:rsidRPr="00005857">
        <w:rPr>
          <w:rFonts w:ascii="Arial" w:hAnsi="Arial" w:cs="Arial"/>
          <w:bCs/>
          <w:color w:val="auto"/>
          <w:sz w:val="20"/>
          <w:szCs w:val="20"/>
        </w:rPr>
        <w:t>In 201</w:t>
      </w:r>
      <w:r w:rsidR="00902780">
        <w:rPr>
          <w:rFonts w:ascii="Arial" w:hAnsi="Arial" w:cs="Arial"/>
          <w:bCs/>
          <w:color w:val="auto"/>
          <w:sz w:val="20"/>
          <w:szCs w:val="20"/>
        </w:rPr>
        <w:t>7</w:t>
      </w:r>
      <w:r w:rsidR="007E33E1" w:rsidRPr="00005857">
        <w:rPr>
          <w:rFonts w:ascii="Arial" w:hAnsi="Arial" w:cs="Arial"/>
          <w:bCs/>
          <w:color w:val="auto"/>
          <w:sz w:val="20"/>
          <w:szCs w:val="20"/>
        </w:rPr>
        <w:t>/1</w:t>
      </w:r>
      <w:r w:rsidR="00902780">
        <w:rPr>
          <w:rFonts w:ascii="Arial" w:hAnsi="Arial" w:cs="Arial"/>
          <w:bCs/>
          <w:color w:val="auto"/>
          <w:sz w:val="20"/>
          <w:szCs w:val="20"/>
        </w:rPr>
        <w:t>8</w:t>
      </w:r>
      <w:r w:rsidR="007E33E1" w:rsidRPr="00005857">
        <w:rPr>
          <w:rFonts w:ascii="Arial" w:hAnsi="Arial" w:cs="Arial"/>
          <w:bCs/>
          <w:color w:val="auto"/>
          <w:sz w:val="20"/>
          <w:szCs w:val="20"/>
        </w:rPr>
        <w:t xml:space="preserve"> the funding payment to </w:t>
      </w:r>
      <w:r w:rsidR="00005857" w:rsidRPr="00005857">
        <w:rPr>
          <w:rFonts w:ascii="Arial" w:hAnsi="Arial" w:cs="Arial"/>
          <w:bCs/>
          <w:color w:val="auto"/>
          <w:sz w:val="20"/>
          <w:szCs w:val="20"/>
        </w:rPr>
        <w:t xml:space="preserve">the Trust in the year </w:t>
      </w:r>
      <w:r w:rsidR="007E33E1" w:rsidRPr="00005857">
        <w:rPr>
          <w:rFonts w:ascii="Arial" w:hAnsi="Arial" w:cs="Arial"/>
          <w:bCs/>
          <w:color w:val="auto"/>
          <w:sz w:val="20"/>
          <w:szCs w:val="20"/>
        </w:rPr>
        <w:t>for funding adult social care was £</w:t>
      </w:r>
      <w:r w:rsidR="00405E05" w:rsidRPr="00005857">
        <w:rPr>
          <w:rFonts w:ascii="Arial" w:hAnsi="Arial" w:cs="Arial"/>
          <w:bCs/>
          <w:color w:val="auto"/>
          <w:sz w:val="20"/>
          <w:szCs w:val="20"/>
        </w:rPr>
        <w:t>4</w:t>
      </w:r>
      <w:r w:rsidR="00005857" w:rsidRPr="00005857">
        <w:rPr>
          <w:rFonts w:ascii="Arial" w:hAnsi="Arial" w:cs="Arial"/>
          <w:bCs/>
          <w:color w:val="auto"/>
          <w:sz w:val="20"/>
          <w:szCs w:val="20"/>
        </w:rPr>
        <w:t>3.7</w:t>
      </w:r>
      <w:r w:rsidR="007E33E1" w:rsidRPr="00005857">
        <w:rPr>
          <w:rFonts w:ascii="Arial" w:hAnsi="Arial" w:cs="Arial"/>
          <w:bCs/>
          <w:color w:val="auto"/>
          <w:sz w:val="20"/>
          <w:szCs w:val="20"/>
        </w:rPr>
        <w:t>m (£4</w:t>
      </w:r>
      <w:r w:rsidR="00606EA5" w:rsidRPr="00005857">
        <w:rPr>
          <w:rFonts w:ascii="Arial" w:hAnsi="Arial" w:cs="Arial"/>
          <w:bCs/>
          <w:color w:val="auto"/>
          <w:sz w:val="20"/>
          <w:szCs w:val="20"/>
        </w:rPr>
        <w:t>2.1</w:t>
      </w:r>
      <w:r w:rsidR="007E33E1" w:rsidRPr="00005857">
        <w:rPr>
          <w:rFonts w:ascii="Arial" w:hAnsi="Arial" w:cs="Arial"/>
          <w:bCs/>
          <w:color w:val="auto"/>
          <w:sz w:val="20"/>
          <w:szCs w:val="20"/>
        </w:rPr>
        <w:t>m 201</w:t>
      </w:r>
      <w:r w:rsidR="00606EA5" w:rsidRPr="00005857">
        <w:rPr>
          <w:rFonts w:ascii="Arial" w:hAnsi="Arial" w:cs="Arial"/>
          <w:bCs/>
          <w:color w:val="auto"/>
          <w:sz w:val="20"/>
          <w:szCs w:val="20"/>
        </w:rPr>
        <w:t>6</w:t>
      </w:r>
      <w:r w:rsidR="007E33E1" w:rsidRPr="00005857">
        <w:rPr>
          <w:rFonts w:ascii="Arial" w:hAnsi="Arial" w:cs="Arial"/>
          <w:bCs/>
          <w:color w:val="auto"/>
          <w:sz w:val="20"/>
          <w:szCs w:val="20"/>
        </w:rPr>
        <w:t>/1</w:t>
      </w:r>
      <w:r w:rsidR="00606EA5" w:rsidRPr="00005857">
        <w:rPr>
          <w:rFonts w:ascii="Arial" w:hAnsi="Arial" w:cs="Arial"/>
          <w:bCs/>
          <w:color w:val="auto"/>
          <w:sz w:val="20"/>
          <w:szCs w:val="20"/>
        </w:rPr>
        <w:t>7</w:t>
      </w:r>
      <w:r w:rsidR="007E33E1" w:rsidRPr="00005857">
        <w:rPr>
          <w:rFonts w:ascii="Arial" w:hAnsi="Arial" w:cs="Arial"/>
          <w:bCs/>
          <w:color w:val="auto"/>
          <w:sz w:val="20"/>
          <w:szCs w:val="20"/>
        </w:rPr>
        <w:t xml:space="preserve">). </w:t>
      </w:r>
    </w:p>
    <w:p w:rsidR="00153E32" w:rsidRPr="0005794A" w:rsidRDefault="00153E32" w:rsidP="00CA1D40">
      <w:pPr>
        <w:pStyle w:val="Default"/>
        <w:ind w:left="567"/>
        <w:rPr>
          <w:rFonts w:ascii="Arial" w:hAnsi="Arial" w:cs="Arial"/>
          <w:bCs/>
          <w:color w:val="548DD4" w:themeColor="text2" w:themeTint="99"/>
          <w:sz w:val="20"/>
          <w:szCs w:val="20"/>
        </w:rPr>
      </w:pPr>
    </w:p>
    <w:p w:rsidR="00E51139" w:rsidRPr="00606EA5" w:rsidRDefault="00E51139" w:rsidP="00D50FBC">
      <w:pPr>
        <w:pStyle w:val="Default"/>
        <w:ind w:left="567"/>
        <w:rPr>
          <w:rFonts w:ascii="Arial" w:hAnsi="Arial" w:cs="Arial"/>
          <w:bCs/>
          <w:color w:val="auto"/>
          <w:sz w:val="20"/>
          <w:szCs w:val="20"/>
        </w:rPr>
      </w:pPr>
      <w:r w:rsidRPr="00606EA5">
        <w:rPr>
          <w:rFonts w:ascii="Arial" w:hAnsi="Arial" w:cs="Arial"/>
          <w:bCs/>
          <w:color w:val="auto"/>
          <w:sz w:val="20"/>
          <w:szCs w:val="20"/>
        </w:rPr>
        <w:t xml:space="preserve">The Council has pooled budget </w:t>
      </w:r>
      <w:proofErr w:type="spellStart"/>
      <w:r w:rsidRPr="00606EA5">
        <w:rPr>
          <w:rFonts w:ascii="Arial" w:hAnsi="Arial" w:cs="Arial"/>
          <w:bCs/>
          <w:color w:val="auto"/>
          <w:sz w:val="20"/>
          <w:szCs w:val="20"/>
        </w:rPr>
        <w:t>arrangemen</w:t>
      </w:r>
      <w:r w:rsidR="00606EA5">
        <w:rPr>
          <w:rFonts w:ascii="Arial" w:hAnsi="Arial" w:cs="Arial"/>
          <w:bCs/>
          <w:color w:val="auto"/>
          <w:sz w:val="20"/>
          <w:szCs w:val="20"/>
        </w:rPr>
        <w:t>s</w:t>
      </w:r>
      <w:r w:rsidRPr="00606EA5">
        <w:rPr>
          <w:rFonts w:ascii="Arial" w:hAnsi="Arial" w:cs="Arial"/>
          <w:bCs/>
          <w:color w:val="auto"/>
          <w:sz w:val="20"/>
          <w:szCs w:val="20"/>
        </w:rPr>
        <w:t>t</w:t>
      </w:r>
      <w:proofErr w:type="spellEnd"/>
      <w:r w:rsidRPr="00606EA5">
        <w:rPr>
          <w:rFonts w:ascii="Arial" w:hAnsi="Arial" w:cs="Arial"/>
          <w:bCs/>
          <w:color w:val="auto"/>
          <w:sz w:val="20"/>
          <w:szCs w:val="20"/>
        </w:rPr>
        <w:t xml:space="preserve"> </w:t>
      </w:r>
      <w:r w:rsidR="00B23439" w:rsidRPr="00606EA5">
        <w:rPr>
          <w:rFonts w:ascii="Arial" w:hAnsi="Arial" w:cs="Arial"/>
          <w:bCs/>
          <w:color w:val="auto"/>
          <w:sz w:val="20"/>
          <w:szCs w:val="20"/>
        </w:rPr>
        <w:t>f</w:t>
      </w:r>
      <w:r w:rsidRPr="00606EA5">
        <w:rPr>
          <w:rFonts w:ascii="Arial" w:hAnsi="Arial" w:cs="Arial"/>
          <w:bCs/>
          <w:color w:val="auto"/>
          <w:sz w:val="20"/>
          <w:szCs w:val="20"/>
        </w:rPr>
        <w:t>or the provi</w:t>
      </w:r>
      <w:r w:rsidR="00C14C0A" w:rsidRPr="00606EA5">
        <w:rPr>
          <w:rFonts w:ascii="Arial" w:hAnsi="Arial" w:cs="Arial"/>
          <w:bCs/>
          <w:color w:val="auto"/>
          <w:sz w:val="20"/>
          <w:szCs w:val="20"/>
        </w:rPr>
        <w:t xml:space="preserve">sion of a joint equipment store </w:t>
      </w:r>
      <w:r w:rsidR="003D1160" w:rsidRPr="00606EA5">
        <w:rPr>
          <w:rFonts w:ascii="Arial" w:hAnsi="Arial" w:cs="Arial"/>
          <w:bCs/>
          <w:color w:val="auto"/>
          <w:sz w:val="20"/>
          <w:szCs w:val="20"/>
        </w:rPr>
        <w:t xml:space="preserve">with the Clinical Commissioning Group (CCG) </w:t>
      </w:r>
      <w:r w:rsidR="00606EA5">
        <w:rPr>
          <w:rFonts w:ascii="Arial" w:hAnsi="Arial" w:cs="Arial"/>
          <w:bCs/>
          <w:color w:val="auto"/>
          <w:sz w:val="20"/>
          <w:szCs w:val="20"/>
        </w:rPr>
        <w:t xml:space="preserve">and the Better Care Fund </w:t>
      </w:r>
      <w:r w:rsidR="00C14C0A" w:rsidRPr="00606EA5">
        <w:rPr>
          <w:rFonts w:ascii="Arial" w:hAnsi="Arial" w:cs="Arial"/>
          <w:bCs/>
          <w:color w:val="auto"/>
          <w:sz w:val="20"/>
          <w:szCs w:val="20"/>
        </w:rPr>
        <w:t xml:space="preserve">– see </w:t>
      </w:r>
      <w:r w:rsidR="00153E32" w:rsidRPr="00606EA5">
        <w:rPr>
          <w:rFonts w:ascii="Arial" w:hAnsi="Arial" w:cs="Arial"/>
          <w:bCs/>
          <w:color w:val="auto"/>
          <w:sz w:val="20"/>
          <w:szCs w:val="20"/>
        </w:rPr>
        <w:t xml:space="preserve">Pooled Budget </w:t>
      </w:r>
      <w:r w:rsidR="00C00B7E" w:rsidRPr="00606EA5">
        <w:rPr>
          <w:rFonts w:ascii="Arial" w:hAnsi="Arial" w:cs="Arial"/>
          <w:bCs/>
          <w:color w:val="auto"/>
          <w:sz w:val="20"/>
          <w:szCs w:val="20"/>
        </w:rPr>
        <w:t>Note</w:t>
      </w:r>
      <w:r w:rsidR="007C5CB4" w:rsidRPr="00606EA5">
        <w:rPr>
          <w:rFonts w:ascii="Arial" w:hAnsi="Arial" w:cs="Arial"/>
          <w:bCs/>
          <w:color w:val="auto"/>
          <w:sz w:val="20"/>
          <w:szCs w:val="20"/>
        </w:rPr>
        <w:t>.</w:t>
      </w:r>
    </w:p>
    <w:p w:rsidR="002A0ED2" w:rsidRPr="0005794A" w:rsidRDefault="002A0ED2" w:rsidP="003C5E34">
      <w:pPr>
        <w:pStyle w:val="CodeNotesExampleText"/>
        <w:widowControl w:val="0"/>
        <w:ind w:left="567"/>
        <w:rPr>
          <w:color w:val="548DD4" w:themeColor="text2" w:themeTint="99"/>
          <w:sz w:val="20"/>
          <w:szCs w:val="20"/>
        </w:rPr>
      </w:pPr>
    </w:p>
    <w:p w:rsidR="00E51139" w:rsidRPr="00C4415C" w:rsidRDefault="00E51139" w:rsidP="008D0906">
      <w:pPr>
        <w:pStyle w:val="Default"/>
        <w:ind w:left="567"/>
        <w:outlineLvl w:val="0"/>
        <w:rPr>
          <w:rFonts w:ascii="Arial" w:hAnsi="Arial" w:cs="Arial"/>
          <w:b/>
          <w:bCs/>
          <w:color w:val="auto"/>
          <w:sz w:val="20"/>
          <w:szCs w:val="20"/>
        </w:rPr>
      </w:pPr>
      <w:r w:rsidRPr="00C4415C">
        <w:rPr>
          <w:rFonts w:ascii="Arial" w:hAnsi="Arial" w:cs="Arial"/>
          <w:b/>
          <w:bCs/>
          <w:color w:val="auto"/>
          <w:sz w:val="20"/>
          <w:szCs w:val="20"/>
        </w:rPr>
        <w:t>Joint Committees</w:t>
      </w:r>
    </w:p>
    <w:p w:rsidR="00D50FBC" w:rsidRPr="00C4415C" w:rsidRDefault="00D50FBC" w:rsidP="00D50FBC">
      <w:pPr>
        <w:pStyle w:val="Default"/>
        <w:ind w:left="567"/>
        <w:rPr>
          <w:rFonts w:ascii="Arial" w:hAnsi="Arial" w:cs="Arial"/>
          <w:bCs/>
          <w:color w:val="auto"/>
          <w:sz w:val="20"/>
          <w:szCs w:val="20"/>
        </w:rPr>
      </w:pPr>
    </w:p>
    <w:p w:rsidR="00E51139" w:rsidRPr="00C4415C" w:rsidRDefault="00E51139" w:rsidP="00D50FBC">
      <w:pPr>
        <w:pStyle w:val="Default"/>
        <w:ind w:left="567"/>
        <w:rPr>
          <w:rFonts w:ascii="Arial" w:hAnsi="Arial" w:cs="Arial"/>
          <w:bCs/>
          <w:color w:val="auto"/>
          <w:sz w:val="20"/>
          <w:szCs w:val="20"/>
        </w:rPr>
      </w:pPr>
      <w:r w:rsidRPr="00C4415C">
        <w:rPr>
          <w:rFonts w:ascii="Arial" w:hAnsi="Arial" w:cs="Arial"/>
          <w:bCs/>
          <w:color w:val="auto"/>
          <w:sz w:val="20"/>
          <w:szCs w:val="20"/>
        </w:rPr>
        <w:t>The Council is part of a number of joint committees where local authorities have joined together to provide a service. These are listed below:</w:t>
      </w:r>
    </w:p>
    <w:p w:rsidR="00D50FBC" w:rsidRPr="0005794A" w:rsidRDefault="00D50FBC" w:rsidP="00D50FBC">
      <w:pPr>
        <w:pStyle w:val="Default"/>
        <w:ind w:left="567"/>
        <w:rPr>
          <w:rFonts w:ascii="Arial" w:hAnsi="Arial" w:cs="Arial"/>
          <w:bCs/>
          <w:color w:val="548DD4" w:themeColor="text2" w:themeTint="99"/>
          <w:sz w:val="20"/>
          <w:szCs w:val="20"/>
        </w:rPr>
      </w:pPr>
    </w:p>
    <w:p w:rsidR="00E51139" w:rsidRPr="00221FC1" w:rsidRDefault="00E51139" w:rsidP="008D0906">
      <w:pPr>
        <w:pStyle w:val="Default"/>
        <w:ind w:left="567"/>
        <w:outlineLvl w:val="0"/>
        <w:rPr>
          <w:rFonts w:ascii="Arial" w:hAnsi="Arial" w:cs="Arial"/>
          <w:bCs/>
          <w:color w:val="auto"/>
          <w:sz w:val="20"/>
          <w:szCs w:val="20"/>
          <w:u w:val="single"/>
        </w:rPr>
      </w:pPr>
      <w:r w:rsidRPr="00221FC1">
        <w:rPr>
          <w:rFonts w:ascii="Arial" w:hAnsi="Arial" w:cs="Arial"/>
          <w:bCs/>
          <w:color w:val="auto"/>
          <w:sz w:val="20"/>
          <w:szCs w:val="20"/>
          <w:u w:val="single"/>
        </w:rPr>
        <w:t>Devon Audit Partnership</w:t>
      </w:r>
    </w:p>
    <w:p w:rsidR="00C660C6" w:rsidRPr="00221FC1" w:rsidRDefault="00C660C6" w:rsidP="00C660C6">
      <w:pPr>
        <w:pStyle w:val="Default"/>
        <w:ind w:left="567"/>
        <w:rPr>
          <w:rFonts w:ascii="Arial" w:hAnsi="Arial" w:cs="Arial"/>
          <w:bCs/>
          <w:color w:val="auto"/>
          <w:sz w:val="20"/>
          <w:szCs w:val="20"/>
        </w:rPr>
      </w:pPr>
    </w:p>
    <w:p w:rsidR="00E51139" w:rsidRPr="00221FC1" w:rsidRDefault="00E51139" w:rsidP="00C660C6">
      <w:pPr>
        <w:pStyle w:val="Default"/>
        <w:ind w:left="567"/>
        <w:rPr>
          <w:rFonts w:ascii="Arial" w:hAnsi="Arial" w:cs="Arial"/>
          <w:bCs/>
          <w:color w:val="auto"/>
          <w:sz w:val="20"/>
          <w:szCs w:val="20"/>
        </w:rPr>
      </w:pPr>
      <w:r w:rsidRPr="00221FC1">
        <w:rPr>
          <w:rFonts w:ascii="Arial" w:hAnsi="Arial" w:cs="Arial"/>
          <w:bCs/>
          <w:color w:val="auto"/>
          <w:sz w:val="20"/>
          <w:szCs w:val="20"/>
        </w:rPr>
        <w:t>From April 2009 Torbay set up a Joint Committee with Devon County Council</w:t>
      </w:r>
      <w:r w:rsidR="008A7527" w:rsidRPr="00221FC1">
        <w:rPr>
          <w:rFonts w:ascii="Arial" w:hAnsi="Arial" w:cs="Arial"/>
          <w:bCs/>
          <w:color w:val="auto"/>
          <w:sz w:val="20"/>
          <w:szCs w:val="20"/>
        </w:rPr>
        <w:t xml:space="preserve"> and</w:t>
      </w:r>
      <w:r w:rsidRPr="00221FC1">
        <w:rPr>
          <w:rFonts w:ascii="Arial" w:hAnsi="Arial" w:cs="Arial"/>
          <w:bCs/>
          <w:color w:val="auto"/>
          <w:sz w:val="20"/>
          <w:szCs w:val="20"/>
        </w:rPr>
        <w:t xml:space="preserve"> Plymouth City Council for the provision of a shared internal audit service. </w:t>
      </w:r>
      <w:r w:rsidR="008A7527" w:rsidRPr="00221FC1">
        <w:rPr>
          <w:rFonts w:ascii="Arial" w:hAnsi="Arial" w:cs="Arial"/>
          <w:bCs/>
          <w:color w:val="auto"/>
          <w:sz w:val="20"/>
          <w:szCs w:val="20"/>
        </w:rPr>
        <w:t xml:space="preserve">Torridge Council became a member from April 2017. </w:t>
      </w:r>
      <w:r w:rsidRPr="00221FC1">
        <w:rPr>
          <w:rFonts w:ascii="Arial" w:hAnsi="Arial" w:cs="Arial"/>
          <w:bCs/>
          <w:color w:val="auto"/>
          <w:sz w:val="20"/>
          <w:szCs w:val="20"/>
        </w:rPr>
        <w:t>The service is also able to provide audit services to other organisations.</w:t>
      </w:r>
    </w:p>
    <w:p w:rsidR="00C660C6" w:rsidRPr="0005794A" w:rsidRDefault="00C660C6" w:rsidP="00C660C6">
      <w:pPr>
        <w:pStyle w:val="Default"/>
        <w:ind w:left="567"/>
        <w:rPr>
          <w:rFonts w:ascii="Arial" w:hAnsi="Arial" w:cs="Arial"/>
          <w:bCs/>
          <w:color w:val="548DD4" w:themeColor="text2" w:themeTint="99"/>
          <w:sz w:val="20"/>
          <w:szCs w:val="20"/>
        </w:rPr>
      </w:pPr>
    </w:p>
    <w:p w:rsidR="00E51139" w:rsidRPr="00221FC1" w:rsidRDefault="00E51139" w:rsidP="00C660C6">
      <w:pPr>
        <w:pStyle w:val="Default"/>
        <w:ind w:left="567"/>
        <w:rPr>
          <w:rFonts w:ascii="Arial" w:hAnsi="Arial" w:cs="Arial"/>
          <w:bCs/>
          <w:color w:val="auto"/>
          <w:sz w:val="20"/>
          <w:szCs w:val="20"/>
        </w:rPr>
      </w:pPr>
      <w:r w:rsidRPr="00221FC1">
        <w:rPr>
          <w:rFonts w:ascii="Arial" w:hAnsi="Arial" w:cs="Arial"/>
          <w:bCs/>
          <w:color w:val="auto"/>
          <w:sz w:val="20"/>
          <w:szCs w:val="20"/>
        </w:rPr>
        <w:t>Devon County is the ”host” Council for the Joint Committee with all staff now employed by Devon County Council.  Assets and Liabilities of the Joint Committe</w:t>
      </w:r>
      <w:r w:rsidR="00221FC1" w:rsidRPr="00221FC1">
        <w:rPr>
          <w:rFonts w:ascii="Arial" w:hAnsi="Arial" w:cs="Arial"/>
          <w:bCs/>
          <w:color w:val="auto"/>
          <w:sz w:val="20"/>
          <w:szCs w:val="20"/>
        </w:rPr>
        <w:t>e are split on an agreed basis</w:t>
      </w:r>
      <w:r w:rsidR="00606EA5">
        <w:rPr>
          <w:rFonts w:ascii="Arial" w:hAnsi="Arial" w:cs="Arial"/>
          <w:bCs/>
          <w:color w:val="auto"/>
          <w:sz w:val="20"/>
          <w:szCs w:val="20"/>
        </w:rPr>
        <w:t>;</w:t>
      </w:r>
      <w:r w:rsidR="00221FC1" w:rsidRPr="00221FC1">
        <w:rPr>
          <w:rFonts w:ascii="Arial" w:hAnsi="Arial" w:cs="Arial"/>
          <w:bCs/>
          <w:color w:val="auto"/>
          <w:sz w:val="20"/>
          <w:szCs w:val="20"/>
        </w:rPr>
        <w:t xml:space="preserve"> </w:t>
      </w:r>
      <w:r w:rsidRPr="00221FC1">
        <w:rPr>
          <w:rFonts w:ascii="Arial" w:hAnsi="Arial" w:cs="Arial"/>
          <w:bCs/>
          <w:color w:val="auto"/>
          <w:sz w:val="20"/>
          <w:szCs w:val="20"/>
        </w:rPr>
        <w:t>Torbay’s share is equal to 2</w:t>
      </w:r>
      <w:r w:rsidR="00221FC1" w:rsidRPr="00221FC1">
        <w:rPr>
          <w:rFonts w:ascii="Arial" w:hAnsi="Arial" w:cs="Arial"/>
          <w:bCs/>
          <w:color w:val="auto"/>
          <w:sz w:val="20"/>
          <w:szCs w:val="20"/>
        </w:rPr>
        <w:t>4.7%</w:t>
      </w:r>
      <w:r w:rsidRPr="00221FC1">
        <w:rPr>
          <w:rFonts w:ascii="Arial" w:hAnsi="Arial" w:cs="Arial"/>
          <w:bCs/>
          <w:color w:val="auto"/>
          <w:sz w:val="20"/>
          <w:szCs w:val="20"/>
        </w:rPr>
        <w:t>. Torbay’s contribution to the partnership for 201</w:t>
      </w:r>
      <w:r w:rsidR="00221FC1" w:rsidRPr="00221FC1">
        <w:rPr>
          <w:rFonts w:ascii="Arial" w:hAnsi="Arial" w:cs="Arial"/>
          <w:bCs/>
          <w:color w:val="auto"/>
          <w:sz w:val="20"/>
          <w:szCs w:val="20"/>
        </w:rPr>
        <w:t>7</w:t>
      </w:r>
      <w:r w:rsidR="002A0ED2" w:rsidRPr="00221FC1">
        <w:rPr>
          <w:rFonts w:ascii="Arial" w:hAnsi="Arial" w:cs="Arial"/>
          <w:bCs/>
          <w:color w:val="auto"/>
          <w:sz w:val="20"/>
          <w:szCs w:val="20"/>
        </w:rPr>
        <w:t>/1</w:t>
      </w:r>
      <w:r w:rsidR="00221FC1" w:rsidRPr="00221FC1">
        <w:rPr>
          <w:rFonts w:ascii="Arial" w:hAnsi="Arial" w:cs="Arial"/>
          <w:bCs/>
          <w:color w:val="auto"/>
          <w:sz w:val="20"/>
          <w:szCs w:val="20"/>
        </w:rPr>
        <w:t>8</w:t>
      </w:r>
      <w:r w:rsidRPr="00221FC1">
        <w:rPr>
          <w:rFonts w:ascii="Arial" w:hAnsi="Arial" w:cs="Arial"/>
          <w:bCs/>
          <w:color w:val="auto"/>
          <w:sz w:val="20"/>
          <w:szCs w:val="20"/>
        </w:rPr>
        <w:t xml:space="preserve"> was £</w:t>
      </w:r>
      <w:r w:rsidR="008A7527" w:rsidRPr="00221FC1">
        <w:rPr>
          <w:rFonts w:ascii="Arial" w:hAnsi="Arial" w:cs="Arial"/>
          <w:bCs/>
          <w:color w:val="auto"/>
          <w:sz w:val="20"/>
          <w:szCs w:val="20"/>
        </w:rPr>
        <w:t>0.2</w:t>
      </w:r>
      <w:r w:rsidR="002A0ED2" w:rsidRPr="00221FC1">
        <w:rPr>
          <w:rFonts w:ascii="Arial" w:hAnsi="Arial" w:cs="Arial"/>
          <w:bCs/>
          <w:color w:val="auto"/>
          <w:sz w:val="20"/>
          <w:szCs w:val="20"/>
        </w:rPr>
        <w:t>m</w:t>
      </w:r>
      <w:r w:rsidRPr="00221FC1">
        <w:rPr>
          <w:rFonts w:ascii="Arial" w:hAnsi="Arial" w:cs="Arial"/>
          <w:bCs/>
          <w:color w:val="auto"/>
          <w:sz w:val="20"/>
          <w:szCs w:val="20"/>
        </w:rPr>
        <w:t xml:space="preserve"> (201</w:t>
      </w:r>
      <w:r w:rsidR="00221FC1" w:rsidRPr="00221FC1">
        <w:rPr>
          <w:rFonts w:ascii="Arial" w:hAnsi="Arial" w:cs="Arial"/>
          <w:bCs/>
          <w:color w:val="auto"/>
          <w:sz w:val="20"/>
          <w:szCs w:val="20"/>
        </w:rPr>
        <w:t>6</w:t>
      </w:r>
      <w:r w:rsidR="002A0ED2" w:rsidRPr="00221FC1">
        <w:rPr>
          <w:rFonts w:ascii="Arial" w:hAnsi="Arial" w:cs="Arial"/>
          <w:bCs/>
          <w:color w:val="auto"/>
          <w:sz w:val="20"/>
          <w:szCs w:val="20"/>
        </w:rPr>
        <w:t>/1</w:t>
      </w:r>
      <w:r w:rsidR="00221FC1" w:rsidRPr="00221FC1">
        <w:rPr>
          <w:rFonts w:ascii="Arial" w:hAnsi="Arial" w:cs="Arial"/>
          <w:bCs/>
          <w:color w:val="auto"/>
          <w:sz w:val="20"/>
          <w:szCs w:val="20"/>
        </w:rPr>
        <w:t>7</w:t>
      </w:r>
      <w:r w:rsidRPr="00221FC1">
        <w:rPr>
          <w:rFonts w:ascii="Arial" w:hAnsi="Arial" w:cs="Arial"/>
          <w:bCs/>
          <w:color w:val="auto"/>
          <w:sz w:val="20"/>
          <w:szCs w:val="20"/>
        </w:rPr>
        <w:t xml:space="preserve"> £0.</w:t>
      </w:r>
      <w:r w:rsidR="00221FC1" w:rsidRPr="00221FC1">
        <w:rPr>
          <w:rFonts w:ascii="Arial" w:hAnsi="Arial" w:cs="Arial"/>
          <w:bCs/>
          <w:color w:val="auto"/>
          <w:sz w:val="20"/>
          <w:szCs w:val="20"/>
        </w:rPr>
        <w:t>2</w:t>
      </w:r>
      <w:r w:rsidRPr="00221FC1">
        <w:rPr>
          <w:rFonts w:ascii="Arial" w:hAnsi="Arial" w:cs="Arial"/>
          <w:bCs/>
          <w:color w:val="auto"/>
          <w:sz w:val="20"/>
          <w:szCs w:val="20"/>
        </w:rPr>
        <w:t>m).</w:t>
      </w:r>
    </w:p>
    <w:p w:rsidR="00E51139" w:rsidRPr="0005794A" w:rsidRDefault="00E51139" w:rsidP="00C660C6">
      <w:pPr>
        <w:pStyle w:val="Default"/>
        <w:ind w:left="567"/>
        <w:rPr>
          <w:rFonts w:ascii="Arial" w:hAnsi="Arial" w:cs="Arial"/>
          <w:bCs/>
          <w:color w:val="548DD4" w:themeColor="text2" w:themeTint="99"/>
          <w:sz w:val="20"/>
          <w:szCs w:val="20"/>
        </w:rPr>
      </w:pPr>
    </w:p>
    <w:p w:rsidR="00E51139" w:rsidRPr="00757FEB" w:rsidRDefault="00E51139" w:rsidP="008D0906">
      <w:pPr>
        <w:pStyle w:val="Default"/>
        <w:ind w:left="567"/>
        <w:outlineLvl w:val="0"/>
        <w:rPr>
          <w:rFonts w:ascii="Arial" w:hAnsi="Arial" w:cs="Arial"/>
          <w:bCs/>
          <w:color w:val="auto"/>
          <w:sz w:val="20"/>
          <w:szCs w:val="20"/>
        </w:rPr>
      </w:pPr>
      <w:r w:rsidRPr="00757FEB">
        <w:rPr>
          <w:rFonts w:ascii="Arial" w:hAnsi="Arial" w:cs="Arial"/>
          <w:bCs/>
          <w:color w:val="auto"/>
          <w:sz w:val="20"/>
          <w:szCs w:val="20"/>
          <w:u w:val="single"/>
        </w:rPr>
        <w:t>PATROL</w:t>
      </w:r>
      <w:r w:rsidRPr="00757FEB">
        <w:rPr>
          <w:rFonts w:ascii="Arial" w:hAnsi="Arial" w:cs="Arial"/>
          <w:bCs/>
          <w:color w:val="auto"/>
          <w:sz w:val="20"/>
          <w:szCs w:val="20"/>
        </w:rPr>
        <w:t xml:space="preserve"> – Parking and Traffic Regulations </w:t>
      </w:r>
      <w:r w:rsidR="00CA7693" w:rsidRPr="00757FEB">
        <w:rPr>
          <w:rFonts w:ascii="Arial" w:hAnsi="Arial" w:cs="Arial"/>
          <w:bCs/>
          <w:color w:val="auto"/>
          <w:sz w:val="20"/>
          <w:szCs w:val="20"/>
        </w:rPr>
        <w:t>outside</w:t>
      </w:r>
      <w:r w:rsidRPr="00757FEB">
        <w:rPr>
          <w:rFonts w:ascii="Arial" w:hAnsi="Arial" w:cs="Arial"/>
          <w:bCs/>
          <w:color w:val="auto"/>
          <w:sz w:val="20"/>
          <w:szCs w:val="20"/>
        </w:rPr>
        <w:t xml:space="preserve"> London.</w:t>
      </w:r>
    </w:p>
    <w:p w:rsidR="00E51139" w:rsidRPr="00757FEB" w:rsidRDefault="00E51139" w:rsidP="00C660C6">
      <w:pPr>
        <w:pStyle w:val="Default"/>
        <w:ind w:left="567"/>
        <w:rPr>
          <w:rFonts w:ascii="Arial" w:hAnsi="Arial" w:cs="Arial"/>
          <w:bCs/>
          <w:color w:val="auto"/>
          <w:sz w:val="20"/>
          <w:szCs w:val="20"/>
        </w:rPr>
      </w:pPr>
      <w:r w:rsidRPr="00757FEB">
        <w:rPr>
          <w:rFonts w:ascii="Arial" w:hAnsi="Arial" w:cs="Arial"/>
          <w:bCs/>
          <w:color w:val="auto"/>
          <w:sz w:val="20"/>
          <w:szCs w:val="20"/>
        </w:rPr>
        <w:t xml:space="preserve"> </w:t>
      </w:r>
    </w:p>
    <w:p w:rsidR="00E51139" w:rsidRPr="00757FEB" w:rsidRDefault="00E51139" w:rsidP="00C660C6">
      <w:pPr>
        <w:pStyle w:val="Default"/>
        <w:ind w:left="567"/>
        <w:rPr>
          <w:rFonts w:ascii="Arial" w:hAnsi="Arial" w:cs="Arial"/>
          <w:bCs/>
          <w:color w:val="auto"/>
          <w:sz w:val="20"/>
          <w:szCs w:val="20"/>
        </w:rPr>
      </w:pPr>
      <w:r w:rsidRPr="00757FEB">
        <w:rPr>
          <w:rFonts w:ascii="Arial" w:hAnsi="Arial" w:cs="Arial"/>
          <w:bCs/>
          <w:color w:val="auto"/>
          <w:sz w:val="20"/>
          <w:szCs w:val="20"/>
        </w:rPr>
        <w:t xml:space="preserve">It is a statutory requirement for Councils undertaking civil parking enforcement to join this Joint Committee in order to access independent adjudication. The agreed primary objectives of the Joint Committee are the provision of:  </w:t>
      </w:r>
    </w:p>
    <w:p w:rsidR="00E51139" w:rsidRPr="00757FEB" w:rsidRDefault="00E51139" w:rsidP="00C660C6">
      <w:pPr>
        <w:pStyle w:val="Default"/>
        <w:ind w:left="567"/>
        <w:rPr>
          <w:rFonts w:ascii="Arial" w:hAnsi="Arial" w:cs="Arial"/>
          <w:bCs/>
          <w:color w:val="auto"/>
          <w:sz w:val="20"/>
          <w:szCs w:val="20"/>
        </w:rPr>
      </w:pPr>
    </w:p>
    <w:p w:rsidR="00E51139" w:rsidRPr="00757FEB" w:rsidRDefault="00E51139" w:rsidP="00C660C6">
      <w:pPr>
        <w:pStyle w:val="Default"/>
        <w:ind w:left="567"/>
        <w:rPr>
          <w:rFonts w:ascii="Arial" w:hAnsi="Arial" w:cs="Arial"/>
          <w:bCs/>
          <w:color w:val="auto"/>
          <w:sz w:val="20"/>
          <w:szCs w:val="20"/>
        </w:rPr>
      </w:pPr>
      <w:r w:rsidRPr="00757FEB">
        <w:rPr>
          <w:rFonts w:ascii="Arial" w:hAnsi="Arial" w:cs="Arial"/>
          <w:bCs/>
          <w:color w:val="auto"/>
          <w:sz w:val="20"/>
          <w:szCs w:val="20"/>
        </w:rPr>
        <w:t xml:space="preserve">a) </w:t>
      </w:r>
      <w:proofErr w:type="gramStart"/>
      <w:r w:rsidRPr="00757FEB">
        <w:rPr>
          <w:rFonts w:ascii="Arial" w:hAnsi="Arial" w:cs="Arial"/>
          <w:bCs/>
          <w:color w:val="auto"/>
          <w:sz w:val="20"/>
          <w:szCs w:val="20"/>
        </w:rPr>
        <w:t>a</w:t>
      </w:r>
      <w:proofErr w:type="gramEnd"/>
      <w:r w:rsidRPr="00757FEB">
        <w:rPr>
          <w:rFonts w:ascii="Arial" w:hAnsi="Arial" w:cs="Arial"/>
          <w:bCs/>
          <w:color w:val="auto"/>
          <w:sz w:val="20"/>
          <w:szCs w:val="20"/>
        </w:rPr>
        <w:t xml:space="preserve"> fair adjudication service for Appellants </w:t>
      </w:r>
    </w:p>
    <w:p w:rsidR="00E51139" w:rsidRPr="00757FEB" w:rsidRDefault="00E51139" w:rsidP="00C660C6">
      <w:pPr>
        <w:pStyle w:val="Default"/>
        <w:ind w:left="567"/>
        <w:rPr>
          <w:rFonts w:ascii="Arial" w:hAnsi="Arial" w:cs="Arial"/>
          <w:bCs/>
          <w:color w:val="auto"/>
          <w:sz w:val="20"/>
          <w:szCs w:val="20"/>
        </w:rPr>
      </w:pPr>
      <w:r w:rsidRPr="00757FEB">
        <w:rPr>
          <w:rFonts w:ascii="Arial" w:hAnsi="Arial" w:cs="Arial"/>
          <w:bCs/>
          <w:color w:val="auto"/>
          <w:sz w:val="20"/>
          <w:szCs w:val="20"/>
        </w:rPr>
        <w:t xml:space="preserve">b) </w:t>
      </w:r>
      <w:proofErr w:type="gramStart"/>
      <w:r w:rsidRPr="00757FEB">
        <w:rPr>
          <w:rFonts w:ascii="Arial" w:hAnsi="Arial" w:cs="Arial"/>
          <w:bCs/>
          <w:color w:val="auto"/>
          <w:sz w:val="20"/>
          <w:szCs w:val="20"/>
        </w:rPr>
        <w:t>consistency</w:t>
      </w:r>
      <w:proofErr w:type="gramEnd"/>
      <w:r w:rsidRPr="00757FEB">
        <w:rPr>
          <w:rFonts w:ascii="Arial" w:hAnsi="Arial" w:cs="Arial"/>
          <w:bCs/>
          <w:color w:val="auto"/>
          <w:sz w:val="20"/>
          <w:szCs w:val="20"/>
        </w:rPr>
        <w:t xml:space="preserve"> in access to adjudication;  </w:t>
      </w:r>
    </w:p>
    <w:p w:rsidR="00E51139" w:rsidRPr="00757FEB" w:rsidRDefault="00E51139" w:rsidP="00C660C6">
      <w:pPr>
        <w:pStyle w:val="Default"/>
        <w:ind w:left="567"/>
        <w:rPr>
          <w:rFonts w:ascii="Arial" w:hAnsi="Arial" w:cs="Arial"/>
          <w:bCs/>
          <w:color w:val="auto"/>
          <w:sz w:val="20"/>
          <w:szCs w:val="20"/>
        </w:rPr>
      </w:pPr>
      <w:r w:rsidRPr="00757FEB">
        <w:rPr>
          <w:rFonts w:ascii="Arial" w:hAnsi="Arial" w:cs="Arial"/>
          <w:bCs/>
          <w:color w:val="auto"/>
          <w:sz w:val="20"/>
          <w:szCs w:val="20"/>
        </w:rPr>
        <w:t xml:space="preserve">c) </w:t>
      </w:r>
      <w:proofErr w:type="gramStart"/>
      <w:r w:rsidRPr="00757FEB">
        <w:rPr>
          <w:rFonts w:ascii="Arial" w:hAnsi="Arial" w:cs="Arial"/>
          <w:bCs/>
          <w:color w:val="auto"/>
          <w:sz w:val="20"/>
          <w:szCs w:val="20"/>
        </w:rPr>
        <w:t>a</w:t>
      </w:r>
      <w:proofErr w:type="gramEnd"/>
      <w:r w:rsidRPr="00757FEB">
        <w:rPr>
          <w:rFonts w:ascii="Arial" w:hAnsi="Arial" w:cs="Arial"/>
          <w:bCs/>
          <w:color w:val="auto"/>
          <w:sz w:val="20"/>
          <w:szCs w:val="20"/>
        </w:rPr>
        <w:t xml:space="preserve"> cost effective and equitable adjudication service for all Parking Authorities </w:t>
      </w:r>
    </w:p>
    <w:p w:rsidR="00E51139" w:rsidRPr="00757FEB" w:rsidRDefault="00E51139" w:rsidP="00C660C6">
      <w:pPr>
        <w:pStyle w:val="Default"/>
        <w:ind w:left="567"/>
        <w:rPr>
          <w:rFonts w:ascii="Arial" w:hAnsi="Arial" w:cs="Arial"/>
          <w:bCs/>
          <w:color w:val="auto"/>
          <w:sz w:val="20"/>
          <w:szCs w:val="20"/>
        </w:rPr>
      </w:pPr>
      <w:r w:rsidRPr="00757FEB">
        <w:rPr>
          <w:rFonts w:ascii="Arial" w:hAnsi="Arial" w:cs="Arial"/>
          <w:bCs/>
          <w:color w:val="auto"/>
          <w:sz w:val="20"/>
          <w:szCs w:val="20"/>
        </w:rPr>
        <w:t xml:space="preserve">d) </w:t>
      </w:r>
      <w:proofErr w:type="gramStart"/>
      <w:r w:rsidRPr="00757FEB">
        <w:rPr>
          <w:rFonts w:ascii="Arial" w:hAnsi="Arial" w:cs="Arial"/>
          <w:bCs/>
          <w:color w:val="auto"/>
          <w:sz w:val="20"/>
          <w:szCs w:val="20"/>
        </w:rPr>
        <w:t>to</w:t>
      </w:r>
      <w:proofErr w:type="gramEnd"/>
      <w:r w:rsidRPr="00757FEB">
        <w:rPr>
          <w:rFonts w:ascii="Arial" w:hAnsi="Arial" w:cs="Arial"/>
          <w:bCs/>
          <w:color w:val="auto"/>
          <w:sz w:val="20"/>
          <w:szCs w:val="20"/>
        </w:rPr>
        <w:t xml:space="preserve"> deal with a wide range of authorities with varying levels of demand for adjudication.</w:t>
      </w:r>
    </w:p>
    <w:p w:rsidR="00E06A59" w:rsidRPr="00170982" w:rsidRDefault="00E51139" w:rsidP="00C660C6">
      <w:pPr>
        <w:pStyle w:val="Default"/>
        <w:ind w:left="567"/>
        <w:rPr>
          <w:rFonts w:ascii="Arial" w:hAnsi="Arial" w:cs="Arial"/>
          <w:bCs/>
          <w:color w:val="auto"/>
          <w:sz w:val="20"/>
          <w:szCs w:val="20"/>
        </w:rPr>
      </w:pPr>
      <w:r w:rsidRPr="00170982">
        <w:rPr>
          <w:rFonts w:ascii="Arial" w:hAnsi="Arial" w:cs="Arial"/>
          <w:bCs/>
          <w:color w:val="auto"/>
          <w:sz w:val="20"/>
          <w:szCs w:val="20"/>
        </w:rPr>
        <w:tab/>
      </w:r>
    </w:p>
    <w:p w:rsidR="00E51139" w:rsidRPr="00170982" w:rsidRDefault="00E51139" w:rsidP="008D0906">
      <w:pPr>
        <w:pStyle w:val="Default"/>
        <w:ind w:left="567"/>
        <w:outlineLvl w:val="0"/>
        <w:rPr>
          <w:rFonts w:ascii="Arial" w:hAnsi="Arial" w:cs="Arial"/>
          <w:bCs/>
          <w:color w:val="auto"/>
          <w:sz w:val="20"/>
          <w:szCs w:val="20"/>
          <w:u w:val="single"/>
        </w:rPr>
      </w:pPr>
      <w:r w:rsidRPr="00170982">
        <w:rPr>
          <w:rFonts w:ascii="Arial" w:hAnsi="Arial" w:cs="Arial"/>
          <w:bCs/>
          <w:color w:val="auto"/>
          <w:sz w:val="20"/>
          <w:szCs w:val="20"/>
          <w:u w:val="single"/>
        </w:rPr>
        <w:t>South West Dev</w:t>
      </w:r>
      <w:r w:rsidR="001051C8" w:rsidRPr="00170982">
        <w:rPr>
          <w:rFonts w:ascii="Arial" w:hAnsi="Arial" w:cs="Arial"/>
          <w:bCs/>
          <w:color w:val="auto"/>
          <w:sz w:val="20"/>
          <w:szCs w:val="20"/>
          <w:u w:val="single"/>
        </w:rPr>
        <w:t>on Waste Disposal Partnership</w:t>
      </w:r>
    </w:p>
    <w:p w:rsidR="00E51139" w:rsidRPr="00170982" w:rsidRDefault="00E51139" w:rsidP="00C660C6">
      <w:pPr>
        <w:pStyle w:val="Default"/>
        <w:ind w:left="567"/>
        <w:rPr>
          <w:rFonts w:ascii="Arial" w:hAnsi="Arial" w:cs="Arial"/>
          <w:bCs/>
          <w:color w:val="auto"/>
          <w:sz w:val="20"/>
          <w:szCs w:val="20"/>
        </w:rPr>
      </w:pPr>
    </w:p>
    <w:p w:rsidR="00E51139" w:rsidRPr="00170982" w:rsidRDefault="00E51139" w:rsidP="00C660C6">
      <w:pPr>
        <w:pStyle w:val="Default"/>
        <w:ind w:left="567"/>
        <w:rPr>
          <w:rFonts w:ascii="Arial" w:hAnsi="Arial" w:cs="Arial"/>
          <w:bCs/>
          <w:color w:val="auto"/>
          <w:sz w:val="20"/>
          <w:szCs w:val="20"/>
        </w:rPr>
      </w:pPr>
      <w:r w:rsidRPr="00170982">
        <w:rPr>
          <w:rFonts w:ascii="Arial" w:hAnsi="Arial" w:cs="Arial"/>
          <w:bCs/>
          <w:color w:val="auto"/>
          <w:sz w:val="20"/>
          <w:szCs w:val="20"/>
        </w:rPr>
        <w:t xml:space="preserve">Torbay Council, with Plymouth City Council and Devon County Council </w:t>
      </w:r>
      <w:r w:rsidR="00E32651">
        <w:rPr>
          <w:rFonts w:ascii="Arial" w:hAnsi="Arial" w:cs="Arial"/>
          <w:bCs/>
          <w:color w:val="auto"/>
          <w:sz w:val="20"/>
          <w:szCs w:val="20"/>
        </w:rPr>
        <w:t>are</w:t>
      </w:r>
      <w:r w:rsidRPr="00170982">
        <w:rPr>
          <w:rFonts w:ascii="Arial" w:hAnsi="Arial" w:cs="Arial"/>
          <w:bCs/>
          <w:color w:val="auto"/>
          <w:sz w:val="20"/>
          <w:szCs w:val="20"/>
        </w:rPr>
        <w:t xml:space="preserve"> working together and have jointly contracted a PFI project for an Energy from Waste Plant (based in Plymouth) to dispose of residual waste collected by the three Councils. As part of the Joint Working Agreement between the three Councils the South West Devon Waste Partnership Joint Committee has been established to facilitate the procurement and subsequent operation and management of the facilities (by the selected contractor).  The Plant </w:t>
      </w:r>
      <w:r w:rsidR="00E84EB3" w:rsidRPr="00170982">
        <w:rPr>
          <w:rFonts w:ascii="Arial" w:hAnsi="Arial" w:cs="Arial"/>
          <w:bCs/>
          <w:color w:val="auto"/>
          <w:sz w:val="20"/>
          <w:szCs w:val="20"/>
        </w:rPr>
        <w:t xml:space="preserve">became </w:t>
      </w:r>
      <w:r w:rsidRPr="00170982">
        <w:rPr>
          <w:rFonts w:ascii="Arial" w:hAnsi="Arial" w:cs="Arial"/>
          <w:bCs/>
          <w:color w:val="auto"/>
          <w:sz w:val="20"/>
          <w:szCs w:val="20"/>
        </w:rPr>
        <w:t xml:space="preserve">operational in </w:t>
      </w:r>
      <w:r w:rsidR="00E84EB3" w:rsidRPr="00170982">
        <w:rPr>
          <w:rFonts w:ascii="Arial" w:hAnsi="Arial" w:cs="Arial"/>
          <w:bCs/>
          <w:color w:val="auto"/>
          <w:sz w:val="20"/>
          <w:szCs w:val="20"/>
        </w:rPr>
        <w:t xml:space="preserve">April </w:t>
      </w:r>
      <w:r w:rsidRPr="00170982">
        <w:rPr>
          <w:rFonts w:ascii="Arial" w:hAnsi="Arial" w:cs="Arial"/>
          <w:bCs/>
          <w:color w:val="auto"/>
          <w:sz w:val="20"/>
          <w:szCs w:val="20"/>
        </w:rPr>
        <w:t>201</w:t>
      </w:r>
      <w:r w:rsidR="00E84EB3" w:rsidRPr="00170982">
        <w:rPr>
          <w:rFonts w:ascii="Arial" w:hAnsi="Arial" w:cs="Arial"/>
          <w:bCs/>
          <w:color w:val="auto"/>
          <w:sz w:val="20"/>
          <w:szCs w:val="20"/>
        </w:rPr>
        <w:t>5</w:t>
      </w:r>
      <w:r w:rsidRPr="00170982">
        <w:rPr>
          <w:rFonts w:ascii="Arial" w:hAnsi="Arial" w:cs="Arial"/>
          <w:bCs/>
          <w:color w:val="auto"/>
          <w:sz w:val="20"/>
          <w:szCs w:val="20"/>
        </w:rPr>
        <w:t>.</w:t>
      </w:r>
    </w:p>
    <w:p w:rsidR="00E51139" w:rsidRPr="00170982" w:rsidRDefault="00E51139" w:rsidP="00C660C6">
      <w:pPr>
        <w:pStyle w:val="Default"/>
        <w:ind w:left="567"/>
        <w:rPr>
          <w:rFonts w:ascii="Arial" w:hAnsi="Arial" w:cs="Arial"/>
          <w:bCs/>
          <w:color w:val="auto"/>
          <w:sz w:val="20"/>
          <w:szCs w:val="20"/>
        </w:rPr>
      </w:pPr>
    </w:p>
    <w:p w:rsidR="00E51139" w:rsidRDefault="00E51139" w:rsidP="00C660C6">
      <w:pPr>
        <w:pStyle w:val="Default"/>
        <w:ind w:left="567"/>
        <w:rPr>
          <w:rFonts w:ascii="Arial" w:hAnsi="Arial" w:cs="Arial"/>
          <w:bCs/>
          <w:color w:val="548DD4" w:themeColor="text2" w:themeTint="99"/>
          <w:sz w:val="20"/>
          <w:szCs w:val="20"/>
        </w:rPr>
      </w:pPr>
      <w:r w:rsidRPr="00170982">
        <w:rPr>
          <w:rFonts w:ascii="Arial" w:hAnsi="Arial" w:cs="Arial"/>
          <w:bCs/>
          <w:color w:val="auto"/>
          <w:sz w:val="20"/>
          <w:szCs w:val="20"/>
        </w:rPr>
        <w:t xml:space="preserve">The expenditure associated with this project is being incurred by Plymouth City Council (as lead authority) and then allocated on an </w:t>
      </w:r>
      <w:r w:rsidR="007E33E1" w:rsidRPr="00170982">
        <w:rPr>
          <w:rFonts w:ascii="Arial" w:hAnsi="Arial" w:cs="Arial"/>
          <w:bCs/>
          <w:color w:val="auto"/>
          <w:sz w:val="20"/>
          <w:szCs w:val="20"/>
        </w:rPr>
        <w:t>estimated</w:t>
      </w:r>
      <w:r w:rsidR="001D1E72" w:rsidRPr="00170982">
        <w:rPr>
          <w:rFonts w:ascii="Arial" w:hAnsi="Arial" w:cs="Arial"/>
          <w:bCs/>
          <w:color w:val="auto"/>
          <w:sz w:val="20"/>
          <w:szCs w:val="20"/>
        </w:rPr>
        <w:t xml:space="preserve"> tonnage </w:t>
      </w:r>
      <w:r w:rsidRPr="00170982">
        <w:rPr>
          <w:rFonts w:ascii="Arial" w:hAnsi="Arial" w:cs="Arial"/>
          <w:bCs/>
          <w:color w:val="auto"/>
          <w:sz w:val="20"/>
          <w:szCs w:val="20"/>
        </w:rPr>
        <w:t xml:space="preserve">share basis to Torbay and Devon County Councils. </w:t>
      </w:r>
      <w:r w:rsidR="00C70BDA" w:rsidRPr="00170982">
        <w:rPr>
          <w:rFonts w:ascii="Arial" w:hAnsi="Arial" w:cs="Arial"/>
          <w:bCs/>
          <w:color w:val="auto"/>
          <w:sz w:val="20"/>
          <w:szCs w:val="20"/>
        </w:rPr>
        <w:t>Expenditure in year was £</w:t>
      </w:r>
      <w:r w:rsidR="009305EC" w:rsidRPr="00170982">
        <w:rPr>
          <w:rFonts w:ascii="Arial" w:hAnsi="Arial" w:cs="Arial"/>
          <w:bCs/>
          <w:color w:val="auto"/>
          <w:sz w:val="20"/>
          <w:szCs w:val="20"/>
        </w:rPr>
        <w:t>1.5</w:t>
      </w:r>
      <w:r w:rsidR="00C70BDA" w:rsidRPr="00170982">
        <w:rPr>
          <w:rFonts w:ascii="Arial" w:hAnsi="Arial" w:cs="Arial"/>
          <w:bCs/>
          <w:color w:val="auto"/>
          <w:sz w:val="20"/>
          <w:szCs w:val="20"/>
        </w:rPr>
        <w:t xml:space="preserve">m </w:t>
      </w:r>
      <w:r w:rsidR="001D1E72" w:rsidRPr="00170982">
        <w:rPr>
          <w:rFonts w:ascii="Arial" w:hAnsi="Arial" w:cs="Arial"/>
          <w:bCs/>
          <w:color w:val="auto"/>
          <w:sz w:val="20"/>
          <w:szCs w:val="20"/>
        </w:rPr>
        <w:t>(£</w:t>
      </w:r>
      <w:r w:rsidR="00C62D84" w:rsidRPr="00170982">
        <w:rPr>
          <w:rFonts w:ascii="Arial" w:hAnsi="Arial" w:cs="Arial"/>
          <w:bCs/>
          <w:color w:val="auto"/>
          <w:sz w:val="20"/>
          <w:szCs w:val="20"/>
        </w:rPr>
        <w:t>1.</w:t>
      </w:r>
      <w:r w:rsidR="00170982" w:rsidRPr="00170982">
        <w:rPr>
          <w:rFonts w:ascii="Arial" w:hAnsi="Arial" w:cs="Arial"/>
          <w:bCs/>
          <w:color w:val="auto"/>
          <w:sz w:val="20"/>
          <w:szCs w:val="20"/>
        </w:rPr>
        <w:t>5</w:t>
      </w:r>
      <w:r w:rsidR="001D1E72" w:rsidRPr="00170982">
        <w:rPr>
          <w:rFonts w:ascii="Arial" w:hAnsi="Arial" w:cs="Arial"/>
          <w:bCs/>
          <w:color w:val="auto"/>
          <w:sz w:val="20"/>
          <w:szCs w:val="20"/>
        </w:rPr>
        <w:t>m</w:t>
      </w:r>
      <w:r w:rsidR="00AA5FF7" w:rsidRPr="00170982">
        <w:rPr>
          <w:rFonts w:ascii="Arial" w:hAnsi="Arial" w:cs="Arial"/>
          <w:bCs/>
          <w:color w:val="auto"/>
          <w:sz w:val="20"/>
          <w:szCs w:val="20"/>
        </w:rPr>
        <w:t xml:space="preserve"> 1</w:t>
      </w:r>
      <w:r w:rsidR="00170982" w:rsidRPr="00170982">
        <w:rPr>
          <w:rFonts w:ascii="Arial" w:hAnsi="Arial" w:cs="Arial"/>
          <w:bCs/>
          <w:color w:val="auto"/>
          <w:sz w:val="20"/>
          <w:szCs w:val="20"/>
        </w:rPr>
        <w:t>6</w:t>
      </w:r>
      <w:r w:rsidR="00AA5FF7" w:rsidRPr="00170982">
        <w:rPr>
          <w:rFonts w:ascii="Arial" w:hAnsi="Arial" w:cs="Arial"/>
          <w:bCs/>
          <w:color w:val="auto"/>
          <w:sz w:val="20"/>
          <w:szCs w:val="20"/>
        </w:rPr>
        <w:t>/1</w:t>
      </w:r>
      <w:r w:rsidR="00170982" w:rsidRPr="00170982">
        <w:rPr>
          <w:rFonts w:ascii="Arial" w:hAnsi="Arial" w:cs="Arial"/>
          <w:bCs/>
          <w:color w:val="auto"/>
          <w:sz w:val="20"/>
          <w:szCs w:val="20"/>
        </w:rPr>
        <w:t>7</w:t>
      </w:r>
      <w:r w:rsidR="001D1E72" w:rsidRPr="00170982">
        <w:rPr>
          <w:rFonts w:ascii="Arial" w:hAnsi="Arial" w:cs="Arial"/>
          <w:bCs/>
          <w:color w:val="auto"/>
          <w:sz w:val="20"/>
          <w:szCs w:val="20"/>
        </w:rPr>
        <w:t xml:space="preserve">) </w:t>
      </w:r>
      <w:r w:rsidR="00C70BDA" w:rsidRPr="00170982">
        <w:rPr>
          <w:rFonts w:ascii="Arial" w:hAnsi="Arial" w:cs="Arial"/>
          <w:bCs/>
          <w:color w:val="auto"/>
          <w:sz w:val="20"/>
          <w:szCs w:val="20"/>
        </w:rPr>
        <w:t>of which Torbay’s share was £</w:t>
      </w:r>
      <w:r w:rsidR="009305EC" w:rsidRPr="00170982">
        <w:rPr>
          <w:rFonts w:ascii="Arial" w:hAnsi="Arial" w:cs="Arial"/>
          <w:bCs/>
          <w:color w:val="auto"/>
          <w:sz w:val="20"/>
          <w:szCs w:val="20"/>
        </w:rPr>
        <w:t>0.3</w:t>
      </w:r>
      <w:r w:rsidR="00C70BDA" w:rsidRPr="00170982">
        <w:rPr>
          <w:rFonts w:ascii="Arial" w:hAnsi="Arial" w:cs="Arial"/>
          <w:bCs/>
          <w:color w:val="auto"/>
          <w:sz w:val="20"/>
          <w:szCs w:val="20"/>
        </w:rPr>
        <w:t>m</w:t>
      </w:r>
      <w:r w:rsidR="00727D68" w:rsidRPr="00170982">
        <w:rPr>
          <w:rFonts w:ascii="Arial" w:hAnsi="Arial" w:cs="Arial"/>
          <w:bCs/>
          <w:color w:val="auto"/>
          <w:sz w:val="20"/>
          <w:szCs w:val="20"/>
        </w:rPr>
        <w:t xml:space="preserve"> (£0.</w:t>
      </w:r>
      <w:r w:rsidR="00170982" w:rsidRPr="00170982">
        <w:rPr>
          <w:rFonts w:ascii="Arial" w:hAnsi="Arial" w:cs="Arial"/>
          <w:bCs/>
          <w:color w:val="auto"/>
          <w:sz w:val="20"/>
          <w:szCs w:val="20"/>
        </w:rPr>
        <w:t>3</w:t>
      </w:r>
      <w:r w:rsidR="00727D68" w:rsidRPr="00170982">
        <w:rPr>
          <w:rFonts w:ascii="Arial" w:hAnsi="Arial" w:cs="Arial"/>
          <w:bCs/>
          <w:color w:val="auto"/>
          <w:sz w:val="20"/>
          <w:szCs w:val="20"/>
        </w:rPr>
        <w:t>m 1</w:t>
      </w:r>
      <w:r w:rsidR="00170982" w:rsidRPr="00170982">
        <w:rPr>
          <w:rFonts w:ascii="Arial" w:hAnsi="Arial" w:cs="Arial"/>
          <w:bCs/>
          <w:color w:val="auto"/>
          <w:sz w:val="20"/>
          <w:szCs w:val="20"/>
        </w:rPr>
        <w:t>6</w:t>
      </w:r>
      <w:r w:rsidR="005E6F9A" w:rsidRPr="00170982">
        <w:rPr>
          <w:rFonts w:ascii="Arial" w:hAnsi="Arial" w:cs="Arial"/>
          <w:bCs/>
          <w:color w:val="auto"/>
          <w:sz w:val="20"/>
          <w:szCs w:val="20"/>
        </w:rPr>
        <w:t>/1</w:t>
      </w:r>
      <w:r w:rsidR="00170982" w:rsidRPr="00170982">
        <w:rPr>
          <w:rFonts w:ascii="Arial" w:hAnsi="Arial" w:cs="Arial"/>
          <w:bCs/>
          <w:color w:val="auto"/>
          <w:sz w:val="20"/>
          <w:szCs w:val="20"/>
        </w:rPr>
        <w:t>7</w:t>
      </w:r>
      <w:r w:rsidR="005E6F9A" w:rsidRPr="00170982">
        <w:rPr>
          <w:rFonts w:ascii="Arial" w:hAnsi="Arial" w:cs="Arial"/>
          <w:bCs/>
          <w:color w:val="auto"/>
          <w:sz w:val="20"/>
          <w:szCs w:val="20"/>
        </w:rPr>
        <w:t>)</w:t>
      </w:r>
      <w:r w:rsidR="001D1E72" w:rsidRPr="00170982">
        <w:rPr>
          <w:rFonts w:ascii="Arial" w:hAnsi="Arial" w:cs="Arial"/>
          <w:bCs/>
          <w:color w:val="auto"/>
          <w:sz w:val="20"/>
          <w:szCs w:val="20"/>
        </w:rPr>
        <w:t xml:space="preserve">. </w:t>
      </w:r>
      <w:r w:rsidR="007E33E1" w:rsidRPr="00170982">
        <w:rPr>
          <w:rFonts w:ascii="Arial" w:hAnsi="Arial" w:cs="Arial"/>
          <w:bCs/>
          <w:color w:val="auto"/>
          <w:sz w:val="20"/>
          <w:szCs w:val="20"/>
        </w:rPr>
        <w:t>The expenditure in year was £0.</w:t>
      </w:r>
      <w:r w:rsidR="00170982" w:rsidRPr="00170982">
        <w:rPr>
          <w:rFonts w:ascii="Arial" w:hAnsi="Arial" w:cs="Arial"/>
          <w:bCs/>
          <w:color w:val="auto"/>
          <w:sz w:val="20"/>
          <w:szCs w:val="20"/>
        </w:rPr>
        <w:t>2</w:t>
      </w:r>
      <w:r w:rsidR="007E33E1" w:rsidRPr="00170982">
        <w:rPr>
          <w:rFonts w:ascii="Arial" w:hAnsi="Arial" w:cs="Arial"/>
          <w:bCs/>
          <w:color w:val="auto"/>
          <w:sz w:val="20"/>
          <w:szCs w:val="20"/>
        </w:rPr>
        <w:t>m of contract management costs and £1.</w:t>
      </w:r>
      <w:r w:rsidR="00170982" w:rsidRPr="00170982">
        <w:rPr>
          <w:rFonts w:ascii="Arial" w:hAnsi="Arial" w:cs="Arial"/>
          <w:bCs/>
          <w:color w:val="auto"/>
          <w:sz w:val="20"/>
          <w:szCs w:val="20"/>
        </w:rPr>
        <w:t>3</w:t>
      </w:r>
      <w:r w:rsidR="007E33E1" w:rsidRPr="00170982">
        <w:rPr>
          <w:rFonts w:ascii="Arial" w:hAnsi="Arial" w:cs="Arial"/>
          <w:bCs/>
          <w:color w:val="auto"/>
          <w:sz w:val="20"/>
          <w:szCs w:val="20"/>
        </w:rPr>
        <w:t xml:space="preserve">m of "pass through costs" relating to the Facility that the three Councils are liable for in addition to the unitary charge, such as NNDR and lease costs. </w:t>
      </w:r>
      <w:r w:rsidR="00C70BDA" w:rsidRPr="00170982">
        <w:rPr>
          <w:rFonts w:ascii="Arial" w:hAnsi="Arial" w:cs="Arial"/>
          <w:bCs/>
          <w:color w:val="auto"/>
          <w:sz w:val="20"/>
          <w:szCs w:val="20"/>
        </w:rPr>
        <w:t xml:space="preserve">Torbay’s share of </w:t>
      </w:r>
      <w:r w:rsidR="00817128" w:rsidRPr="00170982">
        <w:rPr>
          <w:rFonts w:ascii="Arial" w:hAnsi="Arial" w:cs="Arial"/>
          <w:bCs/>
          <w:color w:val="auto"/>
          <w:sz w:val="20"/>
          <w:szCs w:val="20"/>
        </w:rPr>
        <w:t>the expenditure</w:t>
      </w:r>
      <w:r w:rsidRPr="00170982">
        <w:rPr>
          <w:rFonts w:ascii="Arial" w:hAnsi="Arial" w:cs="Arial"/>
          <w:bCs/>
          <w:color w:val="auto"/>
          <w:sz w:val="20"/>
          <w:szCs w:val="20"/>
        </w:rPr>
        <w:t xml:space="preserve"> is reflected within the cost of services on the comprehensive income and expenditure statement.</w:t>
      </w:r>
      <w:r w:rsidRPr="00170982">
        <w:rPr>
          <w:rFonts w:ascii="Arial" w:hAnsi="Arial" w:cs="Arial"/>
          <w:bCs/>
          <w:color w:val="auto"/>
          <w:sz w:val="20"/>
          <w:szCs w:val="20"/>
        </w:rPr>
        <w:tab/>
      </w:r>
    </w:p>
    <w:p w:rsidR="005277EC" w:rsidRDefault="005277EC" w:rsidP="00C660C6">
      <w:pPr>
        <w:pStyle w:val="Default"/>
        <w:ind w:left="567"/>
        <w:rPr>
          <w:rFonts w:ascii="Arial" w:hAnsi="Arial" w:cs="Arial"/>
          <w:bCs/>
          <w:color w:val="548DD4" w:themeColor="text2" w:themeTint="99"/>
          <w:sz w:val="20"/>
          <w:szCs w:val="20"/>
        </w:rPr>
      </w:pPr>
    </w:p>
    <w:p w:rsidR="00902780" w:rsidRPr="00902780" w:rsidRDefault="00902780" w:rsidP="00902780">
      <w:pPr>
        <w:ind w:firstLine="567"/>
        <w:rPr>
          <w:color w:val="auto"/>
          <w:u w:val="single"/>
        </w:rPr>
      </w:pPr>
      <w:r w:rsidRPr="00902780">
        <w:rPr>
          <w:color w:val="auto"/>
          <w:u w:val="single"/>
        </w:rPr>
        <w:t xml:space="preserve">The Heart of the South West Joint Committee </w:t>
      </w:r>
    </w:p>
    <w:p w:rsidR="00902780" w:rsidRPr="00902780" w:rsidRDefault="0019134B" w:rsidP="00902780">
      <w:pPr>
        <w:ind w:left="567"/>
        <w:rPr>
          <w:color w:val="auto"/>
        </w:rPr>
      </w:pPr>
      <w:r w:rsidRPr="00902780">
        <w:rPr>
          <w:color w:val="auto"/>
        </w:rPr>
        <w:t>Torbay Council</w:t>
      </w:r>
      <w:r>
        <w:rPr>
          <w:color w:val="auto"/>
        </w:rPr>
        <w:t xml:space="preserve"> along with </w:t>
      </w:r>
      <w:r w:rsidR="00902780" w:rsidRPr="00902780">
        <w:rPr>
          <w:color w:val="auto"/>
        </w:rPr>
        <w:t>Devon County Council, Somerset County Council, Plymouth City Council, the district councils within Devon and Somerset, Dartmoor National Park Authority and Exmoor National Park Authority.  Its purpose is to be the vehicle through which the Heart of the South West partners will ensure that the desired increase in productivity across the area is achieved.</w:t>
      </w:r>
      <w:r>
        <w:rPr>
          <w:color w:val="auto"/>
        </w:rPr>
        <w:t xml:space="preserve"> </w:t>
      </w:r>
      <w:r w:rsidR="00902780" w:rsidRPr="00902780">
        <w:rPr>
          <w:color w:val="auto"/>
        </w:rPr>
        <w:t xml:space="preserve">Each constituent authority appoints one member on an annual basis and each member has one vote.  An arrangements document and an inter-authority agreement have been adopted by each constituent authority which set out how the Joint Committee will operate and be managed. </w:t>
      </w:r>
    </w:p>
    <w:p w:rsidR="00E51139" w:rsidRPr="008B4D5B" w:rsidRDefault="005C68D8" w:rsidP="00A50787">
      <w:pPr>
        <w:pStyle w:val="Subtitle"/>
        <w:ind w:left="567" w:hanging="567"/>
        <w:rPr>
          <w:b/>
          <w:color w:val="auto"/>
          <w:sz w:val="22"/>
          <w:szCs w:val="22"/>
        </w:rPr>
      </w:pPr>
      <w:r w:rsidRPr="008B4D5B">
        <w:rPr>
          <w:b/>
          <w:color w:val="auto"/>
          <w:sz w:val="22"/>
          <w:szCs w:val="22"/>
        </w:rPr>
        <w:t>3</w:t>
      </w:r>
      <w:r w:rsidR="00E103A6" w:rsidRPr="008B4D5B">
        <w:rPr>
          <w:b/>
          <w:color w:val="auto"/>
          <w:sz w:val="22"/>
          <w:szCs w:val="22"/>
        </w:rPr>
        <w:t>4</w:t>
      </w:r>
      <w:r w:rsidR="00E51139" w:rsidRPr="008B4D5B">
        <w:rPr>
          <w:b/>
          <w:color w:val="auto"/>
          <w:sz w:val="22"/>
          <w:szCs w:val="22"/>
        </w:rPr>
        <w:t>.</w:t>
      </w:r>
      <w:r w:rsidR="00E51139" w:rsidRPr="008B4D5B">
        <w:rPr>
          <w:b/>
          <w:color w:val="auto"/>
          <w:sz w:val="22"/>
          <w:szCs w:val="22"/>
        </w:rPr>
        <w:tab/>
        <w:t>I</w:t>
      </w:r>
      <w:r w:rsidR="0038039B" w:rsidRPr="008B4D5B">
        <w:rPr>
          <w:b/>
          <w:color w:val="auto"/>
          <w:sz w:val="22"/>
          <w:szCs w:val="22"/>
        </w:rPr>
        <w:t xml:space="preserve">mpairment </w:t>
      </w:r>
      <w:r w:rsidR="00E51139" w:rsidRPr="008B4D5B">
        <w:rPr>
          <w:b/>
          <w:color w:val="auto"/>
          <w:sz w:val="22"/>
          <w:szCs w:val="22"/>
        </w:rPr>
        <w:t>Losses</w:t>
      </w:r>
    </w:p>
    <w:p w:rsidR="00A50787" w:rsidRPr="0005794A" w:rsidRDefault="00E51139" w:rsidP="00D833ED">
      <w:pPr>
        <w:pStyle w:val="CodeNotesExampleText"/>
        <w:widowControl w:val="0"/>
        <w:ind w:left="567"/>
        <w:rPr>
          <w:rFonts w:cs="Arial"/>
          <w:color w:val="548DD4" w:themeColor="text2" w:themeTint="99"/>
          <w:sz w:val="20"/>
          <w:szCs w:val="20"/>
        </w:rPr>
      </w:pPr>
      <w:r w:rsidRPr="008B4D5B">
        <w:rPr>
          <w:rFonts w:cs="Arial"/>
          <w:bCs/>
          <w:color w:val="auto"/>
          <w:sz w:val="20"/>
          <w:szCs w:val="20"/>
          <w:lang w:eastAsia="en-GB"/>
        </w:rPr>
        <w:t xml:space="preserve">Impairment losses and impairment reversals are charged to the Surplus or Deficit on the Provision of Services and to Other Comprehensive Income and Expenditure.  The impairment by asset class is shown within </w:t>
      </w:r>
      <w:r w:rsidR="00C17519" w:rsidRPr="008B4D5B">
        <w:rPr>
          <w:rFonts w:cs="Arial"/>
          <w:bCs/>
          <w:color w:val="auto"/>
          <w:sz w:val="20"/>
          <w:szCs w:val="20"/>
          <w:lang w:eastAsia="en-GB"/>
        </w:rPr>
        <w:t>the note</w:t>
      </w:r>
      <w:r w:rsidRPr="008B4D5B">
        <w:rPr>
          <w:rFonts w:cs="Arial"/>
          <w:bCs/>
          <w:color w:val="auto"/>
          <w:sz w:val="20"/>
          <w:szCs w:val="20"/>
          <w:lang w:eastAsia="en-GB"/>
        </w:rPr>
        <w:t xml:space="preserve"> reconciling the movement over the year in Property, Plant and Equipment</w:t>
      </w:r>
      <w:r w:rsidR="00C67049" w:rsidRPr="008B4D5B">
        <w:rPr>
          <w:rFonts w:cs="Arial"/>
          <w:bCs/>
          <w:color w:val="auto"/>
          <w:sz w:val="20"/>
          <w:szCs w:val="20"/>
          <w:lang w:eastAsia="en-GB"/>
        </w:rPr>
        <w:t xml:space="preserve"> and Heritage Assets.</w:t>
      </w:r>
      <w:r w:rsidR="00CC7062" w:rsidRPr="008B4D5B">
        <w:rPr>
          <w:rFonts w:cs="Arial"/>
          <w:bCs/>
          <w:color w:val="auto"/>
          <w:sz w:val="20"/>
          <w:szCs w:val="20"/>
          <w:lang w:eastAsia="en-GB"/>
        </w:rPr>
        <w:t xml:space="preserve"> </w:t>
      </w:r>
      <w:r w:rsidRPr="008B4D5B">
        <w:rPr>
          <w:rFonts w:cs="Arial"/>
          <w:bCs/>
          <w:color w:val="auto"/>
          <w:sz w:val="20"/>
          <w:szCs w:val="20"/>
          <w:lang w:eastAsia="en-GB"/>
        </w:rPr>
        <w:t>During 201</w:t>
      </w:r>
      <w:r w:rsidR="008B4D5B" w:rsidRPr="008B4D5B">
        <w:rPr>
          <w:rFonts w:cs="Arial"/>
          <w:bCs/>
          <w:color w:val="auto"/>
          <w:sz w:val="20"/>
          <w:szCs w:val="20"/>
          <w:lang w:eastAsia="en-GB"/>
        </w:rPr>
        <w:t>7</w:t>
      </w:r>
      <w:r w:rsidR="00763C8D" w:rsidRPr="008B4D5B">
        <w:rPr>
          <w:rFonts w:cs="Arial"/>
          <w:bCs/>
          <w:color w:val="auto"/>
          <w:sz w:val="20"/>
          <w:szCs w:val="20"/>
          <w:lang w:eastAsia="en-GB"/>
        </w:rPr>
        <w:t>/1</w:t>
      </w:r>
      <w:r w:rsidR="008B4D5B" w:rsidRPr="008B4D5B">
        <w:rPr>
          <w:rFonts w:cs="Arial"/>
          <w:bCs/>
          <w:color w:val="auto"/>
          <w:sz w:val="20"/>
          <w:szCs w:val="20"/>
          <w:lang w:eastAsia="en-GB"/>
        </w:rPr>
        <w:t>8</w:t>
      </w:r>
      <w:r w:rsidRPr="008B4D5B">
        <w:rPr>
          <w:rFonts w:cs="Arial"/>
          <w:bCs/>
          <w:color w:val="auto"/>
          <w:sz w:val="20"/>
          <w:szCs w:val="20"/>
          <w:lang w:eastAsia="en-GB"/>
        </w:rPr>
        <w:t>,</w:t>
      </w:r>
      <w:r w:rsidR="002F09BA" w:rsidRPr="008B4D5B">
        <w:rPr>
          <w:rFonts w:cs="Arial"/>
          <w:bCs/>
          <w:color w:val="auto"/>
          <w:sz w:val="20"/>
          <w:szCs w:val="20"/>
          <w:lang w:eastAsia="en-GB"/>
        </w:rPr>
        <w:t xml:space="preserve"> primarily as a result of the Council’s rolling </w:t>
      </w:r>
      <w:r w:rsidR="002F09BA" w:rsidRPr="008C4716">
        <w:rPr>
          <w:rFonts w:cs="Arial"/>
          <w:bCs/>
          <w:color w:val="auto"/>
          <w:sz w:val="20"/>
          <w:szCs w:val="20"/>
          <w:lang w:eastAsia="en-GB"/>
        </w:rPr>
        <w:t>programme</w:t>
      </w:r>
      <w:r w:rsidRPr="008C4716">
        <w:rPr>
          <w:rFonts w:cs="Arial"/>
          <w:bCs/>
          <w:color w:val="auto"/>
          <w:sz w:val="20"/>
          <w:szCs w:val="20"/>
          <w:lang w:eastAsia="en-GB"/>
        </w:rPr>
        <w:t xml:space="preserve"> the Council has recognised impairment loss</w:t>
      </w:r>
      <w:r w:rsidR="003D2FD3">
        <w:rPr>
          <w:rFonts w:cs="Arial"/>
          <w:bCs/>
          <w:color w:val="auto"/>
          <w:sz w:val="20"/>
          <w:szCs w:val="20"/>
          <w:lang w:eastAsia="en-GB"/>
        </w:rPr>
        <w:t>es</w:t>
      </w:r>
      <w:r w:rsidRPr="008C4716">
        <w:rPr>
          <w:rFonts w:cs="Arial"/>
          <w:bCs/>
          <w:color w:val="auto"/>
          <w:sz w:val="20"/>
          <w:szCs w:val="20"/>
          <w:lang w:eastAsia="en-GB"/>
        </w:rPr>
        <w:t xml:space="preserve"> of </w:t>
      </w:r>
      <w:r w:rsidR="00985484" w:rsidRPr="008C4716">
        <w:rPr>
          <w:rFonts w:cs="Arial"/>
          <w:bCs/>
          <w:color w:val="auto"/>
          <w:sz w:val="20"/>
          <w:szCs w:val="20"/>
          <w:lang w:eastAsia="en-GB"/>
        </w:rPr>
        <w:t>£</w:t>
      </w:r>
      <w:r w:rsidR="008C4716" w:rsidRPr="008C4716">
        <w:rPr>
          <w:rFonts w:cs="Arial"/>
          <w:bCs/>
          <w:color w:val="auto"/>
          <w:sz w:val="20"/>
          <w:szCs w:val="20"/>
          <w:lang w:eastAsia="en-GB"/>
        </w:rPr>
        <w:t>12</w:t>
      </w:r>
      <w:r w:rsidR="005F1EAD" w:rsidRPr="008C4716">
        <w:rPr>
          <w:rFonts w:cs="Arial"/>
          <w:bCs/>
          <w:color w:val="auto"/>
          <w:sz w:val="20"/>
          <w:szCs w:val="20"/>
          <w:lang w:eastAsia="en-GB"/>
        </w:rPr>
        <w:t>m</w:t>
      </w:r>
      <w:r w:rsidR="00985484" w:rsidRPr="008C4716">
        <w:rPr>
          <w:rFonts w:cs="Arial"/>
          <w:bCs/>
          <w:color w:val="auto"/>
          <w:sz w:val="20"/>
          <w:szCs w:val="20"/>
          <w:lang w:eastAsia="en-GB"/>
        </w:rPr>
        <w:t xml:space="preserve"> (</w:t>
      </w:r>
      <w:r w:rsidRPr="008C4716">
        <w:rPr>
          <w:rFonts w:cs="Arial"/>
          <w:bCs/>
          <w:color w:val="auto"/>
          <w:sz w:val="20"/>
          <w:szCs w:val="20"/>
          <w:lang w:eastAsia="en-GB"/>
        </w:rPr>
        <w:t>£</w:t>
      </w:r>
      <w:r w:rsidR="008B4D5B" w:rsidRPr="008C4716">
        <w:rPr>
          <w:rFonts w:cs="Arial"/>
          <w:bCs/>
          <w:color w:val="auto"/>
          <w:sz w:val="20"/>
          <w:szCs w:val="20"/>
          <w:lang w:eastAsia="en-GB"/>
        </w:rPr>
        <w:t>5</w:t>
      </w:r>
      <w:r w:rsidRPr="008C4716">
        <w:rPr>
          <w:rFonts w:cs="Arial"/>
          <w:bCs/>
          <w:color w:val="auto"/>
          <w:sz w:val="20"/>
          <w:szCs w:val="20"/>
          <w:lang w:eastAsia="en-GB"/>
        </w:rPr>
        <w:t>m</w:t>
      </w:r>
      <w:r w:rsidR="00985484" w:rsidRPr="008C4716">
        <w:rPr>
          <w:rFonts w:cs="Arial"/>
          <w:bCs/>
          <w:color w:val="auto"/>
          <w:sz w:val="20"/>
          <w:szCs w:val="20"/>
          <w:lang w:eastAsia="en-GB"/>
        </w:rPr>
        <w:t xml:space="preserve"> 1</w:t>
      </w:r>
      <w:r w:rsidR="008B4D5B" w:rsidRPr="008C4716">
        <w:rPr>
          <w:rFonts w:cs="Arial"/>
          <w:bCs/>
          <w:color w:val="auto"/>
          <w:sz w:val="20"/>
          <w:szCs w:val="20"/>
          <w:lang w:eastAsia="en-GB"/>
        </w:rPr>
        <w:t>6</w:t>
      </w:r>
      <w:r w:rsidR="00985484" w:rsidRPr="008C4716">
        <w:rPr>
          <w:rFonts w:cs="Arial"/>
          <w:bCs/>
          <w:color w:val="auto"/>
          <w:sz w:val="20"/>
          <w:szCs w:val="20"/>
          <w:lang w:eastAsia="en-GB"/>
        </w:rPr>
        <w:t>/1</w:t>
      </w:r>
      <w:r w:rsidR="008B4D5B" w:rsidRPr="008C4716">
        <w:rPr>
          <w:rFonts w:cs="Arial"/>
          <w:bCs/>
          <w:color w:val="auto"/>
          <w:sz w:val="20"/>
          <w:szCs w:val="20"/>
          <w:lang w:eastAsia="en-GB"/>
        </w:rPr>
        <w:t>7</w:t>
      </w:r>
      <w:r w:rsidR="00817128" w:rsidRPr="008C4716">
        <w:rPr>
          <w:rFonts w:cs="Arial"/>
          <w:bCs/>
          <w:color w:val="auto"/>
          <w:sz w:val="20"/>
          <w:szCs w:val="20"/>
          <w:lang w:eastAsia="en-GB"/>
        </w:rPr>
        <w:t>) in</w:t>
      </w:r>
      <w:r w:rsidRPr="008C4716">
        <w:rPr>
          <w:rFonts w:cs="Arial"/>
          <w:bCs/>
          <w:color w:val="auto"/>
          <w:sz w:val="20"/>
          <w:szCs w:val="20"/>
          <w:lang w:eastAsia="en-GB"/>
        </w:rPr>
        <w:t xml:space="preserve"> total </w:t>
      </w:r>
      <w:r w:rsidR="005352B6" w:rsidRPr="008C4716">
        <w:rPr>
          <w:rFonts w:cs="Arial"/>
          <w:bCs/>
          <w:color w:val="auto"/>
          <w:sz w:val="20"/>
          <w:szCs w:val="20"/>
          <w:lang w:eastAsia="en-GB"/>
        </w:rPr>
        <w:t xml:space="preserve">on its property, plant and equipment </w:t>
      </w:r>
      <w:r w:rsidR="002F09BA" w:rsidRPr="008C4716">
        <w:rPr>
          <w:rFonts w:cs="Arial"/>
          <w:bCs/>
          <w:color w:val="auto"/>
          <w:sz w:val="20"/>
          <w:szCs w:val="20"/>
          <w:lang w:eastAsia="en-GB"/>
        </w:rPr>
        <w:t xml:space="preserve">charged to the Income and Expenditure account. </w:t>
      </w:r>
      <w:r w:rsidR="00167366" w:rsidRPr="008C4716">
        <w:rPr>
          <w:rFonts w:cs="Arial"/>
          <w:bCs/>
          <w:color w:val="auto"/>
          <w:sz w:val="20"/>
          <w:szCs w:val="20"/>
          <w:lang w:eastAsia="en-GB"/>
        </w:rPr>
        <w:t>Impairment losses in 201</w:t>
      </w:r>
      <w:r w:rsidR="008B4D5B" w:rsidRPr="008C4716">
        <w:rPr>
          <w:rFonts w:cs="Arial"/>
          <w:bCs/>
          <w:color w:val="auto"/>
          <w:sz w:val="20"/>
          <w:szCs w:val="20"/>
          <w:lang w:eastAsia="en-GB"/>
        </w:rPr>
        <w:t>7</w:t>
      </w:r>
      <w:r w:rsidR="00434A74" w:rsidRPr="008C4716">
        <w:rPr>
          <w:rFonts w:cs="Arial"/>
          <w:bCs/>
          <w:color w:val="auto"/>
          <w:sz w:val="20"/>
          <w:szCs w:val="20"/>
          <w:lang w:eastAsia="en-GB"/>
        </w:rPr>
        <w:t>/1</w:t>
      </w:r>
      <w:r w:rsidR="008B4D5B" w:rsidRPr="008C4716">
        <w:rPr>
          <w:rFonts w:cs="Arial"/>
          <w:bCs/>
          <w:color w:val="auto"/>
          <w:sz w:val="20"/>
          <w:szCs w:val="20"/>
          <w:lang w:eastAsia="en-GB"/>
        </w:rPr>
        <w:t>8</w:t>
      </w:r>
      <w:r w:rsidR="00167366" w:rsidRPr="008C4716">
        <w:rPr>
          <w:rFonts w:cs="Arial"/>
          <w:bCs/>
          <w:color w:val="auto"/>
          <w:sz w:val="20"/>
          <w:szCs w:val="20"/>
          <w:lang w:eastAsia="en-GB"/>
        </w:rPr>
        <w:t xml:space="preserve"> related primarily to the revaluation </w:t>
      </w:r>
      <w:r w:rsidR="008C4716">
        <w:rPr>
          <w:rFonts w:cs="Arial"/>
          <w:bCs/>
          <w:color w:val="auto"/>
          <w:sz w:val="20"/>
          <w:szCs w:val="20"/>
          <w:lang w:eastAsia="en-GB"/>
        </w:rPr>
        <w:t xml:space="preserve">of </w:t>
      </w:r>
      <w:r w:rsidR="00CA7693" w:rsidRPr="008C4716">
        <w:rPr>
          <w:rFonts w:cs="Arial"/>
          <w:bCs/>
          <w:color w:val="auto"/>
          <w:sz w:val="20"/>
          <w:szCs w:val="20"/>
          <w:lang w:eastAsia="en-GB"/>
        </w:rPr>
        <w:t>a</w:t>
      </w:r>
      <w:r w:rsidR="00167366" w:rsidRPr="008C4716">
        <w:rPr>
          <w:rFonts w:cs="Arial"/>
          <w:bCs/>
          <w:color w:val="auto"/>
          <w:sz w:val="20"/>
          <w:szCs w:val="20"/>
          <w:lang w:eastAsia="en-GB"/>
        </w:rPr>
        <w:t xml:space="preserve"> number of school sites.</w:t>
      </w:r>
      <w:r w:rsidR="003D2FD3">
        <w:rPr>
          <w:rFonts w:cs="Arial"/>
          <w:bCs/>
          <w:color w:val="auto"/>
          <w:sz w:val="20"/>
          <w:szCs w:val="20"/>
          <w:lang w:eastAsia="en-GB"/>
        </w:rPr>
        <w:t xml:space="preserve"> In addition the Council’s investment properties are revalued each year. In 2017/18 this resulted in a reduction in fair value of £6m.</w:t>
      </w:r>
    </w:p>
    <w:p w:rsidR="00E51139" w:rsidRPr="0005794A" w:rsidRDefault="00E51139" w:rsidP="00450460">
      <w:pPr>
        <w:pStyle w:val="CodeNotesExampleText"/>
        <w:widowControl w:val="0"/>
        <w:rPr>
          <w:rFonts w:cs="Arial"/>
          <w:color w:val="548DD4" w:themeColor="text2" w:themeTint="99"/>
          <w:sz w:val="20"/>
          <w:szCs w:val="20"/>
        </w:rPr>
      </w:pPr>
    </w:p>
    <w:p w:rsidR="00E51139" w:rsidRPr="008B4D5B" w:rsidRDefault="005C68D8" w:rsidP="00450460">
      <w:pPr>
        <w:pStyle w:val="Subtitle"/>
        <w:ind w:left="567" w:hanging="567"/>
        <w:rPr>
          <w:b/>
          <w:color w:val="auto"/>
          <w:sz w:val="22"/>
          <w:szCs w:val="22"/>
        </w:rPr>
      </w:pPr>
      <w:r w:rsidRPr="008B4D5B">
        <w:rPr>
          <w:b/>
          <w:color w:val="auto"/>
          <w:sz w:val="22"/>
          <w:szCs w:val="22"/>
        </w:rPr>
        <w:t>3</w:t>
      </w:r>
      <w:r w:rsidR="00E103A6" w:rsidRPr="008B4D5B">
        <w:rPr>
          <w:b/>
          <w:color w:val="auto"/>
          <w:sz w:val="22"/>
          <w:szCs w:val="22"/>
        </w:rPr>
        <w:t>5</w:t>
      </w:r>
      <w:r w:rsidR="00E51139" w:rsidRPr="008B4D5B">
        <w:rPr>
          <w:b/>
          <w:color w:val="auto"/>
          <w:sz w:val="22"/>
          <w:szCs w:val="22"/>
        </w:rPr>
        <w:t>.</w:t>
      </w:r>
      <w:r w:rsidR="00E51139" w:rsidRPr="008B4D5B">
        <w:rPr>
          <w:b/>
          <w:color w:val="auto"/>
          <w:sz w:val="22"/>
          <w:szCs w:val="22"/>
        </w:rPr>
        <w:tab/>
        <w:t>Contingent Liabilities</w:t>
      </w:r>
    </w:p>
    <w:p w:rsidR="00E51139" w:rsidRPr="00232727" w:rsidRDefault="00E51139" w:rsidP="001D037F">
      <w:pPr>
        <w:pStyle w:val="ExampleSub"/>
        <w:keepNext w:val="0"/>
        <w:keepLines w:val="0"/>
        <w:spacing w:before="120" w:line="240" w:lineRule="atLeast"/>
        <w:ind w:hanging="567"/>
        <w:outlineLvl w:val="0"/>
        <w:rPr>
          <w:rFonts w:ascii="Arial" w:hAnsi="Arial" w:cs="Arial"/>
          <w:b w:val="0"/>
          <w:bCs w:val="0"/>
          <w:color w:val="auto"/>
          <w:sz w:val="20"/>
          <w:szCs w:val="20"/>
          <w:lang w:eastAsia="en-US"/>
        </w:rPr>
      </w:pPr>
      <w:r w:rsidRPr="00232727">
        <w:rPr>
          <w:rFonts w:ascii="Arial" w:hAnsi="Arial" w:cs="Arial"/>
          <w:b w:val="0"/>
          <w:bCs w:val="0"/>
          <w:color w:val="auto"/>
          <w:sz w:val="20"/>
          <w:szCs w:val="20"/>
        </w:rPr>
        <w:tab/>
      </w:r>
      <w:r w:rsidRPr="00232727">
        <w:rPr>
          <w:rFonts w:ascii="Arial" w:hAnsi="Arial" w:cs="Arial"/>
          <w:b w:val="0"/>
          <w:bCs w:val="0"/>
          <w:color w:val="auto"/>
          <w:sz w:val="20"/>
          <w:szCs w:val="20"/>
          <w:lang w:eastAsia="en-US"/>
        </w:rPr>
        <w:t xml:space="preserve">The Council is aware of a number of areas where claims have been made against the Council which could result in a financial payment. However the Council considers that any payment is </w:t>
      </w:r>
      <w:r w:rsidRPr="00232727">
        <w:rPr>
          <w:rFonts w:ascii="Arial" w:hAnsi="Arial" w:cs="Arial"/>
          <w:b w:val="0"/>
          <w:bCs w:val="0"/>
          <w:color w:val="auto"/>
          <w:sz w:val="20"/>
          <w:szCs w:val="20"/>
          <w:lang w:eastAsia="en-US"/>
        </w:rPr>
        <w:lastRenderedPageBreak/>
        <w:t xml:space="preserve">unlikely and therefore has not recognised these claims as a liability. </w:t>
      </w:r>
    </w:p>
    <w:p w:rsidR="00E51139" w:rsidRPr="00232727" w:rsidRDefault="00E51139" w:rsidP="001D037F">
      <w:pPr>
        <w:pStyle w:val="ExampleSub"/>
        <w:keepNext w:val="0"/>
        <w:keepLines w:val="0"/>
        <w:spacing w:before="120" w:line="240" w:lineRule="atLeast"/>
        <w:ind w:hanging="567"/>
        <w:outlineLvl w:val="0"/>
        <w:rPr>
          <w:rFonts w:ascii="Arial" w:hAnsi="Arial" w:cs="Arial"/>
          <w:b w:val="0"/>
          <w:bCs w:val="0"/>
          <w:color w:val="auto"/>
          <w:sz w:val="20"/>
          <w:szCs w:val="20"/>
          <w:lang w:eastAsia="en-US"/>
        </w:rPr>
      </w:pPr>
      <w:r w:rsidRPr="00232727">
        <w:rPr>
          <w:rFonts w:ascii="Arial" w:hAnsi="Arial" w:cs="Arial"/>
          <w:b w:val="0"/>
          <w:bCs w:val="0"/>
          <w:color w:val="auto"/>
          <w:sz w:val="20"/>
          <w:szCs w:val="20"/>
          <w:lang w:eastAsia="en-US"/>
        </w:rPr>
        <w:tab/>
        <w:t xml:space="preserve">The board of Municipal Mutual Insurance limited in 2012/13 concluded that it couldn’t forecast a solvent “run off” of claims which has led to the scheme of arrangement being activated which exposes the Council to a share of the costs of any outstanding </w:t>
      </w:r>
      <w:r w:rsidR="0049159B" w:rsidRPr="00232727">
        <w:rPr>
          <w:rFonts w:ascii="Arial" w:hAnsi="Arial" w:cs="Arial"/>
          <w:b w:val="0"/>
          <w:bCs w:val="0"/>
          <w:color w:val="auto"/>
          <w:sz w:val="20"/>
          <w:szCs w:val="20"/>
          <w:lang w:eastAsia="en-US"/>
        </w:rPr>
        <w:t xml:space="preserve">insurance </w:t>
      </w:r>
      <w:r w:rsidRPr="00232727">
        <w:rPr>
          <w:rFonts w:ascii="Arial" w:hAnsi="Arial" w:cs="Arial"/>
          <w:b w:val="0"/>
          <w:bCs w:val="0"/>
          <w:color w:val="auto"/>
          <w:sz w:val="20"/>
          <w:szCs w:val="20"/>
          <w:lang w:eastAsia="en-US"/>
        </w:rPr>
        <w:t xml:space="preserve">claims. The company’s </w:t>
      </w:r>
      <w:r w:rsidR="007C5CB4" w:rsidRPr="00232727">
        <w:rPr>
          <w:rFonts w:ascii="Arial" w:hAnsi="Arial" w:cs="Arial"/>
          <w:b w:val="0"/>
          <w:bCs w:val="0"/>
          <w:color w:val="auto"/>
          <w:sz w:val="20"/>
          <w:szCs w:val="20"/>
          <w:lang w:eastAsia="en-US"/>
        </w:rPr>
        <w:t>administrator has</w:t>
      </w:r>
      <w:r w:rsidR="008C3631" w:rsidRPr="00232727">
        <w:rPr>
          <w:rFonts w:ascii="Arial" w:hAnsi="Arial" w:cs="Arial"/>
          <w:b w:val="0"/>
          <w:bCs w:val="0"/>
          <w:color w:val="auto"/>
          <w:sz w:val="20"/>
          <w:szCs w:val="20"/>
          <w:lang w:eastAsia="en-US"/>
        </w:rPr>
        <w:t xml:space="preserve"> set </w:t>
      </w:r>
      <w:r w:rsidRPr="00232727">
        <w:rPr>
          <w:rFonts w:ascii="Arial" w:hAnsi="Arial" w:cs="Arial"/>
          <w:b w:val="0"/>
          <w:bCs w:val="0"/>
          <w:color w:val="auto"/>
          <w:sz w:val="20"/>
          <w:szCs w:val="20"/>
          <w:lang w:eastAsia="en-US"/>
        </w:rPr>
        <w:t>lev</w:t>
      </w:r>
      <w:r w:rsidR="008C3631" w:rsidRPr="00232727">
        <w:rPr>
          <w:rFonts w:ascii="Arial" w:hAnsi="Arial" w:cs="Arial"/>
          <w:b w:val="0"/>
          <w:bCs w:val="0"/>
          <w:color w:val="auto"/>
          <w:sz w:val="20"/>
          <w:szCs w:val="20"/>
          <w:lang w:eastAsia="en-US"/>
        </w:rPr>
        <w:t xml:space="preserve">ies </w:t>
      </w:r>
      <w:r w:rsidRPr="00232727">
        <w:rPr>
          <w:rFonts w:ascii="Arial" w:hAnsi="Arial" w:cs="Arial"/>
          <w:b w:val="0"/>
          <w:bCs w:val="0"/>
          <w:color w:val="auto"/>
          <w:sz w:val="20"/>
          <w:szCs w:val="20"/>
          <w:lang w:eastAsia="en-US"/>
        </w:rPr>
        <w:t xml:space="preserve">for all Councils to be </w:t>
      </w:r>
      <w:r w:rsidR="008C3631" w:rsidRPr="00232727">
        <w:rPr>
          <w:rFonts w:ascii="Arial" w:hAnsi="Arial" w:cs="Arial"/>
          <w:b w:val="0"/>
          <w:bCs w:val="0"/>
          <w:color w:val="auto"/>
          <w:sz w:val="20"/>
          <w:szCs w:val="20"/>
          <w:lang w:eastAsia="en-US"/>
        </w:rPr>
        <w:t>2</w:t>
      </w:r>
      <w:r w:rsidRPr="00232727">
        <w:rPr>
          <w:rFonts w:ascii="Arial" w:hAnsi="Arial" w:cs="Arial"/>
          <w:b w:val="0"/>
          <w:bCs w:val="0"/>
          <w:color w:val="auto"/>
          <w:sz w:val="20"/>
          <w:szCs w:val="20"/>
          <w:lang w:eastAsia="en-US"/>
        </w:rPr>
        <w:t xml:space="preserve">5% of each Council’s claims, which </w:t>
      </w:r>
      <w:r w:rsidR="0049159B" w:rsidRPr="00232727">
        <w:rPr>
          <w:rFonts w:ascii="Arial" w:hAnsi="Arial" w:cs="Arial"/>
          <w:b w:val="0"/>
          <w:bCs w:val="0"/>
          <w:color w:val="auto"/>
          <w:sz w:val="20"/>
          <w:szCs w:val="20"/>
          <w:lang w:eastAsia="en-US"/>
        </w:rPr>
        <w:t xml:space="preserve">was collected in </w:t>
      </w:r>
      <w:r w:rsidR="008C3631" w:rsidRPr="00232727">
        <w:rPr>
          <w:rFonts w:ascii="Arial" w:hAnsi="Arial" w:cs="Arial"/>
          <w:b w:val="0"/>
          <w:bCs w:val="0"/>
          <w:color w:val="auto"/>
          <w:sz w:val="20"/>
          <w:szCs w:val="20"/>
          <w:lang w:eastAsia="en-US"/>
        </w:rPr>
        <w:t>prior years.</w:t>
      </w:r>
      <w:r w:rsidR="009C734F" w:rsidRPr="00232727">
        <w:rPr>
          <w:rFonts w:ascii="Arial" w:hAnsi="Arial" w:cs="Arial"/>
          <w:b w:val="0"/>
          <w:bCs w:val="0"/>
          <w:color w:val="auto"/>
          <w:sz w:val="20"/>
          <w:szCs w:val="20"/>
          <w:lang w:eastAsia="en-US"/>
        </w:rPr>
        <w:t xml:space="preserve"> This </w:t>
      </w:r>
      <w:r w:rsidRPr="00232727">
        <w:rPr>
          <w:rFonts w:ascii="Arial" w:hAnsi="Arial" w:cs="Arial"/>
          <w:b w:val="0"/>
          <w:bCs w:val="0"/>
          <w:color w:val="auto"/>
          <w:sz w:val="20"/>
          <w:szCs w:val="20"/>
          <w:lang w:eastAsia="en-US"/>
        </w:rPr>
        <w:t xml:space="preserve">may increase </w:t>
      </w:r>
      <w:r w:rsidR="000E0D94" w:rsidRPr="00232727">
        <w:rPr>
          <w:rFonts w:ascii="Arial" w:hAnsi="Arial" w:cs="Arial"/>
          <w:b w:val="0"/>
          <w:bCs w:val="0"/>
          <w:color w:val="auto"/>
          <w:sz w:val="20"/>
          <w:szCs w:val="20"/>
          <w:lang w:eastAsia="en-US"/>
        </w:rPr>
        <w:t xml:space="preserve">again </w:t>
      </w:r>
      <w:r w:rsidRPr="00232727">
        <w:rPr>
          <w:rFonts w:ascii="Arial" w:hAnsi="Arial" w:cs="Arial"/>
          <w:b w:val="0"/>
          <w:bCs w:val="0"/>
          <w:color w:val="auto"/>
          <w:sz w:val="20"/>
          <w:szCs w:val="20"/>
          <w:lang w:eastAsia="en-US"/>
        </w:rPr>
        <w:t>in the future</w:t>
      </w:r>
      <w:r w:rsidR="0049159B" w:rsidRPr="00232727">
        <w:rPr>
          <w:rFonts w:ascii="Arial" w:hAnsi="Arial" w:cs="Arial"/>
          <w:b w:val="0"/>
          <w:bCs w:val="0"/>
          <w:color w:val="auto"/>
          <w:sz w:val="20"/>
          <w:szCs w:val="20"/>
          <w:lang w:eastAsia="en-US"/>
        </w:rPr>
        <w:t xml:space="preserve"> but at present the administrator has not indicated that the levy will increase</w:t>
      </w:r>
      <w:r w:rsidRPr="00232727">
        <w:rPr>
          <w:rFonts w:ascii="Arial" w:hAnsi="Arial" w:cs="Arial"/>
          <w:b w:val="0"/>
          <w:bCs w:val="0"/>
          <w:color w:val="auto"/>
          <w:sz w:val="20"/>
          <w:szCs w:val="20"/>
          <w:lang w:eastAsia="en-US"/>
        </w:rPr>
        <w:t>.</w:t>
      </w:r>
    </w:p>
    <w:p w:rsidR="00C81E77" w:rsidRPr="0005794A" w:rsidRDefault="00E51139" w:rsidP="009C734F">
      <w:pPr>
        <w:pStyle w:val="ExampleSub"/>
        <w:keepNext w:val="0"/>
        <w:keepLines w:val="0"/>
        <w:spacing w:before="120" w:line="240" w:lineRule="atLeast"/>
        <w:ind w:hanging="567"/>
        <w:outlineLvl w:val="0"/>
        <w:rPr>
          <w:rFonts w:ascii="Arial" w:hAnsi="Arial" w:cs="Arial"/>
          <w:b w:val="0"/>
          <w:bCs w:val="0"/>
          <w:color w:val="548DD4" w:themeColor="text2" w:themeTint="99"/>
          <w:sz w:val="20"/>
          <w:szCs w:val="20"/>
          <w:lang w:eastAsia="en-US"/>
        </w:rPr>
      </w:pPr>
      <w:r w:rsidRPr="0005794A">
        <w:rPr>
          <w:rFonts w:ascii="Arial" w:hAnsi="Arial" w:cs="Arial"/>
          <w:b w:val="0"/>
          <w:bCs w:val="0"/>
          <w:color w:val="548DD4" w:themeColor="text2" w:themeTint="99"/>
          <w:sz w:val="20"/>
          <w:szCs w:val="20"/>
          <w:lang w:eastAsia="en-US"/>
        </w:rPr>
        <w:tab/>
      </w:r>
    </w:p>
    <w:p w:rsidR="005B39E0" w:rsidRPr="00EF2B8D" w:rsidRDefault="005B39E0" w:rsidP="005B39E0">
      <w:pPr>
        <w:rPr>
          <w:rFonts w:eastAsia="Times New Roman"/>
          <w:b/>
          <w:iCs/>
          <w:color w:val="auto"/>
          <w:sz w:val="22"/>
          <w:szCs w:val="22"/>
        </w:rPr>
      </w:pPr>
      <w:r w:rsidRPr="00EF2B8D">
        <w:rPr>
          <w:rFonts w:eastAsia="Times New Roman"/>
          <w:b/>
          <w:iCs/>
          <w:color w:val="auto"/>
          <w:sz w:val="22"/>
          <w:szCs w:val="22"/>
        </w:rPr>
        <w:t>3</w:t>
      </w:r>
      <w:r w:rsidR="00E103A6" w:rsidRPr="00EF2B8D">
        <w:rPr>
          <w:rFonts w:eastAsia="Times New Roman"/>
          <w:b/>
          <w:iCs/>
          <w:color w:val="auto"/>
          <w:sz w:val="22"/>
          <w:szCs w:val="22"/>
        </w:rPr>
        <w:t>6</w:t>
      </w:r>
      <w:r w:rsidRPr="00EF2B8D">
        <w:rPr>
          <w:rFonts w:eastAsia="Times New Roman"/>
          <w:b/>
          <w:iCs/>
          <w:color w:val="auto"/>
          <w:sz w:val="22"/>
          <w:szCs w:val="22"/>
        </w:rPr>
        <w:t>.  Termination Benefits and Exit Packages</w:t>
      </w:r>
    </w:p>
    <w:p w:rsidR="005B39E0" w:rsidRPr="00EF2B8D" w:rsidRDefault="005B39E0" w:rsidP="00BD08B6">
      <w:pPr>
        <w:ind w:left="426"/>
        <w:rPr>
          <w:color w:val="auto"/>
        </w:rPr>
      </w:pPr>
      <w:r w:rsidRPr="00EF2B8D">
        <w:rPr>
          <w:color w:val="auto"/>
        </w:rPr>
        <w:t>The authority terminated the contracts of a number of employees in 201</w:t>
      </w:r>
      <w:r w:rsidR="00EF2B8D" w:rsidRPr="00EF2B8D">
        <w:rPr>
          <w:color w:val="auto"/>
        </w:rPr>
        <w:t>7</w:t>
      </w:r>
      <w:r w:rsidRPr="00EF2B8D">
        <w:rPr>
          <w:color w:val="auto"/>
        </w:rPr>
        <w:t>/1</w:t>
      </w:r>
      <w:r w:rsidR="00EF2B8D" w:rsidRPr="00EF2B8D">
        <w:rPr>
          <w:color w:val="auto"/>
        </w:rPr>
        <w:t>8</w:t>
      </w:r>
      <w:r w:rsidRPr="00EF2B8D">
        <w:rPr>
          <w:color w:val="auto"/>
        </w:rPr>
        <w:t>, incurring liabilities of £</w:t>
      </w:r>
      <w:r w:rsidR="000A6D15" w:rsidRPr="00EF2B8D">
        <w:rPr>
          <w:color w:val="auto"/>
        </w:rPr>
        <w:t>0.</w:t>
      </w:r>
      <w:r w:rsidR="00EF2B8D" w:rsidRPr="00EF2B8D">
        <w:rPr>
          <w:color w:val="auto"/>
        </w:rPr>
        <w:t>3</w:t>
      </w:r>
      <w:r w:rsidR="000A6D15" w:rsidRPr="00EF2B8D">
        <w:rPr>
          <w:color w:val="auto"/>
        </w:rPr>
        <w:t>m. The table below shows</w:t>
      </w:r>
      <w:r w:rsidRPr="00EF2B8D">
        <w:rPr>
          <w:color w:val="auto"/>
        </w:rPr>
        <w:t xml:space="preserve"> the number of exit packages and the total cost per band.</w:t>
      </w:r>
      <w:r w:rsidRPr="0005794A">
        <w:rPr>
          <w:color w:val="548DD4" w:themeColor="text2" w:themeTint="99"/>
        </w:rPr>
        <w:t xml:space="preserve"> </w:t>
      </w:r>
      <w:r w:rsidRPr="00EF2B8D">
        <w:rPr>
          <w:color w:val="auto"/>
        </w:rPr>
        <w:t xml:space="preserve">This amount is payable to 10 officers from </w:t>
      </w:r>
      <w:r w:rsidR="00EF2B8D" w:rsidRPr="00EF2B8D">
        <w:rPr>
          <w:color w:val="auto"/>
        </w:rPr>
        <w:t>the Council a</w:t>
      </w:r>
      <w:r w:rsidRPr="00EF2B8D">
        <w:rPr>
          <w:color w:val="auto"/>
        </w:rPr>
        <w:t>nd 1</w:t>
      </w:r>
      <w:r w:rsidR="00EF2B8D" w:rsidRPr="00EF2B8D">
        <w:rPr>
          <w:color w:val="auto"/>
        </w:rPr>
        <w:t>8</w:t>
      </w:r>
      <w:r w:rsidRPr="00EF2B8D">
        <w:rPr>
          <w:color w:val="auto"/>
        </w:rPr>
        <w:t xml:space="preserve"> from Schools. The costs disclosed are redundancy and strain payments and relate to staff employed by the Council including Council schools.</w:t>
      </w:r>
    </w:p>
    <w:p w:rsidR="005B39E0" w:rsidRPr="00EF2B8D" w:rsidRDefault="005B39E0" w:rsidP="00BD08B6">
      <w:pPr>
        <w:ind w:left="426"/>
        <w:rPr>
          <w:color w:val="auto"/>
        </w:rPr>
      </w:pPr>
      <w:r w:rsidRPr="00EF2B8D">
        <w:rPr>
          <w:color w:val="auto"/>
        </w:rPr>
        <w:t>Note: These are exit packages that were accounted for in the Council’s comprehensive income and expenditure account in the relevant year i.e. on a “demonstrably committed” basis not a cash basis.</w:t>
      </w:r>
    </w:p>
    <w:tbl>
      <w:tblPr>
        <w:tblStyle w:val="ListTable3-Accent51"/>
        <w:tblW w:w="9072" w:type="dxa"/>
        <w:tblLayout w:type="fixed"/>
        <w:tblLook w:val="01E0" w:firstRow="1" w:lastRow="1" w:firstColumn="1" w:lastColumn="1" w:noHBand="0" w:noVBand="0"/>
      </w:tblPr>
      <w:tblGrid>
        <w:gridCol w:w="709"/>
        <w:gridCol w:w="851"/>
        <w:gridCol w:w="708"/>
        <w:gridCol w:w="851"/>
        <w:gridCol w:w="992"/>
        <w:gridCol w:w="94"/>
        <w:gridCol w:w="331"/>
        <w:gridCol w:w="993"/>
        <w:gridCol w:w="850"/>
        <w:gridCol w:w="851"/>
        <w:gridCol w:w="850"/>
        <w:gridCol w:w="992"/>
      </w:tblGrid>
      <w:tr w:rsidR="00E13F69" w:rsidRPr="0005794A" w:rsidTr="006073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gridSpan w:val="4"/>
          </w:tcPr>
          <w:p w:rsidR="00E13F69" w:rsidRPr="00A545A5" w:rsidRDefault="00E13F69" w:rsidP="0060735B">
            <w:pPr>
              <w:pStyle w:val="CodeNotesExampleHead"/>
              <w:widowControl w:val="0"/>
              <w:jc w:val="center"/>
              <w:rPr>
                <w:color w:val="auto"/>
              </w:rPr>
            </w:pPr>
            <w:r w:rsidRPr="00A545A5">
              <w:rPr>
                <w:color w:val="auto"/>
              </w:rPr>
              <w:t xml:space="preserve">Number of Exit packages by band </w:t>
            </w:r>
          </w:p>
          <w:p w:rsidR="00E13F69" w:rsidRPr="00A545A5" w:rsidRDefault="00A545A5" w:rsidP="00E13F69">
            <w:pPr>
              <w:pStyle w:val="CodeNotesExampleHead"/>
              <w:widowControl w:val="0"/>
              <w:jc w:val="center"/>
              <w:rPr>
                <w:rFonts w:cs="Arial"/>
                <w:color w:val="auto"/>
                <w:lang w:eastAsia="en-GB"/>
              </w:rPr>
            </w:pPr>
            <w:r w:rsidRPr="00A545A5">
              <w:rPr>
                <w:color w:val="auto"/>
              </w:rPr>
              <w:t>2016</w:t>
            </w:r>
            <w:r w:rsidR="00E13F69" w:rsidRPr="00A545A5">
              <w:rPr>
                <w:color w:val="auto"/>
              </w:rPr>
              <w:t>/1</w:t>
            </w:r>
            <w:r w:rsidRPr="00A545A5">
              <w:rPr>
                <w:color w:val="auto"/>
              </w:rPr>
              <w:t>7</w:t>
            </w:r>
          </w:p>
        </w:tc>
        <w:tc>
          <w:tcPr>
            <w:cnfStyle w:val="000010000000" w:firstRow="0" w:lastRow="0" w:firstColumn="0" w:lastColumn="0" w:oddVBand="1" w:evenVBand="0" w:oddHBand="0" w:evenHBand="0" w:firstRowFirstColumn="0" w:firstRowLastColumn="0" w:lastRowFirstColumn="0" w:lastRowLastColumn="0"/>
            <w:tcW w:w="2410" w:type="dxa"/>
            <w:gridSpan w:val="4"/>
          </w:tcPr>
          <w:p w:rsidR="00E13F69" w:rsidRPr="00A545A5" w:rsidRDefault="00E13F69" w:rsidP="0060735B">
            <w:pPr>
              <w:pStyle w:val="CodeNotesExampleHead"/>
              <w:widowControl w:val="0"/>
              <w:jc w:val="center"/>
              <w:rPr>
                <w:rFonts w:cs="Arial"/>
                <w:color w:val="auto"/>
                <w:lang w:eastAsia="en-GB"/>
              </w:rPr>
            </w:pPr>
            <w:r w:rsidRPr="00A545A5">
              <w:rPr>
                <w:rFonts w:cs="Arial"/>
                <w:color w:val="auto"/>
                <w:lang w:eastAsia="en-GB"/>
              </w:rPr>
              <w:t>Value of Exit package £</w:t>
            </w:r>
          </w:p>
        </w:tc>
        <w:tc>
          <w:tcPr>
            <w:cnfStyle w:val="000100001000" w:firstRow="0" w:lastRow="0" w:firstColumn="0" w:lastColumn="1" w:oddVBand="0" w:evenVBand="0" w:oddHBand="0" w:evenHBand="0" w:firstRowFirstColumn="0" w:firstRowLastColumn="1" w:lastRowFirstColumn="0" w:lastRowLastColumn="0"/>
            <w:tcW w:w="3543" w:type="dxa"/>
            <w:gridSpan w:val="4"/>
          </w:tcPr>
          <w:p w:rsidR="00E13F69" w:rsidRPr="00E32651" w:rsidRDefault="00E13F69" w:rsidP="0060735B">
            <w:pPr>
              <w:pStyle w:val="CodeNotesExampleHead"/>
              <w:widowControl w:val="0"/>
              <w:jc w:val="center"/>
              <w:rPr>
                <w:b/>
                <w:color w:val="auto"/>
              </w:rPr>
            </w:pPr>
            <w:r w:rsidRPr="00E32651">
              <w:rPr>
                <w:b/>
                <w:color w:val="auto"/>
              </w:rPr>
              <w:t xml:space="preserve">Number of Exit packages by band </w:t>
            </w:r>
          </w:p>
          <w:p w:rsidR="00E13F69" w:rsidRPr="00E32651" w:rsidRDefault="00A545A5" w:rsidP="00E13F69">
            <w:pPr>
              <w:pStyle w:val="CodeNotesExampleHead"/>
              <w:widowControl w:val="0"/>
              <w:jc w:val="center"/>
              <w:rPr>
                <w:rFonts w:cs="Arial"/>
                <w:b/>
                <w:color w:val="auto"/>
                <w:lang w:eastAsia="en-GB"/>
              </w:rPr>
            </w:pPr>
            <w:r w:rsidRPr="00E32651">
              <w:rPr>
                <w:b/>
                <w:color w:val="auto"/>
              </w:rPr>
              <w:t>2017</w:t>
            </w:r>
            <w:r w:rsidR="00E13F69" w:rsidRPr="00E32651">
              <w:rPr>
                <w:b/>
                <w:color w:val="auto"/>
              </w:rPr>
              <w:t>/1</w:t>
            </w:r>
            <w:r w:rsidRPr="00E32651">
              <w:rPr>
                <w:b/>
                <w:color w:val="auto"/>
              </w:rPr>
              <w:t>8</w:t>
            </w:r>
          </w:p>
        </w:tc>
      </w:tr>
      <w:tr w:rsidR="00E13F69" w:rsidRPr="0005794A" w:rsidTr="00607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gridSpan w:val="2"/>
            <w:shd w:val="clear" w:color="auto" w:fill="4BACC6" w:themeFill="accent5"/>
          </w:tcPr>
          <w:p w:rsidR="00E13F69" w:rsidRPr="00A545A5" w:rsidRDefault="00E13F69" w:rsidP="0060735B">
            <w:pPr>
              <w:pStyle w:val="CodeNotesExampleHead"/>
              <w:widowControl w:val="0"/>
              <w:jc w:val="center"/>
              <w:rPr>
                <w:rFonts w:cs="Arial"/>
                <w:color w:val="auto"/>
                <w:lang w:eastAsia="en-GB"/>
              </w:rPr>
            </w:pPr>
            <w:r w:rsidRPr="00A545A5">
              <w:rPr>
                <w:rFonts w:cs="Arial"/>
                <w:color w:val="auto"/>
                <w:lang w:eastAsia="en-GB"/>
              </w:rPr>
              <w:t>Compulsory Redundancy</w:t>
            </w:r>
          </w:p>
        </w:tc>
        <w:tc>
          <w:tcPr>
            <w:cnfStyle w:val="000010000000" w:firstRow="0" w:lastRow="0" w:firstColumn="0" w:lastColumn="0" w:oddVBand="1" w:evenVBand="0" w:oddHBand="0" w:evenHBand="0" w:firstRowFirstColumn="0" w:firstRowLastColumn="0" w:lastRowFirstColumn="0" w:lastRowLastColumn="0"/>
            <w:tcW w:w="1559" w:type="dxa"/>
            <w:gridSpan w:val="2"/>
            <w:shd w:val="clear" w:color="auto" w:fill="4BACC6" w:themeFill="accent5"/>
          </w:tcPr>
          <w:p w:rsidR="00E13F69" w:rsidRPr="00A545A5" w:rsidRDefault="00E13F69" w:rsidP="0060735B">
            <w:pPr>
              <w:pStyle w:val="CodeNotesExampleHead"/>
              <w:widowControl w:val="0"/>
              <w:jc w:val="center"/>
              <w:rPr>
                <w:rFonts w:cs="Arial"/>
                <w:b w:val="0"/>
                <w:color w:val="auto"/>
                <w:lang w:eastAsia="en-GB"/>
              </w:rPr>
            </w:pPr>
            <w:r w:rsidRPr="00A545A5">
              <w:rPr>
                <w:rFonts w:cs="Arial"/>
                <w:b w:val="0"/>
                <w:color w:val="auto"/>
                <w:lang w:eastAsia="en-GB"/>
              </w:rPr>
              <w:t>Other Departures</w:t>
            </w:r>
          </w:p>
        </w:tc>
        <w:tc>
          <w:tcPr>
            <w:tcW w:w="2410" w:type="dxa"/>
            <w:gridSpan w:val="4"/>
            <w:shd w:val="clear" w:color="auto" w:fill="4BACC6" w:themeFill="accent5"/>
          </w:tcPr>
          <w:p w:rsidR="00E13F69" w:rsidRPr="00A545A5" w:rsidRDefault="00E13F69" w:rsidP="0060735B">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lang w:eastAsia="en-GB"/>
              </w:rPr>
            </w:pP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4BACC6" w:themeFill="accent5"/>
          </w:tcPr>
          <w:p w:rsidR="00E13F69" w:rsidRPr="00E32651" w:rsidRDefault="00E13F69" w:rsidP="0060735B">
            <w:pPr>
              <w:pStyle w:val="CodeNotesExampleHead"/>
              <w:widowControl w:val="0"/>
              <w:jc w:val="center"/>
              <w:rPr>
                <w:rFonts w:cs="Arial"/>
                <w:color w:val="auto"/>
                <w:lang w:eastAsia="en-GB"/>
              </w:rPr>
            </w:pPr>
            <w:r w:rsidRPr="00E32651">
              <w:rPr>
                <w:rFonts w:cs="Arial"/>
                <w:color w:val="auto"/>
                <w:lang w:eastAsia="en-GB"/>
              </w:rPr>
              <w:t>Compulsory Redundancy</w:t>
            </w:r>
          </w:p>
        </w:tc>
        <w:tc>
          <w:tcPr>
            <w:cnfStyle w:val="000100000000" w:firstRow="0" w:lastRow="0" w:firstColumn="0" w:lastColumn="1" w:oddVBand="0" w:evenVBand="0" w:oddHBand="0" w:evenHBand="0" w:firstRowFirstColumn="0" w:firstRowLastColumn="0" w:lastRowFirstColumn="0" w:lastRowLastColumn="0"/>
            <w:tcW w:w="1842" w:type="dxa"/>
            <w:gridSpan w:val="2"/>
            <w:shd w:val="clear" w:color="auto" w:fill="4BACC6" w:themeFill="accent5"/>
          </w:tcPr>
          <w:p w:rsidR="00E13F69" w:rsidRPr="00E32651" w:rsidRDefault="00E13F69" w:rsidP="0060735B">
            <w:pPr>
              <w:pStyle w:val="CodeNotesExampleHead"/>
              <w:widowControl w:val="0"/>
              <w:jc w:val="center"/>
              <w:rPr>
                <w:rFonts w:cs="Arial"/>
                <w:b/>
                <w:color w:val="auto"/>
                <w:lang w:eastAsia="en-GB"/>
              </w:rPr>
            </w:pPr>
            <w:r w:rsidRPr="00E32651">
              <w:rPr>
                <w:rFonts w:cs="Arial"/>
                <w:b/>
                <w:color w:val="auto"/>
                <w:lang w:eastAsia="en-GB"/>
              </w:rPr>
              <w:t>Other Departures</w:t>
            </w:r>
          </w:p>
        </w:tc>
      </w:tr>
      <w:tr w:rsidR="00E13F69" w:rsidRPr="0005794A" w:rsidTr="0060735B">
        <w:trPr>
          <w:trHeight w:val="572"/>
        </w:trPr>
        <w:tc>
          <w:tcPr>
            <w:cnfStyle w:val="001000000000" w:firstRow="0" w:lastRow="0" w:firstColumn="1" w:lastColumn="0" w:oddVBand="0" w:evenVBand="0" w:oddHBand="0" w:evenHBand="0" w:firstRowFirstColumn="0" w:firstRowLastColumn="0" w:lastRowFirstColumn="0" w:lastRowLastColumn="0"/>
            <w:tcW w:w="709" w:type="dxa"/>
            <w:shd w:val="clear" w:color="auto" w:fill="4BACC6" w:themeFill="accent5"/>
          </w:tcPr>
          <w:p w:rsidR="00E13F69" w:rsidRPr="00A545A5" w:rsidRDefault="00E13F69" w:rsidP="0060735B">
            <w:pPr>
              <w:pStyle w:val="CodeNotesExampleHead"/>
              <w:widowControl w:val="0"/>
              <w:jc w:val="center"/>
              <w:rPr>
                <w:rFonts w:cs="Arial"/>
                <w:color w:val="auto"/>
                <w:lang w:eastAsia="en-GB"/>
              </w:rPr>
            </w:pPr>
            <w:r w:rsidRPr="00A545A5">
              <w:rPr>
                <w:rFonts w:cs="Arial"/>
                <w:color w:val="auto"/>
                <w:lang w:eastAsia="en-GB"/>
              </w:rPr>
              <w:t>No. In Band</w:t>
            </w:r>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hemeFill="accent5"/>
          </w:tcPr>
          <w:p w:rsidR="00E13F69" w:rsidRPr="00A545A5" w:rsidRDefault="00E13F69" w:rsidP="0060735B">
            <w:pPr>
              <w:pStyle w:val="CodeNotesExampleHead"/>
              <w:widowControl w:val="0"/>
              <w:jc w:val="center"/>
              <w:rPr>
                <w:rFonts w:cs="Arial"/>
                <w:b w:val="0"/>
                <w:color w:val="auto"/>
                <w:lang w:eastAsia="en-GB"/>
              </w:rPr>
            </w:pPr>
            <w:r w:rsidRPr="00A545A5">
              <w:rPr>
                <w:rFonts w:cs="Arial"/>
                <w:b w:val="0"/>
                <w:color w:val="auto"/>
                <w:lang w:eastAsia="en-GB"/>
              </w:rPr>
              <w:t>Total Cost</w:t>
            </w:r>
          </w:p>
        </w:tc>
        <w:tc>
          <w:tcPr>
            <w:tcW w:w="708" w:type="dxa"/>
            <w:shd w:val="clear" w:color="auto" w:fill="4BACC6" w:themeFill="accent5"/>
          </w:tcPr>
          <w:p w:rsidR="00E13F69" w:rsidRPr="00A545A5" w:rsidRDefault="00E13F69" w:rsidP="0060735B">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b w:val="0"/>
                <w:color w:val="auto"/>
                <w:lang w:eastAsia="en-GB"/>
              </w:rPr>
            </w:pPr>
            <w:r w:rsidRPr="00A545A5">
              <w:rPr>
                <w:rFonts w:cs="Arial"/>
                <w:b w:val="0"/>
                <w:color w:val="auto"/>
                <w:lang w:eastAsia="en-GB"/>
              </w:rPr>
              <w:t>No. In Band</w:t>
            </w:r>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hemeFill="accent5"/>
          </w:tcPr>
          <w:p w:rsidR="00E13F69" w:rsidRPr="00A545A5" w:rsidRDefault="00E13F69" w:rsidP="0060735B">
            <w:pPr>
              <w:pStyle w:val="CodeNotesExampleHead"/>
              <w:widowControl w:val="0"/>
              <w:jc w:val="center"/>
              <w:rPr>
                <w:rFonts w:cs="Arial"/>
                <w:b w:val="0"/>
                <w:color w:val="auto"/>
                <w:lang w:eastAsia="en-GB"/>
              </w:rPr>
            </w:pPr>
            <w:r w:rsidRPr="00A545A5">
              <w:rPr>
                <w:rFonts w:cs="Arial"/>
                <w:b w:val="0"/>
                <w:color w:val="auto"/>
                <w:lang w:eastAsia="en-GB"/>
              </w:rPr>
              <w:t>Total Cost</w:t>
            </w:r>
          </w:p>
        </w:tc>
        <w:tc>
          <w:tcPr>
            <w:tcW w:w="2410" w:type="dxa"/>
            <w:gridSpan w:val="4"/>
            <w:tcBorders>
              <w:bottom w:val="single" w:sz="4" w:space="0" w:color="4BACC6" w:themeColor="accent5"/>
            </w:tcBorders>
            <w:shd w:val="clear" w:color="auto" w:fill="4BACC6" w:themeFill="accent5"/>
          </w:tcPr>
          <w:p w:rsidR="00E13F69" w:rsidRPr="00A545A5" w:rsidRDefault="00E13F69" w:rsidP="0060735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E13F69" w:rsidRPr="00E32651" w:rsidRDefault="00E13F69" w:rsidP="0060735B">
            <w:pPr>
              <w:pStyle w:val="CodeNotesExampleHead"/>
              <w:widowControl w:val="0"/>
              <w:jc w:val="center"/>
              <w:rPr>
                <w:rFonts w:cs="Arial"/>
                <w:color w:val="auto"/>
                <w:lang w:eastAsia="en-GB"/>
              </w:rPr>
            </w:pPr>
            <w:r w:rsidRPr="00E32651">
              <w:rPr>
                <w:rFonts w:cs="Arial"/>
                <w:color w:val="auto"/>
                <w:lang w:eastAsia="en-GB"/>
              </w:rPr>
              <w:t>No. In Band</w:t>
            </w:r>
          </w:p>
        </w:tc>
        <w:tc>
          <w:tcPr>
            <w:tcW w:w="851" w:type="dxa"/>
            <w:shd w:val="clear" w:color="auto" w:fill="4BACC6" w:themeFill="accent5"/>
          </w:tcPr>
          <w:p w:rsidR="00E13F69" w:rsidRPr="00E32651" w:rsidRDefault="00E13F69" w:rsidP="0060735B">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color w:val="auto"/>
                <w:lang w:eastAsia="en-GB"/>
              </w:rPr>
            </w:pPr>
            <w:r w:rsidRPr="00E32651">
              <w:rPr>
                <w:rFonts w:cs="Arial"/>
                <w:color w:val="auto"/>
                <w:lang w:eastAsia="en-GB"/>
              </w:rPr>
              <w:t>Total Cost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E13F69" w:rsidRPr="00E32651" w:rsidRDefault="00E13F69" w:rsidP="0060735B">
            <w:pPr>
              <w:pStyle w:val="CodeNotesExampleHead"/>
              <w:widowControl w:val="0"/>
              <w:jc w:val="center"/>
              <w:rPr>
                <w:rFonts w:cs="Arial"/>
                <w:color w:val="auto"/>
                <w:lang w:eastAsia="en-GB"/>
              </w:rPr>
            </w:pPr>
            <w:r w:rsidRPr="00E32651">
              <w:rPr>
                <w:rFonts w:cs="Arial"/>
                <w:color w:val="auto"/>
                <w:lang w:eastAsia="en-GB"/>
              </w:rPr>
              <w:t>No. In Band</w:t>
            </w:r>
          </w:p>
        </w:tc>
        <w:tc>
          <w:tcPr>
            <w:cnfStyle w:val="000100000000" w:firstRow="0" w:lastRow="0" w:firstColumn="0" w:lastColumn="1" w:oddVBand="0" w:evenVBand="0" w:oddHBand="0" w:evenHBand="0" w:firstRowFirstColumn="0" w:firstRowLastColumn="0" w:lastRowFirstColumn="0" w:lastRowLastColumn="0"/>
            <w:tcW w:w="992" w:type="dxa"/>
            <w:shd w:val="clear" w:color="auto" w:fill="4BACC6" w:themeFill="accent5"/>
          </w:tcPr>
          <w:p w:rsidR="00E13F69" w:rsidRPr="00E32651" w:rsidRDefault="00E13F69" w:rsidP="0060735B">
            <w:pPr>
              <w:pStyle w:val="CodeNotesExampleHead"/>
              <w:widowControl w:val="0"/>
              <w:jc w:val="center"/>
              <w:rPr>
                <w:rFonts w:cs="Arial"/>
                <w:b/>
                <w:color w:val="auto"/>
                <w:lang w:eastAsia="en-GB"/>
              </w:rPr>
            </w:pPr>
            <w:r w:rsidRPr="00E32651">
              <w:rPr>
                <w:rFonts w:cs="Arial"/>
                <w:b/>
                <w:color w:val="auto"/>
                <w:lang w:eastAsia="en-GB"/>
              </w:rPr>
              <w:t>Total Cost</w:t>
            </w:r>
          </w:p>
        </w:tc>
      </w:tr>
      <w:tr w:rsidR="00E13F69" w:rsidRPr="0005794A" w:rsidTr="0060735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09" w:type="dxa"/>
            <w:shd w:val="clear" w:color="auto" w:fill="4BACC6" w:themeFill="accent5"/>
          </w:tcPr>
          <w:p w:rsidR="00E13F69" w:rsidRPr="00A545A5" w:rsidRDefault="00E13F69" w:rsidP="0060735B">
            <w:pPr>
              <w:pStyle w:val="CodeNotesExampleHead"/>
              <w:widowControl w:val="0"/>
              <w:jc w:val="center"/>
              <w:rPr>
                <w:rFonts w:cs="Arial"/>
                <w:color w:val="auto"/>
                <w:lang w:eastAsia="en-GB"/>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hemeFill="accent5"/>
          </w:tcPr>
          <w:p w:rsidR="00E13F69" w:rsidRPr="00A545A5" w:rsidRDefault="00E13F69" w:rsidP="0060735B">
            <w:pPr>
              <w:pStyle w:val="CodeNotesExampleHead"/>
              <w:widowControl w:val="0"/>
              <w:jc w:val="center"/>
              <w:rPr>
                <w:rFonts w:cs="Arial"/>
                <w:b w:val="0"/>
                <w:color w:val="auto"/>
                <w:lang w:eastAsia="en-GB"/>
              </w:rPr>
            </w:pPr>
            <w:r w:rsidRPr="00A545A5">
              <w:rPr>
                <w:rFonts w:cs="Arial"/>
                <w:b w:val="0"/>
                <w:color w:val="auto"/>
                <w:lang w:eastAsia="en-GB"/>
              </w:rPr>
              <w:t>£000’s</w:t>
            </w:r>
          </w:p>
        </w:tc>
        <w:tc>
          <w:tcPr>
            <w:tcW w:w="708" w:type="dxa"/>
            <w:shd w:val="clear" w:color="auto" w:fill="4BACC6" w:themeFill="accent5"/>
          </w:tcPr>
          <w:p w:rsidR="00E13F69" w:rsidRPr="00A545A5" w:rsidRDefault="00E13F69" w:rsidP="0060735B">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lang w:eastAsia="en-GB"/>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hemeFill="accent5"/>
          </w:tcPr>
          <w:p w:rsidR="00E13F69" w:rsidRPr="00A545A5" w:rsidRDefault="00E13F69" w:rsidP="0060735B">
            <w:pPr>
              <w:pStyle w:val="CodeNotesExampleHead"/>
              <w:widowControl w:val="0"/>
              <w:jc w:val="center"/>
              <w:rPr>
                <w:rFonts w:cs="Arial"/>
                <w:b w:val="0"/>
                <w:color w:val="auto"/>
                <w:lang w:eastAsia="en-GB"/>
              </w:rPr>
            </w:pPr>
            <w:r w:rsidRPr="00A545A5">
              <w:rPr>
                <w:rFonts w:cs="Arial"/>
                <w:b w:val="0"/>
                <w:color w:val="auto"/>
                <w:lang w:eastAsia="en-GB"/>
              </w:rPr>
              <w:t>£000’s</w:t>
            </w:r>
          </w:p>
        </w:tc>
        <w:tc>
          <w:tcPr>
            <w:tcW w:w="1086" w:type="dxa"/>
            <w:gridSpan w:val="2"/>
            <w:tcBorders>
              <w:right w:val="nil"/>
            </w:tcBorders>
            <w:shd w:val="clear" w:color="auto" w:fill="4BACC6" w:themeFill="accent5"/>
          </w:tcPr>
          <w:p w:rsidR="00E13F69" w:rsidRPr="00A545A5" w:rsidRDefault="00E13F69" w:rsidP="0060735B">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331" w:type="dxa"/>
            <w:tcBorders>
              <w:left w:val="nil"/>
              <w:right w:val="nil"/>
            </w:tcBorders>
            <w:shd w:val="clear" w:color="auto" w:fill="4BACC6" w:themeFill="accent5"/>
          </w:tcPr>
          <w:p w:rsidR="00E13F69" w:rsidRPr="00A545A5" w:rsidRDefault="00E13F69" w:rsidP="0060735B">
            <w:pPr>
              <w:autoSpaceDE w:val="0"/>
              <w:autoSpaceDN w:val="0"/>
              <w:adjustRightInd w:val="0"/>
              <w:spacing w:after="0" w:line="240" w:lineRule="auto"/>
              <w:jc w:val="both"/>
              <w:rPr>
                <w:rFonts w:cs="Arial"/>
                <w:color w:val="auto"/>
                <w:sz w:val="18"/>
                <w:szCs w:val="18"/>
                <w:lang w:eastAsia="en-GB"/>
              </w:rPr>
            </w:pPr>
          </w:p>
        </w:tc>
        <w:tc>
          <w:tcPr>
            <w:tcW w:w="993" w:type="dxa"/>
            <w:tcBorders>
              <w:left w:val="nil"/>
            </w:tcBorders>
            <w:shd w:val="clear" w:color="auto" w:fill="4BACC6" w:themeFill="accent5"/>
          </w:tcPr>
          <w:p w:rsidR="00E13F69" w:rsidRPr="00A545A5" w:rsidRDefault="00E13F69" w:rsidP="006073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color w:val="auto"/>
                <w:sz w:val="18"/>
                <w:szCs w:val="18"/>
                <w:lang w:eastAsia="en-GB"/>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E13F69" w:rsidRPr="00A545A5" w:rsidRDefault="00E13F69" w:rsidP="0060735B">
            <w:pPr>
              <w:pStyle w:val="CodeNotesExampleHead"/>
              <w:widowControl w:val="0"/>
              <w:jc w:val="center"/>
              <w:rPr>
                <w:rFonts w:cs="Arial"/>
                <w:color w:val="auto"/>
                <w:lang w:eastAsia="en-GB"/>
              </w:rPr>
            </w:pPr>
          </w:p>
        </w:tc>
        <w:tc>
          <w:tcPr>
            <w:tcW w:w="851" w:type="dxa"/>
            <w:shd w:val="clear" w:color="auto" w:fill="4BACC6" w:themeFill="accent5"/>
          </w:tcPr>
          <w:p w:rsidR="00E13F69" w:rsidRPr="00A545A5" w:rsidRDefault="00E13F69" w:rsidP="0060735B">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lang w:eastAsia="en-GB"/>
              </w:rPr>
            </w:pPr>
            <w:r w:rsidRPr="00A545A5">
              <w:rPr>
                <w:rFonts w:cs="Arial"/>
                <w:b w:val="0"/>
                <w:color w:val="auto"/>
                <w:lang w:eastAsia="en-GB"/>
              </w:rPr>
              <w:t>£000’s</w:t>
            </w:r>
          </w:p>
        </w:tc>
        <w:tc>
          <w:tcPr>
            <w:cnfStyle w:val="000010000000" w:firstRow="0" w:lastRow="0" w:firstColumn="0" w:lastColumn="0" w:oddVBand="1" w:evenVBand="0" w:oddHBand="0" w:evenHBand="0" w:firstRowFirstColumn="0" w:firstRowLastColumn="0" w:lastRowFirstColumn="0" w:lastRowLastColumn="0"/>
            <w:tcW w:w="850" w:type="dxa"/>
            <w:shd w:val="clear" w:color="auto" w:fill="4BACC6" w:themeFill="accent5"/>
          </w:tcPr>
          <w:p w:rsidR="00E13F69" w:rsidRPr="00A545A5" w:rsidRDefault="00E13F69" w:rsidP="0060735B">
            <w:pPr>
              <w:pStyle w:val="CodeNotesExampleHead"/>
              <w:widowControl w:val="0"/>
              <w:jc w:val="center"/>
              <w:rPr>
                <w:rFonts w:cs="Arial"/>
                <w:b w:val="0"/>
                <w:color w:val="auto"/>
                <w:lang w:eastAsia="en-GB"/>
              </w:rPr>
            </w:pPr>
          </w:p>
        </w:tc>
        <w:tc>
          <w:tcPr>
            <w:cnfStyle w:val="000100000000" w:firstRow="0" w:lastRow="0" w:firstColumn="0" w:lastColumn="1" w:oddVBand="0" w:evenVBand="0" w:oddHBand="0" w:evenHBand="0" w:firstRowFirstColumn="0" w:firstRowLastColumn="0" w:lastRowFirstColumn="0" w:lastRowLastColumn="0"/>
            <w:tcW w:w="992" w:type="dxa"/>
            <w:shd w:val="clear" w:color="auto" w:fill="4BACC6" w:themeFill="accent5"/>
          </w:tcPr>
          <w:p w:rsidR="00E13F69" w:rsidRPr="00A545A5" w:rsidRDefault="00E13F69" w:rsidP="0060735B">
            <w:pPr>
              <w:pStyle w:val="CodeNotesExampleHead"/>
              <w:widowControl w:val="0"/>
              <w:jc w:val="center"/>
              <w:rPr>
                <w:rFonts w:cs="Arial"/>
                <w:color w:val="auto"/>
                <w:lang w:eastAsia="en-GB"/>
              </w:rPr>
            </w:pPr>
            <w:r w:rsidRPr="00A545A5">
              <w:rPr>
                <w:rFonts w:cs="Arial"/>
                <w:color w:val="auto"/>
                <w:lang w:eastAsia="en-GB"/>
              </w:rPr>
              <w:t>£000’s</w:t>
            </w:r>
          </w:p>
        </w:tc>
      </w:tr>
      <w:tr w:rsidR="00A545A5" w:rsidRPr="0005794A" w:rsidTr="0060735B">
        <w:tc>
          <w:tcPr>
            <w:cnfStyle w:val="001000000000" w:firstRow="0" w:lastRow="0" w:firstColumn="1" w:lastColumn="0" w:oddVBand="0" w:evenVBand="0" w:oddHBand="0" w:evenHBand="0" w:firstRowFirstColumn="0" w:firstRowLastColumn="0" w:lastRowFirstColumn="0" w:lastRowLastColumn="0"/>
            <w:tcW w:w="709" w:type="dxa"/>
            <w:vAlign w:val="center"/>
          </w:tcPr>
          <w:p w:rsidR="00A545A5" w:rsidRPr="00EF2B8D" w:rsidRDefault="00A545A5" w:rsidP="00A545A5">
            <w:pPr>
              <w:pStyle w:val="CodeNotesExampleHead"/>
              <w:widowControl w:val="0"/>
              <w:jc w:val="center"/>
              <w:rPr>
                <w:rFonts w:cs="Arial"/>
                <w:color w:val="auto"/>
                <w:sz w:val="20"/>
                <w:szCs w:val="20"/>
                <w:lang w:eastAsia="en-GB"/>
              </w:rPr>
            </w:pPr>
            <w:r w:rsidRPr="00EF2B8D">
              <w:rPr>
                <w:rFonts w:cs="Arial"/>
                <w:color w:val="auto"/>
                <w:sz w:val="20"/>
                <w:szCs w:val="20"/>
                <w:lang w:eastAsia="en-GB"/>
              </w:rPr>
              <w:t>26</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215</w:t>
            </w:r>
          </w:p>
        </w:tc>
        <w:tc>
          <w:tcPr>
            <w:tcW w:w="708" w:type="dxa"/>
            <w:vAlign w:val="center"/>
          </w:tcPr>
          <w:p w:rsidR="00A545A5" w:rsidRPr="00EF2B8D" w:rsidRDefault="00A545A5" w:rsidP="00A545A5">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b w:val="0"/>
                <w:color w:val="auto"/>
                <w:sz w:val="20"/>
                <w:szCs w:val="20"/>
                <w:lang w:eastAsia="en-GB"/>
              </w:rPr>
            </w:pPr>
            <w:r w:rsidRPr="00EF2B8D">
              <w:rPr>
                <w:rFonts w:cs="Arial"/>
                <w:b w:val="0"/>
                <w:color w:val="auto"/>
                <w:sz w:val="20"/>
                <w:szCs w:val="20"/>
                <w:lang w:eastAsia="en-GB"/>
              </w:rPr>
              <w:t>8</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41</w:t>
            </w:r>
          </w:p>
        </w:tc>
        <w:tc>
          <w:tcPr>
            <w:tcW w:w="992" w:type="dxa"/>
            <w:tcBorders>
              <w:top w:val="single" w:sz="4" w:space="0" w:color="4BACC6" w:themeColor="accent5"/>
              <w:bottom w:val="single" w:sz="4" w:space="0" w:color="4BACC6" w:themeColor="accent5"/>
              <w:right w:val="nil"/>
            </w:tcBorders>
            <w:vAlign w:val="center"/>
          </w:tcPr>
          <w:p w:rsidR="00A545A5" w:rsidRPr="00164A76" w:rsidRDefault="00A545A5" w:rsidP="0060735B">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425" w:type="dxa"/>
            <w:gridSpan w:val="2"/>
            <w:tcBorders>
              <w:top w:val="single" w:sz="4" w:space="0" w:color="4BACC6" w:themeColor="accent5"/>
              <w:left w:val="nil"/>
              <w:bottom w:val="single" w:sz="4" w:space="0" w:color="4BACC6" w:themeColor="accent5"/>
              <w:right w:val="nil"/>
            </w:tcBorders>
            <w:vAlign w:val="center"/>
          </w:tcPr>
          <w:p w:rsidR="00A545A5" w:rsidRPr="00164A76" w:rsidRDefault="00A545A5" w:rsidP="0060735B">
            <w:pPr>
              <w:autoSpaceDE w:val="0"/>
              <w:autoSpaceDN w:val="0"/>
              <w:adjustRightInd w:val="0"/>
              <w:jc w:val="center"/>
              <w:rPr>
                <w:rFonts w:cs="Arial"/>
                <w:color w:val="auto"/>
                <w:sz w:val="20"/>
                <w:szCs w:val="20"/>
                <w:lang w:eastAsia="en-GB"/>
              </w:rPr>
            </w:pPr>
            <w:r w:rsidRPr="00164A76">
              <w:rPr>
                <w:rFonts w:cs="Arial"/>
                <w:color w:val="auto"/>
                <w:sz w:val="20"/>
                <w:szCs w:val="20"/>
                <w:lang w:eastAsia="en-GB"/>
              </w:rPr>
              <w:t>to</w:t>
            </w:r>
          </w:p>
        </w:tc>
        <w:tc>
          <w:tcPr>
            <w:tcW w:w="993" w:type="dxa"/>
            <w:tcBorders>
              <w:top w:val="single" w:sz="4" w:space="0" w:color="4BACC6" w:themeColor="accent5"/>
              <w:left w:val="nil"/>
              <w:bottom w:val="single" w:sz="4" w:space="0" w:color="4BACC6" w:themeColor="accent5"/>
            </w:tcBorders>
            <w:vAlign w:val="center"/>
          </w:tcPr>
          <w:p w:rsidR="00A545A5" w:rsidRPr="00164A76" w:rsidRDefault="00A545A5" w:rsidP="0060735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20,000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EF2B8D" w:rsidP="00757FE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2</w:t>
            </w:r>
            <w:r w:rsidR="00757FEB" w:rsidRPr="00E32651">
              <w:rPr>
                <w:rFonts w:cs="Arial"/>
                <w:b w:val="0"/>
                <w:color w:val="auto"/>
                <w:sz w:val="20"/>
                <w:szCs w:val="20"/>
                <w:lang w:eastAsia="en-GB"/>
              </w:rPr>
              <w:t>6</w:t>
            </w:r>
          </w:p>
        </w:tc>
        <w:tc>
          <w:tcPr>
            <w:tcW w:w="851" w:type="dxa"/>
            <w:vAlign w:val="center"/>
          </w:tcPr>
          <w:p w:rsidR="00A545A5" w:rsidRPr="00E32651" w:rsidRDefault="00757FEB" w:rsidP="00757FEB">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b w:val="0"/>
                <w:color w:val="auto"/>
                <w:sz w:val="20"/>
                <w:szCs w:val="20"/>
                <w:lang w:eastAsia="en-GB"/>
              </w:rPr>
            </w:pPr>
            <w:r w:rsidRPr="00E32651">
              <w:rPr>
                <w:rFonts w:cs="Arial"/>
                <w:b w:val="0"/>
                <w:color w:val="auto"/>
                <w:sz w:val="20"/>
                <w:szCs w:val="20"/>
                <w:lang w:eastAsia="en-GB"/>
              </w:rPr>
              <w:t>183</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757FEB" w:rsidP="0060735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2</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A545A5" w:rsidRPr="00E32651" w:rsidRDefault="00757FEB" w:rsidP="0060735B">
            <w:pPr>
              <w:pStyle w:val="CodeNotesExampleHead"/>
              <w:widowControl w:val="0"/>
              <w:jc w:val="center"/>
              <w:rPr>
                <w:rFonts w:cs="Arial"/>
                <w:color w:val="auto"/>
                <w:sz w:val="20"/>
                <w:szCs w:val="20"/>
                <w:lang w:eastAsia="en-GB"/>
              </w:rPr>
            </w:pPr>
            <w:r w:rsidRPr="00E32651">
              <w:rPr>
                <w:rFonts w:cs="Arial"/>
                <w:color w:val="auto"/>
                <w:sz w:val="20"/>
                <w:szCs w:val="20"/>
                <w:lang w:eastAsia="en-GB"/>
              </w:rPr>
              <w:t>31</w:t>
            </w:r>
          </w:p>
        </w:tc>
      </w:tr>
      <w:tr w:rsidR="00A545A5" w:rsidRPr="0005794A" w:rsidTr="0060735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709" w:type="dxa"/>
            <w:vAlign w:val="center"/>
          </w:tcPr>
          <w:p w:rsidR="00A545A5" w:rsidRPr="00EF2B8D" w:rsidRDefault="00A545A5" w:rsidP="00A545A5">
            <w:pPr>
              <w:pStyle w:val="CodeNotesExampleHead"/>
              <w:widowControl w:val="0"/>
              <w:jc w:val="center"/>
              <w:rPr>
                <w:rFonts w:cs="Arial"/>
                <w:color w:val="auto"/>
                <w:sz w:val="20"/>
                <w:szCs w:val="20"/>
                <w:lang w:eastAsia="en-GB"/>
              </w:rPr>
            </w:pPr>
            <w:r w:rsidRPr="00EF2B8D">
              <w:rPr>
                <w:rFonts w:cs="Arial"/>
                <w:color w:val="auto"/>
                <w:sz w:val="20"/>
                <w:szCs w:val="20"/>
                <w:lang w:eastAsia="en-GB"/>
              </w:rPr>
              <w:t>5</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145</w:t>
            </w:r>
          </w:p>
        </w:tc>
        <w:tc>
          <w:tcPr>
            <w:tcW w:w="708" w:type="dxa"/>
            <w:vAlign w:val="center"/>
          </w:tcPr>
          <w:p w:rsidR="00A545A5" w:rsidRPr="00EF2B8D" w:rsidRDefault="00A545A5" w:rsidP="00A545A5">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sz w:val="20"/>
                <w:szCs w:val="20"/>
                <w:lang w:eastAsia="en-GB"/>
              </w:rPr>
            </w:pPr>
            <w:r w:rsidRPr="00EF2B8D">
              <w:rPr>
                <w:rFonts w:cs="Arial"/>
                <w:b w:val="0"/>
                <w:color w:val="auto"/>
                <w:sz w:val="20"/>
                <w:szCs w:val="20"/>
                <w:lang w:eastAsia="en-GB"/>
              </w:rPr>
              <w:t>2</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59</w:t>
            </w:r>
          </w:p>
        </w:tc>
        <w:tc>
          <w:tcPr>
            <w:tcW w:w="992" w:type="dxa"/>
            <w:tcBorders>
              <w:right w:val="nil"/>
            </w:tcBorders>
            <w:vAlign w:val="center"/>
          </w:tcPr>
          <w:p w:rsidR="00A545A5" w:rsidRPr="00164A76" w:rsidRDefault="00A545A5" w:rsidP="006073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20,001</w:t>
            </w:r>
          </w:p>
        </w:tc>
        <w:tc>
          <w:tcPr>
            <w:cnfStyle w:val="000010000000" w:firstRow="0" w:lastRow="0" w:firstColumn="0" w:lastColumn="0" w:oddVBand="1" w:evenVBand="0" w:oddHBand="0" w:evenHBand="0" w:firstRowFirstColumn="0" w:firstRowLastColumn="0" w:lastRowFirstColumn="0" w:lastRowLastColumn="0"/>
            <w:tcW w:w="425" w:type="dxa"/>
            <w:gridSpan w:val="2"/>
            <w:tcBorders>
              <w:left w:val="nil"/>
              <w:right w:val="nil"/>
            </w:tcBorders>
            <w:vAlign w:val="center"/>
          </w:tcPr>
          <w:p w:rsidR="00A545A5" w:rsidRPr="00164A76" w:rsidRDefault="00A545A5" w:rsidP="0060735B">
            <w:pPr>
              <w:autoSpaceDE w:val="0"/>
              <w:autoSpaceDN w:val="0"/>
              <w:adjustRightInd w:val="0"/>
              <w:jc w:val="center"/>
              <w:rPr>
                <w:rFonts w:cs="Arial"/>
                <w:color w:val="auto"/>
                <w:sz w:val="20"/>
                <w:szCs w:val="20"/>
                <w:lang w:eastAsia="en-GB"/>
              </w:rPr>
            </w:pPr>
            <w:r w:rsidRPr="00164A76">
              <w:rPr>
                <w:rFonts w:cs="Arial"/>
                <w:color w:val="auto"/>
                <w:sz w:val="20"/>
                <w:szCs w:val="20"/>
                <w:lang w:eastAsia="en-GB"/>
              </w:rPr>
              <w:t>to</w:t>
            </w:r>
          </w:p>
        </w:tc>
        <w:tc>
          <w:tcPr>
            <w:tcW w:w="993" w:type="dxa"/>
            <w:tcBorders>
              <w:left w:val="nil"/>
            </w:tcBorders>
            <w:vAlign w:val="center"/>
          </w:tcPr>
          <w:p w:rsidR="00A545A5" w:rsidRPr="00164A76" w:rsidRDefault="00A545A5" w:rsidP="006073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40,000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757FEB" w:rsidP="00757FE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2</w:t>
            </w:r>
          </w:p>
        </w:tc>
        <w:tc>
          <w:tcPr>
            <w:tcW w:w="851" w:type="dxa"/>
            <w:vAlign w:val="center"/>
          </w:tcPr>
          <w:p w:rsidR="00A545A5" w:rsidRPr="00E32651" w:rsidRDefault="00757FEB" w:rsidP="00757FEB">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sz w:val="20"/>
                <w:szCs w:val="20"/>
                <w:lang w:eastAsia="en-GB"/>
              </w:rPr>
            </w:pPr>
            <w:r w:rsidRPr="00E32651">
              <w:rPr>
                <w:rFonts w:cs="Arial"/>
                <w:b w:val="0"/>
                <w:color w:val="auto"/>
                <w:sz w:val="20"/>
                <w:szCs w:val="20"/>
                <w:lang w:eastAsia="en-GB"/>
              </w:rPr>
              <w:t>53</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757FEB" w:rsidP="0060735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1</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A545A5" w:rsidRPr="00E32651" w:rsidRDefault="00757FEB" w:rsidP="0060735B">
            <w:pPr>
              <w:pStyle w:val="CodeNotesExampleHead"/>
              <w:widowControl w:val="0"/>
              <w:jc w:val="center"/>
              <w:rPr>
                <w:rFonts w:cs="Arial"/>
                <w:color w:val="auto"/>
                <w:sz w:val="20"/>
                <w:szCs w:val="20"/>
                <w:lang w:eastAsia="en-GB"/>
              </w:rPr>
            </w:pPr>
            <w:r w:rsidRPr="00E32651">
              <w:rPr>
                <w:rFonts w:cs="Arial"/>
                <w:color w:val="auto"/>
                <w:sz w:val="20"/>
                <w:szCs w:val="20"/>
                <w:lang w:eastAsia="en-GB"/>
              </w:rPr>
              <w:t>32</w:t>
            </w:r>
          </w:p>
        </w:tc>
      </w:tr>
      <w:tr w:rsidR="00A545A5" w:rsidRPr="0005794A" w:rsidTr="0060735B">
        <w:trPr>
          <w:trHeight w:val="285"/>
        </w:trPr>
        <w:tc>
          <w:tcPr>
            <w:cnfStyle w:val="001000000000" w:firstRow="0" w:lastRow="0" w:firstColumn="1" w:lastColumn="0" w:oddVBand="0" w:evenVBand="0" w:oddHBand="0" w:evenHBand="0" w:firstRowFirstColumn="0" w:firstRowLastColumn="0" w:lastRowFirstColumn="0" w:lastRowLastColumn="0"/>
            <w:tcW w:w="709" w:type="dxa"/>
            <w:vAlign w:val="center"/>
          </w:tcPr>
          <w:p w:rsidR="00A545A5" w:rsidRPr="00EF2B8D" w:rsidRDefault="00A545A5" w:rsidP="00A545A5">
            <w:pPr>
              <w:pStyle w:val="CodeNotesExampleHead"/>
              <w:widowControl w:val="0"/>
              <w:jc w:val="center"/>
              <w:rPr>
                <w:rFonts w:cs="Arial"/>
                <w:color w:val="auto"/>
                <w:sz w:val="20"/>
                <w:szCs w:val="20"/>
                <w:lang w:eastAsia="en-GB"/>
              </w:rPr>
            </w:pPr>
            <w:r w:rsidRPr="00EF2B8D">
              <w:rPr>
                <w:rFonts w:cs="Arial"/>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49</w:t>
            </w:r>
          </w:p>
        </w:tc>
        <w:tc>
          <w:tcPr>
            <w:tcW w:w="708" w:type="dxa"/>
            <w:vAlign w:val="center"/>
          </w:tcPr>
          <w:p w:rsidR="00A545A5" w:rsidRPr="00EF2B8D" w:rsidRDefault="00A545A5" w:rsidP="00A545A5">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b w:val="0"/>
                <w:color w:val="auto"/>
                <w:sz w:val="20"/>
                <w:szCs w:val="20"/>
                <w:lang w:eastAsia="en-GB"/>
              </w:rPr>
            </w:pPr>
            <w:r w:rsidRPr="00EF2B8D">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0</w:t>
            </w:r>
          </w:p>
        </w:tc>
        <w:tc>
          <w:tcPr>
            <w:tcW w:w="992" w:type="dxa"/>
            <w:tcBorders>
              <w:top w:val="single" w:sz="4" w:space="0" w:color="4BACC6" w:themeColor="accent5"/>
              <w:bottom w:val="single" w:sz="4" w:space="0" w:color="4BACC6" w:themeColor="accent5"/>
              <w:right w:val="nil"/>
            </w:tcBorders>
            <w:vAlign w:val="center"/>
          </w:tcPr>
          <w:p w:rsidR="00A545A5" w:rsidRPr="00164A76" w:rsidRDefault="00A545A5" w:rsidP="0060735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40,001</w:t>
            </w:r>
          </w:p>
        </w:tc>
        <w:tc>
          <w:tcPr>
            <w:cnfStyle w:val="000010000000" w:firstRow="0" w:lastRow="0" w:firstColumn="0" w:lastColumn="0" w:oddVBand="1" w:evenVBand="0" w:oddHBand="0" w:evenHBand="0" w:firstRowFirstColumn="0" w:firstRowLastColumn="0" w:lastRowFirstColumn="0" w:lastRowLastColumn="0"/>
            <w:tcW w:w="425" w:type="dxa"/>
            <w:gridSpan w:val="2"/>
            <w:tcBorders>
              <w:top w:val="single" w:sz="4" w:space="0" w:color="4BACC6" w:themeColor="accent5"/>
              <w:left w:val="nil"/>
              <w:bottom w:val="single" w:sz="4" w:space="0" w:color="4BACC6" w:themeColor="accent5"/>
              <w:right w:val="nil"/>
            </w:tcBorders>
            <w:vAlign w:val="center"/>
          </w:tcPr>
          <w:p w:rsidR="00A545A5" w:rsidRPr="00164A76" w:rsidRDefault="00A545A5" w:rsidP="0060735B">
            <w:pPr>
              <w:autoSpaceDE w:val="0"/>
              <w:autoSpaceDN w:val="0"/>
              <w:adjustRightInd w:val="0"/>
              <w:jc w:val="center"/>
              <w:rPr>
                <w:rFonts w:cs="Arial"/>
                <w:color w:val="auto"/>
                <w:sz w:val="20"/>
                <w:szCs w:val="20"/>
                <w:lang w:eastAsia="en-GB"/>
              </w:rPr>
            </w:pPr>
            <w:r w:rsidRPr="00164A76">
              <w:rPr>
                <w:rFonts w:cs="Arial"/>
                <w:color w:val="auto"/>
                <w:sz w:val="20"/>
                <w:szCs w:val="20"/>
                <w:lang w:eastAsia="en-GB"/>
              </w:rPr>
              <w:t>to</w:t>
            </w:r>
          </w:p>
        </w:tc>
        <w:tc>
          <w:tcPr>
            <w:tcW w:w="993" w:type="dxa"/>
            <w:tcBorders>
              <w:top w:val="single" w:sz="4" w:space="0" w:color="4BACC6" w:themeColor="accent5"/>
              <w:left w:val="nil"/>
              <w:bottom w:val="single" w:sz="4" w:space="0" w:color="4BACC6" w:themeColor="accent5"/>
            </w:tcBorders>
            <w:vAlign w:val="center"/>
          </w:tcPr>
          <w:p w:rsidR="00A545A5" w:rsidRPr="00164A76" w:rsidRDefault="00A545A5" w:rsidP="0060735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60,000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EF2B8D" w:rsidP="0060735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0</w:t>
            </w:r>
          </w:p>
        </w:tc>
        <w:tc>
          <w:tcPr>
            <w:tcW w:w="851" w:type="dxa"/>
            <w:vAlign w:val="center"/>
          </w:tcPr>
          <w:p w:rsidR="00A545A5" w:rsidRPr="00E32651" w:rsidRDefault="00EF2B8D" w:rsidP="0060735B">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b w:val="0"/>
                <w:color w:val="auto"/>
                <w:sz w:val="20"/>
                <w:szCs w:val="20"/>
                <w:lang w:eastAsia="en-GB"/>
              </w:rPr>
            </w:pPr>
            <w:r w:rsidRPr="00E32651">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EF2B8D" w:rsidP="0060735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0</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A545A5" w:rsidRPr="00E32651" w:rsidRDefault="00EF2B8D" w:rsidP="0060735B">
            <w:pPr>
              <w:pStyle w:val="CodeNotesExampleHead"/>
              <w:widowControl w:val="0"/>
              <w:jc w:val="center"/>
              <w:rPr>
                <w:rFonts w:cs="Arial"/>
                <w:color w:val="auto"/>
                <w:sz w:val="20"/>
                <w:szCs w:val="20"/>
                <w:lang w:eastAsia="en-GB"/>
              </w:rPr>
            </w:pPr>
            <w:r w:rsidRPr="00E32651">
              <w:rPr>
                <w:rFonts w:cs="Arial"/>
                <w:color w:val="auto"/>
                <w:sz w:val="20"/>
                <w:szCs w:val="20"/>
                <w:lang w:eastAsia="en-GB"/>
              </w:rPr>
              <w:t>0</w:t>
            </w:r>
          </w:p>
        </w:tc>
      </w:tr>
      <w:tr w:rsidR="00A545A5" w:rsidRPr="0005794A" w:rsidTr="00607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A545A5" w:rsidRPr="00EF2B8D" w:rsidRDefault="00A545A5" w:rsidP="00A545A5">
            <w:pPr>
              <w:pStyle w:val="CodeNotesExampleHead"/>
              <w:widowControl w:val="0"/>
              <w:jc w:val="center"/>
              <w:rPr>
                <w:rFonts w:cs="Arial"/>
                <w:color w:val="auto"/>
                <w:sz w:val="20"/>
                <w:szCs w:val="20"/>
                <w:lang w:eastAsia="en-GB"/>
              </w:rPr>
            </w:pPr>
            <w:r w:rsidRPr="00EF2B8D">
              <w:rPr>
                <w:rFonts w:cs="Arial"/>
                <w:color w:val="auto"/>
                <w:sz w:val="20"/>
                <w:szCs w:val="20"/>
                <w:lang w:eastAsia="en-GB"/>
              </w:rPr>
              <w:t>1</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78</w:t>
            </w:r>
          </w:p>
        </w:tc>
        <w:tc>
          <w:tcPr>
            <w:tcW w:w="708" w:type="dxa"/>
            <w:vAlign w:val="center"/>
          </w:tcPr>
          <w:p w:rsidR="00A545A5" w:rsidRPr="00EF2B8D" w:rsidRDefault="00A545A5" w:rsidP="00A545A5">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sz w:val="20"/>
                <w:szCs w:val="20"/>
                <w:lang w:eastAsia="en-GB"/>
              </w:rPr>
            </w:pPr>
            <w:r w:rsidRPr="00EF2B8D">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0</w:t>
            </w:r>
          </w:p>
        </w:tc>
        <w:tc>
          <w:tcPr>
            <w:tcW w:w="992" w:type="dxa"/>
            <w:tcBorders>
              <w:right w:val="nil"/>
            </w:tcBorders>
            <w:vAlign w:val="center"/>
          </w:tcPr>
          <w:p w:rsidR="00A545A5" w:rsidRPr="00164A76" w:rsidRDefault="00A545A5" w:rsidP="006073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60,001</w:t>
            </w:r>
          </w:p>
        </w:tc>
        <w:tc>
          <w:tcPr>
            <w:cnfStyle w:val="000010000000" w:firstRow="0" w:lastRow="0" w:firstColumn="0" w:lastColumn="0" w:oddVBand="1" w:evenVBand="0" w:oddHBand="0" w:evenHBand="0" w:firstRowFirstColumn="0" w:firstRowLastColumn="0" w:lastRowFirstColumn="0" w:lastRowLastColumn="0"/>
            <w:tcW w:w="425" w:type="dxa"/>
            <w:gridSpan w:val="2"/>
            <w:tcBorders>
              <w:left w:val="nil"/>
              <w:right w:val="nil"/>
            </w:tcBorders>
            <w:vAlign w:val="center"/>
          </w:tcPr>
          <w:p w:rsidR="00A545A5" w:rsidRPr="00164A76" w:rsidRDefault="00A545A5" w:rsidP="0060735B">
            <w:pPr>
              <w:autoSpaceDE w:val="0"/>
              <w:autoSpaceDN w:val="0"/>
              <w:adjustRightInd w:val="0"/>
              <w:jc w:val="center"/>
              <w:rPr>
                <w:rFonts w:cs="Arial"/>
                <w:color w:val="auto"/>
                <w:sz w:val="20"/>
                <w:szCs w:val="20"/>
                <w:lang w:eastAsia="en-GB"/>
              </w:rPr>
            </w:pPr>
            <w:r w:rsidRPr="00164A76">
              <w:rPr>
                <w:rFonts w:cs="Arial"/>
                <w:color w:val="auto"/>
                <w:sz w:val="20"/>
                <w:szCs w:val="20"/>
                <w:lang w:eastAsia="en-GB"/>
              </w:rPr>
              <w:t>to</w:t>
            </w:r>
          </w:p>
        </w:tc>
        <w:tc>
          <w:tcPr>
            <w:tcW w:w="993" w:type="dxa"/>
            <w:tcBorders>
              <w:left w:val="nil"/>
            </w:tcBorders>
            <w:vAlign w:val="center"/>
          </w:tcPr>
          <w:p w:rsidR="00A545A5" w:rsidRPr="00164A76" w:rsidRDefault="00A545A5" w:rsidP="006073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80,000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EF2B8D" w:rsidP="0060735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0</w:t>
            </w:r>
          </w:p>
        </w:tc>
        <w:tc>
          <w:tcPr>
            <w:tcW w:w="851" w:type="dxa"/>
            <w:vAlign w:val="center"/>
          </w:tcPr>
          <w:p w:rsidR="00A545A5" w:rsidRPr="00E32651" w:rsidRDefault="00EF2B8D" w:rsidP="0060735B">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sz w:val="20"/>
                <w:szCs w:val="20"/>
                <w:lang w:eastAsia="en-GB"/>
              </w:rPr>
            </w:pPr>
            <w:r w:rsidRPr="00E32651">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EF2B8D" w:rsidP="0060735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0</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A545A5" w:rsidRPr="00E32651" w:rsidRDefault="00EF2B8D" w:rsidP="0060735B">
            <w:pPr>
              <w:pStyle w:val="CodeNotesExampleHead"/>
              <w:widowControl w:val="0"/>
              <w:jc w:val="center"/>
              <w:rPr>
                <w:rFonts w:cs="Arial"/>
                <w:color w:val="auto"/>
                <w:sz w:val="20"/>
                <w:szCs w:val="20"/>
                <w:lang w:eastAsia="en-GB"/>
              </w:rPr>
            </w:pPr>
            <w:r w:rsidRPr="00E32651">
              <w:rPr>
                <w:rFonts w:cs="Arial"/>
                <w:color w:val="auto"/>
                <w:sz w:val="20"/>
                <w:szCs w:val="20"/>
                <w:lang w:eastAsia="en-GB"/>
              </w:rPr>
              <w:t>0</w:t>
            </w:r>
          </w:p>
        </w:tc>
      </w:tr>
      <w:tr w:rsidR="00A545A5" w:rsidRPr="0005794A" w:rsidTr="0060735B">
        <w:tc>
          <w:tcPr>
            <w:cnfStyle w:val="001000000000" w:firstRow="0" w:lastRow="0" w:firstColumn="1" w:lastColumn="0" w:oddVBand="0" w:evenVBand="0" w:oddHBand="0" w:evenHBand="0" w:firstRowFirstColumn="0" w:firstRowLastColumn="0" w:lastRowFirstColumn="0" w:lastRowLastColumn="0"/>
            <w:tcW w:w="709" w:type="dxa"/>
            <w:vAlign w:val="center"/>
          </w:tcPr>
          <w:p w:rsidR="00A545A5" w:rsidRPr="00EF2B8D" w:rsidRDefault="00A545A5" w:rsidP="00A545A5">
            <w:pPr>
              <w:pStyle w:val="CodeNotesExampleHead"/>
              <w:widowControl w:val="0"/>
              <w:jc w:val="center"/>
              <w:rPr>
                <w:rFonts w:cs="Arial"/>
                <w:color w:val="auto"/>
                <w:sz w:val="20"/>
                <w:szCs w:val="20"/>
                <w:lang w:eastAsia="en-GB"/>
              </w:rPr>
            </w:pPr>
            <w:r w:rsidRPr="00EF2B8D">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0</w:t>
            </w:r>
          </w:p>
        </w:tc>
        <w:tc>
          <w:tcPr>
            <w:tcW w:w="708" w:type="dxa"/>
            <w:vAlign w:val="center"/>
          </w:tcPr>
          <w:p w:rsidR="00A545A5" w:rsidRPr="00EF2B8D" w:rsidRDefault="00A545A5" w:rsidP="00A545A5">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b w:val="0"/>
                <w:color w:val="auto"/>
                <w:sz w:val="20"/>
                <w:szCs w:val="20"/>
                <w:lang w:eastAsia="en-GB"/>
              </w:rPr>
            </w:pPr>
            <w:r w:rsidRPr="00EF2B8D">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0</w:t>
            </w:r>
          </w:p>
        </w:tc>
        <w:tc>
          <w:tcPr>
            <w:tcW w:w="992" w:type="dxa"/>
            <w:tcBorders>
              <w:top w:val="single" w:sz="4" w:space="0" w:color="4BACC6" w:themeColor="accent5"/>
              <w:bottom w:val="single" w:sz="4" w:space="0" w:color="4BACC6" w:themeColor="accent5"/>
              <w:right w:val="nil"/>
            </w:tcBorders>
            <w:vAlign w:val="center"/>
          </w:tcPr>
          <w:p w:rsidR="00A545A5" w:rsidRPr="00164A76" w:rsidRDefault="00A545A5" w:rsidP="0060735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80,001</w:t>
            </w:r>
          </w:p>
        </w:tc>
        <w:tc>
          <w:tcPr>
            <w:cnfStyle w:val="000010000000" w:firstRow="0" w:lastRow="0" w:firstColumn="0" w:lastColumn="0" w:oddVBand="1" w:evenVBand="0" w:oddHBand="0" w:evenHBand="0" w:firstRowFirstColumn="0" w:firstRowLastColumn="0" w:lastRowFirstColumn="0" w:lastRowLastColumn="0"/>
            <w:tcW w:w="425" w:type="dxa"/>
            <w:gridSpan w:val="2"/>
            <w:tcBorders>
              <w:top w:val="single" w:sz="4" w:space="0" w:color="4BACC6" w:themeColor="accent5"/>
              <w:left w:val="nil"/>
              <w:bottom w:val="single" w:sz="4" w:space="0" w:color="4BACC6" w:themeColor="accent5"/>
              <w:right w:val="nil"/>
            </w:tcBorders>
            <w:vAlign w:val="center"/>
          </w:tcPr>
          <w:p w:rsidR="00A545A5" w:rsidRPr="00164A76" w:rsidRDefault="00A545A5" w:rsidP="0060735B">
            <w:pPr>
              <w:autoSpaceDE w:val="0"/>
              <w:autoSpaceDN w:val="0"/>
              <w:adjustRightInd w:val="0"/>
              <w:jc w:val="center"/>
              <w:rPr>
                <w:rFonts w:cs="Arial"/>
                <w:color w:val="auto"/>
                <w:sz w:val="20"/>
                <w:szCs w:val="20"/>
                <w:lang w:eastAsia="en-GB"/>
              </w:rPr>
            </w:pPr>
            <w:r w:rsidRPr="00164A76">
              <w:rPr>
                <w:rFonts w:cs="Arial"/>
                <w:color w:val="auto"/>
                <w:sz w:val="20"/>
                <w:szCs w:val="20"/>
                <w:lang w:eastAsia="en-GB"/>
              </w:rPr>
              <w:t>to</w:t>
            </w:r>
          </w:p>
        </w:tc>
        <w:tc>
          <w:tcPr>
            <w:tcW w:w="993" w:type="dxa"/>
            <w:tcBorders>
              <w:top w:val="single" w:sz="4" w:space="0" w:color="4BACC6" w:themeColor="accent5"/>
              <w:left w:val="nil"/>
              <w:bottom w:val="single" w:sz="4" w:space="0" w:color="4BACC6" w:themeColor="accent5"/>
            </w:tcBorders>
            <w:vAlign w:val="center"/>
          </w:tcPr>
          <w:p w:rsidR="00A545A5" w:rsidRPr="00164A76" w:rsidRDefault="00A545A5" w:rsidP="0060735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100,000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EF2B8D" w:rsidP="0060735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0</w:t>
            </w:r>
          </w:p>
        </w:tc>
        <w:tc>
          <w:tcPr>
            <w:tcW w:w="851" w:type="dxa"/>
            <w:vAlign w:val="center"/>
          </w:tcPr>
          <w:p w:rsidR="00A545A5" w:rsidRPr="00E32651" w:rsidRDefault="00EF2B8D" w:rsidP="0060735B">
            <w:pPr>
              <w:pStyle w:val="CodeNotesExampleHead"/>
              <w:widowControl w:val="0"/>
              <w:jc w:val="center"/>
              <w:cnfStyle w:val="000000000000" w:firstRow="0" w:lastRow="0" w:firstColumn="0" w:lastColumn="0" w:oddVBand="0" w:evenVBand="0" w:oddHBand="0" w:evenHBand="0" w:firstRowFirstColumn="0" w:firstRowLastColumn="0" w:lastRowFirstColumn="0" w:lastRowLastColumn="0"/>
              <w:rPr>
                <w:rFonts w:cs="Arial"/>
                <w:b w:val="0"/>
                <w:color w:val="auto"/>
                <w:sz w:val="20"/>
                <w:szCs w:val="20"/>
                <w:lang w:eastAsia="en-GB"/>
              </w:rPr>
            </w:pPr>
            <w:r w:rsidRPr="00E32651">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EF2B8D" w:rsidP="0060735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0</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A545A5" w:rsidRPr="00E32651" w:rsidRDefault="00EF2B8D" w:rsidP="0060735B">
            <w:pPr>
              <w:pStyle w:val="CodeNotesExampleHead"/>
              <w:widowControl w:val="0"/>
              <w:jc w:val="center"/>
              <w:rPr>
                <w:rFonts w:cs="Arial"/>
                <w:color w:val="auto"/>
                <w:sz w:val="20"/>
                <w:szCs w:val="20"/>
                <w:lang w:eastAsia="en-GB"/>
              </w:rPr>
            </w:pPr>
            <w:r w:rsidRPr="00E32651">
              <w:rPr>
                <w:rFonts w:cs="Arial"/>
                <w:color w:val="auto"/>
                <w:sz w:val="20"/>
                <w:szCs w:val="20"/>
                <w:lang w:eastAsia="en-GB"/>
              </w:rPr>
              <w:t>0</w:t>
            </w:r>
          </w:p>
        </w:tc>
      </w:tr>
      <w:tr w:rsidR="00A545A5" w:rsidRPr="0005794A" w:rsidTr="00607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A545A5" w:rsidRPr="00164A76" w:rsidRDefault="00A545A5" w:rsidP="00A545A5">
            <w:pPr>
              <w:pStyle w:val="CodeNotesExampleHead"/>
              <w:widowControl w:val="0"/>
              <w:jc w:val="center"/>
              <w:rPr>
                <w:rFonts w:cs="Arial"/>
                <w:color w:val="auto"/>
                <w:sz w:val="20"/>
                <w:szCs w:val="20"/>
                <w:lang w:eastAsia="en-GB"/>
              </w:rPr>
            </w:pPr>
            <w:r w:rsidRPr="00164A76">
              <w:rPr>
                <w:rFonts w:cs="Arial"/>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0</w:t>
            </w:r>
          </w:p>
        </w:tc>
        <w:tc>
          <w:tcPr>
            <w:tcW w:w="708" w:type="dxa"/>
            <w:vAlign w:val="center"/>
          </w:tcPr>
          <w:p w:rsidR="00A545A5" w:rsidRPr="00EF2B8D" w:rsidRDefault="00A545A5" w:rsidP="00A545A5">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sz w:val="20"/>
                <w:szCs w:val="20"/>
                <w:lang w:eastAsia="en-GB"/>
              </w:rPr>
            </w:pPr>
            <w:r w:rsidRPr="00EF2B8D">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A545A5" w:rsidRPr="00EF2B8D" w:rsidRDefault="00A545A5" w:rsidP="00A545A5">
            <w:pPr>
              <w:pStyle w:val="CodeNotesExampleHead"/>
              <w:widowControl w:val="0"/>
              <w:jc w:val="center"/>
              <w:rPr>
                <w:rFonts w:cs="Arial"/>
                <w:b w:val="0"/>
                <w:color w:val="auto"/>
                <w:sz w:val="20"/>
                <w:szCs w:val="20"/>
                <w:lang w:eastAsia="en-GB"/>
              </w:rPr>
            </w:pPr>
            <w:r w:rsidRPr="00EF2B8D">
              <w:rPr>
                <w:rFonts w:cs="Arial"/>
                <w:b w:val="0"/>
                <w:color w:val="auto"/>
                <w:sz w:val="20"/>
                <w:szCs w:val="20"/>
                <w:lang w:eastAsia="en-GB"/>
              </w:rPr>
              <w:t>0</w:t>
            </w:r>
          </w:p>
        </w:tc>
        <w:tc>
          <w:tcPr>
            <w:tcW w:w="992" w:type="dxa"/>
            <w:tcBorders>
              <w:right w:val="nil"/>
            </w:tcBorders>
            <w:vAlign w:val="center"/>
          </w:tcPr>
          <w:p w:rsidR="00A545A5" w:rsidRPr="00164A76" w:rsidRDefault="00A545A5" w:rsidP="006073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100,001</w:t>
            </w:r>
          </w:p>
        </w:tc>
        <w:tc>
          <w:tcPr>
            <w:cnfStyle w:val="000010000000" w:firstRow="0" w:lastRow="0" w:firstColumn="0" w:lastColumn="0" w:oddVBand="1" w:evenVBand="0" w:oddHBand="0" w:evenHBand="0" w:firstRowFirstColumn="0" w:firstRowLastColumn="0" w:lastRowFirstColumn="0" w:lastRowLastColumn="0"/>
            <w:tcW w:w="425" w:type="dxa"/>
            <w:gridSpan w:val="2"/>
            <w:tcBorders>
              <w:left w:val="nil"/>
              <w:right w:val="nil"/>
            </w:tcBorders>
            <w:vAlign w:val="center"/>
          </w:tcPr>
          <w:p w:rsidR="00A545A5" w:rsidRPr="00164A76" w:rsidRDefault="00A545A5" w:rsidP="0060735B">
            <w:pPr>
              <w:autoSpaceDE w:val="0"/>
              <w:autoSpaceDN w:val="0"/>
              <w:adjustRightInd w:val="0"/>
              <w:jc w:val="center"/>
              <w:rPr>
                <w:rFonts w:cs="Arial"/>
                <w:color w:val="auto"/>
                <w:sz w:val="20"/>
                <w:szCs w:val="20"/>
                <w:lang w:eastAsia="en-GB"/>
              </w:rPr>
            </w:pPr>
            <w:r w:rsidRPr="00164A76">
              <w:rPr>
                <w:rFonts w:cs="Arial"/>
                <w:color w:val="auto"/>
                <w:sz w:val="20"/>
                <w:szCs w:val="20"/>
                <w:lang w:eastAsia="en-GB"/>
              </w:rPr>
              <w:t>to</w:t>
            </w:r>
          </w:p>
        </w:tc>
        <w:tc>
          <w:tcPr>
            <w:tcW w:w="993" w:type="dxa"/>
            <w:tcBorders>
              <w:left w:val="nil"/>
            </w:tcBorders>
            <w:vAlign w:val="center"/>
          </w:tcPr>
          <w:p w:rsidR="00A545A5" w:rsidRPr="00164A76" w:rsidRDefault="00A545A5" w:rsidP="006073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150,000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EF2B8D" w:rsidP="0060735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0</w:t>
            </w:r>
          </w:p>
        </w:tc>
        <w:tc>
          <w:tcPr>
            <w:tcW w:w="851" w:type="dxa"/>
            <w:vAlign w:val="center"/>
          </w:tcPr>
          <w:p w:rsidR="00A545A5" w:rsidRPr="00E32651" w:rsidRDefault="00EF2B8D" w:rsidP="0060735B">
            <w:pPr>
              <w:pStyle w:val="CodeNotesExampleHead"/>
              <w:widowControl w:val="0"/>
              <w:jc w:val="center"/>
              <w:cnfStyle w:val="000000100000" w:firstRow="0" w:lastRow="0" w:firstColumn="0" w:lastColumn="0" w:oddVBand="0" w:evenVBand="0" w:oddHBand="1" w:evenHBand="0" w:firstRowFirstColumn="0" w:firstRowLastColumn="0" w:lastRowFirstColumn="0" w:lastRowLastColumn="0"/>
              <w:rPr>
                <w:rFonts w:cs="Arial"/>
                <w:b w:val="0"/>
                <w:color w:val="auto"/>
                <w:sz w:val="20"/>
                <w:szCs w:val="20"/>
                <w:lang w:eastAsia="en-GB"/>
              </w:rPr>
            </w:pPr>
            <w:r w:rsidRPr="00E32651">
              <w:rPr>
                <w:rFonts w:cs="Arial"/>
                <w:b w:val="0"/>
                <w:color w:val="auto"/>
                <w:sz w:val="20"/>
                <w:szCs w:val="20"/>
                <w:lang w:eastAsia="en-GB"/>
              </w:rPr>
              <w:t>0</w:t>
            </w:r>
          </w:p>
        </w:tc>
        <w:tc>
          <w:tcPr>
            <w:cnfStyle w:val="000010000000" w:firstRow="0" w:lastRow="0" w:firstColumn="0" w:lastColumn="0" w:oddVBand="1" w:evenVBand="0" w:oddHBand="0" w:evenHBand="0" w:firstRowFirstColumn="0" w:firstRowLastColumn="0" w:lastRowFirstColumn="0" w:lastRowLastColumn="0"/>
            <w:tcW w:w="850" w:type="dxa"/>
            <w:vAlign w:val="center"/>
          </w:tcPr>
          <w:p w:rsidR="00A545A5" w:rsidRPr="00E32651" w:rsidRDefault="00EF2B8D" w:rsidP="0060735B">
            <w:pPr>
              <w:pStyle w:val="CodeNotesExampleHead"/>
              <w:widowControl w:val="0"/>
              <w:jc w:val="center"/>
              <w:rPr>
                <w:rFonts w:cs="Arial"/>
                <w:b w:val="0"/>
                <w:color w:val="auto"/>
                <w:sz w:val="20"/>
                <w:szCs w:val="20"/>
                <w:lang w:eastAsia="en-GB"/>
              </w:rPr>
            </w:pPr>
            <w:r w:rsidRPr="00E32651">
              <w:rPr>
                <w:rFonts w:cs="Arial"/>
                <w:b w:val="0"/>
                <w:color w:val="auto"/>
                <w:sz w:val="20"/>
                <w:szCs w:val="20"/>
                <w:lang w:eastAsia="en-GB"/>
              </w:rPr>
              <w:t>0</w:t>
            </w:r>
          </w:p>
        </w:tc>
        <w:tc>
          <w:tcPr>
            <w:cnfStyle w:val="000100000000" w:firstRow="0" w:lastRow="0" w:firstColumn="0" w:lastColumn="1" w:oddVBand="0" w:evenVBand="0" w:oddHBand="0" w:evenHBand="0" w:firstRowFirstColumn="0" w:firstRowLastColumn="0" w:lastRowFirstColumn="0" w:lastRowLastColumn="0"/>
            <w:tcW w:w="992" w:type="dxa"/>
            <w:vAlign w:val="center"/>
          </w:tcPr>
          <w:p w:rsidR="00A545A5" w:rsidRPr="00E32651" w:rsidRDefault="00EF2B8D" w:rsidP="0060735B">
            <w:pPr>
              <w:pStyle w:val="CodeNotesExampleHead"/>
              <w:widowControl w:val="0"/>
              <w:jc w:val="center"/>
              <w:rPr>
                <w:rFonts w:cs="Arial"/>
                <w:color w:val="auto"/>
                <w:sz w:val="20"/>
                <w:szCs w:val="20"/>
                <w:lang w:eastAsia="en-GB"/>
              </w:rPr>
            </w:pPr>
            <w:r w:rsidRPr="00E32651">
              <w:rPr>
                <w:rFonts w:cs="Arial"/>
                <w:color w:val="auto"/>
                <w:sz w:val="20"/>
                <w:szCs w:val="20"/>
                <w:lang w:eastAsia="en-GB"/>
              </w:rPr>
              <w:t>0</w:t>
            </w:r>
          </w:p>
        </w:tc>
      </w:tr>
      <w:tr w:rsidR="00A545A5" w:rsidRPr="0005794A" w:rsidTr="0060735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09" w:type="dxa"/>
            <w:tcBorders>
              <w:top w:val="single" w:sz="4" w:space="0" w:color="4BACC6" w:themeColor="accent5"/>
              <w:bottom w:val="single" w:sz="4" w:space="0" w:color="4BACC6" w:themeColor="accent5"/>
            </w:tcBorders>
            <w:vAlign w:val="center"/>
          </w:tcPr>
          <w:p w:rsidR="00A545A5" w:rsidRPr="00164A76" w:rsidRDefault="00A545A5" w:rsidP="00A545A5">
            <w:pPr>
              <w:pStyle w:val="CodeNotesExampleHead"/>
              <w:widowControl w:val="0"/>
              <w:jc w:val="center"/>
              <w:rPr>
                <w:rFonts w:cs="Arial"/>
                <w:color w:val="auto"/>
                <w:sz w:val="20"/>
                <w:szCs w:val="20"/>
                <w:lang w:eastAsia="en-GB"/>
              </w:rPr>
            </w:pPr>
            <w:r w:rsidRPr="00164A76">
              <w:rPr>
                <w:rFonts w:cs="Arial"/>
                <w:color w:val="auto"/>
                <w:sz w:val="20"/>
                <w:szCs w:val="20"/>
                <w:lang w:eastAsia="en-GB"/>
              </w:rPr>
              <w:t>33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4BACC6" w:themeColor="accent5"/>
              <w:bottom w:val="single" w:sz="4" w:space="0" w:color="4BACC6" w:themeColor="accent5"/>
            </w:tcBorders>
            <w:vAlign w:val="center"/>
          </w:tcPr>
          <w:p w:rsidR="00A545A5" w:rsidRPr="00164A76" w:rsidRDefault="00A545A5" w:rsidP="00A545A5">
            <w:pPr>
              <w:pStyle w:val="CodeNotesExampleHead"/>
              <w:widowControl w:val="0"/>
              <w:jc w:val="center"/>
              <w:rPr>
                <w:rFonts w:cs="Arial"/>
                <w:color w:val="auto"/>
                <w:sz w:val="20"/>
                <w:szCs w:val="20"/>
                <w:lang w:eastAsia="en-GB"/>
              </w:rPr>
            </w:pPr>
            <w:r w:rsidRPr="00164A76">
              <w:rPr>
                <w:rFonts w:cs="Arial"/>
                <w:color w:val="auto"/>
                <w:sz w:val="20"/>
                <w:szCs w:val="20"/>
                <w:lang w:eastAsia="en-GB"/>
              </w:rPr>
              <w:t>487</w:t>
            </w:r>
          </w:p>
        </w:tc>
        <w:tc>
          <w:tcPr>
            <w:tcW w:w="708" w:type="dxa"/>
            <w:tcBorders>
              <w:top w:val="single" w:sz="4" w:space="0" w:color="4BACC6" w:themeColor="accent5"/>
              <w:bottom w:val="single" w:sz="4" w:space="0" w:color="4BACC6" w:themeColor="accent5"/>
            </w:tcBorders>
            <w:vAlign w:val="center"/>
          </w:tcPr>
          <w:p w:rsidR="00A545A5" w:rsidRPr="00164A76" w:rsidRDefault="00A545A5" w:rsidP="00A545A5">
            <w:pPr>
              <w:pStyle w:val="CodeNotesExampleHead"/>
              <w:widowControl w:val="0"/>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lang w:eastAsia="en-GB"/>
              </w:rPr>
            </w:pPr>
            <w:r w:rsidRPr="00164A76">
              <w:rPr>
                <w:rFonts w:cs="Arial"/>
                <w:color w:val="auto"/>
                <w:sz w:val="20"/>
                <w:szCs w:val="20"/>
                <w:lang w:eastAsia="en-GB"/>
              </w:rPr>
              <w:t>10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4BACC6" w:themeColor="accent5"/>
              <w:bottom w:val="single" w:sz="4" w:space="0" w:color="4BACC6" w:themeColor="accent5"/>
            </w:tcBorders>
            <w:vAlign w:val="center"/>
          </w:tcPr>
          <w:p w:rsidR="00A545A5" w:rsidRPr="00164A76" w:rsidRDefault="00A545A5" w:rsidP="00A545A5">
            <w:pPr>
              <w:pStyle w:val="CodeNotesExampleHead"/>
              <w:widowControl w:val="0"/>
              <w:jc w:val="center"/>
              <w:rPr>
                <w:rFonts w:cs="Arial"/>
                <w:color w:val="auto"/>
                <w:sz w:val="20"/>
                <w:szCs w:val="20"/>
                <w:lang w:eastAsia="en-GB"/>
              </w:rPr>
            </w:pPr>
            <w:r w:rsidRPr="00164A76">
              <w:rPr>
                <w:rFonts w:cs="Arial"/>
                <w:color w:val="auto"/>
                <w:sz w:val="20"/>
                <w:szCs w:val="20"/>
                <w:lang w:eastAsia="en-GB"/>
              </w:rPr>
              <w:t>100</w:t>
            </w:r>
          </w:p>
        </w:tc>
        <w:tc>
          <w:tcPr>
            <w:tcW w:w="2410" w:type="dxa"/>
            <w:gridSpan w:val="4"/>
            <w:tcBorders>
              <w:top w:val="single" w:sz="4" w:space="0" w:color="4BACC6" w:themeColor="accent5"/>
              <w:bottom w:val="single" w:sz="4" w:space="0" w:color="4BACC6" w:themeColor="accent5"/>
            </w:tcBorders>
            <w:vAlign w:val="center"/>
          </w:tcPr>
          <w:p w:rsidR="00A545A5" w:rsidRPr="00164A76" w:rsidRDefault="00A545A5" w:rsidP="0060735B">
            <w:pPr>
              <w:pStyle w:val="CodeNotesExampleHead"/>
              <w:widowControl w:val="0"/>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lang w:eastAsia="en-GB"/>
              </w:rPr>
            </w:pPr>
          </w:p>
          <w:p w:rsidR="00A545A5" w:rsidRPr="00164A76" w:rsidRDefault="00A545A5" w:rsidP="0060735B">
            <w:pPr>
              <w:pStyle w:val="CodeNotesExampleHead"/>
              <w:widowControl w:val="0"/>
              <w:jc w:val="center"/>
              <w:cnfStyle w:val="010000000000" w:firstRow="0" w:lastRow="1" w:firstColumn="0" w:lastColumn="0" w:oddVBand="0" w:evenVBand="0" w:oddHBand="0" w:evenHBand="0" w:firstRowFirstColumn="0" w:firstRowLastColumn="0" w:lastRowFirstColumn="0" w:lastRowLastColumn="0"/>
              <w:rPr>
                <w:rFonts w:cs="Arial"/>
                <w:color w:val="auto"/>
                <w:sz w:val="20"/>
                <w:szCs w:val="20"/>
                <w:lang w:eastAsia="en-GB"/>
              </w:rPr>
            </w:pP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4BACC6" w:themeColor="accent5"/>
              <w:bottom w:val="single" w:sz="4" w:space="0" w:color="4BACC6" w:themeColor="accent5"/>
            </w:tcBorders>
            <w:vAlign w:val="center"/>
          </w:tcPr>
          <w:p w:rsidR="00A545A5" w:rsidRPr="00757FEB" w:rsidRDefault="00757FEB" w:rsidP="0060735B">
            <w:pPr>
              <w:pStyle w:val="CodeNotesExampleHead"/>
              <w:widowControl w:val="0"/>
              <w:jc w:val="center"/>
              <w:rPr>
                <w:rFonts w:cs="Arial"/>
                <w:b/>
                <w:color w:val="auto"/>
                <w:sz w:val="20"/>
                <w:szCs w:val="20"/>
                <w:lang w:eastAsia="en-GB"/>
              </w:rPr>
            </w:pPr>
            <w:r>
              <w:rPr>
                <w:rFonts w:cs="Arial"/>
                <w:b/>
                <w:color w:val="auto"/>
                <w:sz w:val="20"/>
                <w:szCs w:val="20"/>
                <w:lang w:eastAsia="en-GB"/>
              </w:rPr>
              <w:t>28</w:t>
            </w:r>
          </w:p>
        </w:tc>
        <w:tc>
          <w:tcPr>
            <w:tcW w:w="851" w:type="dxa"/>
            <w:tcBorders>
              <w:top w:val="single" w:sz="4" w:space="0" w:color="4BACC6" w:themeColor="accent5"/>
              <w:bottom w:val="single" w:sz="4" w:space="0" w:color="4BACC6" w:themeColor="accent5"/>
            </w:tcBorders>
            <w:vAlign w:val="center"/>
          </w:tcPr>
          <w:p w:rsidR="00A545A5" w:rsidRPr="00757FEB" w:rsidRDefault="00EF2B8D" w:rsidP="001F7275">
            <w:pPr>
              <w:pStyle w:val="CodeNotesExampleHead"/>
              <w:widowControl w:val="0"/>
              <w:jc w:val="center"/>
              <w:cnfStyle w:val="010000000000" w:firstRow="0" w:lastRow="1" w:firstColumn="0" w:lastColumn="0" w:oddVBand="0" w:evenVBand="0" w:oddHBand="0" w:evenHBand="0" w:firstRowFirstColumn="0" w:firstRowLastColumn="0" w:lastRowFirstColumn="0" w:lastRowLastColumn="0"/>
              <w:rPr>
                <w:rFonts w:cs="Arial"/>
                <w:b/>
                <w:color w:val="auto"/>
                <w:sz w:val="20"/>
                <w:szCs w:val="20"/>
                <w:lang w:eastAsia="en-GB"/>
              </w:rPr>
            </w:pPr>
            <w:r w:rsidRPr="00757FEB">
              <w:rPr>
                <w:rFonts w:cs="Arial"/>
                <w:b/>
                <w:color w:val="auto"/>
                <w:sz w:val="20"/>
                <w:szCs w:val="20"/>
                <w:lang w:eastAsia="en-GB"/>
              </w:rPr>
              <w:t>2</w:t>
            </w:r>
            <w:r w:rsidR="00757FEB">
              <w:rPr>
                <w:rFonts w:cs="Arial"/>
                <w:b/>
                <w:color w:val="auto"/>
                <w:sz w:val="20"/>
                <w:szCs w:val="20"/>
                <w:lang w:eastAsia="en-GB"/>
              </w:rPr>
              <w:t>3</w:t>
            </w:r>
            <w:r w:rsidR="001F7275">
              <w:rPr>
                <w:rFonts w:cs="Arial"/>
                <w:b/>
                <w:color w:val="auto"/>
                <w:sz w:val="20"/>
                <w:szCs w:val="20"/>
                <w:lang w:eastAsia="en-GB"/>
              </w:rPr>
              <w:t>6</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4BACC6" w:themeColor="accent5"/>
              <w:bottom w:val="single" w:sz="4" w:space="0" w:color="4BACC6" w:themeColor="accent5"/>
            </w:tcBorders>
            <w:vAlign w:val="center"/>
          </w:tcPr>
          <w:p w:rsidR="00A545A5" w:rsidRPr="00757FEB" w:rsidRDefault="00757FEB" w:rsidP="0060735B">
            <w:pPr>
              <w:pStyle w:val="CodeNotesExampleHead"/>
              <w:widowControl w:val="0"/>
              <w:jc w:val="center"/>
              <w:rPr>
                <w:rFonts w:cs="Arial"/>
                <w:b/>
                <w:color w:val="auto"/>
                <w:sz w:val="20"/>
                <w:szCs w:val="20"/>
                <w:lang w:eastAsia="en-GB"/>
              </w:rPr>
            </w:pPr>
            <w:r>
              <w:rPr>
                <w:rFonts w:cs="Arial"/>
                <w:b/>
                <w:color w:val="auto"/>
                <w:sz w:val="20"/>
                <w:szCs w:val="20"/>
                <w:lang w:eastAsia="en-GB"/>
              </w:rPr>
              <w:t>3</w:t>
            </w:r>
          </w:p>
        </w:tc>
        <w:tc>
          <w:tcPr>
            <w:cnfStyle w:val="000100000010" w:firstRow="0" w:lastRow="0" w:firstColumn="0" w:lastColumn="1" w:oddVBand="0" w:evenVBand="0" w:oddHBand="0" w:evenHBand="0" w:firstRowFirstColumn="0" w:firstRowLastColumn="0" w:lastRowFirstColumn="0" w:lastRowLastColumn="1"/>
            <w:tcW w:w="992" w:type="dxa"/>
            <w:tcBorders>
              <w:top w:val="single" w:sz="4" w:space="0" w:color="4BACC6" w:themeColor="accent5"/>
              <w:bottom w:val="single" w:sz="4" w:space="0" w:color="4BACC6" w:themeColor="accent5"/>
            </w:tcBorders>
            <w:vAlign w:val="center"/>
          </w:tcPr>
          <w:p w:rsidR="00A545A5" w:rsidRPr="00757FEB" w:rsidRDefault="00757FEB" w:rsidP="0060735B">
            <w:pPr>
              <w:pStyle w:val="CodeNotesExampleHead"/>
              <w:widowControl w:val="0"/>
              <w:jc w:val="center"/>
              <w:rPr>
                <w:rFonts w:cs="Arial"/>
                <w:b/>
                <w:color w:val="auto"/>
                <w:sz w:val="20"/>
                <w:szCs w:val="20"/>
                <w:lang w:eastAsia="en-GB"/>
              </w:rPr>
            </w:pPr>
            <w:r>
              <w:rPr>
                <w:rFonts w:cs="Arial"/>
                <w:b/>
                <w:color w:val="auto"/>
                <w:sz w:val="20"/>
                <w:szCs w:val="20"/>
                <w:lang w:eastAsia="en-GB"/>
              </w:rPr>
              <w:t>63</w:t>
            </w:r>
          </w:p>
        </w:tc>
      </w:tr>
    </w:tbl>
    <w:p w:rsidR="001C4A8E" w:rsidRPr="0005794A" w:rsidRDefault="001C4A8E" w:rsidP="00E103A6">
      <w:pPr>
        <w:pStyle w:val="CodeNotesExampleText"/>
        <w:widowControl w:val="0"/>
        <w:outlineLvl w:val="0"/>
        <w:rPr>
          <w:b/>
          <w:color w:val="548DD4" w:themeColor="text2" w:themeTint="99"/>
          <w:sz w:val="21"/>
          <w:szCs w:val="21"/>
        </w:rPr>
      </w:pPr>
    </w:p>
    <w:p w:rsidR="00E51139" w:rsidRPr="00D51F2E" w:rsidRDefault="005C68D8" w:rsidP="001C4A8E">
      <w:pPr>
        <w:pStyle w:val="Subtitle"/>
        <w:ind w:left="567" w:hanging="567"/>
        <w:rPr>
          <w:b/>
          <w:color w:val="auto"/>
          <w:sz w:val="22"/>
          <w:szCs w:val="22"/>
        </w:rPr>
      </w:pPr>
      <w:r w:rsidRPr="00D51F2E">
        <w:rPr>
          <w:b/>
          <w:color w:val="auto"/>
          <w:sz w:val="22"/>
          <w:szCs w:val="22"/>
        </w:rPr>
        <w:t>3</w:t>
      </w:r>
      <w:r w:rsidR="00E103A6" w:rsidRPr="00D51F2E">
        <w:rPr>
          <w:b/>
          <w:color w:val="auto"/>
          <w:sz w:val="22"/>
          <w:szCs w:val="22"/>
        </w:rPr>
        <w:t>7</w:t>
      </w:r>
      <w:r w:rsidR="000A1BAE" w:rsidRPr="00D51F2E">
        <w:rPr>
          <w:b/>
          <w:color w:val="auto"/>
          <w:sz w:val="22"/>
          <w:szCs w:val="22"/>
        </w:rPr>
        <w:t>.</w:t>
      </w:r>
      <w:r w:rsidR="00E51139" w:rsidRPr="00D51F2E">
        <w:rPr>
          <w:b/>
          <w:color w:val="auto"/>
          <w:sz w:val="22"/>
          <w:szCs w:val="22"/>
        </w:rPr>
        <w:tab/>
        <w:t>Capital Expenditure and Capital Financing</w:t>
      </w:r>
    </w:p>
    <w:p w:rsidR="00576847" w:rsidRDefault="00E51139" w:rsidP="001C4A8E">
      <w:pPr>
        <w:pStyle w:val="ExampleSub"/>
        <w:keepNext w:val="0"/>
        <w:keepLines w:val="0"/>
        <w:spacing w:before="120" w:line="240" w:lineRule="atLeast"/>
        <w:outlineLvl w:val="0"/>
        <w:rPr>
          <w:rFonts w:ascii="Arial" w:hAnsi="Arial" w:cs="Arial"/>
          <w:b w:val="0"/>
          <w:bCs w:val="0"/>
          <w:color w:val="auto"/>
          <w:sz w:val="20"/>
          <w:szCs w:val="20"/>
          <w:lang w:eastAsia="en-US"/>
        </w:rPr>
      </w:pPr>
      <w:r w:rsidRPr="00D51F2E">
        <w:rPr>
          <w:rFonts w:ascii="Arial" w:hAnsi="Arial" w:cs="Arial"/>
          <w:b w:val="0"/>
          <w:bCs w:val="0"/>
          <w:color w:val="auto"/>
          <w:sz w:val="20"/>
          <w:szCs w:val="20"/>
          <w:lang w:eastAsia="en-US"/>
        </w:rPr>
        <w:t>The total amount of capital expenditure incurred in the year is shown in the table below, together with the resources that have been used to finance it.  Where capital expenditure is to be financed in future years by charges to revenue as assets are used by the Council over their asset life, the expenditure results in an increase in the Capital Financing Requirement (CFR). This is a measure of the capital expenditure incurred historically by the Council that has yet to be financed.  The CFR is analysed in the table below.</w:t>
      </w:r>
    </w:p>
    <w:p w:rsidR="00BE608E" w:rsidRPr="0005794A" w:rsidRDefault="00BE608E" w:rsidP="001C4A8E">
      <w:pPr>
        <w:pStyle w:val="ExampleSub"/>
        <w:keepNext w:val="0"/>
        <w:keepLines w:val="0"/>
        <w:spacing w:before="120" w:line="240" w:lineRule="atLeast"/>
        <w:outlineLvl w:val="0"/>
        <w:rPr>
          <w:rFonts w:ascii="Arial" w:hAnsi="Arial" w:cs="Arial"/>
          <w:b w:val="0"/>
          <w:bCs w:val="0"/>
          <w:color w:val="548DD4" w:themeColor="text2" w:themeTint="99"/>
          <w:sz w:val="20"/>
          <w:szCs w:val="20"/>
          <w:lang w:eastAsia="en-US"/>
        </w:rPr>
      </w:pPr>
    </w:p>
    <w:tbl>
      <w:tblPr>
        <w:tblStyle w:val="ListTable3-Accent51"/>
        <w:tblpPr w:leftFromText="180" w:rightFromText="180" w:vertAnchor="text" w:horzAnchor="margin" w:tblpXSpec="center" w:tblpY="165"/>
        <w:tblW w:w="7962" w:type="dxa"/>
        <w:tblBorders>
          <w:insideH w:val="single" w:sz="4" w:space="0" w:color="4BACC6" w:themeColor="accent5"/>
          <w:insideV w:val="single" w:sz="4" w:space="0" w:color="4BACC6" w:themeColor="accent5"/>
        </w:tblBorders>
        <w:tblLayout w:type="fixed"/>
        <w:tblLook w:val="0000" w:firstRow="0" w:lastRow="0" w:firstColumn="0" w:lastColumn="0" w:noHBand="0" w:noVBand="0"/>
      </w:tblPr>
      <w:tblGrid>
        <w:gridCol w:w="1384"/>
        <w:gridCol w:w="5172"/>
        <w:gridCol w:w="1406"/>
      </w:tblGrid>
      <w:tr w:rsidR="00572F51" w:rsidRPr="00164A76" w:rsidTr="00DD4207">
        <w:trPr>
          <w:trHeight w:val="593"/>
          <w:tblHeader/>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shd w:val="clear" w:color="auto" w:fill="4BACC6" w:themeFill="accent5"/>
          </w:tcPr>
          <w:p w:rsidR="00572F51" w:rsidRPr="00164A76" w:rsidRDefault="00572F51" w:rsidP="00572F51">
            <w:pPr>
              <w:pStyle w:val="CodeNotesExampleText"/>
              <w:widowControl w:val="0"/>
              <w:jc w:val="center"/>
              <w:rPr>
                <w:rFonts w:cs="Arial"/>
                <w:bCs/>
                <w:color w:val="auto"/>
                <w:sz w:val="20"/>
                <w:szCs w:val="20"/>
              </w:rPr>
            </w:pPr>
            <w:r w:rsidRPr="00164A76">
              <w:rPr>
                <w:rFonts w:cs="Arial"/>
                <w:bCs/>
                <w:color w:val="auto"/>
                <w:sz w:val="20"/>
                <w:szCs w:val="20"/>
              </w:rPr>
              <w:lastRenderedPageBreak/>
              <w:t>201</w:t>
            </w:r>
            <w:r w:rsidR="00164A76" w:rsidRPr="00164A76">
              <w:rPr>
                <w:rFonts w:cs="Arial"/>
                <w:bCs/>
                <w:color w:val="auto"/>
                <w:sz w:val="20"/>
                <w:szCs w:val="20"/>
              </w:rPr>
              <w:t>6</w:t>
            </w:r>
            <w:r w:rsidRPr="00164A76">
              <w:rPr>
                <w:rFonts w:cs="Arial"/>
                <w:bCs/>
                <w:color w:val="auto"/>
                <w:sz w:val="20"/>
                <w:szCs w:val="20"/>
              </w:rPr>
              <w:t>/1</w:t>
            </w:r>
            <w:r w:rsidR="00164A76" w:rsidRPr="00164A76">
              <w:rPr>
                <w:rFonts w:cs="Arial"/>
                <w:bCs/>
                <w:color w:val="auto"/>
                <w:sz w:val="20"/>
                <w:szCs w:val="20"/>
              </w:rPr>
              <w:t>7</w:t>
            </w:r>
          </w:p>
          <w:p w:rsidR="00572F51" w:rsidRPr="00164A76" w:rsidRDefault="00572F51" w:rsidP="00572F51">
            <w:pPr>
              <w:pStyle w:val="CodeNotesExampleText"/>
              <w:widowControl w:val="0"/>
              <w:jc w:val="center"/>
              <w:rPr>
                <w:rFonts w:cs="Arial"/>
                <w:b/>
                <w:bCs/>
                <w:color w:val="auto"/>
                <w:sz w:val="20"/>
                <w:szCs w:val="20"/>
                <w:lang w:val="en-US"/>
              </w:rPr>
            </w:pPr>
            <w:r w:rsidRPr="00164A76">
              <w:rPr>
                <w:rFonts w:cs="Arial"/>
                <w:bCs/>
                <w:color w:val="auto"/>
                <w:sz w:val="20"/>
                <w:szCs w:val="20"/>
              </w:rPr>
              <w:t>£m</w:t>
            </w:r>
          </w:p>
        </w:tc>
        <w:tc>
          <w:tcPr>
            <w:tcW w:w="5172" w:type="dxa"/>
            <w:shd w:val="clear" w:color="auto" w:fill="4BACC6" w:themeFill="accent5"/>
          </w:tcPr>
          <w:p w:rsidR="00572F51" w:rsidRPr="00164A76" w:rsidRDefault="00802E21" w:rsidP="00572F51">
            <w:pPr>
              <w:pStyle w:val="CodeNotesExampleText"/>
              <w:widowControl w:val="0"/>
              <w:ind w:left="567"/>
              <w:jc w:val="center"/>
              <w:cnfStyle w:val="000000000000" w:firstRow="0" w:lastRow="0" w:firstColumn="0" w:lastColumn="0" w:oddVBand="0" w:evenVBand="0" w:oddHBand="0" w:evenHBand="0" w:firstRowFirstColumn="0" w:firstRowLastColumn="0" w:lastRowFirstColumn="0" w:lastRowLastColumn="0"/>
              <w:rPr>
                <w:rFonts w:cs="Arial"/>
                <w:b/>
                <w:color w:val="auto"/>
                <w:sz w:val="22"/>
                <w:szCs w:val="22"/>
              </w:rPr>
            </w:pPr>
            <w:r w:rsidRPr="00164A76">
              <w:rPr>
                <w:rFonts w:cs="Arial"/>
                <w:b/>
                <w:color w:val="auto"/>
                <w:sz w:val="22"/>
                <w:szCs w:val="22"/>
              </w:rPr>
              <w:t>Capital Financing Requirement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shd w:val="clear" w:color="auto" w:fill="4BACC6" w:themeFill="accent5"/>
          </w:tcPr>
          <w:p w:rsidR="00572F51" w:rsidRPr="00164A76" w:rsidRDefault="00572F51" w:rsidP="008A4204">
            <w:pPr>
              <w:pStyle w:val="CodeNotesExampleText"/>
              <w:widowControl w:val="0"/>
              <w:jc w:val="center"/>
              <w:rPr>
                <w:rFonts w:cs="Arial"/>
                <w:b/>
                <w:bCs/>
                <w:color w:val="auto"/>
                <w:sz w:val="20"/>
                <w:szCs w:val="20"/>
                <w:lang w:val="en-US"/>
              </w:rPr>
            </w:pPr>
            <w:r w:rsidRPr="00164A76">
              <w:rPr>
                <w:rFonts w:cs="Arial"/>
                <w:b/>
                <w:bCs/>
                <w:color w:val="auto"/>
                <w:sz w:val="20"/>
                <w:szCs w:val="20"/>
              </w:rPr>
              <w:t>201</w:t>
            </w:r>
            <w:r w:rsidR="00164A76" w:rsidRPr="00164A76">
              <w:rPr>
                <w:rFonts w:cs="Arial"/>
                <w:b/>
                <w:bCs/>
                <w:color w:val="auto"/>
                <w:sz w:val="20"/>
                <w:szCs w:val="20"/>
              </w:rPr>
              <w:t>7</w:t>
            </w:r>
            <w:r w:rsidRPr="00164A76">
              <w:rPr>
                <w:rFonts w:cs="Arial"/>
                <w:b/>
                <w:bCs/>
                <w:color w:val="auto"/>
                <w:sz w:val="20"/>
                <w:szCs w:val="20"/>
              </w:rPr>
              <w:t>/1</w:t>
            </w:r>
            <w:r w:rsidR="00164A76" w:rsidRPr="00164A76">
              <w:rPr>
                <w:rFonts w:cs="Arial"/>
                <w:b/>
                <w:bCs/>
                <w:color w:val="auto"/>
                <w:sz w:val="20"/>
                <w:szCs w:val="20"/>
              </w:rPr>
              <w:t>8</w:t>
            </w:r>
            <w:r w:rsidRPr="00164A76">
              <w:rPr>
                <w:rFonts w:cs="Arial"/>
                <w:b/>
                <w:bCs/>
                <w:color w:val="auto"/>
                <w:sz w:val="20"/>
                <w:szCs w:val="20"/>
              </w:rPr>
              <w:br/>
              <w:t>£m</w:t>
            </w:r>
          </w:p>
        </w:tc>
      </w:tr>
      <w:tr w:rsidR="00164A76" w:rsidRPr="00164A76"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C63363" w:rsidP="00C63363">
            <w:pPr>
              <w:pStyle w:val="CodeNotesExampleHead"/>
              <w:widowControl w:val="0"/>
              <w:jc w:val="center"/>
              <w:rPr>
                <w:rFonts w:cs="Arial"/>
                <w:b w:val="0"/>
                <w:color w:val="auto"/>
                <w:sz w:val="20"/>
                <w:szCs w:val="20"/>
                <w:lang w:eastAsia="en-GB"/>
              </w:rPr>
            </w:pPr>
            <w:r>
              <w:rPr>
                <w:rFonts w:cs="Arial"/>
                <w:b w:val="0"/>
                <w:color w:val="auto"/>
                <w:sz w:val="20"/>
                <w:szCs w:val="20"/>
                <w:lang w:eastAsia="en-GB"/>
              </w:rPr>
              <w:t>151.1</w:t>
            </w:r>
          </w:p>
        </w:tc>
        <w:tc>
          <w:tcPr>
            <w:tcW w:w="5172" w:type="dxa"/>
            <w:vAlign w:val="center"/>
          </w:tcPr>
          <w:p w:rsidR="00164A76" w:rsidRPr="00164A76" w:rsidRDefault="00164A76" w:rsidP="008A4204">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b/>
                <w:iCs/>
                <w:color w:val="auto"/>
                <w:sz w:val="20"/>
                <w:szCs w:val="20"/>
              </w:rPr>
            </w:pPr>
            <w:r w:rsidRPr="00164A76">
              <w:rPr>
                <w:rFonts w:cs="Arial"/>
                <w:b/>
                <w:iCs/>
                <w:color w:val="auto"/>
                <w:sz w:val="20"/>
                <w:szCs w:val="20"/>
              </w:rPr>
              <w:t>Opening Capital Financing Requirement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164A76" w:rsidRDefault="00E265F0" w:rsidP="00164A76">
            <w:pPr>
              <w:pStyle w:val="CodeNotesExampleHead"/>
              <w:widowControl w:val="0"/>
              <w:jc w:val="center"/>
              <w:rPr>
                <w:rFonts w:cs="Arial"/>
                <w:color w:val="auto"/>
                <w:sz w:val="20"/>
                <w:szCs w:val="20"/>
                <w:lang w:eastAsia="en-GB"/>
              </w:rPr>
            </w:pPr>
            <w:r>
              <w:rPr>
                <w:rFonts w:cs="Arial"/>
                <w:color w:val="auto"/>
                <w:sz w:val="20"/>
                <w:szCs w:val="20"/>
                <w:lang w:eastAsia="en-GB"/>
              </w:rPr>
              <w:t>174.3</w:t>
            </w:r>
          </w:p>
        </w:tc>
      </w:tr>
      <w:tr w:rsidR="00164A76" w:rsidRPr="00164A76"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Head"/>
              <w:widowControl w:val="0"/>
              <w:jc w:val="center"/>
              <w:rPr>
                <w:rFonts w:cs="Arial"/>
                <w:b w:val="0"/>
                <w:color w:val="auto"/>
                <w:sz w:val="20"/>
                <w:szCs w:val="20"/>
                <w:lang w:eastAsia="en-GB"/>
              </w:rPr>
            </w:pPr>
          </w:p>
        </w:tc>
        <w:tc>
          <w:tcPr>
            <w:tcW w:w="5172" w:type="dxa"/>
            <w:vAlign w:val="center"/>
          </w:tcPr>
          <w:p w:rsidR="00164A76" w:rsidRPr="00164A76" w:rsidRDefault="00164A76" w:rsidP="008A4204">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iCs/>
                <w:color w:val="auto"/>
                <w:sz w:val="20"/>
                <w:szCs w:val="20"/>
              </w:rPr>
            </w:pPr>
            <w:r w:rsidRPr="00164A76">
              <w:rPr>
                <w:rFonts w:cs="Arial"/>
                <w:iCs/>
                <w:color w:val="auto"/>
                <w:sz w:val="20"/>
                <w:szCs w:val="20"/>
              </w:rPr>
              <w:t>Capital investment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164A76" w:rsidRDefault="00164A76" w:rsidP="00164A76">
            <w:pPr>
              <w:pStyle w:val="CodeNotesExampleHead"/>
              <w:widowControl w:val="0"/>
              <w:jc w:val="center"/>
              <w:rPr>
                <w:rFonts w:cs="Arial"/>
                <w:color w:val="auto"/>
                <w:sz w:val="20"/>
                <w:szCs w:val="20"/>
                <w:lang w:eastAsia="en-GB"/>
              </w:rPr>
            </w:pPr>
          </w:p>
        </w:tc>
      </w:tr>
      <w:tr w:rsidR="00164A76" w:rsidRPr="00164A76"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584BEA" w:rsidP="00164A76">
            <w:pPr>
              <w:pStyle w:val="CodeNotesExampleHead"/>
              <w:widowControl w:val="0"/>
              <w:jc w:val="center"/>
              <w:rPr>
                <w:rFonts w:cs="Arial"/>
                <w:b w:val="0"/>
                <w:color w:val="auto"/>
                <w:sz w:val="20"/>
                <w:szCs w:val="20"/>
                <w:lang w:eastAsia="en-GB"/>
              </w:rPr>
            </w:pPr>
            <w:r>
              <w:rPr>
                <w:rFonts w:cs="Arial"/>
                <w:b w:val="0"/>
                <w:color w:val="auto"/>
                <w:sz w:val="20"/>
                <w:szCs w:val="20"/>
                <w:lang w:eastAsia="en-GB"/>
              </w:rPr>
              <w:t>9.4</w:t>
            </w:r>
          </w:p>
        </w:tc>
        <w:tc>
          <w:tcPr>
            <w:tcW w:w="5172" w:type="dxa"/>
            <w:vAlign w:val="center"/>
          </w:tcPr>
          <w:p w:rsidR="00164A76" w:rsidRPr="00164A76" w:rsidRDefault="00164A76" w:rsidP="008A4204">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64A76">
              <w:rPr>
                <w:rFonts w:cs="Arial"/>
                <w:color w:val="auto"/>
                <w:sz w:val="20"/>
                <w:szCs w:val="20"/>
              </w:rPr>
              <w:t>Property, Plant and Equipment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802ABC" w:rsidRDefault="0008621D" w:rsidP="00164A76">
            <w:pPr>
              <w:pStyle w:val="CodeNotesExampleHead"/>
              <w:widowControl w:val="0"/>
              <w:jc w:val="center"/>
              <w:rPr>
                <w:rFonts w:cs="Arial"/>
                <w:color w:val="auto"/>
                <w:sz w:val="20"/>
                <w:szCs w:val="20"/>
                <w:lang w:eastAsia="en-GB"/>
              </w:rPr>
            </w:pPr>
            <w:r w:rsidRPr="00802ABC">
              <w:rPr>
                <w:rFonts w:cs="Arial"/>
                <w:color w:val="auto"/>
                <w:sz w:val="20"/>
                <w:szCs w:val="20"/>
                <w:lang w:eastAsia="en-GB"/>
              </w:rPr>
              <w:t>14.7</w:t>
            </w:r>
          </w:p>
        </w:tc>
      </w:tr>
      <w:tr w:rsidR="00164A76" w:rsidRPr="00164A76"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C63363" w:rsidP="00164A76">
            <w:pPr>
              <w:pStyle w:val="CodeNotesExampleHead"/>
              <w:widowControl w:val="0"/>
              <w:jc w:val="center"/>
              <w:rPr>
                <w:rFonts w:cs="Arial"/>
                <w:b w:val="0"/>
                <w:color w:val="auto"/>
                <w:sz w:val="20"/>
                <w:szCs w:val="20"/>
                <w:lang w:eastAsia="en-GB"/>
              </w:rPr>
            </w:pPr>
            <w:r>
              <w:rPr>
                <w:rFonts w:cs="Arial"/>
                <w:b w:val="0"/>
                <w:color w:val="auto"/>
                <w:sz w:val="20"/>
                <w:szCs w:val="20"/>
                <w:lang w:eastAsia="en-GB"/>
              </w:rPr>
              <w:t>0</w:t>
            </w:r>
          </w:p>
        </w:tc>
        <w:tc>
          <w:tcPr>
            <w:tcW w:w="5172" w:type="dxa"/>
            <w:vAlign w:val="center"/>
          </w:tcPr>
          <w:p w:rsidR="00164A76" w:rsidRPr="00164A76" w:rsidRDefault="00164A76" w:rsidP="008A4204">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64A76">
              <w:rPr>
                <w:rFonts w:cs="Arial"/>
                <w:color w:val="auto"/>
                <w:sz w:val="20"/>
                <w:szCs w:val="20"/>
              </w:rPr>
              <w:t>Intangible Assets</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802ABC" w:rsidRDefault="004D1637" w:rsidP="00164A76">
            <w:pPr>
              <w:pStyle w:val="CodeNotesExampleHead"/>
              <w:widowControl w:val="0"/>
              <w:jc w:val="center"/>
              <w:rPr>
                <w:rFonts w:cs="Arial"/>
                <w:color w:val="auto"/>
                <w:sz w:val="20"/>
                <w:szCs w:val="20"/>
                <w:lang w:eastAsia="en-GB"/>
              </w:rPr>
            </w:pPr>
            <w:r w:rsidRPr="00802ABC">
              <w:rPr>
                <w:rFonts w:cs="Arial"/>
                <w:color w:val="auto"/>
                <w:sz w:val="20"/>
                <w:szCs w:val="20"/>
                <w:lang w:eastAsia="en-GB"/>
              </w:rPr>
              <w:t>0.3</w:t>
            </w:r>
          </w:p>
        </w:tc>
      </w:tr>
      <w:tr w:rsidR="00164A76" w:rsidRPr="00164A76"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vAlign w:val="center"/>
          </w:tcPr>
          <w:p w:rsidR="00164A76" w:rsidRPr="004D1637" w:rsidRDefault="00C63363" w:rsidP="00164A76">
            <w:pPr>
              <w:pStyle w:val="CodeNotesExampleHead"/>
              <w:widowControl w:val="0"/>
              <w:jc w:val="center"/>
              <w:rPr>
                <w:rFonts w:cs="Arial"/>
                <w:b w:val="0"/>
                <w:color w:val="auto"/>
                <w:sz w:val="20"/>
                <w:szCs w:val="20"/>
                <w:lang w:eastAsia="en-GB"/>
              </w:rPr>
            </w:pPr>
            <w:r>
              <w:rPr>
                <w:rFonts w:cs="Arial"/>
                <w:b w:val="0"/>
                <w:color w:val="auto"/>
                <w:sz w:val="20"/>
                <w:szCs w:val="20"/>
                <w:lang w:eastAsia="en-GB"/>
              </w:rPr>
              <w:t>21.1</w:t>
            </w:r>
          </w:p>
        </w:tc>
        <w:tc>
          <w:tcPr>
            <w:tcW w:w="5172" w:type="dxa"/>
            <w:vAlign w:val="center"/>
          </w:tcPr>
          <w:p w:rsidR="00164A76" w:rsidRPr="00164A76" w:rsidRDefault="00164A76" w:rsidP="008A4204">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64A76">
              <w:rPr>
                <w:rFonts w:cs="Arial"/>
                <w:color w:val="auto"/>
                <w:sz w:val="20"/>
                <w:szCs w:val="20"/>
              </w:rPr>
              <w:t>Investment Property</w:t>
            </w:r>
          </w:p>
        </w:tc>
        <w:tc>
          <w:tcPr>
            <w:cnfStyle w:val="000010000000" w:firstRow="0" w:lastRow="0" w:firstColumn="0" w:lastColumn="0" w:oddVBand="1" w:evenVBand="0" w:oddHBand="0" w:evenHBand="0" w:firstRowFirstColumn="0" w:firstRowLastColumn="0" w:lastRowFirstColumn="0" w:lastRowLastColumn="0"/>
            <w:tcW w:w="1406" w:type="dxa"/>
            <w:vAlign w:val="center"/>
          </w:tcPr>
          <w:p w:rsidR="00164A76" w:rsidRPr="00802ABC" w:rsidRDefault="0008621D" w:rsidP="00164A76">
            <w:pPr>
              <w:pStyle w:val="CodeNotesExampleHead"/>
              <w:widowControl w:val="0"/>
              <w:jc w:val="center"/>
              <w:rPr>
                <w:rFonts w:cs="Arial"/>
                <w:color w:val="auto"/>
                <w:sz w:val="20"/>
                <w:szCs w:val="20"/>
                <w:lang w:eastAsia="en-GB"/>
              </w:rPr>
            </w:pPr>
            <w:r w:rsidRPr="00802ABC">
              <w:rPr>
                <w:rFonts w:cs="Arial"/>
                <w:color w:val="auto"/>
                <w:sz w:val="20"/>
                <w:szCs w:val="20"/>
                <w:lang w:eastAsia="en-GB"/>
              </w:rPr>
              <w:t>97.8</w:t>
            </w:r>
          </w:p>
        </w:tc>
      </w:tr>
      <w:tr w:rsidR="00164A76" w:rsidRPr="0005794A"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vAlign w:val="center"/>
          </w:tcPr>
          <w:p w:rsidR="00164A76" w:rsidRPr="004D1637" w:rsidRDefault="00164A76" w:rsidP="00164A76">
            <w:pPr>
              <w:pStyle w:val="CodeNotesExampleText"/>
              <w:widowControl w:val="0"/>
              <w:jc w:val="center"/>
              <w:rPr>
                <w:rFonts w:cs="Arial"/>
                <w:color w:val="auto"/>
                <w:sz w:val="20"/>
                <w:szCs w:val="20"/>
                <w:lang w:val="en-US"/>
              </w:rPr>
            </w:pPr>
            <w:r w:rsidRPr="004D1637">
              <w:rPr>
                <w:rFonts w:cs="Arial"/>
                <w:color w:val="auto"/>
                <w:sz w:val="20"/>
                <w:szCs w:val="20"/>
                <w:lang w:val="en-US"/>
              </w:rPr>
              <w:t>0</w:t>
            </w:r>
          </w:p>
        </w:tc>
        <w:tc>
          <w:tcPr>
            <w:tcW w:w="5172" w:type="dxa"/>
            <w:vAlign w:val="center"/>
          </w:tcPr>
          <w:p w:rsidR="00164A76" w:rsidRPr="00164A76"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64A76">
              <w:rPr>
                <w:rFonts w:cs="Arial"/>
                <w:color w:val="auto"/>
                <w:sz w:val="20"/>
                <w:szCs w:val="20"/>
              </w:rPr>
              <w:t>Heritage Assets</w:t>
            </w:r>
          </w:p>
        </w:tc>
        <w:tc>
          <w:tcPr>
            <w:cnfStyle w:val="000010000000" w:firstRow="0" w:lastRow="0" w:firstColumn="0" w:lastColumn="0" w:oddVBand="1" w:evenVBand="0" w:oddHBand="0" w:evenHBand="0" w:firstRowFirstColumn="0" w:firstRowLastColumn="0" w:lastRowFirstColumn="0" w:lastRowLastColumn="0"/>
            <w:tcW w:w="1406" w:type="dxa"/>
            <w:vAlign w:val="center"/>
          </w:tcPr>
          <w:p w:rsidR="00164A76" w:rsidRPr="004D1637" w:rsidRDefault="004D1637" w:rsidP="00164A76">
            <w:pPr>
              <w:pStyle w:val="CodeNotesExampleText"/>
              <w:widowControl w:val="0"/>
              <w:jc w:val="center"/>
              <w:rPr>
                <w:rFonts w:cs="Arial"/>
                <w:b/>
                <w:color w:val="auto"/>
                <w:sz w:val="20"/>
                <w:szCs w:val="20"/>
                <w:lang w:val="en-US"/>
              </w:rPr>
            </w:pPr>
            <w:r w:rsidRPr="004D1637">
              <w:rPr>
                <w:rFonts w:cs="Arial"/>
                <w:b/>
                <w:color w:val="auto"/>
                <w:sz w:val="20"/>
                <w:szCs w:val="20"/>
                <w:lang w:val="en-US"/>
              </w:rPr>
              <w:t>0</w:t>
            </w:r>
            <w:r>
              <w:rPr>
                <w:rFonts w:cs="Arial"/>
                <w:b/>
                <w:color w:val="auto"/>
                <w:sz w:val="20"/>
                <w:szCs w:val="20"/>
                <w:lang w:val="en-US"/>
              </w:rPr>
              <w:t>.1</w:t>
            </w:r>
          </w:p>
        </w:tc>
      </w:tr>
      <w:tr w:rsidR="00164A76" w:rsidRPr="0005794A"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584BEA" w:rsidP="00164A76">
            <w:pPr>
              <w:pStyle w:val="CodeNotesExampleText"/>
              <w:widowControl w:val="0"/>
              <w:jc w:val="center"/>
              <w:rPr>
                <w:rFonts w:cs="Arial"/>
                <w:color w:val="auto"/>
                <w:sz w:val="20"/>
                <w:szCs w:val="20"/>
                <w:lang w:val="en-US"/>
              </w:rPr>
            </w:pPr>
            <w:r>
              <w:rPr>
                <w:rFonts w:cs="Arial"/>
                <w:color w:val="auto"/>
                <w:sz w:val="20"/>
                <w:szCs w:val="20"/>
                <w:lang w:val="en-US"/>
              </w:rPr>
              <w:t>6.7</w:t>
            </w:r>
          </w:p>
        </w:tc>
        <w:tc>
          <w:tcPr>
            <w:tcW w:w="5172" w:type="dxa"/>
            <w:vAlign w:val="center"/>
          </w:tcPr>
          <w:p w:rsidR="00164A76" w:rsidRPr="00164A76"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64A76">
              <w:rPr>
                <w:rFonts w:cs="Arial"/>
                <w:color w:val="auto"/>
                <w:sz w:val="20"/>
                <w:szCs w:val="20"/>
              </w:rPr>
              <w:t>Revenue Expenditure Funded from Capital under Statute</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4D1637" w:rsidP="00164A76">
            <w:pPr>
              <w:pStyle w:val="CodeNotesExampleText"/>
              <w:widowControl w:val="0"/>
              <w:jc w:val="center"/>
              <w:rPr>
                <w:rFonts w:cs="Arial"/>
                <w:b/>
                <w:color w:val="auto"/>
                <w:sz w:val="20"/>
                <w:szCs w:val="20"/>
                <w:lang w:val="en-US"/>
              </w:rPr>
            </w:pPr>
            <w:r>
              <w:rPr>
                <w:rFonts w:cs="Arial"/>
                <w:b/>
                <w:color w:val="auto"/>
                <w:sz w:val="20"/>
                <w:szCs w:val="20"/>
                <w:lang w:val="en-US"/>
              </w:rPr>
              <w:t>2.6</w:t>
            </w:r>
          </w:p>
        </w:tc>
      </w:tr>
      <w:tr w:rsidR="00164A76" w:rsidRPr="0005794A"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vAlign w:val="center"/>
          </w:tcPr>
          <w:p w:rsidR="00164A76" w:rsidRPr="004D1637" w:rsidRDefault="00164A76" w:rsidP="00164A76">
            <w:pPr>
              <w:pStyle w:val="CodeNotesExampleText"/>
              <w:widowControl w:val="0"/>
              <w:jc w:val="center"/>
              <w:rPr>
                <w:rFonts w:cs="Arial"/>
                <w:color w:val="auto"/>
                <w:sz w:val="20"/>
                <w:szCs w:val="20"/>
                <w:lang w:val="en-US"/>
              </w:rPr>
            </w:pPr>
            <w:r w:rsidRPr="004D1637">
              <w:rPr>
                <w:rFonts w:cs="Arial"/>
                <w:color w:val="auto"/>
                <w:sz w:val="20"/>
                <w:szCs w:val="20"/>
                <w:lang w:val="en-US"/>
              </w:rPr>
              <w:t>0.5</w:t>
            </w:r>
          </w:p>
        </w:tc>
        <w:tc>
          <w:tcPr>
            <w:tcW w:w="5172" w:type="dxa"/>
            <w:vAlign w:val="center"/>
          </w:tcPr>
          <w:p w:rsidR="00164A76" w:rsidRPr="00164A76"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64A76">
              <w:rPr>
                <w:rFonts w:cs="Arial"/>
                <w:color w:val="auto"/>
                <w:sz w:val="20"/>
                <w:szCs w:val="20"/>
              </w:rPr>
              <w:t>Loans for a Capital Purpose</w:t>
            </w:r>
          </w:p>
        </w:tc>
        <w:tc>
          <w:tcPr>
            <w:cnfStyle w:val="000010000000" w:firstRow="0" w:lastRow="0" w:firstColumn="0" w:lastColumn="0" w:oddVBand="1" w:evenVBand="0" w:oddHBand="0" w:evenHBand="0" w:firstRowFirstColumn="0" w:firstRowLastColumn="0" w:lastRowFirstColumn="0" w:lastRowLastColumn="0"/>
            <w:tcW w:w="1406" w:type="dxa"/>
            <w:vAlign w:val="center"/>
          </w:tcPr>
          <w:p w:rsidR="00164A76" w:rsidRPr="004D1637" w:rsidRDefault="004D1637" w:rsidP="00164A76">
            <w:pPr>
              <w:pStyle w:val="CodeNotesExampleText"/>
              <w:widowControl w:val="0"/>
              <w:jc w:val="center"/>
              <w:rPr>
                <w:rFonts w:cs="Arial"/>
                <w:b/>
                <w:color w:val="auto"/>
                <w:sz w:val="20"/>
                <w:szCs w:val="20"/>
                <w:lang w:val="en-US"/>
              </w:rPr>
            </w:pPr>
            <w:r w:rsidRPr="004D1637">
              <w:rPr>
                <w:rFonts w:cs="Arial"/>
                <w:b/>
                <w:color w:val="auto"/>
                <w:sz w:val="20"/>
                <w:szCs w:val="20"/>
                <w:lang w:val="en-US"/>
              </w:rPr>
              <w:t>5.4</w:t>
            </w:r>
          </w:p>
        </w:tc>
      </w:tr>
      <w:tr w:rsidR="00164A76" w:rsidRPr="0005794A"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ind w:left="567"/>
              <w:jc w:val="center"/>
              <w:rPr>
                <w:rFonts w:cs="Arial"/>
                <w:color w:val="auto"/>
                <w:sz w:val="20"/>
                <w:szCs w:val="20"/>
              </w:rPr>
            </w:pPr>
          </w:p>
        </w:tc>
        <w:tc>
          <w:tcPr>
            <w:tcW w:w="5172" w:type="dxa"/>
            <w:vAlign w:val="center"/>
          </w:tcPr>
          <w:p w:rsidR="00164A76" w:rsidRPr="00164A76"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b/>
                <w:iCs/>
                <w:color w:val="auto"/>
                <w:sz w:val="20"/>
                <w:szCs w:val="20"/>
              </w:rPr>
            </w:pPr>
            <w:r w:rsidRPr="00164A76">
              <w:rPr>
                <w:rFonts w:cs="Arial"/>
                <w:b/>
                <w:iCs/>
                <w:color w:val="auto"/>
                <w:sz w:val="20"/>
                <w:szCs w:val="20"/>
              </w:rPr>
              <w:t>Sources of finance</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05794A" w:rsidRDefault="00164A76" w:rsidP="00164A76">
            <w:pPr>
              <w:pStyle w:val="CodeNotesExampleText"/>
              <w:widowControl w:val="0"/>
              <w:ind w:left="567"/>
              <w:jc w:val="center"/>
              <w:rPr>
                <w:rFonts w:cs="Arial"/>
                <w:b/>
                <w:color w:val="548DD4" w:themeColor="text2" w:themeTint="99"/>
                <w:sz w:val="20"/>
                <w:szCs w:val="20"/>
              </w:rPr>
            </w:pPr>
          </w:p>
        </w:tc>
      </w:tr>
      <w:tr w:rsidR="00164A76" w:rsidRPr="0005794A"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jc w:val="center"/>
              <w:rPr>
                <w:rFonts w:cs="Arial"/>
                <w:color w:val="auto"/>
                <w:sz w:val="20"/>
                <w:szCs w:val="20"/>
                <w:lang w:val="en-US"/>
              </w:rPr>
            </w:pPr>
            <w:r w:rsidRPr="004D1637">
              <w:rPr>
                <w:rFonts w:cs="Arial"/>
                <w:color w:val="auto"/>
                <w:sz w:val="20"/>
                <w:szCs w:val="20"/>
                <w:lang w:val="en-US"/>
              </w:rPr>
              <w:t>(0.1)</w:t>
            </w:r>
          </w:p>
        </w:tc>
        <w:tc>
          <w:tcPr>
            <w:tcW w:w="5172" w:type="dxa"/>
            <w:vAlign w:val="center"/>
          </w:tcPr>
          <w:p w:rsidR="00164A76" w:rsidRPr="00164A76"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64A76">
              <w:rPr>
                <w:rFonts w:cs="Arial"/>
                <w:color w:val="auto"/>
                <w:sz w:val="20"/>
                <w:szCs w:val="20"/>
              </w:rPr>
              <w:t>Capital receipts</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4D1637" w:rsidP="00164A76">
            <w:pPr>
              <w:pStyle w:val="CodeNotesExampleText"/>
              <w:widowControl w:val="0"/>
              <w:jc w:val="center"/>
              <w:rPr>
                <w:rFonts w:cs="Arial"/>
                <w:b/>
                <w:color w:val="auto"/>
                <w:sz w:val="20"/>
                <w:szCs w:val="20"/>
                <w:lang w:val="en-US"/>
              </w:rPr>
            </w:pPr>
            <w:r w:rsidRPr="004D1637">
              <w:rPr>
                <w:rFonts w:cs="Arial"/>
                <w:b/>
                <w:color w:val="auto"/>
                <w:sz w:val="20"/>
                <w:szCs w:val="20"/>
                <w:lang w:val="en-US"/>
              </w:rPr>
              <w:t>0</w:t>
            </w:r>
          </w:p>
        </w:tc>
      </w:tr>
      <w:tr w:rsidR="00164A76" w:rsidRPr="0005794A"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jc w:val="center"/>
              <w:rPr>
                <w:rFonts w:cs="Arial"/>
                <w:color w:val="auto"/>
                <w:sz w:val="20"/>
                <w:szCs w:val="20"/>
                <w:lang w:val="en-US"/>
              </w:rPr>
            </w:pPr>
            <w:r w:rsidRPr="004D1637">
              <w:rPr>
                <w:rFonts w:cs="Arial"/>
                <w:color w:val="auto"/>
                <w:sz w:val="20"/>
                <w:szCs w:val="20"/>
                <w:lang w:val="en-US"/>
              </w:rPr>
              <w:t>(10.8)</w:t>
            </w:r>
          </w:p>
        </w:tc>
        <w:tc>
          <w:tcPr>
            <w:tcW w:w="5172" w:type="dxa"/>
            <w:vAlign w:val="center"/>
          </w:tcPr>
          <w:p w:rsidR="00164A76" w:rsidRPr="00164A76"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64A76">
              <w:rPr>
                <w:rFonts w:cs="Arial"/>
                <w:color w:val="auto"/>
                <w:sz w:val="20"/>
                <w:szCs w:val="20"/>
              </w:rPr>
              <w:t>Government grants and other contributions</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4D1637" w:rsidP="00164A76">
            <w:pPr>
              <w:pStyle w:val="CodeNotesExampleText"/>
              <w:widowControl w:val="0"/>
              <w:jc w:val="center"/>
              <w:rPr>
                <w:rFonts w:cs="Arial"/>
                <w:b/>
                <w:color w:val="auto"/>
                <w:sz w:val="20"/>
                <w:szCs w:val="20"/>
                <w:lang w:val="en-US"/>
              </w:rPr>
            </w:pPr>
            <w:r w:rsidRPr="004D1637">
              <w:rPr>
                <w:rFonts w:cs="Arial"/>
                <w:b/>
                <w:color w:val="auto"/>
                <w:sz w:val="20"/>
                <w:szCs w:val="20"/>
                <w:lang w:val="en-US"/>
              </w:rPr>
              <w:t>(10.7)</w:t>
            </w:r>
          </w:p>
        </w:tc>
      </w:tr>
      <w:tr w:rsidR="00164A76" w:rsidRPr="0005794A"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ind w:left="397"/>
              <w:jc w:val="center"/>
              <w:rPr>
                <w:rFonts w:cs="Arial"/>
                <w:color w:val="auto"/>
                <w:sz w:val="20"/>
                <w:szCs w:val="20"/>
                <w:lang w:val="en-US"/>
              </w:rPr>
            </w:pPr>
          </w:p>
        </w:tc>
        <w:tc>
          <w:tcPr>
            <w:tcW w:w="5172" w:type="dxa"/>
            <w:vAlign w:val="center"/>
          </w:tcPr>
          <w:p w:rsidR="00164A76" w:rsidRPr="00164A76"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64A76">
              <w:rPr>
                <w:rFonts w:cs="Arial"/>
                <w:color w:val="auto"/>
                <w:sz w:val="20"/>
                <w:szCs w:val="20"/>
              </w:rPr>
              <w:t>Sums set aside from revenue:</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164A76" w:rsidP="00164A76">
            <w:pPr>
              <w:pStyle w:val="CodeNotesExampleText"/>
              <w:widowControl w:val="0"/>
              <w:ind w:left="397"/>
              <w:jc w:val="center"/>
              <w:rPr>
                <w:rFonts w:cs="Arial"/>
                <w:b/>
                <w:color w:val="auto"/>
                <w:sz w:val="20"/>
                <w:szCs w:val="20"/>
                <w:lang w:val="en-US"/>
              </w:rPr>
            </w:pPr>
          </w:p>
        </w:tc>
      </w:tr>
      <w:tr w:rsidR="00164A76" w:rsidRPr="0005794A"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jc w:val="center"/>
              <w:rPr>
                <w:rFonts w:cs="Arial"/>
                <w:color w:val="auto"/>
                <w:sz w:val="20"/>
                <w:szCs w:val="20"/>
                <w:lang w:val="en-US"/>
              </w:rPr>
            </w:pPr>
            <w:r w:rsidRPr="004D1637">
              <w:rPr>
                <w:rFonts w:cs="Arial"/>
                <w:color w:val="auto"/>
                <w:sz w:val="20"/>
                <w:szCs w:val="20"/>
                <w:lang w:val="en-US"/>
              </w:rPr>
              <w:t>(0.2)</w:t>
            </w:r>
          </w:p>
        </w:tc>
        <w:tc>
          <w:tcPr>
            <w:tcW w:w="5172" w:type="dxa"/>
            <w:vAlign w:val="center"/>
          </w:tcPr>
          <w:p w:rsidR="00164A76" w:rsidRPr="00164A76" w:rsidRDefault="00164A76" w:rsidP="00164A76">
            <w:pPr>
              <w:pStyle w:val="CodeNotesExampleText"/>
              <w:widowControl w:val="0"/>
              <w:numPr>
                <w:ilvl w:val="0"/>
                <w:numId w:val="5"/>
              </w:numPr>
              <w:ind w:left="317" w:firstLine="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64A76">
              <w:rPr>
                <w:rFonts w:cs="Arial"/>
                <w:color w:val="auto"/>
                <w:sz w:val="20"/>
                <w:szCs w:val="20"/>
              </w:rPr>
              <w:t>Direct revenue contributions</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4D1637" w:rsidP="00164A76">
            <w:pPr>
              <w:pStyle w:val="CodeNotesExampleText"/>
              <w:widowControl w:val="0"/>
              <w:jc w:val="center"/>
              <w:rPr>
                <w:rFonts w:cs="Arial"/>
                <w:b/>
                <w:color w:val="auto"/>
                <w:sz w:val="20"/>
                <w:szCs w:val="20"/>
                <w:lang w:val="en-US"/>
              </w:rPr>
            </w:pPr>
            <w:r w:rsidRPr="004D1637">
              <w:rPr>
                <w:rFonts w:cs="Arial"/>
                <w:b/>
                <w:color w:val="auto"/>
                <w:sz w:val="20"/>
                <w:szCs w:val="20"/>
                <w:lang w:val="en-US"/>
              </w:rPr>
              <w:t>(1.2)</w:t>
            </w:r>
          </w:p>
        </w:tc>
      </w:tr>
      <w:tr w:rsidR="00164A76" w:rsidRPr="0005794A"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jc w:val="center"/>
              <w:rPr>
                <w:rFonts w:cs="Arial"/>
                <w:color w:val="auto"/>
                <w:sz w:val="20"/>
                <w:szCs w:val="20"/>
                <w:lang w:val="en-US"/>
              </w:rPr>
            </w:pPr>
            <w:r w:rsidRPr="004D1637">
              <w:rPr>
                <w:rFonts w:cs="Arial"/>
                <w:color w:val="auto"/>
                <w:sz w:val="20"/>
                <w:szCs w:val="20"/>
                <w:lang w:val="en-US"/>
              </w:rPr>
              <w:t>(3.4)</w:t>
            </w:r>
          </w:p>
        </w:tc>
        <w:tc>
          <w:tcPr>
            <w:tcW w:w="5172" w:type="dxa"/>
            <w:vAlign w:val="center"/>
          </w:tcPr>
          <w:p w:rsidR="00164A76" w:rsidRPr="00164A76" w:rsidRDefault="00164A76" w:rsidP="00164A76">
            <w:pPr>
              <w:pStyle w:val="CodeNotesExampleText"/>
              <w:widowControl w:val="0"/>
              <w:numPr>
                <w:ilvl w:val="0"/>
                <w:numId w:val="5"/>
              </w:numPr>
              <w:ind w:left="317" w:firstLine="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64A76">
              <w:rPr>
                <w:rFonts w:cs="Arial"/>
                <w:color w:val="auto"/>
                <w:sz w:val="20"/>
                <w:szCs w:val="20"/>
              </w:rPr>
              <w:t>MRP</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4D1637" w:rsidP="00164A76">
            <w:pPr>
              <w:pStyle w:val="CodeNotesExampleText"/>
              <w:widowControl w:val="0"/>
              <w:jc w:val="center"/>
              <w:rPr>
                <w:rFonts w:cs="Arial"/>
                <w:b/>
                <w:color w:val="auto"/>
                <w:sz w:val="20"/>
                <w:szCs w:val="20"/>
                <w:lang w:val="en-US"/>
              </w:rPr>
            </w:pPr>
            <w:r w:rsidRPr="004D1637">
              <w:rPr>
                <w:rFonts w:cs="Arial"/>
                <w:b/>
                <w:color w:val="auto"/>
                <w:sz w:val="20"/>
                <w:szCs w:val="20"/>
                <w:lang w:val="en-US"/>
              </w:rPr>
              <w:t>(3.8)</w:t>
            </w:r>
          </w:p>
        </w:tc>
      </w:tr>
      <w:tr w:rsidR="00164A76" w:rsidRPr="0005794A"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jc w:val="center"/>
              <w:rPr>
                <w:rFonts w:cs="Arial"/>
                <w:color w:val="auto"/>
                <w:sz w:val="20"/>
                <w:szCs w:val="20"/>
                <w:lang w:val="en-US"/>
              </w:rPr>
            </w:pPr>
            <w:r w:rsidRPr="004D1637">
              <w:rPr>
                <w:rFonts w:cs="Arial"/>
                <w:color w:val="auto"/>
                <w:sz w:val="20"/>
                <w:szCs w:val="20"/>
                <w:lang w:val="en-US"/>
              </w:rPr>
              <w:t>174.3</w:t>
            </w:r>
          </w:p>
        </w:tc>
        <w:tc>
          <w:tcPr>
            <w:tcW w:w="5172" w:type="dxa"/>
            <w:vAlign w:val="center"/>
          </w:tcPr>
          <w:p w:rsidR="00164A76" w:rsidRPr="00164A76"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b/>
                <w:iCs/>
                <w:color w:val="auto"/>
                <w:sz w:val="20"/>
                <w:szCs w:val="20"/>
              </w:rPr>
            </w:pPr>
            <w:r w:rsidRPr="00164A76">
              <w:rPr>
                <w:rFonts w:cs="Arial"/>
                <w:b/>
                <w:iCs/>
                <w:color w:val="auto"/>
                <w:sz w:val="20"/>
                <w:szCs w:val="20"/>
              </w:rPr>
              <w:t>Closing Capital Financing Requirement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4D1637" w:rsidP="00164A76">
            <w:pPr>
              <w:pStyle w:val="CodeNotesExampleText"/>
              <w:widowControl w:val="0"/>
              <w:jc w:val="center"/>
              <w:rPr>
                <w:rFonts w:cs="Arial"/>
                <w:b/>
                <w:color w:val="auto"/>
                <w:sz w:val="20"/>
                <w:szCs w:val="20"/>
                <w:lang w:val="en-US"/>
              </w:rPr>
            </w:pPr>
            <w:r w:rsidRPr="004D1637">
              <w:rPr>
                <w:rFonts w:cs="Arial"/>
                <w:b/>
                <w:color w:val="auto"/>
                <w:sz w:val="20"/>
                <w:szCs w:val="20"/>
                <w:lang w:val="en-US"/>
              </w:rPr>
              <w:t>279.5</w:t>
            </w:r>
          </w:p>
        </w:tc>
      </w:tr>
      <w:tr w:rsidR="00164A76" w:rsidRPr="0005794A"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ind w:left="567"/>
              <w:jc w:val="center"/>
              <w:rPr>
                <w:rFonts w:cs="Arial"/>
                <w:color w:val="auto"/>
                <w:sz w:val="20"/>
                <w:szCs w:val="20"/>
              </w:rPr>
            </w:pPr>
          </w:p>
        </w:tc>
        <w:tc>
          <w:tcPr>
            <w:tcW w:w="5172" w:type="dxa"/>
            <w:vAlign w:val="center"/>
          </w:tcPr>
          <w:p w:rsidR="00164A76" w:rsidRPr="00164A76"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b/>
                <w:iCs/>
                <w:color w:val="auto"/>
                <w:sz w:val="20"/>
                <w:szCs w:val="20"/>
              </w:rPr>
            </w:pPr>
            <w:r w:rsidRPr="00164A76">
              <w:rPr>
                <w:rFonts w:cs="Arial"/>
                <w:b/>
                <w:iCs/>
                <w:color w:val="auto"/>
                <w:sz w:val="20"/>
                <w:szCs w:val="20"/>
              </w:rPr>
              <w:t>Explanation of movements in year</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164A76" w:rsidP="00164A76">
            <w:pPr>
              <w:pStyle w:val="CodeNotesExampleText"/>
              <w:widowControl w:val="0"/>
              <w:ind w:left="567"/>
              <w:jc w:val="center"/>
              <w:rPr>
                <w:rFonts w:cs="Arial"/>
                <w:color w:val="auto"/>
                <w:sz w:val="20"/>
                <w:szCs w:val="20"/>
              </w:rPr>
            </w:pPr>
          </w:p>
        </w:tc>
      </w:tr>
      <w:tr w:rsidR="00164A76" w:rsidRPr="0005794A"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jc w:val="center"/>
              <w:rPr>
                <w:rFonts w:cs="Arial"/>
                <w:color w:val="auto"/>
                <w:sz w:val="20"/>
                <w:szCs w:val="20"/>
                <w:lang w:val="en-US"/>
              </w:rPr>
            </w:pPr>
            <w:r w:rsidRPr="004D1637">
              <w:rPr>
                <w:rFonts w:cs="Arial"/>
                <w:color w:val="auto"/>
                <w:sz w:val="20"/>
                <w:szCs w:val="20"/>
                <w:lang w:val="en-US"/>
              </w:rPr>
              <w:t>26.6</w:t>
            </w:r>
          </w:p>
        </w:tc>
        <w:tc>
          <w:tcPr>
            <w:tcW w:w="5172" w:type="dxa"/>
            <w:vAlign w:val="center"/>
          </w:tcPr>
          <w:p w:rsidR="00164A76" w:rsidRPr="00164A76"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164A76">
              <w:rPr>
                <w:rFonts w:cs="Arial"/>
                <w:color w:val="auto"/>
                <w:sz w:val="20"/>
                <w:szCs w:val="20"/>
              </w:rPr>
              <w:t>Increase in underlying need to borrowing (unsupported by government financial assistance)</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E265F0" w:rsidP="004D1637">
            <w:pPr>
              <w:pStyle w:val="CodeNotesExampleText"/>
              <w:widowControl w:val="0"/>
              <w:jc w:val="center"/>
              <w:rPr>
                <w:rFonts w:cs="Arial"/>
                <w:b/>
                <w:color w:val="auto"/>
                <w:sz w:val="20"/>
                <w:szCs w:val="20"/>
                <w:lang w:val="en-US"/>
              </w:rPr>
            </w:pPr>
            <w:r w:rsidRPr="004D1637">
              <w:rPr>
                <w:rFonts w:cs="Arial"/>
                <w:b/>
                <w:color w:val="auto"/>
                <w:sz w:val="20"/>
                <w:szCs w:val="20"/>
                <w:lang w:val="en-US"/>
              </w:rPr>
              <w:t>109.</w:t>
            </w:r>
            <w:r w:rsidR="004D1637">
              <w:rPr>
                <w:rFonts w:cs="Arial"/>
                <w:b/>
                <w:color w:val="auto"/>
                <w:sz w:val="20"/>
                <w:szCs w:val="20"/>
                <w:lang w:val="en-US"/>
              </w:rPr>
              <w:t>0</w:t>
            </w:r>
          </w:p>
        </w:tc>
      </w:tr>
      <w:tr w:rsidR="00164A76" w:rsidRPr="0005794A" w:rsidTr="00DD4207">
        <w:trPr>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jc w:val="center"/>
              <w:rPr>
                <w:rFonts w:cs="Arial"/>
                <w:color w:val="auto"/>
                <w:sz w:val="20"/>
                <w:szCs w:val="20"/>
                <w:lang w:val="en-US"/>
              </w:rPr>
            </w:pPr>
            <w:r w:rsidRPr="004D1637">
              <w:rPr>
                <w:rFonts w:cs="Arial"/>
                <w:color w:val="auto"/>
                <w:sz w:val="20"/>
                <w:szCs w:val="20"/>
                <w:lang w:val="en-US"/>
              </w:rPr>
              <w:t>(3.4)</w:t>
            </w:r>
          </w:p>
        </w:tc>
        <w:tc>
          <w:tcPr>
            <w:tcW w:w="5172" w:type="dxa"/>
            <w:vAlign w:val="center"/>
          </w:tcPr>
          <w:p w:rsidR="00164A76" w:rsidRPr="00164A76" w:rsidRDefault="00164A76" w:rsidP="00164A76">
            <w:pPr>
              <w:pStyle w:val="CodeNotesExampleText"/>
              <w:widowControl w:val="0"/>
              <w:ind w:left="317"/>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64A76">
              <w:rPr>
                <w:rFonts w:cs="Arial"/>
                <w:color w:val="auto"/>
                <w:sz w:val="20"/>
                <w:szCs w:val="20"/>
              </w:rPr>
              <w:t>Provision for repayment of borrowing (MRP)</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E265F0" w:rsidP="004D1637">
            <w:pPr>
              <w:pStyle w:val="CodeNotesExampleText"/>
              <w:widowControl w:val="0"/>
              <w:jc w:val="center"/>
              <w:rPr>
                <w:rFonts w:cs="Arial"/>
                <w:b/>
                <w:color w:val="auto"/>
                <w:sz w:val="20"/>
                <w:szCs w:val="20"/>
                <w:lang w:val="en-US"/>
              </w:rPr>
            </w:pPr>
            <w:r w:rsidRPr="004D1637">
              <w:rPr>
                <w:rFonts w:cs="Arial"/>
                <w:b/>
                <w:color w:val="auto"/>
                <w:sz w:val="20"/>
                <w:szCs w:val="20"/>
                <w:lang w:val="en-US"/>
              </w:rPr>
              <w:t>(3.</w:t>
            </w:r>
            <w:r w:rsidR="004D1637" w:rsidRPr="004D1637">
              <w:rPr>
                <w:rFonts w:cs="Arial"/>
                <w:b/>
                <w:color w:val="auto"/>
                <w:sz w:val="20"/>
                <w:szCs w:val="20"/>
                <w:lang w:val="en-US"/>
              </w:rPr>
              <w:t>8</w:t>
            </w:r>
            <w:r w:rsidRPr="004D1637">
              <w:rPr>
                <w:rFonts w:cs="Arial"/>
                <w:b/>
                <w:color w:val="auto"/>
                <w:sz w:val="20"/>
                <w:szCs w:val="20"/>
                <w:lang w:val="en-US"/>
              </w:rPr>
              <w:t>)</w:t>
            </w:r>
          </w:p>
        </w:tc>
      </w:tr>
      <w:tr w:rsidR="00164A76" w:rsidRPr="0005794A" w:rsidTr="00DD4207">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384" w:type="dxa"/>
            <w:tcBorders>
              <w:left w:val="none" w:sz="0" w:space="0" w:color="auto"/>
              <w:right w:val="none" w:sz="0" w:space="0" w:color="auto"/>
            </w:tcBorders>
            <w:vAlign w:val="center"/>
          </w:tcPr>
          <w:p w:rsidR="00164A76" w:rsidRPr="004D1637" w:rsidRDefault="00164A76" w:rsidP="00164A76">
            <w:pPr>
              <w:pStyle w:val="CodeNotesExampleText"/>
              <w:widowControl w:val="0"/>
              <w:jc w:val="center"/>
              <w:rPr>
                <w:rFonts w:cs="Arial"/>
                <w:color w:val="auto"/>
                <w:sz w:val="20"/>
                <w:szCs w:val="20"/>
                <w:lang w:val="en-US"/>
              </w:rPr>
            </w:pPr>
            <w:r w:rsidRPr="004D1637">
              <w:rPr>
                <w:rFonts w:cs="Arial"/>
                <w:color w:val="auto"/>
                <w:sz w:val="20"/>
                <w:szCs w:val="20"/>
                <w:lang w:val="en-US"/>
              </w:rPr>
              <w:t>23.2</w:t>
            </w:r>
          </w:p>
        </w:tc>
        <w:tc>
          <w:tcPr>
            <w:tcW w:w="5172" w:type="dxa"/>
            <w:vAlign w:val="center"/>
          </w:tcPr>
          <w:p w:rsidR="00164A76" w:rsidRPr="00164A76" w:rsidRDefault="00164A76" w:rsidP="00164A76">
            <w:pPr>
              <w:pStyle w:val="CodeNotesExampleText"/>
              <w:widowControl w:val="0"/>
              <w:ind w:left="317"/>
              <w:cnfStyle w:val="000000100000" w:firstRow="0" w:lastRow="0" w:firstColumn="0" w:lastColumn="0" w:oddVBand="0" w:evenVBand="0" w:oddHBand="1" w:evenHBand="0" w:firstRowFirstColumn="0" w:firstRowLastColumn="0" w:lastRowFirstColumn="0" w:lastRowLastColumn="0"/>
              <w:rPr>
                <w:rFonts w:cs="Arial"/>
                <w:b/>
                <w:iCs/>
                <w:color w:val="auto"/>
                <w:sz w:val="20"/>
                <w:szCs w:val="20"/>
              </w:rPr>
            </w:pPr>
            <w:r w:rsidRPr="00164A76">
              <w:rPr>
                <w:rFonts w:cs="Arial"/>
                <w:b/>
                <w:iCs/>
                <w:color w:val="auto"/>
                <w:sz w:val="20"/>
                <w:szCs w:val="20"/>
              </w:rPr>
              <w:t>Increase/(decrease) in Capital Financing Requirement</w:t>
            </w:r>
          </w:p>
        </w:tc>
        <w:tc>
          <w:tcPr>
            <w:cnfStyle w:val="000010000000" w:firstRow="0" w:lastRow="0" w:firstColumn="0" w:lastColumn="0" w:oddVBand="1" w:evenVBand="0" w:oddHBand="0" w:evenHBand="0" w:firstRowFirstColumn="0" w:firstRowLastColumn="0" w:lastRowFirstColumn="0" w:lastRowLastColumn="0"/>
            <w:tcW w:w="1406" w:type="dxa"/>
            <w:tcBorders>
              <w:left w:val="none" w:sz="0" w:space="0" w:color="auto"/>
              <w:right w:val="none" w:sz="0" w:space="0" w:color="auto"/>
            </w:tcBorders>
            <w:vAlign w:val="center"/>
          </w:tcPr>
          <w:p w:rsidR="00164A76" w:rsidRPr="004D1637" w:rsidRDefault="00E265F0" w:rsidP="004D1637">
            <w:pPr>
              <w:pStyle w:val="CodeNotesExampleText"/>
              <w:widowControl w:val="0"/>
              <w:jc w:val="center"/>
              <w:rPr>
                <w:rFonts w:cs="Arial"/>
                <w:b/>
                <w:color w:val="auto"/>
                <w:sz w:val="20"/>
                <w:szCs w:val="20"/>
                <w:lang w:val="en-US"/>
              </w:rPr>
            </w:pPr>
            <w:r w:rsidRPr="004D1637">
              <w:rPr>
                <w:rFonts w:cs="Arial"/>
                <w:b/>
                <w:color w:val="auto"/>
                <w:sz w:val="20"/>
                <w:szCs w:val="20"/>
                <w:lang w:val="en-US"/>
              </w:rPr>
              <w:t>105.</w:t>
            </w:r>
            <w:r w:rsidR="004D1637">
              <w:rPr>
                <w:rFonts w:cs="Arial"/>
                <w:b/>
                <w:color w:val="auto"/>
                <w:sz w:val="20"/>
                <w:szCs w:val="20"/>
                <w:lang w:val="en-US"/>
              </w:rPr>
              <w:t>2</w:t>
            </w:r>
          </w:p>
        </w:tc>
      </w:tr>
    </w:tbl>
    <w:p w:rsidR="00B33C8B" w:rsidRPr="0005794A" w:rsidRDefault="00B33C8B" w:rsidP="00877BBF">
      <w:pPr>
        <w:pStyle w:val="ExampleSub"/>
        <w:keepNext w:val="0"/>
        <w:keepLines w:val="0"/>
        <w:ind w:left="0"/>
        <w:outlineLvl w:val="0"/>
        <w:rPr>
          <w:rFonts w:ascii="Arial" w:hAnsi="Arial" w:cs="Times New Roman"/>
          <w:bCs w:val="0"/>
          <w:color w:val="548DD4" w:themeColor="text2" w:themeTint="99"/>
          <w:sz w:val="21"/>
          <w:szCs w:val="21"/>
          <w:lang w:eastAsia="en-US"/>
        </w:rPr>
      </w:pPr>
    </w:p>
    <w:p w:rsidR="00E51139" w:rsidRPr="00A21308" w:rsidRDefault="005C68D8" w:rsidP="00877BBF">
      <w:pPr>
        <w:pStyle w:val="Subtitle"/>
        <w:ind w:left="567" w:hanging="567"/>
        <w:rPr>
          <w:b/>
          <w:color w:val="auto"/>
          <w:sz w:val="22"/>
          <w:szCs w:val="22"/>
        </w:rPr>
      </w:pPr>
      <w:r w:rsidRPr="00A21308">
        <w:rPr>
          <w:b/>
          <w:color w:val="auto"/>
          <w:sz w:val="22"/>
          <w:szCs w:val="22"/>
        </w:rPr>
        <w:t>3</w:t>
      </w:r>
      <w:r w:rsidR="00E103A6" w:rsidRPr="00A21308">
        <w:rPr>
          <w:b/>
          <w:color w:val="auto"/>
          <w:sz w:val="22"/>
          <w:szCs w:val="22"/>
        </w:rPr>
        <w:t>8</w:t>
      </w:r>
      <w:r w:rsidR="00E51139" w:rsidRPr="00A21308">
        <w:rPr>
          <w:b/>
          <w:color w:val="auto"/>
          <w:sz w:val="22"/>
          <w:szCs w:val="22"/>
        </w:rPr>
        <w:t>.</w:t>
      </w:r>
      <w:r w:rsidR="00E51139" w:rsidRPr="00A21308">
        <w:rPr>
          <w:b/>
          <w:color w:val="auto"/>
          <w:sz w:val="22"/>
          <w:szCs w:val="22"/>
        </w:rPr>
        <w:tab/>
        <w:t>Leases</w:t>
      </w:r>
    </w:p>
    <w:p w:rsidR="00E51139" w:rsidRPr="00A21308" w:rsidRDefault="00E51139" w:rsidP="008D0906">
      <w:pPr>
        <w:pStyle w:val="CodeNotesExampleText"/>
        <w:widowControl w:val="0"/>
        <w:ind w:left="567"/>
        <w:outlineLvl w:val="0"/>
        <w:rPr>
          <w:rFonts w:cs="Arial"/>
          <w:b/>
          <w:color w:val="auto"/>
          <w:sz w:val="20"/>
          <w:szCs w:val="20"/>
        </w:rPr>
      </w:pPr>
      <w:r w:rsidRPr="00A21308">
        <w:rPr>
          <w:rFonts w:cs="Arial"/>
          <w:b/>
          <w:color w:val="auto"/>
          <w:sz w:val="20"/>
          <w:szCs w:val="20"/>
        </w:rPr>
        <w:t>Council as Lessee</w:t>
      </w:r>
    </w:p>
    <w:p w:rsidR="00877BBF" w:rsidRPr="00A21308" w:rsidRDefault="00877BBF" w:rsidP="003C5E34">
      <w:pPr>
        <w:pStyle w:val="CodeNotesExampleText"/>
        <w:widowControl w:val="0"/>
        <w:ind w:left="567"/>
        <w:outlineLvl w:val="0"/>
        <w:rPr>
          <w:rFonts w:cs="Arial"/>
          <w:color w:val="auto"/>
          <w:sz w:val="20"/>
          <w:szCs w:val="20"/>
        </w:rPr>
      </w:pPr>
    </w:p>
    <w:p w:rsidR="00E51139" w:rsidRPr="00A21308" w:rsidRDefault="00E51139" w:rsidP="008D0906">
      <w:pPr>
        <w:pStyle w:val="CodeNotesExampleText"/>
        <w:ind w:left="567"/>
        <w:outlineLvl w:val="0"/>
        <w:rPr>
          <w:rFonts w:cs="Arial"/>
          <w:color w:val="auto"/>
          <w:sz w:val="20"/>
          <w:szCs w:val="20"/>
        </w:rPr>
      </w:pPr>
      <w:r w:rsidRPr="00A21308">
        <w:rPr>
          <w:rFonts w:cs="Arial"/>
          <w:color w:val="auto"/>
          <w:sz w:val="20"/>
          <w:szCs w:val="20"/>
        </w:rPr>
        <w:t>Operating Leases - Equipment</w:t>
      </w:r>
    </w:p>
    <w:p w:rsidR="00E51139" w:rsidRPr="00A21308" w:rsidRDefault="00E51139" w:rsidP="003C5E34">
      <w:pPr>
        <w:pStyle w:val="CodeNotesExampleText"/>
        <w:ind w:left="567"/>
        <w:rPr>
          <w:rFonts w:cs="Arial"/>
          <w:color w:val="auto"/>
          <w:sz w:val="20"/>
          <w:szCs w:val="20"/>
        </w:rPr>
      </w:pPr>
    </w:p>
    <w:p w:rsidR="00E51139" w:rsidRPr="00A21308" w:rsidRDefault="00E51139" w:rsidP="008D0906">
      <w:pPr>
        <w:pStyle w:val="CodeNotesExampleText"/>
        <w:widowControl w:val="0"/>
        <w:ind w:left="567"/>
        <w:outlineLvl w:val="0"/>
        <w:rPr>
          <w:rFonts w:cs="Arial"/>
          <w:color w:val="auto"/>
          <w:sz w:val="20"/>
          <w:szCs w:val="20"/>
        </w:rPr>
      </w:pPr>
      <w:r w:rsidRPr="00A21308">
        <w:rPr>
          <w:rFonts w:cs="Arial"/>
          <w:color w:val="auto"/>
          <w:sz w:val="20"/>
          <w:szCs w:val="20"/>
        </w:rPr>
        <w:t>The Council, as lessee, does not have any material operating leases.</w:t>
      </w:r>
    </w:p>
    <w:p w:rsidR="00E51139" w:rsidRPr="0005794A" w:rsidRDefault="00E51139" w:rsidP="003C5E34">
      <w:pPr>
        <w:pStyle w:val="CodeNotesExampleText"/>
        <w:ind w:left="567"/>
        <w:rPr>
          <w:rFonts w:cs="Arial"/>
          <w:color w:val="548DD4" w:themeColor="text2" w:themeTint="99"/>
          <w:sz w:val="20"/>
          <w:szCs w:val="20"/>
        </w:rPr>
      </w:pPr>
    </w:p>
    <w:p w:rsidR="00E51139" w:rsidRPr="003E3235" w:rsidRDefault="00E51139" w:rsidP="008D0906">
      <w:pPr>
        <w:pStyle w:val="CodeNotesExampleText"/>
        <w:ind w:left="567"/>
        <w:outlineLvl w:val="0"/>
        <w:rPr>
          <w:rFonts w:cs="Arial"/>
          <w:color w:val="auto"/>
          <w:sz w:val="20"/>
          <w:szCs w:val="20"/>
        </w:rPr>
      </w:pPr>
      <w:r w:rsidRPr="003E3235">
        <w:rPr>
          <w:rFonts w:cs="Arial"/>
          <w:color w:val="auto"/>
          <w:sz w:val="20"/>
          <w:szCs w:val="20"/>
        </w:rPr>
        <w:t>Operating Leases - Property</w:t>
      </w:r>
    </w:p>
    <w:p w:rsidR="00E51139" w:rsidRPr="003E3235" w:rsidRDefault="00E51139" w:rsidP="003C5E34">
      <w:pPr>
        <w:pStyle w:val="CodeNotesExampleText"/>
        <w:ind w:left="567"/>
        <w:rPr>
          <w:rFonts w:cs="Arial"/>
          <w:color w:val="auto"/>
          <w:sz w:val="20"/>
          <w:szCs w:val="20"/>
        </w:rPr>
      </w:pPr>
    </w:p>
    <w:p w:rsidR="00E51139" w:rsidRPr="003E3235" w:rsidRDefault="00E51139" w:rsidP="00D06AD1">
      <w:pPr>
        <w:pStyle w:val="CodeNotesExampleText"/>
        <w:ind w:left="567"/>
        <w:rPr>
          <w:rFonts w:cs="Arial"/>
          <w:color w:val="auto"/>
          <w:sz w:val="20"/>
          <w:szCs w:val="20"/>
        </w:rPr>
      </w:pPr>
      <w:r w:rsidRPr="003E3235">
        <w:rPr>
          <w:rFonts w:cs="Arial"/>
          <w:color w:val="auto"/>
          <w:sz w:val="20"/>
          <w:szCs w:val="20"/>
        </w:rPr>
        <w:t>The Council has le</w:t>
      </w:r>
      <w:r w:rsidR="00EE3288" w:rsidRPr="003E3235">
        <w:rPr>
          <w:rFonts w:cs="Arial"/>
          <w:color w:val="auto"/>
          <w:sz w:val="20"/>
          <w:szCs w:val="20"/>
        </w:rPr>
        <w:t>ases for a number of properties</w:t>
      </w:r>
      <w:r w:rsidRPr="003E3235">
        <w:rPr>
          <w:rFonts w:cs="Arial"/>
          <w:color w:val="auto"/>
          <w:sz w:val="20"/>
          <w:szCs w:val="20"/>
        </w:rPr>
        <w:t>. Rent payments in 201</w:t>
      </w:r>
      <w:r w:rsidR="003E3235" w:rsidRPr="003E3235">
        <w:rPr>
          <w:rFonts w:cs="Arial"/>
          <w:color w:val="auto"/>
          <w:sz w:val="20"/>
          <w:szCs w:val="20"/>
        </w:rPr>
        <w:t>7</w:t>
      </w:r>
      <w:r w:rsidR="00810536" w:rsidRPr="003E3235">
        <w:rPr>
          <w:rFonts w:cs="Arial"/>
          <w:color w:val="auto"/>
          <w:sz w:val="20"/>
          <w:szCs w:val="20"/>
        </w:rPr>
        <w:t>/1</w:t>
      </w:r>
      <w:r w:rsidR="003E3235" w:rsidRPr="003E3235">
        <w:rPr>
          <w:rFonts w:cs="Arial"/>
          <w:color w:val="auto"/>
          <w:sz w:val="20"/>
          <w:szCs w:val="20"/>
        </w:rPr>
        <w:t>8</w:t>
      </w:r>
      <w:r w:rsidRPr="003E3235">
        <w:rPr>
          <w:rFonts w:cs="Arial"/>
          <w:color w:val="auto"/>
          <w:sz w:val="20"/>
          <w:szCs w:val="20"/>
        </w:rPr>
        <w:t xml:space="preserve"> totalled £</w:t>
      </w:r>
      <w:r w:rsidR="00AF6B55" w:rsidRPr="003E3235">
        <w:rPr>
          <w:rFonts w:cs="Arial"/>
          <w:color w:val="auto"/>
          <w:sz w:val="20"/>
          <w:szCs w:val="20"/>
        </w:rPr>
        <w:t>0.1</w:t>
      </w:r>
      <w:r w:rsidR="00FB55B3" w:rsidRPr="003E3235">
        <w:rPr>
          <w:rFonts w:cs="Arial"/>
          <w:color w:val="auto"/>
          <w:sz w:val="20"/>
          <w:szCs w:val="20"/>
        </w:rPr>
        <w:t>m</w:t>
      </w:r>
      <w:r w:rsidRPr="003E3235">
        <w:rPr>
          <w:rFonts w:cs="Arial"/>
          <w:color w:val="auto"/>
          <w:sz w:val="20"/>
          <w:szCs w:val="20"/>
        </w:rPr>
        <w:t xml:space="preserve"> (£0.</w:t>
      </w:r>
      <w:r w:rsidR="00727D68" w:rsidRPr="003E3235">
        <w:rPr>
          <w:rFonts w:cs="Arial"/>
          <w:color w:val="auto"/>
          <w:sz w:val="20"/>
          <w:szCs w:val="20"/>
        </w:rPr>
        <w:t>1</w:t>
      </w:r>
      <w:r w:rsidRPr="003E3235">
        <w:rPr>
          <w:rFonts w:cs="Arial"/>
          <w:color w:val="auto"/>
          <w:sz w:val="20"/>
          <w:szCs w:val="20"/>
        </w:rPr>
        <w:t>m 201</w:t>
      </w:r>
      <w:r w:rsidR="003E3235" w:rsidRPr="003E3235">
        <w:rPr>
          <w:rFonts w:cs="Arial"/>
          <w:color w:val="auto"/>
          <w:sz w:val="20"/>
          <w:szCs w:val="20"/>
        </w:rPr>
        <w:t>6</w:t>
      </w:r>
      <w:r w:rsidR="00810536" w:rsidRPr="003E3235">
        <w:rPr>
          <w:rFonts w:cs="Arial"/>
          <w:color w:val="auto"/>
          <w:sz w:val="20"/>
          <w:szCs w:val="20"/>
        </w:rPr>
        <w:t>/1</w:t>
      </w:r>
      <w:r w:rsidR="003E3235" w:rsidRPr="003E3235">
        <w:rPr>
          <w:rFonts w:cs="Arial"/>
          <w:color w:val="auto"/>
          <w:sz w:val="20"/>
          <w:szCs w:val="20"/>
        </w:rPr>
        <w:t>7</w:t>
      </w:r>
      <w:r w:rsidRPr="003E3235">
        <w:rPr>
          <w:rFonts w:cs="Arial"/>
          <w:color w:val="auto"/>
          <w:sz w:val="20"/>
          <w:szCs w:val="20"/>
        </w:rPr>
        <w:t>).</w:t>
      </w:r>
      <w:r w:rsidR="00B4102A" w:rsidRPr="003E3235">
        <w:rPr>
          <w:rFonts w:cs="Arial"/>
          <w:color w:val="auto"/>
          <w:sz w:val="20"/>
          <w:szCs w:val="20"/>
        </w:rPr>
        <w:t xml:space="preserve"> </w:t>
      </w:r>
      <w:r w:rsidRPr="003E3235">
        <w:rPr>
          <w:rFonts w:cs="Arial"/>
          <w:color w:val="auto"/>
          <w:sz w:val="20"/>
          <w:szCs w:val="20"/>
        </w:rPr>
        <w:t xml:space="preserve">The future minimum lease payments due under property leases in future years </w:t>
      </w:r>
      <w:r w:rsidR="00B4102A" w:rsidRPr="003E3235">
        <w:rPr>
          <w:rFonts w:cs="Arial"/>
          <w:color w:val="auto"/>
          <w:sz w:val="20"/>
          <w:szCs w:val="20"/>
        </w:rPr>
        <w:t>is £</w:t>
      </w:r>
      <w:r w:rsidR="00AF6B55" w:rsidRPr="003E3235">
        <w:rPr>
          <w:rFonts w:cs="Arial"/>
          <w:color w:val="auto"/>
          <w:sz w:val="20"/>
          <w:szCs w:val="20"/>
        </w:rPr>
        <w:t>0.</w:t>
      </w:r>
      <w:r w:rsidR="003E3235" w:rsidRPr="003E3235">
        <w:rPr>
          <w:rFonts w:cs="Arial"/>
          <w:color w:val="auto"/>
          <w:sz w:val="20"/>
          <w:szCs w:val="20"/>
        </w:rPr>
        <w:t>5</w:t>
      </w:r>
      <w:r w:rsidR="00B4102A" w:rsidRPr="003E3235">
        <w:rPr>
          <w:rFonts w:cs="Arial"/>
          <w:color w:val="auto"/>
          <w:sz w:val="20"/>
          <w:szCs w:val="20"/>
        </w:rPr>
        <w:t>m (£0.</w:t>
      </w:r>
      <w:r w:rsidR="003E3235" w:rsidRPr="003E3235">
        <w:rPr>
          <w:rFonts w:cs="Arial"/>
          <w:color w:val="auto"/>
          <w:sz w:val="20"/>
          <w:szCs w:val="20"/>
        </w:rPr>
        <w:t>4</w:t>
      </w:r>
      <w:r w:rsidR="00B4102A" w:rsidRPr="003E3235">
        <w:rPr>
          <w:rFonts w:cs="Arial"/>
          <w:color w:val="auto"/>
          <w:sz w:val="20"/>
          <w:szCs w:val="20"/>
        </w:rPr>
        <w:t>m 201</w:t>
      </w:r>
      <w:r w:rsidR="003E3235" w:rsidRPr="003E3235">
        <w:rPr>
          <w:rFonts w:cs="Arial"/>
          <w:color w:val="auto"/>
          <w:sz w:val="20"/>
          <w:szCs w:val="20"/>
        </w:rPr>
        <w:t>6</w:t>
      </w:r>
      <w:r w:rsidR="00B4102A" w:rsidRPr="003E3235">
        <w:rPr>
          <w:rFonts w:cs="Arial"/>
          <w:color w:val="auto"/>
          <w:sz w:val="20"/>
          <w:szCs w:val="20"/>
        </w:rPr>
        <w:t>/1</w:t>
      </w:r>
      <w:r w:rsidR="003E3235" w:rsidRPr="003E3235">
        <w:rPr>
          <w:rFonts w:cs="Arial"/>
          <w:color w:val="auto"/>
          <w:sz w:val="20"/>
          <w:szCs w:val="20"/>
        </w:rPr>
        <w:t>7</w:t>
      </w:r>
      <w:r w:rsidR="00B4102A" w:rsidRPr="003E3235">
        <w:rPr>
          <w:rFonts w:cs="Arial"/>
          <w:color w:val="auto"/>
          <w:sz w:val="20"/>
          <w:szCs w:val="20"/>
        </w:rPr>
        <w:t>).</w:t>
      </w:r>
    </w:p>
    <w:p w:rsidR="00AF6B55" w:rsidRPr="0005794A" w:rsidRDefault="00AF6B55" w:rsidP="00D06AD1">
      <w:pPr>
        <w:pStyle w:val="CodeNotesExampleText"/>
        <w:ind w:left="567"/>
        <w:rPr>
          <w:rFonts w:cs="Arial"/>
          <w:color w:val="548DD4" w:themeColor="text2" w:themeTint="99"/>
          <w:sz w:val="20"/>
          <w:szCs w:val="20"/>
        </w:rPr>
      </w:pPr>
    </w:p>
    <w:p w:rsidR="00E51139" w:rsidRPr="00A21308" w:rsidRDefault="00E51139" w:rsidP="003C5E34">
      <w:pPr>
        <w:pStyle w:val="CodeNotesExampleText"/>
        <w:widowControl w:val="0"/>
        <w:ind w:left="567"/>
        <w:rPr>
          <w:rFonts w:cs="Arial"/>
          <w:color w:val="auto"/>
          <w:sz w:val="20"/>
          <w:szCs w:val="20"/>
        </w:rPr>
      </w:pPr>
      <w:r w:rsidRPr="00A21308">
        <w:rPr>
          <w:rFonts w:cs="Arial"/>
          <w:color w:val="auto"/>
          <w:sz w:val="20"/>
          <w:szCs w:val="20"/>
        </w:rPr>
        <w:t>Finance Leases:</w:t>
      </w:r>
    </w:p>
    <w:p w:rsidR="00E51139" w:rsidRPr="00A21308" w:rsidRDefault="00E51139" w:rsidP="003C5E34">
      <w:pPr>
        <w:pStyle w:val="CodeNotesExampleText"/>
        <w:widowControl w:val="0"/>
        <w:ind w:left="567"/>
        <w:rPr>
          <w:rFonts w:cs="Arial"/>
          <w:color w:val="auto"/>
          <w:sz w:val="20"/>
          <w:szCs w:val="20"/>
        </w:rPr>
      </w:pPr>
    </w:p>
    <w:p w:rsidR="00E51139" w:rsidRPr="00A21308" w:rsidRDefault="00E51139" w:rsidP="008D0906">
      <w:pPr>
        <w:pStyle w:val="CodeNotesExampleText"/>
        <w:widowControl w:val="0"/>
        <w:ind w:left="567"/>
        <w:outlineLvl w:val="0"/>
        <w:rPr>
          <w:rFonts w:cs="Arial"/>
          <w:color w:val="auto"/>
          <w:sz w:val="20"/>
          <w:szCs w:val="20"/>
        </w:rPr>
      </w:pPr>
      <w:r w:rsidRPr="00A21308">
        <w:rPr>
          <w:rFonts w:cs="Arial"/>
          <w:color w:val="auto"/>
          <w:sz w:val="20"/>
          <w:szCs w:val="20"/>
        </w:rPr>
        <w:t>The Council, as lessee, does not have any material finance leases.</w:t>
      </w:r>
    </w:p>
    <w:p w:rsidR="00E51139" w:rsidRPr="0005794A" w:rsidRDefault="00E51139" w:rsidP="003C5E34">
      <w:pPr>
        <w:pStyle w:val="CodeNotesExampleText"/>
        <w:widowControl w:val="0"/>
        <w:ind w:left="567"/>
        <w:rPr>
          <w:rFonts w:cs="Arial"/>
          <w:color w:val="548DD4" w:themeColor="text2" w:themeTint="99"/>
          <w:sz w:val="20"/>
          <w:szCs w:val="20"/>
        </w:rPr>
      </w:pPr>
    </w:p>
    <w:p w:rsidR="00E51139" w:rsidRPr="00B175DE" w:rsidRDefault="00E51139" w:rsidP="008D0906">
      <w:pPr>
        <w:pStyle w:val="CodeNotesExampleText"/>
        <w:widowControl w:val="0"/>
        <w:ind w:left="567"/>
        <w:outlineLvl w:val="0"/>
        <w:rPr>
          <w:rFonts w:cs="Arial"/>
          <w:b/>
          <w:color w:val="auto"/>
          <w:sz w:val="20"/>
          <w:szCs w:val="20"/>
        </w:rPr>
      </w:pPr>
      <w:r w:rsidRPr="00B175DE">
        <w:rPr>
          <w:rFonts w:cs="Arial"/>
          <w:b/>
          <w:color w:val="auto"/>
          <w:sz w:val="20"/>
          <w:szCs w:val="20"/>
        </w:rPr>
        <w:t>Council as Lessor</w:t>
      </w:r>
    </w:p>
    <w:p w:rsidR="00E51139" w:rsidRPr="00B175DE" w:rsidRDefault="00E51139" w:rsidP="003C5E34">
      <w:pPr>
        <w:pStyle w:val="CodeNotesExampleText"/>
        <w:widowControl w:val="0"/>
        <w:ind w:left="567"/>
        <w:rPr>
          <w:rFonts w:cs="Arial"/>
          <w:color w:val="auto"/>
          <w:sz w:val="20"/>
          <w:szCs w:val="20"/>
        </w:rPr>
      </w:pPr>
    </w:p>
    <w:p w:rsidR="00E51139" w:rsidRPr="00B175DE" w:rsidRDefault="00E51139" w:rsidP="003C5E34">
      <w:pPr>
        <w:pStyle w:val="CodeNotesExampleText"/>
        <w:widowControl w:val="0"/>
        <w:ind w:left="567"/>
        <w:outlineLvl w:val="0"/>
        <w:rPr>
          <w:rFonts w:cs="Arial"/>
          <w:color w:val="auto"/>
          <w:sz w:val="20"/>
          <w:szCs w:val="20"/>
        </w:rPr>
      </w:pPr>
      <w:r w:rsidRPr="00B175DE">
        <w:rPr>
          <w:rFonts w:cs="Arial"/>
          <w:color w:val="auto"/>
          <w:sz w:val="20"/>
          <w:szCs w:val="20"/>
        </w:rPr>
        <w:t>Operating Leases – Property:</w:t>
      </w:r>
    </w:p>
    <w:p w:rsidR="00E51139" w:rsidRPr="00B175DE" w:rsidRDefault="00E51139" w:rsidP="003C5E34">
      <w:pPr>
        <w:pStyle w:val="CodeNotesExampleText"/>
        <w:widowControl w:val="0"/>
        <w:ind w:left="567"/>
        <w:rPr>
          <w:rFonts w:cs="Arial"/>
          <w:color w:val="auto"/>
          <w:sz w:val="20"/>
          <w:szCs w:val="20"/>
        </w:rPr>
      </w:pPr>
    </w:p>
    <w:p w:rsidR="00E51139" w:rsidRPr="0005794A" w:rsidRDefault="00E51139" w:rsidP="00EE484A">
      <w:pPr>
        <w:pStyle w:val="CodeNotesExampleText"/>
        <w:widowControl w:val="0"/>
        <w:ind w:left="567"/>
        <w:rPr>
          <w:rFonts w:cs="Arial"/>
          <w:color w:val="548DD4" w:themeColor="text2" w:themeTint="99"/>
          <w:sz w:val="20"/>
          <w:szCs w:val="20"/>
        </w:rPr>
      </w:pPr>
      <w:r w:rsidRPr="00B175DE">
        <w:rPr>
          <w:rFonts w:cs="Arial"/>
          <w:color w:val="auto"/>
          <w:sz w:val="20"/>
          <w:szCs w:val="20"/>
        </w:rPr>
        <w:t>The Council leases out property under operating leases for the provision of services, such as cafes and golf clubs and for economic development purposes to provide suitable affordable accommodation for local businesses</w:t>
      </w:r>
      <w:r w:rsidR="00B175DE" w:rsidRPr="00B175DE">
        <w:rPr>
          <w:rFonts w:cs="Arial"/>
          <w:color w:val="auto"/>
          <w:sz w:val="20"/>
          <w:szCs w:val="20"/>
        </w:rPr>
        <w:t xml:space="preserve"> and as Investm</w:t>
      </w:r>
      <w:r w:rsidR="005860E2">
        <w:rPr>
          <w:rFonts w:cs="Arial"/>
          <w:color w:val="auto"/>
          <w:sz w:val="20"/>
          <w:szCs w:val="20"/>
        </w:rPr>
        <w:t>ent</w:t>
      </w:r>
      <w:r w:rsidR="00B175DE" w:rsidRPr="00B175DE">
        <w:rPr>
          <w:rFonts w:cs="Arial"/>
          <w:color w:val="auto"/>
          <w:sz w:val="20"/>
          <w:szCs w:val="20"/>
        </w:rPr>
        <w:t xml:space="preserve"> properties</w:t>
      </w:r>
      <w:r w:rsidRPr="005860E2">
        <w:rPr>
          <w:rFonts w:cs="Arial"/>
          <w:color w:val="auto"/>
          <w:sz w:val="20"/>
          <w:szCs w:val="20"/>
        </w:rPr>
        <w:t>. Payments received in 201</w:t>
      </w:r>
      <w:r w:rsidR="005860E2" w:rsidRPr="005860E2">
        <w:rPr>
          <w:rFonts w:cs="Arial"/>
          <w:color w:val="auto"/>
          <w:sz w:val="20"/>
          <w:szCs w:val="20"/>
        </w:rPr>
        <w:t>7</w:t>
      </w:r>
      <w:r w:rsidR="00B75071" w:rsidRPr="005860E2">
        <w:rPr>
          <w:rFonts w:cs="Arial"/>
          <w:color w:val="auto"/>
          <w:sz w:val="20"/>
          <w:szCs w:val="20"/>
        </w:rPr>
        <w:t>/1</w:t>
      </w:r>
      <w:r w:rsidR="005860E2" w:rsidRPr="005860E2">
        <w:rPr>
          <w:rFonts w:cs="Arial"/>
          <w:color w:val="auto"/>
          <w:sz w:val="20"/>
          <w:szCs w:val="20"/>
        </w:rPr>
        <w:t>8</w:t>
      </w:r>
      <w:r w:rsidR="00B009A1" w:rsidRPr="005860E2">
        <w:rPr>
          <w:rFonts w:cs="Arial"/>
          <w:color w:val="auto"/>
          <w:sz w:val="20"/>
          <w:szCs w:val="20"/>
        </w:rPr>
        <w:t xml:space="preserve">, including turnover rents, </w:t>
      </w:r>
      <w:r w:rsidRPr="005860E2">
        <w:rPr>
          <w:rFonts w:cs="Arial"/>
          <w:color w:val="auto"/>
          <w:sz w:val="20"/>
          <w:szCs w:val="20"/>
        </w:rPr>
        <w:t>totalled £</w:t>
      </w:r>
      <w:r w:rsidR="005860E2">
        <w:rPr>
          <w:rFonts w:cs="Arial"/>
          <w:color w:val="auto"/>
          <w:sz w:val="20"/>
          <w:szCs w:val="20"/>
        </w:rPr>
        <w:t>8.</w:t>
      </w:r>
      <w:r w:rsidR="005F5659">
        <w:rPr>
          <w:rFonts w:cs="Arial"/>
          <w:color w:val="auto"/>
          <w:sz w:val="20"/>
          <w:szCs w:val="20"/>
        </w:rPr>
        <w:t>8</w:t>
      </w:r>
      <w:r w:rsidR="00FB55B3" w:rsidRPr="005860E2">
        <w:rPr>
          <w:rFonts w:cs="Arial"/>
          <w:color w:val="auto"/>
          <w:sz w:val="20"/>
          <w:szCs w:val="20"/>
        </w:rPr>
        <w:t>m</w:t>
      </w:r>
      <w:r w:rsidRPr="005860E2">
        <w:rPr>
          <w:rFonts w:cs="Arial"/>
          <w:color w:val="auto"/>
          <w:sz w:val="20"/>
          <w:szCs w:val="20"/>
        </w:rPr>
        <w:t xml:space="preserve"> (£</w:t>
      </w:r>
      <w:r w:rsidR="008A4204" w:rsidRPr="005860E2">
        <w:rPr>
          <w:rFonts w:cs="Arial"/>
          <w:color w:val="auto"/>
          <w:sz w:val="20"/>
          <w:szCs w:val="20"/>
        </w:rPr>
        <w:t>3.</w:t>
      </w:r>
      <w:r w:rsidR="00B175DE" w:rsidRPr="005860E2">
        <w:rPr>
          <w:rFonts w:cs="Arial"/>
          <w:color w:val="auto"/>
          <w:sz w:val="20"/>
          <w:szCs w:val="20"/>
        </w:rPr>
        <w:t>4</w:t>
      </w:r>
      <w:r w:rsidRPr="005860E2">
        <w:rPr>
          <w:rFonts w:cs="Arial"/>
          <w:color w:val="auto"/>
          <w:sz w:val="20"/>
          <w:szCs w:val="20"/>
        </w:rPr>
        <w:t>m 201</w:t>
      </w:r>
      <w:r w:rsidR="00B175DE" w:rsidRPr="005860E2">
        <w:rPr>
          <w:rFonts w:cs="Arial"/>
          <w:color w:val="auto"/>
          <w:sz w:val="20"/>
          <w:szCs w:val="20"/>
        </w:rPr>
        <w:t>6</w:t>
      </w:r>
      <w:r w:rsidR="00B75071" w:rsidRPr="005860E2">
        <w:rPr>
          <w:rFonts w:cs="Arial"/>
          <w:color w:val="auto"/>
          <w:sz w:val="20"/>
          <w:szCs w:val="20"/>
        </w:rPr>
        <w:t>/1</w:t>
      </w:r>
      <w:r w:rsidR="00B175DE" w:rsidRPr="005860E2">
        <w:rPr>
          <w:rFonts w:cs="Arial"/>
          <w:color w:val="auto"/>
          <w:sz w:val="20"/>
          <w:szCs w:val="20"/>
        </w:rPr>
        <w:t>7</w:t>
      </w:r>
      <w:r w:rsidRPr="005860E2">
        <w:rPr>
          <w:rFonts w:cs="Arial"/>
          <w:color w:val="auto"/>
          <w:sz w:val="20"/>
          <w:szCs w:val="20"/>
        </w:rPr>
        <w:t>).</w:t>
      </w:r>
    </w:p>
    <w:p w:rsidR="00E51139" w:rsidRPr="0005794A" w:rsidRDefault="00E51139" w:rsidP="00513F34">
      <w:pPr>
        <w:pStyle w:val="CodeNotesExampleText"/>
        <w:widowControl w:val="0"/>
        <w:rPr>
          <w:rFonts w:cs="Arial"/>
          <w:color w:val="548DD4" w:themeColor="text2" w:themeTint="99"/>
          <w:sz w:val="20"/>
          <w:szCs w:val="20"/>
        </w:rPr>
      </w:pPr>
    </w:p>
    <w:p w:rsidR="00E51139" w:rsidRPr="0005794A" w:rsidRDefault="00E51139" w:rsidP="003C5E34">
      <w:pPr>
        <w:pStyle w:val="CodeNotesExampleText"/>
        <w:widowControl w:val="0"/>
        <w:ind w:left="567"/>
        <w:outlineLvl w:val="0"/>
        <w:rPr>
          <w:rFonts w:cs="Arial"/>
          <w:color w:val="548DD4" w:themeColor="text2" w:themeTint="99"/>
          <w:sz w:val="20"/>
          <w:szCs w:val="20"/>
        </w:rPr>
      </w:pPr>
      <w:r w:rsidRPr="00B175DE">
        <w:rPr>
          <w:rFonts w:cs="Arial"/>
          <w:color w:val="auto"/>
          <w:sz w:val="20"/>
          <w:szCs w:val="20"/>
        </w:rPr>
        <w:t>The future minimum property lease payments receivable in future years are:</w:t>
      </w:r>
    </w:p>
    <w:p w:rsidR="00E51139" w:rsidRPr="0005794A" w:rsidRDefault="00E51139" w:rsidP="003C5E34">
      <w:pPr>
        <w:pStyle w:val="CodeNotesExampleText"/>
        <w:widowControl w:val="0"/>
        <w:ind w:left="567"/>
        <w:rPr>
          <w:rFonts w:cs="Arial"/>
          <w:color w:val="548DD4" w:themeColor="text2" w:themeTint="99"/>
          <w:sz w:val="20"/>
          <w:szCs w:val="20"/>
        </w:rPr>
      </w:pPr>
    </w:p>
    <w:tbl>
      <w:tblPr>
        <w:tblStyle w:val="ListTable3-Accent51"/>
        <w:tblW w:w="7683" w:type="dxa"/>
        <w:tblInd w:w="675" w:type="dxa"/>
        <w:tblLayout w:type="fixed"/>
        <w:tblLook w:val="0000" w:firstRow="0" w:lastRow="0" w:firstColumn="0" w:lastColumn="0" w:noHBand="0" w:noVBand="0"/>
      </w:tblPr>
      <w:tblGrid>
        <w:gridCol w:w="1593"/>
        <w:gridCol w:w="4515"/>
        <w:gridCol w:w="1575"/>
      </w:tblGrid>
      <w:tr w:rsidR="00E51139" w:rsidRPr="0005794A" w:rsidTr="00802E2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93" w:type="dxa"/>
            <w:shd w:val="clear" w:color="auto" w:fill="4BACC6" w:themeFill="accent5"/>
          </w:tcPr>
          <w:p w:rsidR="00E51139" w:rsidRPr="00164A76" w:rsidRDefault="00E51139" w:rsidP="00812DE4">
            <w:pPr>
              <w:pStyle w:val="TableRightBold"/>
              <w:jc w:val="center"/>
              <w:rPr>
                <w:rStyle w:val="Bold"/>
                <w:rFonts w:ascii="Arial" w:hAnsi="Arial" w:cs="Arial"/>
                <w:color w:val="auto"/>
              </w:rPr>
            </w:pPr>
            <w:r w:rsidRPr="00164A76">
              <w:rPr>
                <w:rStyle w:val="Bold"/>
                <w:rFonts w:ascii="Arial" w:hAnsi="Arial" w:cs="Arial"/>
                <w:color w:val="auto"/>
              </w:rPr>
              <w:t>31 March 201</w:t>
            </w:r>
            <w:r w:rsidR="00164A76" w:rsidRPr="00164A76">
              <w:rPr>
                <w:rStyle w:val="Bold"/>
                <w:rFonts w:ascii="Arial" w:hAnsi="Arial" w:cs="Arial"/>
                <w:color w:val="auto"/>
              </w:rPr>
              <w:t>7</w:t>
            </w:r>
            <w:r w:rsidR="00C54081" w:rsidRPr="00164A76">
              <w:rPr>
                <w:rStyle w:val="Bold"/>
                <w:rFonts w:ascii="Arial" w:hAnsi="Arial" w:cs="Arial"/>
                <w:color w:val="auto"/>
              </w:rPr>
              <w:t xml:space="preserve"> </w:t>
            </w:r>
          </w:p>
          <w:p w:rsidR="00E51139" w:rsidRPr="00164A76" w:rsidRDefault="00E51139" w:rsidP="00812DE4">
            <w:pPr>
              <w:pStyle w:val="TableRightBold"/>
              <w:jc w:val="center"/>
              <w:rPr>
                <w:rFonts w:ascii="Arial" w:hAnsi="Arial" w:cs="Arial"/>
                <w:color w:val="auto"/>
              </w:rPr>
            </w:pPr>
            <w:r w:rsidRPr="00164A76">
              <w:rPr>
                <w:rStyle w:val="Bold"/>
                <w:rFonts w:ascii="Arial" w:hAnsi="Arial" w:cs="Arial"/>
                <w:color w:val="auto"/>
              </w:rPr>
              <w:t>£m</w:t>
            </w:r>
          </w:p>
        </w:tc>
        <w:tc>
          <w:tcPr>
            <w:tcW w:w="4515" w:type="dxa"/>
            <w:shd w:val="clear" w:color="auto" w:fill="4BACC6" w:themeFill="accent5"/>
          </w:tcPr>
          <w:p w:rsidR="00E51139" w:rsidRPr="00164A76" w:rsidRDefault="00E51139" w:rsidP="003C5E34">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Fonts w:ascii="Arial" w:hAnsi="Arial" w:cs="Arial"/>
                <w:b/>
                <w:color w:val="auto"/>
              </w:rPr>
              <w:t>Total payments due classified by year of expiry of lease term</w:t>
            </w:r>
          </w:p>
        </w:tc>
        <w:tc>
          <w:tcPr>
            <w:cnfStyle w:val="000010000000" w:firstRow="0" w:lastRow="0" w:firstColumn="0" w:lastColumn="0" w:oddVBand="1" w:evenVBand="0" w:oddHBand="0" w:evenHBand="0" w:firstRowFirstColumn="0" w:firstRowLastColumn="0" w:lastRowFirstColumn="0" w:lastRowLastColumn="0"/>
            <w:tcW w:w="1575" w:type="dxa"/>
            <w:shd w:val="clear" w:color="auto" w:fill="4BACC6" w:themeFill="accent5"/>
          </w:tcPr>
          <w:p w:rsidR="00E51139" w:rsidRPr="00164A76" w:rsidRDefault="00E51139" w:rsidP="00F37369">
            <w:pPr>
              <w:pStyle w:val="TableRightBold"/>
              <w:jc w:val="center"/>
              <w:rPr>
                <w:rStyle w:val="Bold"/>
                <w:rFonts w:ascii="Arial" w:hAnsi="Arial" w:cs="Arial"/>
                <w:b/>
                <w:color w:val="auto"/>
              </w:rPr>
            </w:pPr>
            <w:r w:rsidRPr="00164A76">
              <w:rPr>
                <w:rStyle w:val="Bold"/>
                <w:rFonts w:ascii="Arial" w:hAnsi="Arial" w:cs="Arial"/>
                <w:b/>
                <w:color w:val="auto"/>
              </w:rPr>
              <w:t>31 March 201</w:t>
            </w:r>
            <w:r w:rsidR="00164A76" w:rsidRPr="00164A76">
              <w:rPr>
                <w:rStyle w:val="Bold"/>
                <w:rFonts w:ascii="Arial" w:hAnsi="Arial" w:cs="Arial"/>
                <w:b/>
                <w:color w:val="auto"/>
              </w:rPr>
              <w:t>8</w:t>
            </w:r>
          </w:p>
          <w:p w:rsidR="00E51139" w:rsidRPr="00164A76" w:rsidRDefault="00E51139" w:rsidP="00F37369">
            <w:pPr>
              <w:pStyle w:val="TableRightBold"/>
              <w:jc w:val="center"/>
              <w:rPr>
                <w:rFonts w:ascii="Arial" w:hAnsi="Arial" w:cs="Arial"/>
                <w:color w:val="auto"/>
              </w:rPr>
            </w:pPr>
            <w:r w:rsidRPr="00164A76">
              <w:rPr>
                <w:rStyle w:val="Bold"/>
                <w:rFonts w:ascii="Arial" w:hAnsi="Arial" w:cs="Arial"/>
                <w:b/>
                <w:color w:val="auto"/>
              </w:rPr>
              <w:t>£m</w:t>
            </w:r>
          </w:p>
        </w:tc>
      </w:tr>
      <w:tr w:rsidR="00164A76" w:rsidRPr="0005794A" w:rsidTr="00802E21">
        <w:trPr>
          <w:trHeight w:val="60"/>
        </w:trPr>
        <w:tc>
          <w:tcPr>
            <w:cnfStyle w:val="000010000000" w:firstRow="0" w:lastRow="0" w:firstColumn="0" w:lastColumn="0" w:oddVBand="1" w:evenVBand="0" w:oddHBand="0" w:evenHBand="0" w:firstRowFirstColumn="0" w:firstRowLastColumn="0" w:lastRowFirstColumn="0" w:lastRowLastColumn="0"/>
            <w:tcW w:w="1593" w:type="dxa"/>
            <w:vAlign w:val="center"/>
          </w:tcPr>
          <w:p w:rsidR="00164A76" w:rsidRPr="00B175DE" w:rsidRDefault="00164A76" w:rsidP="00164A76">
            <w:pPr>
              <w:pStyle w:val="TableRight"/>
              <w:jc w:val="center"/>
              <w:rPr>
                <w:rFonts w:ascii="Arial" w:hAnsi="Arial" w:cs="Arial"/>
                <w:color w:val="auto"/>
              </w:rPr>
            </w:pPr>
            <w:r w:rsidRPr="00B175DE">
              <w:rPr>
                <w:rFonts w:ascii="Arial" w:hAnsi="Arial" w:cs="Arial"/>
                <w:color w:val="auto"/>
              </w:rPr>
              <w:t>4.2</w:t>
            </w:r>
          </w:p>
        </w:tc>
        <w:tc>
          <w:tcPr>
            <w:tcW w:w="4515" w:type="dxa"/>
            <w:vAlign w:val="center"/>
          </w:tcPr>
          <w:p w:rsidR="00164A76" w:rsidRPr="00164A76" w:rsidRDefault="00164A76" w:rsidP="00802E2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A76">
              <w:rPr>
                <w:rFonts w:ascii="Arial" w:hAnsi="Arial" w:cs="Arial"/>
                <w:color w:val="auto"/>
              </w:rPr>
              <w:t>Not later than one year</w:t>
            </w:r>
          </w:p>
        </w:tc>
        <w:tc>
          <w:tcPr>
            <w:cnfStyle w:val="000010000000" w:firstRow="0" w:lastRow="0" w:firstColumn="0" w:lastColumn="0" w:oddVBand="1" w:evenVBand="0" w:oddHBand="0" w:evenHBand="0" w:firstRowFirstColumn="0" w:firstRowLastColumn="0" w:lastRowFirstColumn="0" w:lastRowLastColumn="0"/>
            <w:tcW w:w="1575" w:type="dxa"/>
            <w:vAlign w:val="center"/>
          </w:tcPr>
          <w:p w:rsidR="00164A76" w:rsidRPr="00164A76" w:rsidRDefault="00B175DE" w:rsidP="00B3419B">
            <w:pPr>
              <w:pStyle w:val="TableRight"/>
              <w:jc w:val="center"/>
              <w:rPr>
                <w:rFonts w:ascii="Arial" w:hAnsi="Arial" w:cs="Arial"/>
                <w:b/>
                <w:color w:val="auto"/>
              </w:rPr>
            </w:pPr>
            <w:r>
              <w:rPr>
                <w:rFonts w:ascii="Arial" w:hAnsi="Arial" w:cs="Arial"/>
                <w:b/>
                <w:color w:val="auto"/>
              </w:rPr>
              <w:t>10.4</w:t>
            </w:r>
          </w:p>
        </w:tc>
      </w:tr>
      <w:tr w:rsidR="00164A76" w:rsidRPr="0005794A" w:rsidTr="00802E2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93" w:type="dxa"/>
            <w:vAlign w:val="center"/>
          </w:tcPr>
          <w:p w:rsidR="00164A76" w:rsidRPr="00B175DE" w:rsidRDefault="00164A76" w:rsidP="00164A76">
            <w:pPr>
              <w:pStyle w:val="TableRight"/>
              <w:jc w:val="center"/>
              <w:rPr>
                <w:rFonts w:ascii="Arial" w:hAnsi="Arial" w:cs="Arial"/>
                <w:color w:val="auto"/>
              </w:rPr>
            </w:pPr>
            <w:r w:rsidRPr="00B175DE">
              <w:rPr>
                <w:rFonts w:ascii="Arial" w:hAnsi="Arial" w:cs="Arial"/>
                <w:color w:val="auto"/>
              </w:rPr>
              <w:t>12.4</w:t>
            </w:r>
          </w:p>
        </w:tc>
        <w:tc>
          <w:tcPr>
            <w:tcW w:w="4515" w:type="dxa"/>
            <w:vAlign w:val="center"/>
          </w:tcPr>
          <w:p w:rsidR="00164A76" w:rsidRPr="00164A76" w:rsidRDefault="00164A76" w:rsidP="00802E21">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Fonts w:ascii="Arial" w:hAnsi="Arial" w:cs="Arial"/>
                <w:color w:val="auto"/>
              </w:rPr>
              <w:t>Later than one year and not later than five years</w:t>
            </w:r>
          </w:p>
        </w:tc>
        <w:tc>
          <w:tcPr>
            <w:cnfStyle w:val="000010000000" w:firstRow="0" w:lastRow="0" w:firstColumn="0" w:lastColumn="0" w:oddVBand="1" w:evenVBand="0" w:oddHBand="0" w:evenHBand="0" w:firstRowFirstColumn="0" w:firstRowLastColumn="0" w:lastRowFirstColumn="0" w:lastRowLastColumn="0"/>
            <w:tcW w:w="1575" w:type="dxa"/>
            <w:vAlign w:val="center"/>
          </w:tcPr>
          <w:p w:rsidR="00164A76" w:rsidRPr="00164A76" w:rsidRDefault="00B175DE" w:rsidP="00647836">
            <w:pPr>
              <w:pStyle w:val="TableRight"/>
              <w:jc w:val="center"/>
              <w:rPr>
                <w:rFonts w:ascii="Arial" w:hAnsi="Arial" w:cs="Arial"/>
                <w:b/>
                <w:color w:val="auto"/>
              </w:rPr>
            </w:pPr>
            <w:r>
              <w:rPr>
                <w:rFonts w:ascii="Arial" w:hAnsi="Arial" w:cs="Arial"/>
                <w:b/>
                <w:color w:val="auto"/>
              </w:rPr>
              <w:t>31.0</w:t>
            </w:r>
          </w:p>
        </w:tc>
      </w:tr>
      <w:tr w:rsidR="00164A76" w:rsidRPr="0005794A" w:rsidTr="00802E21">
        <w:trPr>
          <w:trHeight w:val="60"/>
        </w:trPr>
        <w:tc>
          <w:tcPr>
            <w:cnfStyle w:val="000010000000" w:firstRow="0" w:lastRow="0" w:firstColumn="0" w:lastColumn="0" w:oddVBand="1" w:evenVBand="0" w:oddHBand="0" w:evenHBand="0" w:firstRowFirstColumn="0" w:firstRowLastColumn="0" w:lastRowFirstColumn="0" w:lastRowLastColumn="0"/>
            <w:tcW w:w="1593" w:type="dxa"/>
            <w:vAlign w:val="center"/>
          </w:tcPr>
          <w:p w:rsidR="00164A76" w:rsidRPr="00B175DE" w:rsidRDefault="00164A76" w:rsidP="00164A76">
            <w:pPr>
              <w:pStyle w:val="TableRight"/>
              <w:jc w:val="center"/>
              <w:rPr>
                <w:rFonts w:ascii="Arial" w:hAnsi="Arial" w:cs="Arial"/>
                <w:color w:val="auto"/>
              </w:rPr>
            </w:pPr>
            <w:r w:rsidRPr="00B175DE">
              <w:rPr>
                <w:rFonts w:ascii="Arial" w:hAnsi="Arial" w:cs="Arial"/>
                <w:color w:val="auto"/>
              </w:rPr>
              <w:t>67.7</w:t>
            </w:r>
          </w:p>
        </w:tc>
        <w:tc>
          <w:tcPr>
            <w:tcW w:w="4515" w:type="dxa"/>
            <w:vAlign w:val="center"/>
          </w:tcPr>
          <w:p w:rsidR="00164A76" w:rsidRPr="00164A76" w:rsidRDefault="00164A76" w:rsidP="00802E2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A76">
              <w:rPr>
                <w:rFonts w:ascii="Arial" w:hAnsi="Arial" w:cs="Arial"/>
                <w:color w:val="auto"/>
              </w:rPr>
              <w:t>Later than five years</w:t>
            </w:r>
          </w:p>
        </w:tc>
        <w:tc>
          <w:tcPr>
            <w:cnfStyle w:val="000010000000" w:firstRow="0" w:lastRow="0" w:firstColumn="0" w:lastColumn="0" w:oddVBand="1" w:evenVBand="0" w:oddHBand="0" w:evenHBand="0" w:firstRowFirstColumn="0" w:firstRowLastColumn="0" w:lastRowFirstColumn="0" w:lastRowLastColumn="0"/>
            <w:tcW w:w="1575" w:type="dxa"/>
            <w:vAlign w:val="center"/>
          </w:tcPr>
          <w:p w:rsidR="00164A76" w:rsidRPr="00B175DE" w:rsidRDefault="00B175DE" w:rsidP="00647836">
            <w:pPr>
              <w:pStyle w:val="TableRight"/>
              <w:jc w:val="center"/>
              <w:rPr>
                <w:rFonts w:ascii="Arial" w:hAnsi="Arial" w:cs="Arial"/>
                <w:b/>
                <w:color w:val="auto"/>
              </w:rPr>
            </w:pPr>
            <w:r w:rsidRPr="00B175DE">
              <w:rPr>
                <w:rFonts w:ascii="Arial" w:hAnsi="Arial" w:cs="Arial"/>
                <w:b/>
                <w:color w:val="auto"/>
              </w:rPr>
              <w:t>124.4</w:t>
            </w:r>
          </w:p>
        </w:tc>
      </w:tr>
      <w:tr w:rsidR="00164A76" w:rsidRPr="0005794A" w:rsidTr="00802E21">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93" w:type="dxa"/>
            <w:vAlign w:val="center"/>
          </w:tcPr>
          <w:p w:rsidR="00164A76" w:rsidRPr="00B175DE" w:rsidRDefault="00164A76" w:rsidP="00164A76">
            <w:pPr>
              <w:pStyle w:val="TableRight"/>
              <w:jc w:val="center"/>
              <w:rPr>
                <w:rFonts w:ascii="Arial" w:hAnsi="Arial" w:cs="Arial"/>
                <w:color w:val="auto"/>
              </w:rPr>
            </w:pPr>
            <w:r w:rsidRPr="00B175DE">
              <w:rPr>
                <w:rFonts w:ascii="Arial" w:hAnsi="Arial" w:cs="Arial"/>
                <w:color w:val="auto"/>
              </w:rPr>
              <w:t>84.3</w:t>
            </w:r>
          </w:p>
        </w:tc>
        <w:tc>
          <w:tcPr>
            <w:tcW w:w="4515" w:type="dxa"/>
            <w:vAlign w:val="center"/>
          </w:tcPr>
          <w:p w:rsidR="00164A76" w:rsidRPr="00164A76" w:rsidRDefault="00164A76" w:rsidP="00802E21">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64A76">
              <w:rPr>
                <w:rFonts w:ascii="Arial" w:hAnsi="Arial" w:cs="Arial"/>
                <w:b/>
                <w:color w:val="auto"/>
              </w:rPr>
              <w:t>Total</w:t>
            </w:r>
          </w:p>
        </w:tc>
        <w:tc>
          <w:tcPr>
            <w:cnfStyle w:val="000010000000" w:firstRow="0" w:lastRow="0" w:firstColumn="0" w:lastColumn="0" w:oddVBand="1" w:evenVBand="0" w:oddHBand="0" w:evenHBand="0" w:firstRowFirstColumn="0" w:firstRowLastColumn="0" w:lastRowFirstColumn="0" w:lastRowLastColumn="0"/>
            <w:tcW w:w="1575" w:type="dxa"/>
            <w:vAlign w:val="center"/>
          </w:tcPr>
          <w:p w:rsidR="00164A76" w:rsidRPr="00B175DE" w:rsidRDefault="00B175DE" w:rsidP="003023F7">
            <w:pPr>
              <w:pStyle w:val="TableRight"/>
              <w:jc w:val="center"/>
              <w:rPr>
                <w:rFonts w:ascii="Arial" w:hAnsi="Arial" w:cs="Arial"/>
                <w:b/>
                <w:color w:val="auto"/>
              </w:rPr>
            </w:pPr>
            <w:r w:rsidRPr="00B175DE">
              <w:rPr>
                <w:rFonts w:ascii="Arial" w:hAnsi="Arial" w:cs="Arial"/>
                <w:b/>
                <w:color w:val="auto"/>
              </w:rPr>
              <w:t>165.8</w:t>
            </w:r>
          </w:p>
        </w:tc>
      </w:tr>
    </w:tbl>
    <w:p w:rsidR="00E51139" w:rsidRPr="0005794A" w:rsidRDefault="00E51139" w:rsidP="003C5E34">
      <w:pPr>
        <w:pStyle w:val="CodeNotesExampleText"/>
        <w:widowControl w:val="0"/>
        <w:ind w:left="567"/>
        <w:rPr>
          <w:rFonts w:cs="Arial"/>
          <w:color w:val="548DD4" w:themeColor="text2" w:themeTint="99"/>
          <w:sz w:val="20"/>
          <w:szCs w:val="20"/>
        </w:rPr>
      </w:pPr>
    </w:p>
    <w:p w:rsidR="00922D1C" w:rsidRPr="0005794A" w:rsidRDefault="00922D1C" w:rsidP="00184463">
      <w:pPr>
        <w:pStyle w:val="CodeNotesExampleText"/>
        <w:widowControl w:val="0"/>
        <w:ind w:left="567"/>
        <w:rPr>
          <w:rFonts w:cs="Arial"/>
          <w:color w:val="548DD4" w:themeColor="text2" w:themeTint="99"/>
          <w:sz w:val="20"/>
          <w:szCs w:val="20"/>
        </w:rPr>
      </w:pPr>
    </w:p>
    <w:p w:rsidR="00E51139" w:rsidRPr="005860E2" w:rsidRDefault="00E51139" w:rsidP="00184463">
      <w:pPr>
        <w:pStyle w:val="CodeNotesExampleText"/>
        <w:widowControl w:val="0"/>
        <w:ind w:left="567"/>
        <w:rPr>
          <w:rFonts w:cs="Arial"/>
          <w:color w:val="auto"/>
          <w:sz w:val="20"/>
          <w:szCs w:val="20"/>
        </w:rPr>
      </w:pPr>
      <w:r w:rsidRPr="005860E2">
        <w:rPr>
          <w:rFonts w:cs="Arial"/>
          <w:color w:val="auto"/>
          <w:sz w:val="20"/>
          <w:szCs w:val="20"/>
        </w:rPr>
        <w:t>Finance Leases:</w:t>
      </w:r>
    </w:p>
    <w:p w:rsidR="00E51139" w:rsidRPr="005860E2" w:rsidRDefault="00E51139" w:rsidP="00184463">
      <w:pPr>
        <w:pStyle w:val="CodeNotesExampleText"/>
        <w:widowControl w:val="0"/>
        <w:ind w:left="567"/>
        <w:rPr>
          <w:rFonts w:cs="Arial"/>
          <w:color w:val="auto"/>
          <w:sz w:val="20"/>
          <w:szCs w:val="20"/>
          <w:u w:val="single"/>
        </w:rPr>
      </w:pPr>
    </w:p>
    <w:p w:rsidR="00E51139" w:rsidRPr="005860E2" w:rsidRDefault="00E51139" w:rsidP="008D0906">
      <w:pPr>
        <w:pStyle w:val="CodeNotesExampleText"/>
        <w:widowControl w:val="0"/>
        <w:ind w:left="567"/>
        <w:outlineLvl w:val="0"/>
        <w:rPr>
          <w:rFonts w:cs="Arial"/>
          <w:color w:val="auto"/>
          <w:sz w:val="20"/>
          <w:szCs w:val="20"/>
        </w:rPr>
      </w:pPr>
      <w:r w:rsidRPr="005860E2">
        <w:rPr>
          <w:rFonts w:cs="Arial"/>
          <w:color w:val="auto"/>
          <w:sz w:val="20"/>
          <w:szCs w:val="20"/>
        </w:rPr>
        <w:t xml:space="preserve">The Council, as lessor, does not have any material finance leases. </w:t>
      </w:r>
    </w:p>
    <w:p w:rsidR="00922D1C" w:rsidRPr="0005794A" w:rsidRDefault="00922D1C" w:rsidP="00184463">
      <w:pPr>
        <w:pStyle w:val="CodeNotesExampleText"/>
        <w:widowControl w:val="0"/>
        <w:ind w:left="567"/>
        <w:rPr>
          <w:rFonts w:cs="Arial"/>
          <w:color w:val="548DD4" w:themeColor="text2" w:themeTint="99"/>
          <w:sz w:val="20"/>
          <w:szCs w:val="20"/>
        </w:rPr>
      </w:pPr>
    </w:p>
    <w:p w:rsidR="00922D1C" w:rsidRPr="0005794A" w:rsidRDefault="00922D1C" w:rsidP="00184463">
      <w:pPr>
        <w:pStyle w:val="CodeNotesExampleText"/>
        <w:widowControl w:val="0"/>
        <w:ind w:left="567"/>
        <w:rPr>
          <w:rFonts w:cs="Arial"/>
          <w:color w:val="548DD4" w:themeColor="text2" w:themeTint="99"/>
          <w:sz w:val="20"/>
          <w:szCs w:val="20"/>
        </w:rPr>
      </w:pPr>
    </w:p>
    <w:p w:rsidR="00E51139" w:rsidRPr="00FB78E2" w:rsidRDefault="005C68D8" w:rsidP="00445BB9">
      <w:pPr>
        <w:pStyle w:val="Subtitle"/>
        <w:ind w:left="567" w:hanging="567"/>
        <w:rPr>
          <w:b/>
          <w:color w:val="auto"/>
          <w:sz w:val="22"/>
          <w:szCs w:val="22"/>
        </w:rPr>
      </w:pPr>
      <w:r w:rsidRPr="00FB78E2">
        <w:rPr>
          <w:b/>
          <w:color w:val="auto"/>
          <w:sz w:val="22"/>
          <w:szCs w:val="22"/>
        </w:rPr>
        <w:t>3</w:t>
      </w:r>
      <w:r w:rsidR="00E103A6" w:rsidRPr="00FB78E2">
        <w:rPr>
          <w:b/>
          <w:color w:val="auto"/>
          <w:sz w:val="22"/>
          <w:szCs w:val="22"/>
        </w:rPr>
        <w:t>9</w:t>
      </w:r>
      <w:r w:rsidR="00E51139" w:rsidRPr="00FB78E2">
        <w:rPr>
          <w:b/>
          <w:color w:val="auto"/>
          <w:sz w:val="22"/>
          <w:szCs w:val="22"/>
        </w:rPr>
        <w:t>.</w:t>
      </w:r>
      <w:r w:rsidR="00E51139" w:rsidRPr="00FB78E2">
        <w:rPr>
          <w:b/>
          <w:color w:val="auto"/>
          <w:sz w:val="22"/>
          <w:szCs w:val="22"/>
        </w:rPr>
        <w:tab/>
        <w:t>Pensions Schemes Accounted for as Defined Contribution Schemes</w:t>
      </w:r>
    </w:p>
    <w:p w:rsidR="00E434DA" w:rsidRPr="00FB78E2" w:rsidRDefault="00E434DA" w:rsidP="008D0906">
      <w:pPr>
        <w:pStyle w:val="CodeNotesExampleHead"/>
        <w:widowControl w:val="0"/>
        <w:ind w:left="567"/>
        <w:outlineLvl w:val="0"/>
        <w:rPr>
          <w:rFonts w:cs="Arial"/>
          <w:color w:val="auto"/>
          <w:sz w:val="20"/>
          <w:szCs w:val="20"/>
          <w:u w:val="single"/>
          <w:lang w:eastAsia="en-GB"/>
        </w:rPr>
      </w:pPr>
      <w:r w:rsidRPr="00FB78E2">
        <w:rPr>
          <w:rFonts w:cs="Arial"/>
          <w:color w:val="auto"/>
          <w:sz w:val="20"/>
          <w:szCs w:val="20"/>
          <w:u w:val="single"/>
          <w:lang w:eastAsia="en-GB"/>
        </w:rPr>
        <w:t>Teachers’ Pension Scheme</w:t>
      </w:r>
    </w:p>
    <w:p w:rsidR="00FB4273" w:rsidRPr="00FB78E2" w:rsidRDefault="00FB4273" w:rsidP="003C5E34">
      <w:pPr>
        <w:pStyle w:val="CodeNotesExampleHead"/>
        <w:widowControl w:val="0"/>
        <w:ind w:left="567"/>
        <w:rPr>
          <w:rFonts w:cs="Arial"/>
          <w:b w:val="0"/>
          <w:color w:val="auto"/>
          <w:sz w:val="20"/>
          <w:szCs w:val="20"/>
          <w:u w:val="single"/>
          <w:lang w:eastAsia="en-GB"/>
        </w:rPr>
      </w:pPr>
    </w:p>
    <w:p w:rsidR="00FB4273" w:rsidRPr="00FB78E2" w:rsidRDefault="00FB4273" w:rsidP="00445BB9">
      <w:pPr>
        <w:pStyle w:val="CodeNotesExampleText"/>
        <w:ind w:left="567"/>
        <w:rPr>
          <w:rFonts w:cs="Arial"/>
          <w:color w:val="auto"/>
          <w:sz w:val="20"/>
          <w:szCs w:val="20"/>
        </w:rPr>
      </w:pPr>
      <w:r w:rsidRPr="00FB78E2">
        <w:rPr>
          <w:rFonts w:cs="Arial"/>
          <w:color w:val="auto"/>
          <w:sz w:val="20"/>
          <w:szCs w:val="20"/>
        </w:rPr>
        <w:t>The Council takes part in the Teachers’ Pension Scheme. Teaching staff employed by the Council are rewarded for years of service with rights to retirement lump sums and pensions based on final salaries. The Council makes an annual contribution to the Scheme calculated as a percentage of pensionable pay. The contribution rate is specified by the Department for Education each year so that budgeted income is sufficient to cover the outgoings of the Scheme. This Scheme operates through a notional fund administered on a national basis</w:t>
      </w:r>
      <w:r w:rsidR="00211DD5" w:rsidRPr="00FB78E2">
        <w:rPr>
          <w:rFonts w:cs="Arial"/>
          <w:color w:val="auto"/>
          <w:sz w:val="20"/>
          <w:szCs w:val="20"/>
        </w:rPr>
        <w:t xml:space="preserve">. </w:t>
      </w:r>
      <w:r w:rsidRPr="00FB78E2">
        <w:rPr>
          <w:rFonts w:cs="Arial"/>
          <w:color w:val="auto"/>
          <w:sz w:val="20"/>
          <w:szCs w:val="20"/>
        </w:rPr>
        <w:t xml:space="preserve">The Scheme does not record liabilities for each participating employer and raises contributions from all employers based on a common percentage of the pensionable pay of current employees, irrespective of any obligations created in previous years. Apart from this shared responsibility for shortfalls on the notional fund, the Council has no direct responsibility for the obligations of any other party to the Scheme. </w:t>
      </w:r>
    </w:p>
    <w:p w:rsidR="00FB4273" w:rsidRPr="00FB78E2" w:rsidRDefault="00FB4273" w:rsidP="00445BB9">
      <w:pPr>
        <w:pStyle w:val="CodeNotesExampleText"/>
        <w:ind w:left="567"/>
        <w:rPr>
          <w:rFonts w:cs="Arial"/>
          <w:color w:val="auto"/>
          <w:sz w:val="20"/>
          <w:szCs w:val="20"/>
        </w:rPr>
      </w:pPr>
    </w:p>
    <w:p w:rsidR="00FB4273" w:rsidRPr="00FB78E2" w:rsidRDefault="00FB4273" w:rsidP="00445BB9">
      <w:pPr>
        <w:pStyle w:val="CodeNotesExampleText"/>
        <w:ind w:left="567"/>
        <w:rPr>
          <w:rFonts w:cs="Arial"/>
          <w:color w:val="auto"/>
          <w:sz w:val="20"/>
          <w:szCs w:val="20"/>
        </w:rPr>
      </w:pPr>
      <w:r w:rsidRPr="00FB78E2">
        <w:rPr>
          <w:rFonts w:cs="Arial"/>
          <w:color w:val="auto"/>
          <w:sz w:val="20"/>
          <w:szCs w:val="20"/>
        </w:rPr>
        <w:t xml:space="preserve">The Scheme is a defined benefit plan but is accounted for as it were a defined contribution plan. </w:t>
      </w:r>
      <w:r w:rsidR="007E33E1" w:rsidRPr="00FB78E2">
        <w:rPr>
          <w:rFonts w:cs="Arial"/>
          <w:color w:val="auto"/>
          <w:sz w:val="20"/>
          <w:szCs w:val="20"/>
        </w:rPr>
        <w:t>This</w:t>
      </w:r>
      <w:r w:rsidRPr="00FB78E2">
        <w:rPr>
          <w:rFonts w:cs="Arial"/>
          <w:color w:val="auto"/>
          <w:sz w:val="20"/>
          <w:szCs w:val="20"/>
        </w:rPr>
        <w:t xml:space="preserve"> is because the administrators of the Scheme do not keep separate records of the defined benefit obligations for individual authorities and no assets are attributable to the Scheme.</w:t>
      </w:r>
    </w:p>
    <w:p w:rsidR="00FB4273" w:rsidRPr="0005794A" w:rsidRDefault="00FB4273" w:rsidP="00445BB9">
      <w:pPr>
        <w:pStyle w:val="CodeNotesExampleText"/>
        <w:ind w:left="567"/>
        <w:rPr>
          <w:rFonts w:cs="Arial"/>
          <w:color w:val="548DD4" w:themeColor="text2" w:themeTint="99"/>
          <w:sz w:val="20"/>
          <w:szCs w:val="20"/>
        </w:rPr>
      </w:pPr>
    </w:p>
    <w:p w:rsidR="00FB4273" w:rsidRPr="0005794A" w:rsidRDefault="00B07693" w:rsidP="00445BB9">
      <w:pPr>
        <w:pStyle w:val="CodeNotesExampleText"/>
        <w:ind w:left="567"/>
        <w:rPr>
          <w:rFonts w:cs="Arial"/>
          <w:color w:val="548DD4" w:themeColor="text2" w:themeTint="99"/>
          <w:sz w:val="20"/>
          <w:szCs w:val="20"/>
        </w:rPr>
      </w:pPr>
      <w:r w:rsidRPr="00FB78E2">
        <w:rPr>
          <w:rFonts w:cs="Arial"/>
          <w:color w:val="auto"/>
          <w:sz w:val="20"/>
          <w:szCs w:val="20"/>
        </w:rPr>
        <w:t xml:space="preserve">The employers’ contribution rate was </w:t>
      </w:r>
      <w:r w:rsidR="00061055" w:rsidRPr="00FB78E2">
        <w:rPr>
          <w:rFonts w:cs="Arial"/>
          <w:color w:val="auto"/>
          <w:sz w:val="20"/>
          <w:szCs w:val="20"/>
        </w:rPr>
        <w:t xml:space="preserve">16.48% </w:t>
      </w:r>
      <w:r w:rsidRPr="00FB78E2">
        <w:rPr>
          <w:rFonts w:cs="Arial"/>
          <w:color w:val="auto"/>
          <w:sz w:val="20"/>
          <w:szCs w:val="20"/>
        </w:rPr>
        <w:t>(</w:t>
      </w:r>
      <w:r w:rsidR="00FB78E2" w:rsidRPr="00FB78E2">
        <w:rPr>
          <w:rFonts w:cs="Arial"/>
          <w:color w:val="auto"/>
          <w:sz w:val="20"/>
          <w:szCs w:val="20"/>
        </w:rPr>
        <w:t>16.48% 16/17)</w:t>
      </w:r>
      <w:r w:rsidRPr="00FB78E2">
        <w:rPr>
          <w:rFonts w:cs="Arial"/>
          <w:color w:val="auto"/>
          <w:sz w:val="20"/>
          <w:szCs w:val="20"/>
        </w:rPr>
        <w:t>. Contributions of £</w:t>
      </w:r>
      <w:r w:rsidR="00140BC9" w:rsidRPr="00FB78E2">
        <w:rPr>
          <w:rFonts w:cs="Arial"/>
          <w:color w:val="auto"/>
          <w:sz w:val="20"/>
          <w:szCs w:val="20"/>
        </w:rPr>
        <w:t>1.</w:t>
      </w:r>
      <w:r w:rsidR="00FB78E2" w:rsidRPr="00FB78E2">
        <w:rPr>
          <w:rFonts w:cs="Arial"/>
          <w:color w:val="auto"/>
          <w:sz w:val="20"/>
          <w:szCs w:val="20"/>
        </w:rPr>
        <w:t>7</w:t>
      </w:r>
      <w:r w:rsidRPr="00FB78E2">
        <w:rPr>
          <w:rFonts w:cs="Arial"/>
          <w:color w:val="auto"/>
          <w:sz w:val="20"/>
          <w:szCs w:val="20"/>
        </w:rPr>
        <w:t>m were paid in 201</w:t>
      </w:r>
      <w:r w:rsidR="00FB78E2" w:rsidRPr="00FB78E2">
        <w:rPr>
          <w:rFonts w:cs="Arial"/>
          <w:color w:val="auto"/>
          <w:sz w:val="20"/>
          <w:szCs w:val="20"/>
        </w:rPr>
        <w:t>7</w:t>
      </w:r>
      <w:r w:rsidRPr="00FB78E2">
        <w:rPr>
          <w:rFonts w:cs="Arial"/>
          <w:color w:val="auto"/>
          <w:sz w:val="20"/>
          <w:szCs w:val="20"/>
        </w:rPr>
        <w:t>/1</w:t>
      </w:r>
      <w:r w:rsidR="00FB78E2" w:rsidRPr="00FB78E2">
        <w:rPr>
          <w:rFonts w:cs="Arial"/>
          <w:color w:val="auto"/>
          <w:sz w:val="20"/>
          <w:szCs w:val="20"/>
        </w:rPr>
        <w:t>8</w:t>
      </w:r>
      <w:r w:rsidRPr="00FB78E2">
        <w:rPr>
          <w:rFonts w:cs="Arial"/>
          <w:color w:val="auto"/>
          <w:sz w:val="20"/>
          <w:szCs w:val="20"/>
        </w:rPr>
        <w:t xml:space="preserve"> (£</w:t>
      </w:r>
      <w:r w:rsidR="00FB78E2" w:rsidRPr="00FB78E2">
        <w:rPr>
          <w:rFonts w:cs="Arial"/>
          <w:color w:val="auto"/>
          <w:sz w:val="20"/>
          <w:szCs w:val="20"/>
        </w:rPr>
        <w:t>1.9</w:t>
      </w:r>
      <w:r w:rsidRPr="00FB78E2">
        <w:rPr>
          <w:rFonts w:cs="Arial"/>
          <w:color w:val="auto"/>
          <w:sz w:val="20"/>
          <w:szCs w:val="20"/>
        </w:rPr>
        <w:t>m 1</w:t>
      </w:r>
      <w:r w:rsidR="00FB78E2" w:rsidRPr="00FB78E2">
        <w:rPr>
          <w:rFonts w:cs="Arial"/>
          <w:color w:val="auto"/>
          <w:sz w:val="20"/>
          <w:szCs w:val="20"/>
        </w:rPr>
        <w:t>6</w:t>
      </w:r>
      <w:r w:rsidRPr="00FB78E2">
        <w:rPr>
          <w:rFonts w:cs="Arial"/>
          <w:color w:val="auto"/>
          <w:sz w:val="20"/>
          <w:szCs w:val="20"/>
        </w:rPr>
        <w:t>/1</w:t>
      </w:r>
      <w:r w:rsidR="00FB78E2" w:rsidRPr="00FB78E2">
        <w:rPr>
          <w:rFonts w:cs="Arial"/>
          <w:color w:val="auto"/>
          <w:sz w:val="20"/>
          <w:szCs w:val="20"/>
        </w:rPr>
        <w:t>7</w:t>
      </w:r>
      <w:r w:rsidRPr="00D83592">
        <w:rPr>
          <w:rFonts w:cs="Arial"/>
          <w:color w:val="auto"/>
          <w:sz w:val="20"/>
          <w:szCs w:val="20"/>
        </w:rPr>
        <w:t xml:space="preserve">). </w:t>
      </w:r>
      <w:r w:rsidR="00FB4273" w:rsidRPr="00D83592">
        <w:rPr>
          <w:rFonts w:cs="Arial"/>
          <w:color w:val="auto"/>
          <w:sz w:val="20"/>
          <w:szCs w:val="20"/>
        </w:rPr>
        <w:t>Th</w:t>
      </w:r>
      <w:r w:rsidRPr="00D83592">
        <w:rPr>
          <w:rFonts w:cs="Arial"/>
          <w:color w:val="auto"/>
          <w:sz w:val="20"/>
          <w:szCs w:val="20"/>
        </w:rPr>
        <w:t>e</w:t>
      </w:r>
      <w:r w:rsidR="00FB4273" w:rsidRPr="00D83592">
        <w:rPr>
          <w:rFonts w:cs="Arial"/>
          <w:color w:val="auto"/>
          <w:sz w:val="20"/>
          <w:szCs w:val="20"/>
        </w:rPr>
        <w:t xml:space="preserve"> contribution rate for participants in the Scheme has been set at 1</w:t>
      </w:r>
      <w:r w:rsidR="00E50C19" w:rsidRPr="00D83592">
        <w:rPr>
          <w:rFonts w:cs="Arial"/>
          <w:color w:val="auto"/>
          <w:sz w:val="20"/>
          <w:szCs w:val="20"/>
        </w:rPr>
        <w:t>6.48</w:t>
      </w:r>
      <w:r w:rsidR="00FB4273" w:rsidRPr="00D83592">
        <w:rPr>
          <w:rFonts w:cs="Arial"/>
          <w:color w:val="auto"/>
          <w:sz w:val="20"/>
          <w:szCs w:val="20"/>
        </w:rPr>
        <w:t xml:space="preserve">% of pensionable </w:t>
      </w:r>
      <w:r w:rsidR="00FB4273" w:rsidRPr="0012465C">
        <w:rPr>
          <w:rFonts w:cs="Arial"/>
          <w:color w:val="auto"/>
          <w:sz w:val="20"/>
          <w:szCs w:val="20"/>
        </w:rPr>
        <w:t>pay for 201</w:t>
      </w:r>
      <w:r w:rsidR="0012465C" w:rsidRPr="0012465C">
        <w:rPr>
          <w:rFonts w:cs="Arial"/>
          <w:color w:val="auto"/>
          <w:sz w:val="20"/>
          <w:szCs w:val="20"/>
        </w:rPr>
        <w:t>8</w:t>
      </w:r>
      <w:r w:rsidR="00FB4273" w:rsidRPr="0012465C">
        <w:rPr>
          <w:rFonts w:cs="Arial"/>
          <w:color w:val="auto"/>
          <w:sz w:val="20"/>
          <w:szCs w:val="20"/>
        </w:rPr>
        <w:t>/1</w:t>
      </w:r>
      <w:r w:rsidR="0012465C" w:rsidRPr="0012465C">
        <w:rPr>
          <w:rFonts w:cs="Arial"/>
          <w:color w:val="auto"/>
          <w:sz w:val="20"/>
          <w:szCs w:val="20"/>
        </w:rPr>
        <w:t>9</w:t>
      </w:r>
      <w:r w:rsidR="00FB4273" w:rsidRPr="0012465C">
        <w:rPr>
          <w:rFonts w:cs="Arial"/>
          <w:color w:val="auto"/>
          <w:sz w:val="20"/>
          <w:szCs w:val="20"/>
        </w:rPr>
        <w:t xml:space="preserve">. </w:t>
      </w:r>
      <w:r w:rsidR="00FB4273" w:rsidRPr="00FB78E2">
        <w:rPr>
          <w:rFonts w:cs="Arial"/>
          <w:color w:val="auto"/>
          <w:sz w:val="20"/>
          <w:szCs w:val="20"/>
        </w:rPr>
        <w:t>The payments for 201</w:t>
      </w:r>
      <w:r w:rsidR="00FB78E2" w:rsidRPr="00FB78E2">
        <w:rPr>
          <w:rFonts w:cs="Arial"/>
          <w:color w:val="auto"/>
          <w:sz w:val="20"/>
          <w:szCs w:val="20"/>
        </w:rPr>
        <w:t>8</w:t>
      </w:r>
      <w:r w:rsidR="00FB4273" w:rsidRPr="00FB78E2">
        <w:rPr>
          <w:rFonts w:cs="Arial"/>
          <w:color w:val="auto"/>
          <w:sz w:val="20"/>
          <w:szCs w:val="20"/>
        </w:rPr>
        <w:t>/1</w:t>
      </w:r>
      <w:r w:rsidR="00FB78E2" w:rsidRPr="00FB78E2">
        <w:rPr>
          <w:rFonts w:cs="Arial"/>
          <w:color w:val="auto"/>
          <w:sz w:val="20"/>
          <w:szCs w:val="20"/>
        </w:rPr>
        <w:t>9</w:t>
      </w:r>
      <w:r w:rsidR="00FB4273" w:rsidRPr="00FB78E2">
        <w:rPr>
          <w:rFonts w:cs="Arial"/>
          <w:color w:val="auto"/>
          <w:sz w:val="20"/>
          <w:szCs w:val="20"/>
        </w:rPr>
        <w:t xml:space="preserve"> are estimated to be less</w:t>
      </w:r>
      <w:r w:rsidR="00E50C19" w:rsidRPr="00FB78E2">
        <w:rPr>
          <w:rFonts w:cs="Arial"/>
          <w:color w:val="auto"/>
          <w:sz w:val="20"/>
          <w:szCs w:val="20"/>
        </w:rPr>
        <w:t xml:space="preserve"> </w:t>
      </w:r>
      <w:r w:rsidR="00FB4273" w:rsidRPr="00FB78E2">
        <w:rPr>
          <w:rFonts w:cs="Arial"/>
          <w:color w:val="auto"/>
          <w:sz w:val="20"/>
          <w:szCs w:val="20"/>
        </w:rPr>
        <w:t>due to more schools converting to Academy schools.</w:t>
      </w:r>
      <w:r w:rsidRPr="00FB78E2">
        <w:rPr>
          <w:rFonts w:cs="Arial"/>
          <w:color w:val="auto"/>
          <w:sz w:val="20"/>
          <w:szCs w:val="20"/>
        </w:rPr>
        <w:t xml:space="preserve"> </w:t>
      </w:r>
    </w:p>
    <w:p w:rsidR="00FB4273" w:rsidRPr="0005794A" w:rsidRDefault="00FB4273" w:rsidP="00445BB9">
      <w:pPr>
        <w:pStyle w:val="CodeNotesExampleText"/>
        <w:ind w:left="567"/>
        <w:rPr>
          <w:rFonts w:cs="Arial"/>
          <w:color w:val="548DD4" w:themeColor="text2" w:themeTint="99"/>
          <w:sz w:val="20"/>
          <w:szCs w:val="20"/>
        </w:rPr>
      </w:pPr>
    </w:p>
    <w:p w:rsidR="00FB4273" w:rsidRPr="0005794A" w:rsidRDefault="00FB4273" w:rsidP="00445BB9">
      <w:pPr>
        <w:pStyle w:val="CodeNotesExampleText"/>
        <w:ind w:left="567"/>
        <w:rPr>
          <w:rFonts w:cs="Arial"/>
          <w:color w:val="548DD4" w:themeColor="text2" w:themeTint="99"/>
          <w:sz w:val="20"/>
          <w:szCs w:val="20"/>
        </w:rPr>
      </w:pPr>
      <w:r w:rsidRPr="0012465C">
        <w:rPr>
          <w:rFonts w:cs="Arial"/>
          <w:color w:val="auto"/>
          <w:sz w:val="20"/>
          <w:szCs w:val="20"/>
        </w:rPr>
        <w:t>The 201</w:t>
      </w:r>
      <w:r w:rsidR="00FB78E2" w:rsidRPr="0012465C">
        <w:rPr>
          <w:rFonts w:cs="Arial"/>
          <w:color w:val="auto"/>
          <w:sz w:val="20"/>
          <w:szCs w:val="20"/>
        </w:rPr>
        <w:t>6</w:t>
      </w:r>
      <w:r w:rsidRPr="0012465C">
        <w:rPr>
          <w:rFonts w:cs="Arial"/>
          <w:color w:val="auto"/>
          <w:sz w:val="20"/>
          <w:szCs w:val="20"/>
        </w:rPr>
        <w:t>/</w:t>
      </w:r>
      <w:r w:rsidR="00E25049" w:rsidRPr="0012465C">
        <w:rPr>
          <w:rFonts w:cs="Arial"/>
          <w:color w:val="auto"/>
          <w:sz w:val="20"/>
          <w:szCs w:val="20"/>
        </w:rPr>
        <w:t>1</w:t>
      </w:r>
      <w:r w:rsidR="00FB78E2" w:rsidRPr="0012465C">
        <w:rPr>
          <w:rFonts w:cs="Arial"/>
          <w:color w:val="auto"/>
          <w:sz w:val="20"/>
          <w:szCs w:val="20"/>
        </w:rPr>
        <w:t>7</w:t>
      </w:r>
      <w:r w:rsidRPr="0012465C">
        <w:rPr>
          <w:rFonts w:cs="Arial"/>
          <w:color w:val="auto"/>
          <w:sz w:val="20"/>
          <w:szCs w:val="20"/>
        </w:rPr>
        <w:t xml:space="preserve"> accounts for the Scheme record liabilities of </w:t>
      </w:r>
      <w:r w:rsidR="00E25049" w:rsidRPr="0012465C">
        <w:rPr>
          <w:rFonts w:cs="Arial"/>
          <w:color w:val="auto"/>
          <w:sz w:val="20"/>
          <w:szCs w:val="20"/>
        </w:rPr>
        <w:t>£</w:t>
      </w:r>
      <w:r w:rsidR="0012465C" w:rsidRPr="0012465C">
        <w:rPr>
          <w:rFonts w:cs="Arial"/>
          <w:color w:val="auto"/>
          <w:sz w:val="20"/>
          <w:szCs w:val="20"/>
        </w:rPr>
        <w:t>347</w:t>
      </w:r>
      <w:r w:rsidR="00E25049" w:rsidRPr="0012465C">
        <w:rPr>
          <w:rFonts w:cs="Arial"/>
          <w:color w:val="auto"/>
          <w:sz w:val="20"/>
          <w:szCs w:val="20"/>
        </w:rPr>
        <w:t xml:space="preserve"> billion (</w:t>
      </w:r>
      <w:r w:rsidRPr="0012465C">
        <w:rPr>
          <w:rFonts w:cs="Arial"/>
          <w:color w:val="auto"/>
          <w:sz w:val="20"/>
          <w:szCs w:val="20"/>
        </w:rPr>
        <w:t>£</w:t>
      </w:r>
      <w:r w:rsidR="0073742B" w:rsidRPr="0012465C">
        <w:rPr>
          <w:rFonts w:cs="Arial"/>
          <w:color w:val="auto"/>
          <w:sz w:val="20"/>
          <w:szCs w:val="20"/>
        </w:rPr>
        <w:t>27</w:t>
      </w:r>
      <w:r w:rsidR="00FB78E2" w:rsidRPr="0012465C">
        <w:rPr>
          <w:rFonts w:cs="Arial"/>
          <w:color w:val="auto"/>
          <w:sz w:val="20"/>
          <w:szCs w:val="20"/>
        </w:rPr>
        <w:t>2</w:t>
      </w:r>
      <w:r w:rsidRPr="0012465C">
        <w:rPr>
          <w:rFonts w:cs="Arial"/>
          <w:color w:val="auto"/>
          <w:sz w:val="20"/>
          <w:szCs w:val="20"/>
        </w:rPr>
        <w:t>b</w:t>
      </w:r>
      <w:r w:rsidR="00E25049" w:rsidRPr="0012465C">
        <w:rPr>
          <w:rFonts w:cs="Arial"/>
          <w:color w:val="auto"/>
          <w:sz w:val="20"/>
          <w:szCs w:val="20"/>
        </w:rPr>
        <w:t xml:space="preserve"> 1</w:t>
      </w:r>
      <w:r w:rsidR="00FB78E2" w:rsidRPr="0012465C">
        <w:rPr>
          <w:rFonts w:cs="Arial"/>
          <w:color w:val="auto"/>
          <w:sz w:val="20"/>
          <w:szCs w:val="20"/>
        </w:rPr>
        <w:t>6</w:t>
      </w:r>
      <w:r w:rsidR="00E25049" w:rsidRPr="0012465C">
        <w:rPr>
          <w:rFonts w:cs="Arial"/>
          <w:color w:val="auto"/>
          <w:sz w:val="20"/>
          <w:szCs w:val="20"/>
        </w:rPr>
        <w:t>/1</w:t>
      </w:r>
      <w:r w:rsidR="00FB78E2" w:rsidRPr="0012465C">
        <w:rPr>
          <w:rFonts w:cs="Arial"/>
          <w:color w:val="auto"/>
          <w:sz w:val="20"/>
          <w:szCs w:val="20"/>
        </w:rPr>
        <w:t>7</w:t>
      </w:r>
      <w:r w:rsidR="00E25049" w:rsidRPr="0012465C">
        <w:rPr>
          <w:rFonts w:cs="Arial"/>
          <w:color w:val="auto"/>
          <w:sz w:val="20"/>
          <w:szCs w:val="20"/>
        </w:rPr>
        <w:t>)</w:t>
      </w:r>
      <w:r w:rsidRPr="0012465C">
        <w:rPr>
          <w:rFonts w:cs="Arial"/>
          <w:color w:val="auto"/>
          <w:sz w:val="20"/>
          <w:szCs w:val="20"/>
        </w:rPr>
        <w:t>. [Source: Teachers’ Pension Scheme Annual Accounts 201</w:t>
      </w:r>
      <w:r w:rsidR="0012465C" w:rsidRPr="0012465C">
        <w:rPr>
          <w:rFonts w:cs="Arial"/>
          <w:color w:val="auto"/>
          <w:sz w:val="20"/>
          <w:szCs w:val="20"/>
        </w:rPr>
        <w:t>6</w:t>
      </w:r>
      <w:r w:rsidRPr="0012465C">
        <w:rPr>
          <w:rFonts w:cs="Arial"/>
          <w:color w:val="auto"/>
          <w:sz w:val="20"/>
          <w:szCs w:val="20"/>
        </w:rPr>
        <w:t>/1</w:t>
      </w:r>
      <w:r w:rsidR="0012465C" w:rsidRPr="0012465C">
        <w:rPr>
          <w:rFonts w:cs="Arial"/>
          <w:color w:val="auto"/>
          <w:sz w:val="20"/>
          <w:szCs w:val="20"/>
        </w:rPr>
        <w:t>7</w:t>
      </w:r>
      <w:r w:rsidRPr="0012465C">
        <w:rPr>
          <w:rFonts w:cs="Arial"/>
          <w:color w:val="auto"/>
          <w:sz w:val="20"/>
          <w:szCs w:val="20"/>
        </w:rPr>
        <w:t xml:space="preserve">). However, the employers’ contribution rate is not set with reference to outstanding liabilities but the payments projected to be made out of the notional fund each year.  The Council is one of </w:t>
      </w:r>
      <w:r w:rsidR="00992E53" w:rsidRPr="0012465C">
        <w:rPr>
          <w:rFonts w:cs="Arial"/>
          <w:color w:val="auto"/>
          <w:sz w:val="20"/>
          <w:szCs w:val="20"/>
        </w:rPr>
        <w:t>174</w:t>
      </w:r>
      <w:r w:rsidRPr="0012465C">
        <w:rPr>
          <w:rFonts w:cs="Arial"/>
          <w:color w:val="auto"/>
          <w:sz w:val="20"/>
          <w:szCs w:val="20"/>
        </w:rPr>
        <w:t xml:space="preserve"> </w:t>
      </w:r>
      <w:r w:rsidR="007C6D1A" w:rsidRPr="0012465C">
        <w:rPr>
          <w:rFonts w:cs="Arial"/>
          <w:color w:val="auto"/>
          <w:sz w:val="20"/>
          <w:szCs w:val="20"/>
        </w:rPr>
        <w:t>(174 1</w:t>
      </w:r>
      <w:r w:rsidR="0012465C" w:rsidRPr="0012465C">
        <w:rPr>
          <w:rFonts w:cs="Arial"/>
          <w:color w:val="auto"/>
          <w:sz w:val="20"/>
          <w:szCs w:val="20"/>
        </w:rPr>
        <w:t>6</w:t>
      </w:r>
      <w:r w:rsidR="007C6D1A" w:rsidRPr="0012465C">
        <w:rPr>
          <w:rFonts w:cs="Arial"/>
          <w:color w:val="auto"/>
          <w:sz w:val="20"/>
          <w:szCs w:val="20"/>
        </w:rPr>
        <w:t>/1</w:t>
      </w:r>
      <w:r w:rsidR="0012465C" w:rsidRPr="0012465C">
        <w:rPr>
          <w:rFonts w:cs="Arial"/>
          <w:color w:val="auto"/>
          <w:sz w:val="20"/>
          <w:szCs w:val="20"/>
        </w:rPr>
        <w:t>7</w:t>
      </w:r>
      <w:r w:rsidR="007C6D1A" w:rsidRPr="0012465C">
        <w:rPr>
          <w:rFonts w:cs="Arial"/>
          <w:color w:val="auto"/>
          <w:sz w:val="20"/>
          <w:szCs w:val="20"/>
        </w:rPr>
        <w:t xml:space="preserve">) </w:t>
      </w:r>
      <w:r w:rsidRPr="0012465C">
        <w:rPr>
          <w:rFonts w:cs="Arial"/>
          <w:color w:val="auto"/>
          <w:sz w:val="20"/>
          <w:szCs w:val="20"/>
        </w:rPr>
        <w:t xml:space="preserve">local authorities participating in the Scheme, amongst a total of </w:t>
      </w:r>
      <w:r w:rsidR="0012465C" w:rsidRPr="0012465C">
        <w:rPr>
          <w:rFonts w:cs="Arial"/>
          <w:color w:val="auto"/>
          <w:sz w:val="20"/>
          <w:szCs w:val="20"/>
        </w:rPr>
        <w:t>8</w:t>
      </w:r>
      <w:r w:rsidR="007C6D1A" w:rsidRPr="0012465C">
        <w:rPr>
          <w:rFonts w:cs="Arial"/>
          <w:color w:val="auto"/>
          <w:sz w:val="20"/>
          <w:szCs w:val="20"/>
        </w:rPr>
        <w:t>,</w:t>
      </w:r>
      <w:r w:rsidR="0012465C" w:rsidRPr="0012465C">
        <w:rPr>
          <w:rFonts w:cs="Arial"/>
          <w:color w:val="auto"/>
          <w:sz w:val="20"/>
          <w:szCs w:val="20"/>
        </w:rPr>
        <w:t>762</w:t>
      </w:r>
      <w:r w:rsidR="007C6D1A" w:rsidRPr="0012465C">
        <w:rPr>
          <w:rFonts w:cs="Arial"/>
          <w:color w:val="auto"/>
          <w:sz w:val="20"/>
          <w:szCs w:val="20"/>
        </w:rPr>
        <w:t xml:space="preserve"> employers (</w:t>
      </w:r>
      <w:r w:rsidR="0073742B" w:rsidRPr="0012465C">
        <w:rPr>
          <w:rFonts w:cs="Arial"/>
          <w:color w:val="auto"/>
          <w:sz w:val="20"/>
          <w:szCs w:val="20"/>
        </w:rPr>
        <w:t>7</w:t>
      </w:r>
      <w:r w:rsidRPr="0012465C">
        <w:rPr>
          <w:rFonts w:cs="Arial"/>
          <w:color w:val="auto"/>
          <w:sz w:val="20"/>
          <w:szCs w:val="20"/>
        </w:rPr>
        <w:t>,</w:t>
      </w:r>
      <w:r w:rsidR="0012465C" w:rsidRPr="0012465C">
        <w:rPr>
          <w:rFonts w:cs="Arial"/>
          <w:color w:val="auto"/>
          <w:sz w:val="20"/>
          <w:szCs w:val="20"/>
        </w:rPr>
        <w:t>722</w:t>
      </w:r>
      <w:r w:rsidRPr="0012465C">
        <w:rPr>
          <w:rFonts w:cs="Arial"/>
          <w:color w:val="auto"/>
          <w:sz w:val="20"/>
          <w:szCs w:val="20"/>
        </w:rPr>
        <w:t xml:space="preserve"> </w:t>
      </w:r>
      <w:r w:rsidR="007C6D1A" w:rsidRPr="0012465C">
        <w:rPr>
          <w:rFonts w:cs="Arial"/>
          <w:color w:val="auto"/>
          <w:sz w:val="20"/>
          <w:szCs w:val="20"/>
        </w:rPr>
        <w:t>1</w:t>
      </w:r>
      <w:r w:rsidR="0012465C" w:rsidRPr="0012465C">
        <w:rPr>
          <w:rFonts w:cs="Arial"/>
          <w:color w:val="auto"/>
          <w:sz w:val="20"/>
          <w:szCs w:val="20"/>
        </w:rPr>
        <w:t>6</w:t>
      </w:r>
      <w:r w:rsidR="007C6D1A" w:rsidRPr="0012465C">
        <w:rPr>
          <w:rFonts w:cs="Arial"/>
          <w:color w:val="auto"/>
          <w:sz w:val="20"/>
          <w:szCs w:val="20"/>
        </w:rPr>
        <w:t>/1</w:t>
      </w:r>
      <w:r w:rsidR="0012465C" w:rsidRPr="0012465C">
        <w:rPr>
          <w:rFonts w:cs="Arial"/>
          <w:color w:val="auto"/>
          <w:sz w:val="20"/>
          <w:szCs w:val="20"/>
        </w:rPr>
        <w:t>7</w:t>
      </w:r>
      <w:r w:rsidR="007C6D1A" w:rsidRPr="0012465C">
        <w:rPr>
          <w:rFonts w:cs="Arial"/>
          <w:color w:val="auto"/>
          <w:sz w:val="20"/>
          <w:szCs w:val="20"/>
        </w:rPr>
        <w:t>)</w:t>
      </w:r>
      <w:r w:rsidRPr="0012465C">
        <w:rPr>
          <w:rFonts w:cs="Arial"/>
          <w:color w:val="auto"/>
          <w:sz w:val="20"/>
          <w:szCs w:val="20"/>
        </w:rPr>
        <w:t xml:space="preserve">. </w:t>
      </w:r>
    </w:p>
    <w:p w:rsidR="00E25049" w:rsidRPr="0005794A" w:rsidRDefault="00E25049" w:rsidP="00445BB9">
      <w:pPr>
        <w:pStyle w:val="CodeNotesExampleText"/>
        <w:ind w:left="567"/>
        <w:rPr>
          <w:rFonts w:cs="Arial"/>
          <w:color w:val="548DD4" w:themeColor="text2" w:themeTint="99"/>
          <w:sz w:val="20"/>
          <w:szCs w:val="20"/>
        </w:rPr>
      </w:pPr>
    </w:p>
    <w:p w:rsidR="00E434DA" w:rsidRPr="00D83592" w:rsidRDefault="00E434DA" w:rsidP="008D0906">
      <w:pPr>
        <w:pStyle w:val="CodeNotesExampleHead"/>
        <w:widowControl w:val="0"/>
        <w:ind w:left="567"/>
        <w:outlineLvl w:val="0"/>
        <w:rPr>
          <w:rFonts w:cs="Arial"/>
          <w:color w:val="auto"/>
          <w:sz w:val="20"/>
          <w:szCs w:val="20"/>
          <w:u w:val="single"/>
          <w:lang w:eastAsia="en-GB"/>
        </w:rPr>
      </w:pPr>
      <w:r w:rsidRPr="00D83592">
        <w:rPr>
          <w:rFonts w:cs="Arial"/>
          <w:color w:val="auto"/>
          <w:sz w:val="20"/>
          <w:szCs w:val="20"/>
          <w:u w:val="single"/>
          <w:lang w:eastAsia="en-GB"/>
        </w:rPr>
        <w:t>NHS Pension Scheme</w:t>
      </w:r>
    </w:p>
    <w:p w:rsidR="00E434DA" w:rsidRPr="00D83592" w:rsidRDefault="00E434DA" w:rsidP="00E434DA">
      <w:pPr>
        <w:pStyle w:val="CodeNotesExampleHead"/>
        <w:widowControl w:val="0"/>
        <w:ind w:left="567"/>
        <w:rPr>
          <w:rFonts w:cs="Arial"/>
          <w:b w:val="0"/>
          <w:color w:val="auto"/>
          <w:sz w:val="20"/>
          <w:szCs w:val="20"/>
          <w:lang w:eastAsia="en-GB"/>
        </w:rPr>
      </w:pPr>
    </w:p>
    <w:p w:rsidR="009C4A49" w:rsidRPr="00D83592" w:rsidRDefault="009C4A49" w:rsidP="009C4A49">
      <w:pPr>
        <w:pStyle w:val="CodeNotesExampleHead"/>
        <w:widowControl w:val="0"/>
        <w:ind w:left="567"/>
        <w:rPr>
          <w:rFonts w:cs="Arial"/>
          <w:b w:val="0"/>
          <w:color w:val="auto"/>
          <w:sz w:val="20"/>
          <w:szCs w:val="20"/>
          <w:lang w:eastAsia="en-GB"/>
        </w:rPr>
      </w:pPr>
      <w:r w:rsidRPr="00D83592">
        <w:rPr>
          <w:rFonts w:cs="Arial"/>
          <w:b w:val="0"/>
          <w:color w:val="auto"/>
          <w:sz w:val="20"/>
          <w:szCs w:val="20"/>
          <w:lang w:eastAsia="en-GB"/>
        </w:rPr>
        <w:t xml:space="preserve">Public Health staff </w:t>
      </w:r>
      <w:r w:rsidR="007E33E1" w:rsidRPr="00D83592">
        <w:rPr>
          <w:rFonts w:cs="Arial"/>
          <w:b w:val="0"/>
          <w:color w:val="auto"/>
          <w:sz w:val="20"/>
          <w:szCs w:val="20"/>
          <w:lang w:eastAsia="en-GB"/>
        </w:rPr>
        <w:t>that</w:t>
      </w:r>
      <w:r w:rsidRPr="00D83592">
        <w:rPr>
          <w:rFonts w:cs="Arial"/>
          <w:b w:val="0"/>
          <w:color w:val="auto"/>
          <w:sz w:val="20"/>
          <w:szCs w:val="20"/>
          <w:lang w:eastAsia="en-GB"/>
        </w:rPr>
        <w:t xml:space="preserve"> transferred to the Council’s employment in April 2013 were entitled to remain in a NHS pension scheme along with new staff recruited to public health if they meet certain criteria. </w:t>
      </w:r>
    </w:p>
    <w:p w:rsidR="009C4A49" w:rsidRPr="00D83592" w:rsidRDefault="009C4A49" w:rsidP="009C4A49">
      <w:pPr>
        <w:autoSpaceDE w:val="0"/>
        <w:autoSpaceDN w:val="0"/>
        <w:adjustRightInd w:val="0"/>
        <w:spacing w:after="0" w:line="240" w:lineRule="auto"/>
        <w:ind w:left="567"/>
        <w:rPr>
          <w:rFonts w:eastAsia="Times New Roman" w:cs="Arial"/>
          <w:color w:val="auto"/>
          <w:sz w:val="20"/>
          <w:szCs w:val="20"/>
          <w:lang w:eastAsia="en-GB"/>
        </w:rPr>
      </w:pPr>
    </w:p>
    <w:p w:rsidR="009C4A49" w:rsidRPr="00D83592" w:rsidRDefault="009C4A49" w:rsidP="009C4A49">
      <w:pPr>
        <w:autoSpaceDE w:val="0"/>
        <w:autoSpaceDN w:val="0"/>
        <w:adjustRightInd w:val="0"/>
        <w:spacing w:after="0" w:line="240" w:lineRule="auto"/>
        <w:ind w:left="567"/>
        <w:rPr>
          <w:rFonts w:eastAsia="Times New Roman" w:cs="Arial"/>
          <w:color w:val="auto"/>
          <w:sz w:val="20"/>
          <w:szCs w:val="20"/>
          <w:lang w:eastAsia="en-GB"/>
        </w:rPr>
      </w:pPr>
      <w:r w:rsidRPr="00D83592">
        <w:rPr>
          <w:rFonts w:eastAsia="Times New Roman" w:cs="Arial"/>
          <w:color w:val="auto"/>
          <w:sz w:val="20"/>
          <w:szCs w:val="20"/>
          <w:lang w:eastAsia="en-GB"/>
        </w:rPr>
        <w:t xml:space="preserve">The Council takes part in the NHS Pension Scheme. Public Health staff employed by the Council are rewarded for years of service with rights to retirement lump sums and pensions based on final salaries. The Council makes an annual contribution to the Scheme calculated as a percentage of pensionable pay. The contribution rate is specified the Department for Health each year so that budgeted income is sufficient to cover the outgoings of the Scheme. This Scheme operates through a notional fund administered on a national basis. The Scheme does not record liabilities for each participating employer and raises contributions from all employers based on a common percentage of the pensionable pay of current employees, irrespective of any obligations created in previous years. Apart from this shared responsibility for shortfalls on the notional fund, the Council has no direct responsibility for the obligations of any other party to the Scheme. </w:t>
      </w:r>
    </w:p>
    <w:p w:rsidR="009C4A49" w:rsidRPr="00D83592" w:rsidRDefault="009C4A49" w:rsidP="009C4A49">
      <w:pPr>
        <w:pStyle w:val="CodeNotesExampleHead"/>
        <w:widowControl w:val="0"/>
        <w:ind w:left="567"/>
        <w:rPr>
          <w:rFonts w:cs="Arial"/>
          <w:b w:val="0"/>
          <w:color w:val="auto"/>
          <w:sz w:val="20"/>
          <w:szCs w:val="20"/>
          <w:u w:val="single"/>
          <w:lang w:eastAsia="en-GB"/>
        </w:rPr>
      </w:pPr>
    </w:p>
    <w:p w:rsidR="009C4A49" w:rsidRPr="00D83592" w:rsidRDefault="009C4A49" w:rsidP="009C4A49">
      <w:pPr>
        <w:autoSpaceDE w:val="0"/>
        <w:autoSpaceDN w:val="0"/>
        <w:adjustRightInd w:val="0"/>
        <w:spacing w:after="0" w:line="240" w:lineRule="auto"/>
        <w:ind w:left="567"/>
        <w:rPr>
          <w:rFonts w:eastAsia="Times New Roman" w:cs="Arial"/>
          <w:color w:val="auto"/>
          <w:sz w:val="20"/>
          <w:szCs w:val="20"/>
          <w:lang w:eastAsia="en-GB"/>
        </w:rPr>
      </w:pPr>
      <w:r w:rsidRPr="00D83592">
        <w:rPr>
          <w:rFonts w:eastAsia="Times New Roman" w:cs="Arial"/>
          <w:color w:val="auto"/>
          <w:sz w:val="20"/>
          <w:szCs w:val="20"/>
          <w:lang w:eastAsia="en-GB"/>
        </w:rPr>
        <w:t xml:space="preserve">The Scheme is a defined benefit plan but is accounted for as it were a defined contribution plan. </w:t>
      </w:r>
      <w:r w:rsidR="007E33E1" w:rsidRPr="00D83592">
        <w:rPr>
          <w:rFonts w:eastAsia="Times New Roman" w:cs="Arial"/>
          <w:color w:val="auto"/>
          <w:sz w:val="20"/>
          <w:szCs w:val="20"/>
          <w:lang w:eastAsia="en-GB"/>
        </w:rPr>
        <w:t>This</w:t>
      </w:r>
      <w:r w:rsidRPr="00D83592">
        <w:rPr>
          <w:rFonts w:eastAsia="Times New Roman" w:cs="Arial"/>
          <w:color w:val="auto"/>
          <w:sz w:val="20"/>
          <w:szCs w:val="20"/>
          <w:lang w:eastAsia="en-GB"/>
        </w:rPr>
        <w:t xml:space="preserve"> is because the administrators of the Scheme do not keep separate records of the defined benefit obligations for individual authorities and no assets are attributable to the Scheme.</w:t>
      </w:r>
    </w:p>
    <w:p w:rsidR="00642BE9" w:rsidRPr="0005794A" w:rsidRDefault="00642BE9" w:rsidP="009C4A49">
      <w:pPr>
        <w:autoSpaceDE w:val="0"/>
        <w:autoSpaceDN w:val="0"/>
        <w:adjustRightInd w:val="0"/>
        <w:spacing w:after="0" w:line="240" w:lineRule="auto"/>
        <w:ind w:left="567"/>
        <w:rPr>
          <w:rFonts w:cs="Arial"/>
          <w:b/>
          <w:color w:val="548DD4" w:themeColor="text2" w:themeTint="99"/>
          <w:sz w:val="20"/>
          <w:szCs w:val="20"/>
          <w:u w:val="single"/>
          <w:lang w:eastAsia="en-GB"/>
        </w:rPr>
      </w:pPr>
    </w:p>
    <w:p w:rsidR="00BC50D0" w:rsidRPr="00D83592" w:rsidRDefault="009C4A49" w:rsidP="00610724">
      <w:pPr>
        <w:autoSpaceDE w:val="0"/>
        <w:autoSpaceDN w:val="0"/>
        <w:adjustRightInd w:val="0"/>
        <w:spacing w:after="0" w:line="240" w:lineRule="auto"/>
        <w:ind w:left="567"/>
        <w:rPr>
          <w:rFonts w:eastAsia="Times New Roman" w:cs="Arial"/>
          <w:color w:val="auto"/>
          <w:sz w:val="20"/>
          <w:szCs w:val="20"/>
          <w:lang w:eastAsia="en-GB"/>
        </w:rPr>
      </w:pPr>
      <w:r w:rsidRPr="00D83592">
        <w:rPr>
          <w:rFonts w:eastAsia="Times New Roman" w:cs="Arial"/>
          <w:color w:val="auto"/>
          <w:sz w:val="20"/>
          <w:szCs w:val="20"/>
          <w:lang w:eastAsia="en-GB"/>
        </w:rPr>
        <w:t xml:space="preserve">The employers’ contribution rate was </w:t>
      </w:r>
      <w:r w:rsidR="00561A8D" w:rsidRPr="00D83592">
        <w:rPr>
          <w:rFonts w:eastAsia="Times New Roman" w:cs="Arial"/>
          <w:color w:val="auto"/>
          <w:sz w:val="20"/>
          <w:szCs w:val="20"/>
          <w:lang w:eastAsia="en-GB"/>
        </w:rPr>
        <w:t>14.3</w:t>
      </w:r>
      <w:r w:rsidRPr="00D83592">
        <w:rPr>
          <w:rFonts w:eastAsia="Times New Roman" w:cs="Arial"/>
          <w:color w:val="auto"/>
          <w:sz w:val="20"/>
          <w:szCs w:val="20"/>
          <w:lang w:eastAsia="en-GB"/>
        </w:rPr>
        <w:t>% in 201</w:t>
      </w:r>
      <w:r w:rsidR="00D83592" w:rsidRPr="00D83592">
        <w:rPr>
          <w:rFonts w:eastAsia="Times New Roman" w:cs="Arial"/>
          <w:color w:val="auto"/>
          <w:sz w:val="20"/>
          <w:szCs w:val="20"/>
          <w:lang w:eastAsia="en-GB"/>
        </w:rPr>
        <w:t>7</w:t>
      </w:r>
      <w:r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8</w:t>
      </w:r>
      <w:r w:rsidRPr="00D83592">
        <w:rPr>
          <w:rFonts w:eastAsia="Times New Roman" w:cs="Arial"/>
          <w:color w:val="auto"/>
          <w:sz w:val="20"/>
          <w:szCs w:val="20"/>
          <w:lang w:eastAsia="en-GB"/>
        </w:rPr>
        <w:t xml:space="preserve"> (</w:t>
      </w:r>
      <w:r w:rsidR="001C0109" w:rsidRPr="00D83592">
        <w:rPr>
          <w:rFonts w:eastAsia="Times New Roman" w:cs="Arial"/>
          <w:color w:val="auto"/>
          <w:sz w:val="20"/>
          <w:szCs w:val="20"/>
          <w:lang w:eastAsia="en-GB"/>
        </w:rPr>
        <w:t>14.</w:t>
      </w:r>
      <w:r w:rsidR="00EC6183" w:rsidRPr="00D83592">
        <w:rPr>
          <w:rFonts w:eastAsia="Times New Roman" w:cs="Arial"/>
          <w:color w:val="auto"/>
          <w:sz w:val="20"/>
          <w:szCs w:val="20"/>
          <w:lang w:eastAsia="en-GB"/>
        </w:rPr>
        <w:t>3</w:t>
      </w:r>
      <w:r w:rsidR="001C0109" w:rsidRPr="00D83592">
        <w:rPr>
          <w:rFonts w:eastAsia="Times New Roman" w:cs="Arial"/>
          <w:color w:val="auto"/>
          <w:sz w:val="20"/>
          <w:szCs w:val="20"/>
          <w:lang w:eastAsia="en-GB"/>
        </w:rPr>
        <w:t>%</w:t>
      </w:r>
      <w:r w:rsidRPr="00D83592">
        <w:rPr>
          <w:rFonts w:eastAsia="Times New Roman" w:cs="Arial"/>
          <w:color w:val="auto"/>
          <w:sz w:val="20"/>
          <w:szCs w:val="20"/>
          <w:lang w:eastAsia="en-GB"/>
        </w:rPr>
        <w:t xml:space="preserve"> 201</w:t>
      </w:r>
      <w:r w:rsidR="00D83592" w:rsidRPr="00D83592">
        <w:rPr>
          <w:rFonts w:eastAsia="Times New Roman" w:cs="Arial"/>
          <w:color w:val="auto"/>
          <w:sz w:val="20"/>
          <w:szCs w:val="20"/>
          <w:lang w:eastAsia="en-GB"/>
        </w:rPr>
        <w:t>6</w:t>
      </w:r>
      <w:r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7</w:t>
      </w:r>
      <w:r w:rsidRPr="00D83592">
        <w:rPr>
          <w:rFonts w:eastAsia="Times New Roman" w:cs="Arial"/>
          <w:color w:val="auto"/>
          <w:sz w:val="20"/>
          <w:szCs w:val="20"/>
          <w:lang w:eastAsia="en-GB"/>
        </w:rPr>
        <w:t>). Contributions of £</w:t>
      </w:r>
      <w:r w:rsidR="00660BDD" w:rsidRPr="00D83592">
        <w:rPr>
          <w:rFonts w:eastAsia="Times New Roman" w:cs="Arial"/>
          <w:color w:val="auto"/>
          <w:sz w:val="20"/>
          <w:szCs w:val="20"/>
          <w:lang w:eastAsia="en-GB"/>
        </w:rPr>
        <w:t>0.</w:t>
      </w:r>
      <w:r w:rsidR="00D83592" w:rsidRPr="00D83592">
        <w:rPr>
          <w:rFonts w:eastAsia="Times New Roman" w:cs="Arial"/>
          <w:color w:val="auto"/>
          <w:sz w:val="20"/>
          <w:szCs w:val="20"/>
          <w:lang w:eastAsia="en-GB"/>
        </w:rPr>
        <w:t>05</w:t>
      </w:r>
      <w:r w:rsidR="00D83592">
        <w:rPr>
          <w:rFonts w:eastAsia="Times New Roman" w:cs="Arial"/>
          <w:color w:val="auto"/>
          <w:sz w:val="20"/>
          <w:szCs w:val="20"/>
          <w:lang w:eastAsia="en-GB"/>
        </w:rPr>
        <w:t>0</w:t>
      </w:r>
      <w:r w:rsidRPr="00D83592">
        <w:rPr>
          <w:rFonts w:eastAsia="Times New Roman" w:cs="Arial"/>
          <w:color w:val="auto"/>
          <w:sz w:val="20"/>
          <w:szCs w:val="20"/>
          <w:lang w:eastAsia="en-GB"/>
        </w:rPr>
        <w:t>m were paid in 201</w:t>
      </w:r>
      <w:r w:rsidR="00D83592">
        <w:rPr>
          <w:rFonts w:eastAsia="Times New Roman" w:cs="Arial"/>
          <w:color w:val="auto"/>
          <w:sz w:val="20"/>
          <w:szCs w:val="20"/>
          <w:lang w:eastAsia="en-GB"/>
        </w:rPr>
        <w:t>7</w:t>
      </w:r>
      <w:r w:rsidRPr="00D83592">
        <w:rPr>
          <w:rFonts w:eastAsia="Times New Roman" w:cs="Arial"/>
          <w:color w:val="auto"/>
          <w:sz w:val="20"/>
          <w:szCs w:val="20"/>
          <w:lang w:eastAsia="en-GB"/>
        </w:rPr>
        <w:t>/1</w:t>
      </w:r>
      <w:r w:rsidR="00D83592">
        <w:rPr>
          <w:rFonts w:eastAsia="Times New Roman" w:cs="Arial"/>
          <w:color w:val="auto"/>
          <w:sz w:val="20"/>
          <w:szCs w:val="20"/>
          <w:lang w:eastAsia="en-GB"/>
        </w:rPr>
        <w:t>8</w:t>
      </w:r>
      <w:r w:rsidRPr="00D83592">
        <w:rPr>
          <w:rFonts w:eastAsia="Times New Roman" w:cs="Arial"/>
          <w:color w:val="auto"/>
          <w:sz w:val="20"/>
          <w:szCs w:val="20"/>
          <w:lang w:eastAsia="en-GB"/>
        </w:rPr>
        <w:t xml:space="preserve"> (</w:t>
      </w:r>
      <w:r w:rsidR="001C0109" w:rsidRPr="00D83592">
        <w:rPr>
          <w:rFonts w:eastAsia="Times New Roman" w:cs="Arial"/>
          <w:color w:val="auto"/>
          <w:sz w:val="20"/>
          <w:szCs w:val="20"/>
          <w:lang w:eastAsia="en-GB"/>
        </w:rPr>
        <w:t>£0.1m</w:t>
      </w:r>
      <w:r w:rsidR="00BC50D0" w:rsidRPr="00D83592">
        <w:rPr>
          <w:rFonts w:eastAsia="Times New Roman" w:cs="Arial"/>
          <w:color w:val="auto"/>
          <w:sz w:val="20"/>
          <w:szCs w:val="20"/>
          <w:lang w:eastAsia="en-GB"/>
        </w:rPr>
        <w:t xml:space="preserve"> </w:t>
      </w:r>
      <w:r w:rsidR="001C0109" w:rsidRPr="00D83592">
        <w:rPr>
          <w:rFonts w:eastAsia="Times New Roman" w:cs="Arial"/>
          <w:color w:val="auto"/>
          <w:sz w:val="20"/>
          <w:szCs w:val="20"/>
          <w:lang w:eastAsia="en-GB"/>
        </w:rPr>
        <w:t>1</w:t>
      </w:r>
      <w:r w:rsidR="00D83592">
        <w:rPr>
          <w:rFonts w:eastAsia="Times New Roman" w:cs="Arial"/>
          <w:color w:val="auto"/>
          <w:sz w:val="20"/>
          <w:szCs w:val="20"/>
          <w:lang w:eastAsia="en-GB"/>
        </w:rPr>
        <w:t>6</w:t>
      </w:r>
      <w:r w:rsidR="00EC6183" w:rsidRPr="00D83592">
        <w:rPr>
          <w:rFonts w:eastAsia="Times New Roman" w:cs="Arial"/>
          <w:color w:val="auto"/>
          <w:sz w:val="20"/>
          <w:szCs w:val="20"/>
          <w:lang w:eastAsia="en-GB"/>
        </w:rPr>
        <w:t>/</w:t>
      </w:r>
      <w:r w:rsidR="001C0109" w:rsidRPr="00D83592">
        <w:rPr>
          <w:rFonts w:eastAsia="Times New Roman" w:cs="Arial"/>
          <w:color w:val="auto"/>
          <w:sz w:val="20"/>
          <w:szCs w:val="20"/>
          <w:lang w:eastAsia="en-GB"/>
        </w:rPr>
        <w:t>1</w:t>
      </w:r>
      <w:r w:rsidR="00D83592">
        <w:rPr>
          <w:rFonts w:eastAsia="Times New Roman" w:cs="Arial"/>
          <w:color w:val="auto"/>
          <w:sz w:val="20"/>
          <w:szCs w:val="20"/>
          <w:lang w:eastAsia="en-GB"/>
        </w:rPr>
        <w:t>7</w:t>
      </w:r>
      <w:r w:rsidRPr="00D83592">
        <w:rPr>
          <w:rFonts w:eastAsia="Times New Roman" w:cs="Arial"/>
          <w:color w:val="auto"/>
          <w:sz w:val="20"/>
          <w:szCs w:val="20"/>
          <w:lang w:eastAsia="en-GB"/>
        </w:rPr>
        <w:t>). The contribution rate for participants in the Scheme has been set at 14</w:t>
      </w:r>
      <w:r w:rsidR="001C0109" w:rsidRPr="00D83592">
        <w:rPr>
          <w:rFonts w:eastAsia="Times New Roman" w:cs="Arial"/>
          <w:color w:val="auto"/>
          <w:sz w:val="20"/>
          <w:szCs w:val="20"/>
          <w:lang w:eastAsia="en-GB"/>
        </w:rPr>
        <w:t>.3</w:t>
      </w:r>
      <w:r w:rsidRPr="00D83592">
        <w:rPr>
          <w:rFonts w:eastAsia="Times New Roman" w:cs="Arial"/>
          <w:color w:val="auto"/>
          <w:sz w:val="20"/>
          <w:szCs w:val="20"/>
          <w:lang w:eastAsia="en-GB"/>
        </w:rPr>
        <w:t>% of pensionable pay for 201</w:t>
      </w:r>
      <w:r w:rsidR="00D83592" w:rsidRPr="00D83592">
        <w:rPr>
          <w:rFonts w:eastAsia="Times New Roman" w:cs="Arial"/>
          <w:color w:val="auto"/>
          <w:sz w:val="20"/>
          <w:szCs w:val="20"/>
          <w:lang w:eastAsia="en-GB"/>
        </w:rPr>
        <w:t>8</w:t>
      </w:r>
      <w:r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9</w:t>
      </w:r>
      <w:r w:rsidRPr="00D83592">
        <w:rPr>
          <w:rFonts w:eastAsia="Times New Roman" w:cs="Arial"/>
          <w:color w:val="auto"/>
          <w:sz w:val="20"/>
          <w:szCs w:val="20"/>
          <w:lang w:eastAsia="en-GB"/>
        </w:rPr>
        <w:t>. The payments for 201</w:t>
      </w:r>
      <w:r w:rsidR="00D83592" w:rsidRPr="00D83592">
        <w:rPr>
          <w:rFonts w:eastAsia="Times New Roman" w:cs="Arial"/>
          <w:color w:val="auto"/>
          <w:sz w:val="20"/>
          <w:szCs w:val="20"/>
          <w:lang w:eastAsia="en-GB"/>
        </w:rPr>
        <w:t>8</w:t>
      </w:r>
      <w:r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9</w:t>
      </w:r>
      <w:r w:rsidRPr="00D83592">
        <w:rPr>
          <w:rFonts w:eastAsia="Times New Roman" w:cs="Arial"/>
          <w:color w:val="auto"/>
          <w:sz w:val="20"/>
          <w:szCs w:val="20"/>
          <w:lang w:eastAsia="en-GB"/>
        </w:rPr>
        <w:t xml:space="preserve"> are estimated to be </w:t>
      </w:r>
      <w:r w:rsidR="00BC50D0" w:rsidRPr="00D83592">
        <w:rPr>
          <w:rFonts w:eastAsia="Times New Roman" w:cs="Arial"/>
          <w:color w:val="auto"/>
          <w:sz w:val="20"/>
          <w:szCs w:val="20"/>
          <w:lang w:eastAsia="en-GB"/>
        </w:rPr>
        <w:t>at a similar level to 201</w:t>
      </w:r>
      <w:r w:rsidR="00D83592" w:rsidRPr="00D83592">
        <w:rPr>
          <w:rFonts w:eastAsia="Times New Roman" w:cs="Arial"/>
          <w:color w:val="auto"/>
          <w:sz w:val="20"/>
          <w:szCs w:val="20"/>
          <w:lang w:eastAsia="en-GB"/>
        </w:rPr>
        <w:t>7</w:t>
      </w:r>
      <w:r w:rsidR="00BC50D0"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8</w:t>
      </w:r>
      <w:r w:rsidR="00BC50D0" w:rsidRPr="00D83592">
        <w:rPr>
          <w:rFonts w:eastAsia="Times New Roman" w:cs="Arial"/>
          <w:color w:val="auto"/>
          <w:sz w:val="20"/>
          <w:szCs w:val="20"/>
          <w:lang w:eastAsia="en-GB"/>
        </w:rPr>
        <w:t>.</w:t>
      </w:r>
    </w:p>
    <w:p w:rsidR="009C4A49" w:rsidRPr="0005794A" w:rsidRDefault="00BC50D0" w:rsidP="009C4A49">
      <w:pPr>
        <w:pStyle w:val="CodeNotesExampleHead"/>
        <w:widowControl w:val="0"/>
        <w:ind w:left="567"/>
        <w:rPr>
          <w:rFonts w:cs="Arial"/>
          <w:b w:val="0"/>
          <w:color w:val="548DD4" w:themeColor="text2" w:themeTint="99"/>
          <w:sz w:val="20"/>
          <w:szCs w:val="20"/>
          <w:u w:val="single"/>
          <w:lang w:eastAsia="en-GB"/>
        </w:rPr>
      </w:pPr>
      <w:r w:rsidRPr="0005794A">
        <w:rPr>
          <w:rFonts w:cs="Arial"/>
          <w:b w:val="0"/>
          <w:color w:val="548DD4" w:themeColor="text2" w:themeTint="99"/>
          <w:sz w:val="20"/>
          <w:szCs w:val="20"/>
          <w:u w:val="single"/>
          <w:lang w:eastAsia="en-GB"/>
        </w:rPr>
        <w:t xml:space="preserve"> </w:t>
      </w:r>
    </w:p>
    <w:p w:rsidR="009C4A49" w:rsidRPr="0005794A" w:rsidRDefault="009C4A49" w:rsidP="009C4A49">
      <w:pPr>
        <w:autoSpaceDE w:val="0"/>
        <w:autoSpaceDN w:val="0"/>
        <w:adjustRightInd w:val="0"/>
        <w:spacing w:after="0" w:line="240" w:lineRule="auto"/>
        <w:ind w:left="567"/>
        <w:rPr>
          <w:rFonts w:eastAsia="Times New Roman" w:cs="Arial"/>
          <w:color w:val="548DD4" w:themeColor="text2" w:themeTint="99"/>
          <w:sz w:val="20"/>
          <w:szCs w:val="20"/>
          <w:lang w:eastAsia="en-GB"/>
        </w:rPr>
      </w:pPr>
      <w:r w:rsidRPr="00D83592">
        <w:rPr>
          <w:rFonts w:eastAsia="Times New Roman" w:cs="Arial"/>
          <w:color w:val="auto"/>
          <w:sz w:val="20"/>
          <w:szCs w:val="20"/>
          <w:lang w:eastAsia="en-GB"/>
        </w:rPr>
        <w:t>The 201</w:t>
      </w:r>
      <w:r w:rsidR="00D83592" w:rsidRPr="00D83592">
        <w:rPr>
          <w:rFonts w:eastAsia="Times New Roman" w:cs="Arial"/>
          <w:color w:val="auto"/>
          <w:sz w:val="20"/>
          <w:szCs w:val="20"/>
          <w:lang w:eastAsia="en-GB"/>
        </w:rPr>
        <w:t>6</w:t>
      </w:r>
      <w:r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7</w:t>
      </w:r>
      <w:r w:rsidRPr="00D83592">
        <w:rPr>
          <w:rFonts w:eastAsia="Times New Roman" w:cs="Arial"/>
          <w:color w:val="auto"/>
          <w:sz w:val="20"/>
          <w:szCs w:val="20"/>
          <w:lang w:eastAsia="en-GB"/>
        </w:rPr>
        <w:t xml:space="preserve"> accounts for the Scheme record liabilities of </w:t>
      </w:r>
      <w:r w:rsidR="004A7A36" w:rsidRPr="00D83592">
        <w:rPr>
          <w:rFonts w:eastAsia="Times New Roman" w:cs="Arial"/>
          <w:color w:val="auto"/>
          <w:sz w:val="20"/>
          <w:szCs w:val="20"/>
          <w:lang w:eastAsia="en-GB"/>
        </w:rPr>
        <w:t>£</w:t>
      </w:r>
      <w:r w:rsidR="00D83592" w:rsidRPr="00D83592">
        <w:rPr>
          <w:rFonts w:eastAsia="Times New Roman" w:cs="Arial"/>
          <w:color w:val="auto"/>
          <w:sz w:val="20"/>
          <w:szCs w:val="20"/>
          <w:lang w:eastAsia="en-GB"/>
        </w:rPr>
        <w:t>509</w:t>
      </w:r>
      <w:r w:rsidR="004A7A36" w:rsidRPr="00D83592">
        <w:rPr>
          <w:rFonts w:eastAsia="Times New Roman" w:cs="Arial"/>
          <w:color w:val="auto"/>
          <w:sz w:val="20"/>
          <w:szCs w:val="20"/>
          <w:lang w:eastAsia="en-GB"/>
        </w:rPr>
        <w:t xml:space="preserve"> billion (</w:t>
      </w:r>
      <w:r w:rsidRPr="00D83592">
        <w:rPr>
          <w:rFonts w:eastAsia="Times New Roman" w:cs="Arial"/>
          <w:color w:val="auto"/>
          <w:sz w:val="20"/>
          <w:szCs w:val="20"/>
          <w:lang w:eastAsia="en-GB"/>
        </w:rPr>
        <w:t>£</w:t>
      </w:r>
      <w:r w:rsidR="00E92440" w:rsidRPr="00D83592">
        <w:rPr>
          <w:rFonts w:eastAsia="Times New Roman" w:cs="Arial"/>
          <w:color w:val="auto"/>
          <w:sz w:val="20"/>
          <w:szCs w:val="20"/>
          <w:lang w:eastAsia="en-GB"/>
        </w:rPr>
        <w:t>3</w:t>
      </w:r>
      <w:r w:rsidR="00D83592" w:rsidRPr="00D83592">
        <w:rPr>
          <w:rFonts w:eastAsia="Times New Roman" w:cs="Arial"/>
          <w:color w:val="auto"/>
          <w:sz w:val="20"/>
          <w:szCs w:val="20"/>
          <w:lang w:eastAsia="en-GB"/>
        </w:rPr>
        <w:t>82</w:t>
      </w:r>
      <w:r w:rsidRPr="00D83592">
        <w:rPr>
          <w:rFonts w:eastAsia="Times New Roman" w:cs="Arial"/>
          <w:color w:val="auto"/>
          <w:sz w:val="20"/>
          <w:szCs w:val="20"/>
          <w:lang w:eastAsia="en-GB"/>
        </w:rPr>
        <w:t xml:space="preserve"> billion</w:t>
      </w:r>
      <w:r w:rsidR="004A7A36" w:rsidRPr="00D83592">
        <w:rPr>
          <w:rFonts w:eastAsia="Times New Roman" w:cs="Arial"/>
          <w:color w:val="auto"/>
          <w:sz w:val="20"/>
          <w:szCs w:val="20"/>
          <w:lang w:eastAsia="en-GB"/>
        </w:rPr>
        <w:t xml:space="preserve"> 1</w:t>
      </w:r>
      <w:r w:rsidR="00D83592" w:rsidRPr="00D83592">
        <w:rPr>
          <w:rFonts w:eastAsia="Times New Roman" w:cs="Arial"/>
          <w:color w:val="auto"/>
          <w:sz w:val="20"/>
          <w:szCs w:val="20"/>
          <w:lang w:eastAsia="en-GB"/>
        </w:rPr>
        <w:t>6</w:t>
      </w:r>
      <w:r w:rsidR="004A7A36"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7</w:t>
      </w:r>
      <w:r w:rsidR="004A7A36" w:rsidRPr="00D83592">
        <w:rPr>
          <w:rFonts w:eastAsia="Times New Roman" w:cs="Arial"/>
          <w:color w:val="auto"/>
          <w:sz w:val="20"/>
          <w:szCs w:val="20"/>
          <w:lang w:eastAsia="en-GB"/>
        </w:rPr>
        <w:t>)</w:t>
      </w:r>
      <w:r w:rsidRPr="00D83592">
        <w:rPr>
          <w:rFonts w:eastAsia="Times New Roman" w:cs="Arial"/>
          <w:color w:val="auto"/>
          <w:sz w:val="20"/>
          <w:szCs w:val="20"/>
          <w:lang w:eastAsia="en-GB"/>
        </w:rPr>
        <w:t xml:space="preserve">. [Source: </w:t>
      </w:r>
      <w:r w:rsidR="00A01662" w:rsidRPr="00D83592">
        <w:rPr>
          <w:rFonts w:eastAsia="Times New Roman" w:cs="Arial"/>
          <w:color w:val="auto"/>
          <w:sz w:val="20"/>
          <w:szCs w:val="20"/>
          <w:lang w:eastAsia="en-GB"/>
        </w:rPr>
        <w:t xml:space="preserve">NHS </w:t>
      </w:r>
      <w:r w:rsidRPr="00D83592">
        <w:rPr>
          <w:rFonts w:eastAsia="Times New Roman" w:cs="Arial"/>
          <w:color w:val="auto"/>
          <w:sz w:val="20"/>
          <w:szCs w:val="20"/>
          <w:lang w:eastAsia="en-GB"/>
        </w:rPr>
        <w:t>Pension Scheme Annual Accounts 201</w:t>
      </w:r>
      <w:r w:rsidR="00D83592" w:rsidRPr="00D83592">
        <w:rPr>
          <w:rFonts w:eastAsia="Times New Roman" w:cs="Arial"/>
          <w:color w:val="auto"/>
          <w:sz w:val="20"/>
          <w:szCs w:val="20"/>
          <w:lang w:eastAsia="en-GB"/>
        </w:rPr>
        <w:t>6</w:t>
      </w:r>
      <w:r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7</w:t>
      </w:r>
      <w:r w:rsidRPr="00D83592">
        <w:rPr>
          <w:rFonts w:eastAsia="Times New Roman" w:cs="Arial"/>
          <w:color w:val="auto"/>
          <w:sz w:val="20"/>
          <w:szCs w:val="20"/>
          <w:lang w:eastAsia="en-GB"/>
        </w:rPr>
        <w:t xml:space="preserve">). However, the employers’ contribution rate is not set with reference to outstanding liabilities but the payments projected to be made out of the notional fund each year.  The Council is one of </w:t>
      </w:r>
      <w:r w:rsidR="00EB2BA3" w:rsidRPr="00D83592">
        <w:rPr>
          <w:rFonts w:eastAsia="Times New Roman" w:cs="Arial"/>
          <w:color w:val="auto"/>
          <w:sz w:val="20"/>
          <w:szCs w:val="20"/>
          <w:lang w:eastAsia="en-GB"/>
        </w:rPr>
        <w:t>14</w:t>
      </w:r>
      <w:r w:rsidR="00D83592" w:rsidRPr="00D83592">
        <w:rPr>
          <w:rFonts w:eastAsia="Times New Roman" w:cs="Arial"/>
          <w:color w:val="auto"/>
          <w:sz w:val="20"/>
          <w:szCs w:val="20"/>
          <w:lang w:eastAsia="en-GB"/>
        </w:rPr>
        <w:t>1</w:t>
      </w:r>
      <w:r w:rsidR="004A7A36" w:rsidRPr="00D83592">
        <w:rPr>
          <w:rFonts w:eastAsia="Times New Roman" w:cs="Arial"/>
          <w:color w:val="auto"/>
          <w:sz w:val="20"/>
          <w:szCs w:val="20"/>
          <w:lang w:eastAsia="en-GB"/>
        </w:rPr>
        <w:t xml:space="preserve"> </w:t>
      </w:r>
      <w:r w:rsidR="007F3EE6" w:rsidRPr="00D83592">
        <w:rPr>
          <w:rFonts w:eastAsia="Times New Roman" w:cs="Arial"/>
          <w:color w:val="auto"/>
          <w:sz w:val="20"/>
          <w:szCs w:val="20"/>
          <w:lang w:eastAsia="en-GB"/>
        </w:rPr>
        <w:t>(1</w:t>
      </w:r>
      <w:r w:rsidR="00EC6183" w:rsidRPr="00D83592">
        <w:rPr>
          <w:rFonts w:eastAsia="Times New Roman" w:cs="Arial"/>
          <w:color w:val="auto"/>
          <w:sz w:val="20"/>
          <w:szCs w:val="20"/>
          <w:lang w:eastAsia="en-GB"/>
        </w:rPr>
        <w:t>42</w:t>
      </w:r>
      <w:r w:rsidR="007F3EE6" w:rsidRPr="00D83592">
        <w:rPr>
          <w:rFonts w:eastAsia="Times New Roman" w:cs="Arial"/>
          <w:color w:val="auto"/>
          <w:sz w:val="20"/>
          <w:szCs w:val="20"/>
          <w:lang w:eastAsia="en-GB"/>
        </w:rPr>
        <w:t xml:space="preserve"> 1</w:t>
      </w:r>
      <w:r w:rsidR="00D83592" w:rsidRPr="00D83592">
        <w:rPr>
          <w:rFonts w:eastAsia="Times New Roman" w:cs="Arial"/>
          <w:color w:val="auto"/>
          <w:sz w:val="20"/>
          <w:szCs w:val="20"/>
          <w:lang w:eastAsia="en-GB"/>
        </w:rPr>
        <w:t>6</w:t>
      </w:r>
      <w:r w:rsidR="007F3EE6"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7</w:t>
      </w:r>
      <w:r w:rsidR="007F3EE6" w:rsidRPr="00D83592">
        <w:rPr>
          <w:rFonts w:eastAsia="Times New Roman" w:cs="Arial"/>
          <w:color w:val="auto"/>
          <w:sz w:val="20"/>
          <w:szCs w:val="20"/>
          <w:lang w:eastAsia="en-GB"/>
        </w:rPr>
        <w:t xml:space="preserve">) </w:t>
      </w:r>
      <w:r w:rsidR="000B13E5" w:rsidRPr="00D83592">
        <w:rPr>
          <w:rFonts w:eastAsia="Times New Roman" w:cs="Arial"/>
          <w:color w:val="auto"/>
          <w:sz w:val="20"/>
          <w:szCs w:val="20"/>
          <w:lang w:eastAsia="en-GB"/>
        </w:rPr>
        <w:t>l</w:t>
      </w:r>
      <w:r w:rsidRPr="00D83592">
        <w:rPr>
          <w:rFonts w:eastAsia="Times New Roman" w:cs="Arial"/>
          <w:color w:val="auto"/>
          <w:sz w:val="20"/>
          <w:szCs w:val="20"/>
          <w:lang w:eastAsia="en-GB"/>
        </w:rPr>
        <w:t xml:space="preserve">ocal authorities participating in the Scheme, amongst a total of </w:t>
      </w:r>
      <w:r w:rsidR="00D83592" w:rsidRPr="00D83592">
        <w:rPr>
          <w:rFonts w:eastAsia="Times New Roman" w:cs="Arial"/>
          <w:color w:val="auto"/>
          <w:sz w:val="20"/>
          <w:szCs w:val="20"/>
          <w:lang w:eastAsia="en-GB"/>
        </w:rPr>
        <w:t>8</w:t>
      </w:r>
      <w:r w:rsidR="004A7A36" w:rsidRPr="00D83592">
        <w:rPr>
          <w:rFonts w:eastAsia="Times New Roman" w:cs="Arial"/>
          <w:color w:val="auto"/>
          <w:sz w:val="20"/>
          <w:szCs w:val="20"/>
          <w:lang w:eastAsia="en-GB"/>
        </w:rPr>
        <w:t>,</w:t>
      </w:r>
      <w:r w:rsidR="00D83592" w:rsidRPr="00D83592">
        <w:rPr>
          <w:rFonts w:eastAsia="Times New Roman" w:cs="Arial"/>
          <w:color w:val="auto"/>
          <w:sz w:val="20"/>
          <w:szCs w:val="20"/>
          <w:lang w:eastAsia="en-GB"/>
        </w:rPr>
        <w:t>848</w:t>
      </w:r>
      <w:r w:rsidR="004A7A36" w:rsidRPr="00D83592">
        <w:rPr>
          <w:rFonts w:eastAsia="Times New Roman" w:cs="Arial"/>
          <w:color w:val="auto"/>
          <w:sz w:val="20"/>
          <w:szCs w:val="20"/>
          <w:lang w:eastAsia="en-GB"/>
        </w:rPr>
        <w:t xml:space="preserve"> employers (</w:t>
      </w:r>
      <w:r w:rsidR="000B13E5" w:rsidRPr="00D83592">
        <w:rPr>
          <w:rFonts w:eastAsia="Times New Roman" w:cs="Arial"/>
          <w:color w:val="auto"/>
          <w:sz w:val="20"/>
          <w:szCs w:val="20"/>
          <w:lang w:eastAsia="en-GB"/>
        </w:rPr>
        <w:t>9</w:t>
      </w:r>
      <w:r w:rsidRPr="00D83592">
        <w:rPr>
          <w:rFonts w:eastAsia="Times New Roman" w:cs="Arial"/>
          <w:color w:val="auto"/>
          <w:sz w:val="20"/>
          <w:szCs w:val="20"/>
          <w:lang w:eastAsia="en-GB"/>
        </w:rPr>
        <w:t>,</w:t>
      </w:r>
      <w:r w:rsidR="00D83592" w:rsidRPr="00D83592">
        <w:rPr>
          <w:rFonts w:eastAsia="Times New Roman" w:cs="Arial"/>
          <w:color w:val="auto"/>
          <w:sz w:val="20"/>
          <w:szCs w:val="20"/>
          <w:lang w:eastAsia="en-GB"/>
        </w:rPr>
        <w:t>065</w:t>
      </w:r>
      <w:r w:rsidR="007F3EE6" w:rsidRPr="00D83592">
        <w:rPr>
          <w:rFonts w:eastAsia="Times New Roman" w:cs="Arial"/>
          <w:color w:val="auto"/>
          <w:sz w:val="20"/>
          <w:szCs w:val="20"/>
          <w:lang w:eastAsia="en-GB"/>
        </w:rPr>
        <w:t xml:space="preserve"> </w:t>
      </w:r>
      <w:r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6</w:t>
      </w:r>
      <w:r w:rsidRPr="00D83592">
        <w:rPr>
          <w:rFonts w:eastAsia="Times New Roman" w:cs="Arial"/>
          <w:color w:val="auto"/>
          <w:sz w:val="20"/>
          <w:szCs w:val="20"/>
          <w:lang w:eastAsia="en-GB"/>
        </w:rPr>
        <w:t>/1</w:t>
      </w:r>
      <w:r w:rsidR="00D83592" w:rsidRPr="00D83592">
        <w:rPr>
          <w:rFonts w:eastAsia="Times New Roman" w:cs="Arial"/>
          <w:color w:val="auto"/>
          <w:sz w:val="20"/>
          <w:szCs w:val="20"/>
          <w:lang w:eastAsia="en-GB"/>
        </w:rPr>
        <w:t>7</w:t>
      </w:r>
      <w:r w:rsidR="004A7A36" w:rsidRPr="00D83592">
        <w:rPr>
          <w:rFonts w:eastAsia="Times New Roman" w:cs="Arial"/>
          <w:color w:val="auto"/>
          <w:sz w:val="20"/>
          <w:szCs w:val="20"/>
          <w:lang w:eastAsia="en-GB"/>
        </w:rPr>
        <w:t>)</w:t>
      </w:r>
      <w:r w:rsidRPr="00D83592">
        <w:rPr>
          <w:rFonts w:eastAsia="Times New Roman" w:cs="Arial"/>
          <w:color w:val="auto"/>
          <w:sz w:val="20"/>
          <w:szCs w:val="20"/>
          <w:lang w:eastAsia="en-GB"/>
        </w:rPr>
        <w:t xml:space="preserve">. </w:t>
      </w:r>
    </w:p>
    <w:p w:rsidR="00126A3F" w:rsidRPr="0005794A" w:rsidRDefault="00126A3F" w:rsidP="009C4A4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21778F" w:rsidRPr="0005794A" w:rsidRDefault="0021778F" w:rsidP="00E434DA">
      <w:pPr>
        <w:pStyle w:val="CodeNotesExampleHead"/>
        <w:widowControl w:val="0"/>
        <w:ind w:left="567"/>
        <w:rPr>
          <w:rFonts w:cs="Arial"/>
          <w:b w:val="0"/>
          <w:color w:val="548DD4" w:themeColor="text2" w:themeTint="99"/>
          <w:sz w:val="20"/>
          <w:szCs w:val="20"/>
          <w:lang w:eastAsia="en-GB"/>
        </w:rPr>
      </w:pPr>
    </w:p>
    <w:p w:rsidR="00922D1C" w:rsidRPr="00C37059" w:rsidRDefault="00E103A6" w:rsidP="00922D1C">
      <w:pPr>
        <w:pStyle w:val="Subtitle"/>
        <w:ind w:left="567" w:hanging="567"/>
        <w:rPr>
          <w:b/>
          <w:color w:val="auto"/>
          <w:sz w:val="22"/>
          <w:szCs w:val="22"/>
        </w:rPr>
      </w:pPr>
      <w:r w:rsidRPr="00C37059">
        <w:rPr>
          <w:b/>
          <w:color w:val="auto"/>
          <w:sz w:val="22"/>
          <w:szCs w:val="22"/>
        </w:rPr>
        <w:t>40</w:t>
      </w:r>
      <w:r w:rsidR="00E51139" w:rsidRPr="00C37059">
        <w:rPr>
          <w:b/>
          <w:color w:val="auto"/>
          <w:sz w:val="22"/>
          <w:szCs w:val="22"/>
        </w:rPr>
        <w:t>.</w:t>
      </w:r>
      <w:r w:rsidR="00E51139" w:rsidRPr="00C37059">
        <w:rPr>
          <w:b/>
          <w:color w:val="auto"/>
          <w:sz w:val="22"/>
          <w:szCs w:val="22"/>
        </w:rPr>
        <w:tab/>
        <w:t>Defined Benefit Pension Schemes</w:t>
      </w:r>
    </w:p>
    <w:p w:rsidR="00B2507D" w:rsidRPr="00C37059" w:rsidRDefault="00B2507D" w:rsidP="008D0906">
      <w:pPr>
        <w:pStyle w:val="ExampleSub"/>
        <w:keepNext w:val="0"/>
        <w:keepLines w:val="0"/>
        <w:spacing w:before="0" w:line="240" w:lineRule="auto"/>
        <w:outlineLvl w:val="0"/>
        <w:rPr>
          <w:rFonts w:ascii="Arial" w:hAnsi="Arial" w:cs="Arial"/>
          <w:bCs w:val="0"/>
          <w:color w:val="auto"/>
          <w:sz w:val="20"/>
          <w:szCs w:val="20"/>
          <w:u w:val="single"/>
        </w:rPr>
      </w:pPr>
      <w:r w:rsidRPr="00C37059">
        <w:rPr>
          <w:rFonts w:ascii="Arial" w:hAnsi="Arial" w:cs="Arial"/>
          <w:bCs w:val="0"/>
          <w:color w:val="auto"/>
          <w:sz w:val="20"/>
          <w:szCs w:val="20"/>
          <w:u w:val="single"/>
        </w:rPr>
        <w:t>Local Government Pension Scheme</w:t>
      </w:r>
    </w:p>
    <w:p w:rsidR="00B2507D" w:rsidRPr="00C37059" w:rsidRDefault="00B2507D" w:rsidP="003C5E34">
      <w:pPr>
        <w:pStyle w:val="ExampleSub"/>
        <w:keepNext w:val="0"/>
        <w:keepLines w:val="0"/>
        <w:spacing w:before="0" w:line="240" w:lineRule="auto"/>
        <w:rPr>
          <w:rFonts w:ascii="Arial" w:hAnsi="Arial" w:cs="Arial"/>
          <w:b w:val="0"/>
          <w:bCs w:val="0"/>
          <w:color w:val="auto"/>
          <w:sz w:val="20"/>
          <w:szCs w:val="20"/>
        </w:rPr>
      </w:pPr>
    </w:p>
    <w:p w:rsidR="00E92D0F" w:rsidRPr="00C37059" w:rsidRDefault="00E103A6" w:rsidP="008D0906">
      <w:pPr>
        <w:autoSpaceDE w:val="0"/>
        <w:autoSpaceDN w:val="0"/>
        <w:adjustRightInd w:val="0"/>
        <w:spacing w:after="0" w:line="240" w:lineRule="auto"/>
        <w:outlineLvl w:val="0"/>
        <w:rPr>
          <w:rFonts w:eastAsia="Times New Roman"/>
          <w:b/>
          <w:color w:val="auto"/>
        </w:rPr>
      </w:pPr>
      <w:r w:rsidRPr="00C37059">
        <w:rPr>
          <w:rFonts w:eastAsia="Times New Roman"/>
          <w:b/>
          <w:color w:val="auto"/>
        </w:rPr>
        <w:t>40</w:t>
      </w:r>
      <w:r w:rsidR="005C68D8" w:rsidRPr="00C37059">
        <w:rPr>
          <w:rFonts w:eastAsia="Times New Roman"/>
          <w:b/>
          <w:color w:val="auto"/>
        </w:rPr>
        <w:t>.1</w:t>
      </w:r>
      <w:r w:rsidR="00445BB9" w:rsidRPr="00C37059">
        <w:rPr>
          <w:rFonts w:eastAsia="Times New Roman"/>
          <w:b/>
          <w:color w:val="auto"/>
        </w:rPr>
        <w:t xml:space="preserve">   </w:t>
      </w:r>
      <w:r w:rsidR="00E92D0F" w:rsidRPr="00C37059">
        <w:rPr>
          <w:rFonts w:eastAsia="Times New Roman"/>
          <w:b/>
          <w:color w:val="auto"/>
        </w:rPr>
        <w:t xml:space="preserve">Characteristics of Defined Benefit Plans and Associated Risks </w:t>
      </w:r>
    </w:p>
    <w:p w:rsidR="00E92D0F" w:rsidRPr="00C37059" w:rsidRDefault="00E92D0F" w:rsidP="00E92D0F">
      <w:pPr>
        <w:pStyle w:val="ListParagraph"/>
        <w:autoSpaceDE w:val="0"/>
        <w:autoSpaceDN w:val="0"/>
        <w:adjustRightInd w:val="0"/>
        <w:spacing w:after="0" w:line="240" w:lineRule="auto"/>
        <w:ind w:left="1440"/>
        <w:rPr>
          <w:rFonts w:cs="Arial"/>
          <w:color w:val="auto"/>
          <w:sz w:val="36"/>
          <w:szCs w:val="36"/>
          <w:lang w:eastAsia="en-GB"/>
        </w:rPr>
      </w:pPr>
    </w:p>
    <w:p w:rsidR="00EC5B47" w:rsidRPr="00C37059" w:rsidRDefault="00EC5B47"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C37059">
        <w:rPr>
          <w:rFonts w:eastAsia="Times New Roman" w:cs="Arial"/>
          <w:color w:val="auto"/>
          <w:sz w:val="20"/>
          <w:szCs w:val="20"/>
          <w:lang w:eastAsia="en-GB"/>
        </w:rPr>
        <w:t>Employees of the Council are eligible to join the Local Go</w:t>
      </w:r>
      <w:r w:rsidR="00A21463" w:rsidRPr="00C37059">
        <w:rPr>
          <w:rFonts w:eastAsia="Times New Roman" w:cs="Arial"/>
          <w:color w:val="auto"/>
          <w:sz w:val="20"/>
          <w:szCs w:val="20"/>
          <w:lang w:eastAsia="en-GB"/>
        </w:rPr>
        <w:t>vernment Pension Scheme (LGPS).</w:t>
      </w:r>
    </w:p>
    <w:p w:rsidR="00EC5B47" w:rsidRPr="00C37059" w:rsidRDefault="00EC5B47" w:rsidP="00445BB9">
      <w:pPr>
        <w:autoSpaceDE w:val="0"/>
        <w:autoSpaceDN w:val="0"/>
        <w:adjustRightInd w:val="0"/>
        <w:spacing w:after="0" w:line="240" w:lineRule="auto"/>
        <w:ind w:left="567"/>
        <w:rPr>
          <w:rFonts w:eastAsia="Times New Roman" w:cs="Arial"/>
          <w:color w:val="auto"/>
          <w:sz w:val="20"/>
          <w:szCs w:val="20"/>
          <w:lang w:eastAsia="en-GB"/>
        </w:rPr>
      </w:pPr>
    </w:p>
    <w:p w:rsidR="00E92D0F" w:rsidRPr="00C37059"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C37059">
        <w:rPr>
          <w:rFonts w:eastAsia="Times New Roman" w:cs="Arial"/>
          <w:color w:val="auto"/>
          <w:sz w:val="20"/>
          <w:szCs w:val="20"/>
          <w:lang w:eastAsia="en-GB"/>
        </w:rPr>
        <w:t>The LGPS is a defined benefit statutory scheme administered in accordance with the Local Government Pension Scheme Regulations 201</w:t>
      </w:r>
      <w:r w:rsidR="00785848" w:rsidRPr="00C37059">
        <w:rPr>
          <w:rFonts w:eastAsia="Times New Roman" w:cs="Arial"/>
          <w:color w:val="auto"/>
          <w:sz w:val="20"/>
          <w:szCs w:val="20"/>
          <w:lang w:eastAsia="en-GB"/>
        </w:rPr>
        <w:t>3</w:t>
      </w:r>
      <w:r w:rsidRPr="00C37059">
        <w:rPr>
          <w:rFonts w:eastAsia="Times New Roman" w:cs="Arial"/>
          <w:color w:val="auto"/>
          <w:sz w:val="20"/>
          <w:szCs w:val="20"/>
          <w:lang w:eastAsia="en-GB"/>
        </w:rPr>
        <w:t xml:space="preserve">, is contracted out of the State Second Pension and </w:t>
      </w:r>
      <w:r w:rsidR="007271D9" w:rsidRPr="00C37059">
        <w:rPr>
          <w:rFonts w:eastAsia="Times New Roman" w:cs="Arial"/>
          <w:color w:val="auto"/>
          <w:sz w:val="20"/>
          <w:szCs w:val="20"/>
          <w:lang w:eastAsia="en-GB"/>
        </w:rPr>
        <w:t xml:space="preserve">currently provides </w:t>
      </w:r>
      <w:r w:rsidRPr="00C37059">
        <w:rPr>
          <w:rFonts w:eastAsia="Times New Roman" w:cs="Arial"/>
          <w:color w:val="auto"/>
          <w:sz w:val="20"/>
          <w:szCs w:val="20"/>
          <w:lang w:eastAsia="en-GB"/>
        </w:rPr>
        <w:t xml:space="preserve">benefits </w:t>
      </w:r>
      <w:r w:rsidR="007271D9" w:rsidRPr="00C37059">
        <w:rPr>
          <w:rFonts w:eastAsia="Times New Roman" w:cs="Arial"/>
          <w:color w:val="auto"/>
          <w:sz w:val="20"/>
          <w:szCs w:val="20"/>
          <w:lang w:eastAsia="en-GB"/>
        </w:rPr>
        <w:t>b</w:t>
      </w:r>
      <w:r w:rsidRPr="00C37059">
        <w:rPr>
          <w:rFonts w:eastAsia="Times New Roman" w:cs="Arial"/>
          <w:color w:val="auto"/>
          <w:sz w:val="20"/>
          <w:szCs w:val="20"/>
          <w:lang w:eastAsia="en-GB"/>
        </w:rPr>
        <w:t>ased on career average revalued salary</w:t>
      </w:r>
      <w:r w:rsidR="007271D9" w:rsidRPr="00C37059">
        <w:rPr>
          <w:rFonts w:eastAsia="Times New Roman" w:cs="Arial"/>
          <w:color w:val="auto"/>
          <w:sz w:val="20"/>
          <w:szCs w:val="20"/>
          <w:lang w:eastAsia="en-GB"/>
        </w:rPr>
        <w:t xml:space="preserve"> and length of service on retirement</w:t>
      </w:r>
      <w:r w:rsidRPr="00C37059">
        <w:rPr>
          <w:rFonts w:eastAsia="Times New Roman" w:cs="Arial"/>
          <w:color w:val="auto"/>
          <w:sz w:val="20"/>
          <w:szCs w:val="20"/>
          <w:lang w:eastAsia="en-GB"/>
        </w:rPr>
        <w:t>, with various protections in place for those members in the scheme before the changes t</w:t>
      </w:r>
      <w:r w:rsidR="0021452D" w:rsidRPr="00C37059">
        <w:rPr>
          <w:rFonts w:eastAsia="Times New Roman" w:cs="Arial"/>
          <w:color w:val="auto"/>
          <w:sz w:val="20"/>
          <w:szCs w:val="20"/>
          <w:lang w:eastAsia="en-GB"/>
        </w:rPr>
        <w:t>ook</w:t>
      </w:r>
      <w:r w:rsidRPr="00C37059">
        <w:rPr>
          <w:rFonts w:eastAsia="Times New Roman" w:cs="Arial"/>
          <w:color w:val="auto"/>
          <w:sz w:val="20"/>
          <w:szCs w:val="20"/>
          <w:lang w:eastAsia="en-GB"/>
        </w:rPr>
        <w:t xml:space="preserve"> effect. </w:t>
      </w:r>
    </w:p>
    <w:p w:rsidR="00E92D0F" w:rsidRPr="0005794A" w:rsidRDefault="00E92D0F"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C5B47" w:rsidRPr="00C37059"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C37059">
        <w:rPr>
          <w:rFonts w:eastAsia="Times New Roman" w:cs="Arial"/>
          <w:color w:val="auto"/>
          <w:sz w:val="20"/>
          <w:szCs w:val="20"/>
          <w:lang w:eastAsia="en-GB"/>
        </w:rPr>
        <w:t xml:space="preserve">The Administering Authority for the Fund is Devon County Council. The Pension Fund Committee oversees the management of the Fund whilst the day to day fund administration is undertaken by a team within the Administering Authority. Where appropriate some functions are delegated to the Fund’s professional advisers. </w:t>
      </w:r>
      <w:r w:rsidR="00EC5B47" w:rsidRPr="00C37059">
        <w:rPr>
          <w:rFonts w:eastAsia="Times New Roman" w:cs="Arial"/>
          <w:color w:val="auto"/>
          <w:sz w:val="20"/>
          <w:szCs w:val="20"/>
          <w:lang w:eastAsia="en-GB"/>
        </w:rPr>
        <w:t>Details on the s</w:t>
      </w:r>
      <w:r w:rsidR="001C7629" w:rsidRPr="00C37059">
        <w:rPr>
          <w:rFonts w:eastAsia="Times New Roman" w:cs="Arial"/>
          <w:color w:val="auto"/>
          <w:sz w:val="20"/>
          <w:szCs w:val="20"/>
          <w:lang w:eastAsia="en-GB"/>
        </w:rPr>
        <w:t>c</w:t>
      </w:r>
      <w:r w:rsidR="00EC5B47" w:rsidRPr="00C37059">
        <w:rPr>
          <w:rFonts w:eastAsia="Times New Roman" w:cs="Arial"/>
          <w:color w:val="auto"/>
          <w:sz w:val="20"/>
          <w:szCs w:val="20"/>
          <w:lang w:eastAsia="en-GB"/>
        </w:rPr>
        <w:t xml:space="preserve">heme are on the website for Peninsula Pensions. </w:t>
      </w:r>
    </w:p>
    <w:p w:rsidR="00EC5B47" w:rsidRPr="0005794A" w:rsidRDefault="00EC5B47" w:rsidP="00445BB9">
      <w:pPr>
        <w:pStyle w:val="ExampleSub"/>
        <w:keepNext w:val="0"/>
        <w:keepLines w:val="0"/>
        <w:spacing w:before="0" w:line="240" w:lineRule="auto"/>
        <w:rPr>
          <w:rFonts w:ascii="Arial" w:hAnsi="Arial" w:cs="Arial"/>
          <w:b w:val="0"/>
          <w:bCs w:val="0"/>
          <w:color w:val="548DD4" w:themeColor="text2" w:themeTint="99"/>
          <w:sz w:val="20"/>
          <w:szCs w:val="20"/>
          <w:lang w:eastAsia="en-US"/>
        </w:rPr>
      </w:pPr>
    </w:p>
    <w:p w:rsidR="00E92D0F" w:rsidRPr="00C37059"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C37059">
        <w:rPr>
          <w:rFonts w:eastAsia="Times New Roman" w:cs="Arial"/>
          <w:color w:val="auto"/>
          <w:sz w:val="20"/>
          <w:szCs w:val="20"/>
          <w:lang w:eastAsia="en-GB"/>
        </w:rPr>
        <w:t xml:space="preserve">As </w:t>
      </w:r>
      <w:r w:rsidR="00E10EFA" w:rsidRPr="00C37059">
        <w:rPr>
          <w:rFonts w:eastAsia="Times New Roman" w:cs="Arial"/>
          <w:color w:val="auto"/>
          <w:sz w:val="20"/>
          <w:szCs w:val="20"/>
          <w:lang w:eastAsia="en-GB"/>
        </w:rPr>
        <w:t>a</w:t>
      </w:r>
      <w:r w:rsidRPr="00C37059">
        <w:rPr>
          <w:rFonts w:eastAsia="Times New Roman" w:cs="Arial"/>
          <w:color w:val="auto"/>
          <w:sz w:val="20"/>
          <w:szCs w:val="20"/>
          <w:lang w:eastAsia="en-GB"/>
        </w:rPr>
        <w:t xml:space="preserve">dministering Authority to the Fund, Devon County Council, after consultation with the Fund Actuary and other relevant parties, is responsible for the preparation and maintenance of the Funding Strategy Statement and the </w:t>
      </w:r>
      <w:r w:rsidR="00A21463" w:rsidRPr="00C37059">
        <w:rPr>
          <w:rFonts w:eastAsia="Times New Roman" w:cs="Arial"/>
          <w:color w:val="auto"/>
          <w:sz w:val="20"/>
          <w:szCs w:val="20"/>
          <w:lang w:eastAsia="en-GB"/>
        </w:rPr>
        <w:t>Investment Strat</w:t>
      </w:r>
      <w:r w:rsidR="00D54666" w:rsidRPr="00C37059">
        <w:rPr>
          <w:rFonts w:eastAsia="Times New Roman" w:cs="Arial"/>
          <w:color w:val="auto"/>
          <w:sz w:val="20"/>
          <w:szCs w:val="20"/>
          <w:lang w:eastAsia="en-GB"/>
        </w:rPr>
        <w:t>egy</w:t>
      </w:r>
      <w:r w:rsidR="00A21463" w:rsidRPr="00C37059">
        <w:rPr>
          <w:rFonts w:eastAsia="Times New Roman" w:cs="Arial"/>
          <w:color w:val="auto"/>
          <w:sz w:val="20"/>
          <w:szCs w:val="20"/>
          <w:lang w:eastAsia="en-GB"/>
        </w:rPr>
        <w:t xml:space="preserve"> </w:t>
      </w:r>
      <w:r w:rsidRPr="00C37059">
        <w:rPr>
          <w:rFonts w:eastAsia="Times New Roman" w:cs="Arial"/>
          <w:color w:val="auto"/>
          <w:sz w:val="20"/>
          <w:szCs w:val="20"/>
          <w:lang w:eastAsia="en-GB"/>
        </w:rPr>
        <w:t xml:space="preserve">Statement. </w:t>
      </w:r>
    </w:p>
    <w:p w:rsidR="00544735" w:rsidRPr="0005794A" w:rsidRDefault="00544735"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544735" w:rsidRPr="00C37059" w:rsidRDefault="00544735"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C37059">
        <w:rPr>
          <w:rFonts w:eastAsia="Times New Roman" w:cs="Arial"/>
          <w:color w:val="auto"/>
          <w:sz w:val="20"/>
          <w:szCs w:val="20"/>
          <w:lang w:eastAsia="en-GB"/>
        </w:rPr>
        <w:t xml:space="preserve">The appointed actuary to the pension fund is Barnett </w:t>
      </w:r>
      <w:proofErr w:type="spellStart"/>
      <w:r w:rsidRPr="00C37059">
        <w:rPr>
          <w:rFonts w:eastAsia="Times New Roman" w:cs="Arial"/>
          <w:color w:val="auto"/>
          <w:sz w:val="20"/>
          <w:szCs w:val="20"/>
          <w:lang w:eastAsia="en-GB"/>
        </w:rPr>
        <w:t>Waddingham</w:t>
      </w:r>
      <w:proofErr w:type="spellEnd"/>
      <w:r w:rsidR="0003393C" w:rsidRPr="00C37059">
        <w:rPr>
          <w:rFonts w:eastAsia="Times New Roman" w:cs="Arial"/>
          <w:color w:val="auto"/>
          <w:sz w:val="20"/>
          <w:szCs w:val="20"/>
          <w:lang w:eastAsia="en-GB"/>
        </w:rPr>
        <w:t xml:space="preserve"> “the actuary”</w:t>
      </w:r>
      <w:r w:rsidRPr="00C37059">
        <w:rPr>
          <w:rFonts w:eastAsia="Times New Roman" w:cs="Arial"/>
          <w:color w:val="auto"/>
          <w:sz w:val="20"/>
          <w:szCs w:val="20"/>
          <w:lang w:eastAsia="en-GB"/>
        </w:rPr>
        <w:t xml:space="preserve">, who </w:t>
      </w:r>
      <w:r w:rsidR="007E33E1" w:rsidRPr="00C37059">
        <w:rPr>
          <w:rFonts w:eastAsia="Times New Roman" w:cs="Arial"/>
          <w:color w:val="auto"/>
          <w:sz w:val="20"/>
          <w:szCs w:val="20"/>
          <w:lang w:eastAsia="en-GB"/>
        </w:rPr>
        <w:t>provides</w:t>
      </w:r>
      <w:r w:rsidRPr="00C37059">
        <w:rPr>
          <w:rFonts w:eastAsia="Times New Roman" w:cs="Arial"/>
          <w:color w:val="auto"/>
          <w:sz w:val="20"/>
          <w:szCs w:val="20"/>
          <w:lang w:eastAsia="en-GB"/>
        </w:rPr>
        <w:t xml:space="preserve"> the pension </w:t>
      </w:r>
      <w:r w:rsidR="007E33E1" w:rsidRPr="00C37059">
        <w:rPr>
          <w:rFonts w:eastAsia="Times New Roman" w:cs="Arial"/>
          <w:color w:val="auto"/>
          <w:sz w:val="20"/>
          <w:szCs w:val="20"/>
          <w:lang w:eastAsia="en-GB"/>
        </w:rPr>
        <w:t>calculations</w:t>
      </w:r>
      <w:r w:rsidRPr="00C37059">
        <w:rPr>
          <w:rFonts w:eastAsia="Times New Roman" w:cs="Arial"/>
          <w:color w:val="auto"/>
          <w:sz w:val="20"/>
          <w:szCs w:val="20"/>
          <w:lang w:eastAsia="en-GB"/>
        </w:rPr>
        <w:t xml:space="preserve"> used</w:t>
      </w:r>
      <w:r w:rsidR="00C20B4A" w:rsidRPr="00C37059">
        <w:rPr>
          <w:rFonts w:eastAsia="Times New Roman" w:cs="Arial"/>
          <w:color w:val="auto"/>
          <w:sz w:val="20"/>
          <w:szCs w:val="20"/>
          <w:lang w:eastAsia="en-GB"/>
        </w:rPr>
        <w:t xml:space="preserve"> </w:t>
      </w:r>
      <w:r w:rsidRPr="00C37059">
        <w:rPr>
          <w:rFonts w:eastAsia="Times New Roman" w:cs="Arial"/>
          <w:color w:val="auto"/>
          <w:sz w:val="20"/>
          <w:szCs w:val="20"/>
          <w:lang w:eastAsia="en-GB"/>
        </w:rPr>
        <w:t>in these accounts.</w:t>
      </w:r>
    </w:p>
    <w:p w:rsidR="00E92D0F" w:rsidRPr="0005794A" w:rsidRDefault="005F6518"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r w:rsidRPr="0005794A">
        <w:rPr>
          <w:rFonts w:eastAsia="Times New Roman" w:cs="Arial"/>
          <w:color w:val="548DD4" w:themeColor="text2" w:themeTint="99"/>
          <w:sz w:val="20"/>
          <w:szCs w:val="20"/>
          <w:lang w:eastAsia="en-GB"/>
        </w:rPr>
        <w:tab/>
      </w:r>
      <w:r w:rsidRPr="0005794A">
        <w:rPr>
          <w:rFonts w:eastAsia="Times New Roman" w:cs="Arial"/>
          <w:color w:val="548DD4" w:themeColor="text2" w:themeTint="99"/>
          <w:sz w:val="20"/>
          <w:szCs w:val="20"/>
          <w:lang w:eastAsia="en-GB"/>
        </w:rPr>
        <w:tab/>
      </w:r>
    </w:p>
    <w:p w:rsidR="005F6518" w:rsidRPr="00802ABC" w:rsidRDefault="005F6518" w:rsidP="00445BB9">
      <w:pPr>
        <w:autoSpaceDE w:val="0"/>
        <w:autoSpaceDN w:val="0"/>
        <w:adjustRightInd w:val="0"/>
        <w:spacing w:after="0" w:line="240" w:lineRule="auto"/>
        <w:ind w:left="567" w:firstLine="3"/>
        <w:rPr>
          <w:rFonts w:eastAsia="Times New Roman" w:cs="Arial"/>
          <w:color w:val="auto"/>
          <w:sz w:val="20"/>
          <w:szCs w:val="20"/>
        </w:rPr>
      </w:pPr>
      <w:r w:rsidRPr="001B0A66">
        <w:rPr>
          <w:rFonts w:eastAsia="Times New Roman" w:cs="Arial"/>
          <w:color w:val="auto"/>
          <w:sz w:val="20"/>
          <w:szCs w:val="20"/>
        </w:rPr>
        <w:lastRenderedPageBreak/>
        <w:t>The Local Government Pension Scheme is required to have an actuarial valuation every three years. This valuation wi</w:t>
      </w:r>
      <w:r w:rsidR="00F57E2F">
        <w:rPr>
          <w:rFonts w:eastAsia="Times New Roman" w:cs="Arial"/>
          <w:color w:val="auto"/>
          <w:sz w:val="20"/>
          <w:szCs w:val="20"/>
        </w:rPr>
        <w:t xml:space="preserve">ll set a </w:t>
      </w:r>
      <w:r w:rsidR="00F57E2F" w:rsidRPr="00802ABC">
        <w:rPr>
          <w:rFonts w:eastAsia="Times New Roman" w:cs="Arial"/>
          <w:color w:val="auto"/>
          <w:sz w:val="20"/>
          <w:szCs w:val="20"/>
        </w:rPr>
        <w:t xml:space="preserve">rate for </w:t>
      </w:r>
      <w:proofErr w:type="gramStart"/>
      <w:r w:rsidR="00F57E2F" w:rsidRPr="00802ABC">
        <w:rPr>
          <w:rFonts w:eastAsia="Times New Roman" w:cs="Arial"/>
          <w:color w:val="auto"/>
          <w:sz w:val="20"/>
          <w:szCs w:val="20"/>
        </w:rPr>
        <w:t>employer</w:t>
      </w:r>
      <w:r w:rsidRPr="00802ABC">
        <w:rPr>
          <w:rFonts w:eastAsia="Times New Roman" w:cs="Arial"/>
          <w:color w:val="auto"/>
          <w:sz w:val="20"/>
          <w:szCs w:val="20"/>
        </w:rPr>
        <w:t>s</w:t>
      </w:r>
      <w:proofErr w:type="gramEnd"/>
      <w:r w:rsidRPr="00802ABC">
        <w:rPr>
          <w:rFonts w:eastAsia="Times New Roman" w:cs="Arial"/>
          <w:color w:val="auto"/>
          <w:sz w:val="20"/>
          <w:szCs w:val="20"/>
        </w:rPr>
        <w:t xml:space="preserve"> contributions for the next three years so as to secure the pension fund’s solvency, together with any other amounts necessary to recover the deficit built up on the fund. </w:t>
      </w:r>
    </w:p>
    <w:p w:rsidR="005F6518" w:rsidRPr="00802ABC" w:rsidRDefault="005F6518"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92D0F" w:rsidRPr="00802ABC"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802ABC">
        <w:rPr>
          <w:rFonts w:eastAsia="Times New Roman" w:cs="Arial"/>
          <w:color w:val="auto"/>
          <w:sz w:val="20"/>
          <w:szCs w:val="20"/>
          <w:lang w:eastAsia="en-GB"/>
        </w:rPr>
        <w:t>Contributions are set every 3 years as a result of the actuarial valuation of the Fund required by the Regulations. The next actuarial valuation of the Fund will be carried out as at 31 March 201</w:t>
      </w:r>
      <w:r w:rsidR="00EA28C8" w:rsidRPr="00802ABC">
        <w:rPr>
          <w:rFonts w:eastAsia="Times New Roman" w:cs="Arial"/>
          <w:color w:val="auto"/>
          <w:sz w:val="20"/>
          <w:szCs w:val="20"/>
          <w:lang w:eastAsia="en-GB"/>
        </w:rPr>
        <w:t>9</w:t>
      </w:r>
      <w:r w:rsidRPr="00802ABC">
        <w:rPr>
          <w:rFonts w:eastAsia="Times New Roman" w:cs="Arial"/>
          <w:color w:val="auto"/>
          <w:sz w:val="20"/>
          <w:szCs w:val="20"/>
          <w:lang w:eastAsia="en-GB"/>
        </w:rPr>
        <w:t xml:space="preserve"> and will set contributions for the period from 1 April 20</w:t>
      </w:r>
      <w:r w:rsidR="00EA28C8" w:rsidRPr="00802ABC">
        <w:rPr>
          <w:rFonts w:eastAsia="Times New Roman" w:cs="Arial"/>
          <w:color w:val="auto"/>
          <w:sz w:val="20"/>
          <w:szCs w:val="20"/>
          <w:lang w:eastAsia="en-GB"/>
        </w:rPr>
        <w:t>20</w:t>
      </w:r>
      <w:r w:rsidRPr="00802ABC">
        <w:rPr>
          <w:rFonts w:eastAsia="Times New Roman" w:cs="Arial"/>
          <w:color w:val="auto"/>
          <w:sz w:val="20"/>
          <w:szCs w:val="20"/>
          <w:lang w:eastAsia="en-GB"/>
        </w:rPr>
        <w:t xml:space="preserve"> to 31 March 202</w:t>
      </w:r>
      <w:r w:rsidR="00EA28C8" w:rsidRPr="00802ABC">
        <w:rPr>
          <w:rFonts w:eastAsia="Times New Roman" w:cs="Arial"/>
          <w:color w:val="auto"/>
          <w:sz w:val="20"/>
          <w:szCs w:val="20"/>
          <w:lang w:eastAsia="en-GB"/>
        </w:rPr>
        <w:t>3</w:t>
      </w:r>
      <w:r w:rsidRPr="00802ABC">
        <w:rPr>
          <w:rFonts w:eastAsia="Times New Roman" w:cs="Arial"/>
          <w:color w:val="auto"/>
          <w:sz w:val="20"/>
          <w:szCs w:val="20"/>
          <w:lang w:eastAsia="en-GB"/>
        </w:rPr>
        <w:t xml:space="preserve">. There are no minimum funding requirements in the LGPS but the contributions are generally set to target a funding level of 100% using the actuarial valuation assumptions. </w:t>
      </w:r>
    </w:p>
    <w:p w:rsidR="00E92D0F" w:rsidRPr="00802ABC" w:rsidRDefault="00E92D0F"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5F6518" w:rsidRDefault="00421333" w:rsidP="00445BB9">
      <w:pPr>
        <w:pStyle w:val="CodeNotesExampleText"/>
        <w:widowControl w:val="0"/>
        <w:ind w:left="567"/>
        <w:rPr>
          <w:rFonts w:cs="Arial"/>
          <w:color w:val="auto"/>
          <w:sz w:val="20"/>
          <w:szCs w:val="20"/>
        </w:rPr>
      </w:pPr>
      <w:r w:rsidRPr="00802ABC">
        <w:rPr>
          <w:rFonts w:cs="Arial"/>
          <w:color w:val="auto"/>
          <w:sz w:val="20"/>
          <w:szCs w:val="20"/>
        </w:rPr>
        <w:t>The latest actuarial valuation was prepared as at 31 March 201</w:t>
      </w:r>
      <w:r w:rsidR="00EA28C8" w:rsidRPr="00802ABC">
        <w:rPr>
          <w:rFonts w:cs="Arial"/>
          <w:color w:val="auto"/>
          <w:sz w:val="20"/>
          <w:szCs w:val="20"/>
        </w:rPr>
        <w:t>6</w:t>
      </w:r>
      <w:r w:rsidRPr="00802ABC">
        <w:rPr>
          <w:rFonts w:cs="Arial"/>
          <w:color w:val="auto"/>
          <w:sz w:val="20"/>
          <w:szCs w:val="20"/>
        </w:rPr>
        <w:t xml:space="preserve">. </w:t>
      </w:r>
      <w:r w:rsidR="00EE359A" w:rsidRPr="00802ABC">
        <w:rPr>
          <w:rFonts w:cs="Arial"/>
          <w:color w:val="auto"/>
          <w:sz w:val="20"/>
          <w:szCs w:val="20"/>
        </w:rPr>
        <w:t xml:space="preserve">The objectives of the scheme are to keep employer’s contributions at as a </w:t>
      </w:r>
      <w:proofErr w:type="gramStart"/>
      <w:r w:rsidR="00EE359A" w:rsidRPr="00802ABC">
        <w:rPr>
          <w:rFonts w:cs="Arial"/>
          <w:color w:val="auto"/>
          <w:sz w:val="20"/>
          <w:szCs w:val="20"/>
        </w:rPr>
        <w:t>constant  rate</w:t>
      </w:r>
      <w:proofErr w:type="gramEnd"/>
      <w:r w:rsidR="00EE359A" w:rsidRPr="00802ABC">
        <w:rPr>
          <w:rFonts w:cs="Arial"/>
          <w:color w:val="auto"/>
          <w:sz w:val="20"/>
          <w:szCs w:val="20"/>
        </w:rPr>
        <w:t xml:space="preserve"> as</w:t>
      </w:r>
      <w:r w:rsidR="00EE359A" w:rsidRPr="00C37059">
        <w:rPr>
          <w:rFonts w:cs="Arial"/>
          <w:color w:val="auto"/>
          <w:sz w:val="20"/>
          <w:szCs w:val="20"/>
        </w:rPr>
        <w:t xml:space="preserve"> possible. The </w:t>
      </w:r>
      <w:r w:rsidR="007E33E1" w:rsidRPr="00C37059">
        <w:rPr>
          <w:rFonts w:cs="Arial"/>
          <w:color w:val="auto"/>
          <w:sz w:val="20"/>
          <w:szCs w:val="20"/>
        </w:rPr>
        <w:t>agreed contribution</w:t>
      </w:r>
      <w:r w:rsidR="00EE359A" w:rsidRPr="00C37059">
        <w:rPr>
          <w:rFonts w:cs="Arial"/>
          <w:color w:val="auto"/>
          <w:sz w:val="20"/>
          <w:szCs w:val="20"/>
        </w:rPr>
        <w:t xml:space="preserve"> rates should result in a 100% funding level over the medium term. </w:t>
      </w:r>
      <w:r w:rsidRPr="00C37059">
        <w:rPr>
          <w:rFonts w:cs="Arial"/>
          <w:color w:val="auto"/>
          <w:sz w:val="20"/>
          <w:szCs w:val="20"/>
        </w:rPr>
        <w:t>This set a contribution rate for the Council of 1</w:t>
      </w:r>
      <w:r w:rsidR="00EA28C8" w:rsidRPr="00C37059">
        <w:rPr>
          <w:rFonts w:cs="Arial"/>
          <w:color w:val="auto"/>
          <w:sz w:val="20"/>
          <w:szCs w:val="20"/>
        </w:rPr>
        <w:t>4.8%</w:t>
      </w:r>
      <w:r w:rsidRPr="00C37059">
        <w:rPr>
          <w:rFonts w:cs="Arial"/>
          <w:color w:val="auto"/>
          <w:sz w:val="20"/>
          <w:szCs w:val="20"/>
        </w:rPr>
        <w:t xml:space="preserve"> of pensionable pay for 201</w:t>
      </w:r>
      <w:r w:rsidR="00EA28C8" w:rsidRPr="00C37059">
        <w:rPr>
          <w:rFonts w:cs="Arial"/>
          <w:color w:val="auto"/>
          <w:sz w:val="20"/>
          <w:szCs w:val="20"/>
        </w:rPr>
        <w:t>7</w:t>
      </w:r>
      <w:r w:rsidRPr="00C37059">
        <w:rPr>
          <w:rFonts w:cs="Arial"/>
          <w:color w:val="auto"/>
          <w:sz w:val="20"/>
          <w:szCs w:val="20"/>
        </w:rPr>
        <w:t>/1</w:t>
      </w:r>
      <w:r w:rsidR="00EA28C8" w:rsidRPr="00C37059">
        <w:rPr>
          <w:rFonts w:cs="Arial"/>
          <w:color w:val="auto"/>
          <w:sz w:val="20"/>
          <w:szCs w:val="20"/>
        </w:rPr>
        <w:t>8</w:t>
      </w:r>
      <w:r w:rsidR="000D524F" w:rsidRPr="00C37059">
        <w:rPr>
          <w:rFonts w:cs="Arial"/>
          <w:color w:val="auto"/>
          <w:sz w:val="20"/>
          <w:szCs w:val="20"/>
        </w:rPr>
        <w:t>, 201</w:t>
      </w:r>
      <w:r w:rsidR="00EA28C8" w:rsidRPr="00C37059">
        <w:rPr>
          <w:rFonts w:cs="Arial"/>
          <w:color w:val="auto"/>
          <w:sz w:val="20"/>
          <w:szCs w:val="20"/>
        </w:rPr>
        <w:t>8</w:t>
      </w:r>
      <w:r w:rsidR="000D524F" w:rsidRPr="00C37059">
        <w:rPr>
          <w:rFonts w:cs="Arial"/>
          <w:color w:val="auto"/>
          <w:sz w:val="20"/>
          <w:szCs w:val="20"/>
        </w:rPr>
        <w:t>/1</w:t>
      </w:r>
      <w:r w:rsidR="00EA28C8" w:rsidRPr="00C37059">
        <w:rPr>
          <w:rFonts w:cs="Arial"/>
          <w:color w:val="auto"/>
          <w:sz w:val="20"/>
          <w:szCs w:val="20"/>
        </w:rPr>
        <w:t>9</w:t>
      </w:r>
      <w:r w:rsidR="000D524F" w:rsidRPr="00C37059">
        <w:rPr>
          <w:rFonts w:cs="Arial"/>
          <w:color w:val="auto"/>
          <w:sz w:val="20"/>
          <w:szCs w:val="20"/>
        </w:rPr>
        <w:t xml:space="preserve"> and 20</w:t>
      </w:r>
      <w:r w:rsidR="00EA28C8" w:rsidRPr="00C37059">
        <w:rPr>
          <w:rFonts w:cs="Arial"/>
          <w:color w:val="auto"/>
          <w:sz w:val="20"/>
          <w:szCs w:val="20"/>
        </w:rPr>
        <w:t>19</w:t>
      </w:r>
      <w:r w:rsidR="000D524F" w:rsidRPr="00C37059">
        <w:rPr>
          <w:rFonts w:cs="Arial"/>
          <w:color w:val="auto"/>
          <w:sz w:val="20"/>
          <w:szCs w:val="20"/>
        </w:rPr>
        <w:t>/</w:t>
      </w:r>
      <w:r w:rsidR="00EA28C8" w:rsidRPr="00C37059">
        <w:rPr>
          <w:rFonts w:cs="Arial"/>
          <w:color w:val="auto"/>
          <w:sz w:val="20"/>
          <w:szCs w:val="20"/>
        </w:rPr>
        <w:t>20</w:t>
      </w:r>
      <w:r w:rsidR="00CF6B66">
        <w:rPr>
          <w:rFonts w:cs="Arial"/>
          <w:color w:val="auto"/>
          <w:sz w:val="20"/>
          <w:szCs w:val="20"/>
        </w:rPr>
        <w:t xml:space="preserve"> and an additional</w:t>
      </w:r>
      <w:r w:rsidR="00CF6B66" w:rsidRPr="00C37059">
        <w:rPr>
          <w:rFonts w:cs="Arial"/>
          <w:color w:val="auto"/>
          <w:sz w:val="20"/>
          <w:szCs w:val="20"/>
        </w:rPr>
        <w:t xml:space="preserve"> cash payments</w:t>
      </w:r>
      <w:r w:rsidR="00CF6B66">
        <w:rPr>
          <w:rFonts w:cs="Arial"/>
          <w:color w:val="auto"/>
          <w:sz w:val="20"/>
          <w:szCs w:val="20"/>
        </w:rPr>
        <w:t xml:space="preserve"> </w:t>
      </w:r>
      <w:r w:rsidR="00CF6B66" w:rsidRPr="00C37059">
        <w:rPr>
          <w:rFonts w:cs="Arial"/>
          <w:color w:val="auto"/>
          <w:sz w:val="20"/>
          <w:szCs w:val="20"/>
        </w:rPr>
        <w:t>(equal to 8.0%)</w:t>
      </w:r>
      <w:r w:rsidRPr="00C37059">
        <w:rPr>
          <w:rFonts w:cs="Arial"/>
          <w:color w:val="auto"/>
          <w:sz w:val="20"/>
          <w:szCs w:val="20"/>
        </w:rPr>
        <w:t>, budgeted to result in a payment of around £</w:t>
      </w:r>
      <w:r w:rsidR="00CF6B66">
        <w:rPr>
          <w:rFonts w:cs="Arial"/>
          <w:color w:val="auto"/>
          <w:sz w:val="20"/>
          <w:szCs w:val="20"/>
        </w:rPr>
        <w:t>6</w:t>
      </w:r>
      <w:r w:rsidRPr="00C37059">
        <w:rPr>
          <w:rFonts w:cs="Arial"/>
          <w:color w:val="auto"/>
          <w:sz w:val="20"/>
          <w:szCs w:val="20"/>
        </w:rPr>
        <w:t xml:space="preserve">m </w:t>
      </w:r>
      <w:r w:rsidR="00D3232F" w:rsidRPr="00C37059">
        <w:rPr>
          <w:rFonts w:cs="Arial"/>
          <w:color w:val="auto"/>
          <w:sz w:val="20"/>
          <w:szCs w:val="20"/>
        </w:rPr>
        <w:t xml:space="preserve">per annum </w:t>
      </w:r>
      <w:r w:rsidRPr="00C37059">
        <w:rPr>
          <w:rFonts w:cs="Arial"/>
          <w:color w:val="auto"/>
          <w:sz w:val="20"/>
          <w:szCs w:val="20"/>
        </w:rPr>
        <w:t>to the Fund</w:t>
      </w:r>
      <w:r w:rsidR="00CF6B66">
        <w:rPr>
          <w:rFonts w:cs="Arial"/>
          <w:color w:val="auto"/>
          <w:sz w:val="20"/>
          <w:szCs w:val="20"/>
        </w:rPr>
        <w:t>.</w:t>
      </w:r>
    </w:p>
    <w:p w:rsidR="00CF6B66" w:rsidRPr="0005794A" w:rsidRDefault="00CF6B66" w:rsidP="00445BB9">
      <w:pPr>
        <w:pStyle w:val="CodeNotesExampleText"/>
        <w:widowControl w:val="0"/>
        <w:ind w:left="567"/>
        <w:rPr>
          <w:rFonts w:cs="Arial"/>
          <w:color w:val="548DD4" w:themeColor="text2" w:themeTint="99"/>
          <w:sz w:val="20"/>
          <w:szCs w:val="20"/>
        </w:rPr>
      </w:pPr>
    </w:p>
    <w:p w:rsidR="00E92D0F" w:rsidRPr="00C37059"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C37059">
        <w:rPr>
          <w:rFonts w:eastAsia="Times New Roman" w:cs="Arial"/>
          <w:color w:val="auto"/>
          <w:sz w:val="20"/>
          <w:szCs w:val="20"/>
          <w:lang w:eastAsia="en-GB"/>
        </w:rPr>
        <w:t xml:space="preserve">On the Employer’s withdrawal from the plan, a cessation valuation will be carried out in accordance with Regulation 64 of the LGPS Regulations 2013 which will determine the termination contribution due by the Employer, on a set of assumptions deemed appropriate by the Fund Actuary. </w:t>
      </w:r>
    </w:p>
    <w:p w:rsidR="00E92D0F" w:rsidRPr="00C37059" w:rsidRDefault="00E92D0F" w:rsidP="00445BB9">
      <w:pPr>
        <w:autoSpaceDE w:val="0"/>
        <w:autoSpaceDN w:val="0"/>
        <w:adjustRightInd w:val="0"/>
        <w:spacing w:after="0" w:line="240" w:lineRule="auto"/>
        <w:ind w:left="567"/>
        <w:rPr>
          <w:rFonts w:eastAsia="Times New Roman" w:cs="Arial"/>
          <w:color w:val="auto"/>
          <w:sz w:val="20"/>
          <w:szCs w:val="20"/>
          <w:lang w:eastAsia="en-GB"/>
        </w:rPr>
      </w:pPr>
    </w:p>
    <w:p w:rsidR="00E92D0F" w:rsidRPr="00C37059"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C37059">
        <w:rPr>
          <w:rFonts w:eastAsia="Times New Roman" w:cs="Arial"/>
          <w:color w:val="auto"/>
          <w:sz w:val="20"/>
          <w:szCs w:val="20"/>
          <w:lang w:eastAsia="en-GB"/>
        </w:rPr>
        <w:t xml:space="preserve">In general, participating in a defined benefit pension scheme means that the Employer is exposed to a number of risks: </w:t>
      </w:r>
    </w:p>
    <w:p w:rsidR="008E1260" w:rsidRPr="00C37059" w:rsidRDefault="008E1260" w:rsidP="00E92D0F">
      <w:pPr>
        <w:autoSpaceDE w:val="0"/>
        <w:autoSpaceDN w:val="0"/>
        <w:adjustRightInd w:val="0"/>
        <w:spacing w:after="0" w:line="240" w:lineRule="auto"/>
        <w:ind w:left="720"/>
        <w:rPr>
          <w:rFonts w:eastAsia="Times New Roman" w:cs="Arial"/>
          <w:color w:val="auto"/>
          <w:sz w:val="20"/>
          <w:szCs w:val="20"/>
          <w:lang w:eastAsia="en-GB"/>
        </w:rPr>
      </w:pPr>
    </w:p>
    <w:p w:rsidR="00E92D0F" w:rsidRPr="00C37059" w:rsidRDefault="00E92D0F" w:rsidP="00FC32F1">
      <w:pPr>
        <w:pStyle w:val="ListParagraph"/>
        <w:numPr>
          <w:ilvl w:val="0"/>
          <w:numId w:val="5"/>
        </w:numPr>
        <w:autoSpaceDE w:val="0"/>
        <w:autoSpaceDN w:val="0"/>
        <w:adjustRightInd w:val="0"/>
        <w:spacing w:after="224" w:line="240" w:lineRule="auto"/>
        <w:rPr>
          <w:rFonts w:eastAsia="Times New Roman" w:cs="Arial"/>
          <w:color w:val="auto"/>
          <w:sz w:val="20"/>
          <w:szCs w:val="20"/>
          <w:lang w:eastAsia="en-GB"/>
        </w:rPr>
      </w:pPr>
      <w:r w:rsidRPr="00C37059">
        <w:rPr>
          <w:rFonts w:eastAsia="Times New Roman" w:cs="Arial"/>
          <w:color w:val="auto"/>
          <w:sz w:val="20"/>
          <w:szCs w:val="20"/>
          <w:lang w:eastAsia="en-GB"/>
        </w:rPr>
        <w:t xml:space="preserve">Investment risk. The Fund holds investment in asset classes, such as equities, which have volatile market values and while these assets are expected to provide real returns over the long-term, the short-term volatility can cause additional funding to be required if a deficit emerges. </w:t>
      </w:r>
    </w:p>
    <w:p w:rsidR="00E92D0F" w:rsidRPr="00C37059" w:rsidRDefault="00E92D0F" w:rsidP="00FC32F1">
      <w:pPr>
        <w:pStyle w:val="ListParagraph"/>
        <w:numPr>
          <w:ilvl w:val="0"/>
          <w:numId w:val="5"/>
        </w:numPr>
        <w:autoSpaceDE w:val="0"/>
        <w:autoSpaceDN w:val="0"/>
        <w:adjustRightInd w:val="0"/>
        <w:spacing w:after="224" w:line="240" w:lineRule="auto"/>
        <w:rPr>
          <w:rFonts w:eastAsia="Times New Roman" w:cs="Arial"/>
          <w:color w:val="auto"/>
          <w:sz w:val="20"/>
          <w:szCs w:val="20"/>
          <w:lang w:eastAsia="en-GB"/>
        </w:rPr>
      </w:pPr>
      <w:r w:rsidRPr="00C37059">
        <w:rPr>
          <w:rFonts w:eastAsia="Times New Roman" w:cs="Arial"/>
          <w:color w:val="auto"/>
          <w:sz w:val="20"/>
          <w:szCs w:val="20"/>
          <w:lang w:eastAsia="en-GB"/>
        </w:rPr>
        <w:t xml:space="preserve">Interest rate risk. The Fund’s liabilities are assessed using market yields on high quality corporate bonds to discount the liabilities. As the Fund holds assets such as equities the value of the assets and liabilities may not move in the same way. </w:t>
      </w:r>
    </w:p>
    <w:p w:rsidR="00E92D0F" w:rsidRPr="00C37059" w:rsidRDefault="00E92D0F" w:rsidP="00FC32F1">
      <w:pPr>
        <w:pStyle w:val="ListParagraph"/>
        <w:numPr>
          <w:ilvl w:val="0"/>
          <w:numId w:val="5"/>
        </w:numPr>
        <w:autoSpaceDE w:val="0"/>
        <w:autoSpaceDN w:val="0"/>
        <w:adjustRightInd w:val="0"/>
        <w:spacing w:after="224" w:line="240" w:lineRule="auto"/>
        <w:rPr>
          <w:rFonts w:eastAsia="Times New Roman" w:cs="Arial"/>
          <w:color w:val="auto"/>
          <w:sz w:val="20"/>
          <w:szCs w:val="20"/>
          <w:lang w:eastAsia="en-GB"/>
        </w:rPr>
      </w:pPr>
      <w:r w:rsidRPr="00C37059">
        <w:rPr>
          <w:rFonts w:eastAsia="Times New Roman" w:cs="Arial"/>
          <w:color w:val="auto"/>
          <w:sz w:val="20"/>
          <w:szCs w:val="20"/>
          <w:lang w:eastAsia="en-GB"/>
        </w:rPr>
        <w:t xml:space="preserve">Inflation risk. All of the benefits under the Fund are linked to inflation and so deficits may emerge to the extent that the assets are not linked to inflation. </w:t>
      </w:r>
    </w:p>
    <w:p w:rsidR="00E92D0F" w:rsidRPr="00C37059" w:rsidRDefault="00E92D0F" w:rsidP="00FC32F1">
      <w:pPr>
        <w:pStyle w:val="ListParagraph"/>
        <w:numPr>
          <w:ilvl w:val="0"/>
          <w:numId w:val="5"/>
        </w:numPr>
        <w:autoSpaceDE w:val="0"/>
        <w:autoSpaceDN w:val="0"/>
        <w:adjustRightInd w:val="0"/>
        <w:spacing w:after="0" w:line="240" w:lineRule="auto"/>
        <w:rPr>
          <w:rFonts w:eastAsia="Times New Roman" w:cs="Arial"/>
          <w:color w:val="auto"/>
          <w:sz w:val="20"/>
          <w:szCs w:val="20"/>
          <w:lang w:eastAsia="en-GB"/>
        </w:rPr>
      </w:pPr>
      <w:r w:rsidRPr="00C37059">
        <w:rPr>
          <w:rFonts w:eastAsia="Times New Roman" w:cs="Arial"/>
          <w:color w:val="auto"/>
          <w:sz w:val="20"/>
          <w:szCs w:val="20"/>
          <w:lang w:eastAsia="en-GB"/>
        </w:rPr>
        <w:t xml:space="preserve">Longevity risk. In the event that the members live longer than assumed a deficit will emerge in the Fund. There are also other demographic risks. </w:t>
      </w:r>
    </w:p>
    <w:p w:rsidR="00E92D0F" w:rsidRPr="00C37059" w:rsidRDefault="00E92D0F" w:rsidP="00445BB9">
      <w:pPr>
        <w:autoSpaceDE w:val="0"/>
        <w:autoSpaceDN w:val="0"/>
        <w:adjustRightInd w:val="0"/>
        <w:spacing w:after="0" w:line="240" w:lineRule="auto"/>
        <w:ind w:left="567"/>
        <w:rPr>
          <w:rFonts w:eastAsia="Times New Roman" w:cs="Arial"/>
          <w:color w:val="auto"/>
          <w:sz w:val="20"/>
          <w:szCs w:val="20"/>
          <w:lang w:eastAsia="en-GB"/>
        </w:rPr>
      </w:pPr>
    </w:p>
    <w:p w:rsidR="00E92D0F" w:rsidRPr="00C37059"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C37059">
        <w:rPr>
          <w:rFonts w:eastAsia="Times New Roman" w:cs="Arial"/>
          <w:color w:val="auto"/>
          <w:sz w:val="20"/>
          <w:szCs w:val="20"/>
          <w:lang w:eastAsia="en-GB"/>
        </w:rPr>
        <w:t xml:space="preserve">In addition, as many unrelated employers participate in the Devon County Council Pension Fund, there is an orphan liability risk where employers leave the Fund but with insufficient assets to cover their pension obligations so that the difference may fall on the remaining employers. </w:t>
      </w:r>
    </w:p>
    <w:p w:rsidR="00E92D0F" w:rsidRPr="0005794A" w:rsidRDefault="00E92D0F"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9924E5" w:rsidRPr="00C37059" w:rsidRDefault="00E92D0F" w:rsidP="00445BB9">
      <w:pPr>
        <w:pStyle w:val="ExampleSub"/>
        <w:keepNext w:val="0"/>
        <w:keepLines w:val="0"/>
        <w:spacing w:before="0" w:line="240" w:lineRule="auto"/>
        <w:rPr>
          <w:rFonts w:ascii="Arial" w:hAnsi="Arial" w:cs="Arial"/>
          <w:b w:val="0"/>
          <w:bCs w:val="0"/>
          <w:color w:val="auto"/>
          <w:sz w:val="20"/>
          <w:szCs w:val="20"/>
        </w:rPr>
      </w:pPr>
      <w:r w:rsidRPr="00C37059">
        <w:rPr>
          <w:rFonts w:ascii="Arial" w:hAnsi="Arial" w:cs="Arial"/>
          <w:b w:val="0"/>
          <w:bCs w:val="0"/>
          <w:color w:val="auto"/>
          <w:sz w:val="20"/>
          <w:szCs w:val="20"/>
        </w:rPr>
        <w:t>All of the risks above may also benefit the Employer e.g. higher than expected investment returns or employers leaving the Fund with excess assets which eventually get inherited by the remaining employers.</w:t>
      </w:r>
    </w:p>
    <w:p w:rsidR="0025163D" w:rsidRPr="0005794A" w:rsidRDefault="0025163D" w:rsidP="00445BB9">
      <w:pPr>
        <w:pStyle w:val="ExampleSub"/>
        <w:keepNext w:val="0"/>
        <w:keepLines w:val="0"/>
        <w:spacing w:before="0" w:line="240" w:lineRule="auto"/>
        <w:rPr>
          <w:rFonts w:ascii="Arial" w:hAnsi="Arial" w:cs="Arial"/>
          <w:b w:val="0"/>
          <w:bCs w:val="0"/>
          <w:color w:val="548DD4" w:themeColor="text2" w:themeTint="99"/>
          <w:sz w:val="20"/>
          <w:szCs w:val="20"/>
        </w:rPr>
      </w:pPr>
    </w:p>
    <w:p w:rsidR="00C37059" w:rsidRDefault="00C37059" w:rsidP="00C37059">
      <w:pPr>
        <w:pStyle w:val="CodeNotesExampleText"/>
        <w:widowControl w:val="0"/>
        <w:ind w:left="567"/>
        <w:rPr>
          <w:rFonts w:cs="Arial"/>
          <w:color w:val="548DD4" w:themeColor="text2" w:themeTint="99"/>
          <w:sz w:val="20"/>
          <w:szCs w:val="20"/>
        </w:rPr>
      </w:pPr>
      <w:r w:rsidRPr="00C37059">
        <w:rPr>
          <w:rFonts w:cs="Arial"/>
          <w:color w:val="auto"/>
          <w:sz w:val="20"/>
          <w:szCs w:val="20"/>
        </w:rPr>
        <w:t>The maturity profile of Torbay members is an average age of 46 (46 16/17) years for active members and deferred pensioners, 70 (70 16/17) years for pensioners and 76 (76 16/17) years for unfunded pensioners.</w:t>
      </w:r>
    </w:p>
    <w:p w:rsidR="00C37059" w:rsidRPr="0005794A" w:rsidRDefault="00C37059" w:rsidP="00C37059">
      <w:pPr>
        <w:pStyle w:val="CodeNotesExampleText"/>
        <w:widowControl w:val="0"/>
        <w:ind w:left="567"/>
        <w:rPr>
          <w:rFonts w:cs="Arial"/>
          <w:color w:val="548DD4" w:themeColor="text2" w:themeTint="99"/>
          <w:sz w:val="20"/>
          <w:szCs w:val="20"/>
        </w:rPr>
      </w:pPr>
    </w:p>
    <w:p w:rsidR="0025163D" w:rsidRPr="0005794A" w:rsidRDefault="0025163D" w:rsidP="00445BB9">
      <w:pPr>
        <w:autoSpaceDE w:val="0"/>
        <w:autoSpaceDN w:val="0"/>
        <w:adjustRightInd w:val="0"/>
        <w:spacing w:after="0" w:line="240" w:lineRule="auto"/>
        <w:ind w:left="567"/>
        <w:rPr>
          <w:rFonts w:cs="Arial"/>
          <w:b/>
          <w:bCs/>
          <w:color w:val="548DD4" w:themeColor="text2" w:themeTint="99"/>
          <w:sz w:val="20"/>
          <w:szCs w:val="20"/>
        </w:rPr>
      </w:pPr>
      <w:r w:rsidRPr="00C37059">
        <w:rPr>
          <w:rFonts w:eastAsia="Times New Roman" w:cs="Arial"/>
          <w:color w:val="auto"/>
          <w:sz w:val="20"/>
          <w:szCs w:val="20"/>
          <w:lang w:eastAsia="en-GB"/>
        </w:rPr>
        <w:t>In 201</w:t>
      </w:r>
      <w:r w:rsidR="00FD2193" w:rsidRPr="00C37059">
        <w:rPr>
          <w:rFonts w:eastAsia="Times New Roman" w:cs="Arial"/>
          <w:color w:val="auto"/>
          <w:sz w:val="20"/>
          <w:szCs w:val="20"/>
          <w:lang w:eastAsia="en-GB"/>
        </w:rPr>
        <w:t>6</w:t>
      </w:r>
      <w:r w:rsidRPr="00C37059">
        <w:rPr>
          <w:rFonts w:eastAsia="Times New Roman" w:cs="Arial"/>
          <w:color w:val="auto"/>
          <w:sz w:val="20"/>
          <w:szCs w:val="20"/>
          <w:lang w:eastAsia="en-GB"/>
        </w:rPr>
        <w:t>/1</w:t>
      </w:r>
      <w:r w:rsidR="00FD2193" w:rsidRPr="00C37059">
        <w:rPr>
          <w:rFonts w:eastAsia="Times New Roman" w:cs="Arial"/>
          <w:color w:val="auto"/>
          <w:sz w:val="20"/>
          <w:szCs w:val="20"/>
          <w:lang w:eastAsia="en-GB"/>
        </w:rPr>
        <w:t>7</w:t>
      </w:r>
      <w:r w:rsidRPr="00C37059">
        <w:rPr>
          <w:rFonts w:eastAsia="Times New Roman" w:cs="Arial"/>
          <w:color w:val="auto"/>
          <w:sz w:val="20"/>
          <w:szCs w:val="20"/>
          <w:lang w:eastAsia="en-GB"/>
        </w:rPr>
        <w:t xml:space="preserve"> there were a number of settlements within the fund resulting from staff transfers with a net </w:t>
      </w:r>
      <w:r w:rsidR="00C37059" w:rsidRPr="00C37059">
        <w:rPr>
          <w:rFonts w:eastAsia="Times New Roman" w:cs="Arial"/>
          <w:color w:val="auto"/>
          <w:sz w:val="20"/>
          <w:szCs w:val="20"/>
          <w:lang w:eastAsia="en-GB"/>
        </w:rPr>
        <w:t xml:space="preserve">loss </w:t>
      </w:r>
      <w:r w:rsidRPr="00C37059">
        <w:rPr>
          <w:rFonts w:eastAsia="Times New Roman" w:cs="Arial"/>
          <w:color w:val="auto"/>
          <w:sz w:val="20"/>
          <w:szCs w:val="20"/>
          <w:lang w:eastAsia="en-GB"/>
        </w:rPr>
        <w:t>of £</w:t>
      </w:r>
      <w:r w:rsidR="009358B6" w:rsidRPr="00C37059">
        <w:rPr>
          <w:rFonts w:eastAsia="Times New Roman" w:cs="Arial"/>
          <w:color w:val="auto"/>
          <w:sz w:val="20"/>
          <w:szCs w:val="20"/>
          <w:lang w:eastAsia="en-GB"/>
        </w:rPr>
        <w:t>0.</w:t>
      </w:r>
      <w:r w:rsidR="00C37059" w:rsidRPr="00C37059">
        <w:rPr>
          <w:rFonts w:eastAsia="Times New Roman" w:cs="Arial"/>
          <w:color w:val="auto"/>
          <w:sz w:val="20"/>
          <w:szCs w:val="20"/>
          <w:lang w:eastAsia="en-GB"/>
        </w:rPr>
        <w:t>4</w:t>
      </w:r>
      <w:r w:rsidRPr="00C37059">
        <w:rPr>
          <w:rFonts w:eastAsia="Times New Roman" w:cs="Arial"/>
          <w:color w:val="auto"/>
          <w:sz w:val="20"/>
          <w:szCs w:val="20"/>
          <w:lang w:eastAsia="en-GB"/>
        </w:rPr>
        <w:t>m, (£</w:t>
      </w:r>
      <w:r w:rsidR="00C37059" w:rsidRPr="00C37059">
        <w:rPr>
          <w:rFonts w:eastAsia="Times New Roman" w:cs="Arial"/>
          <w:color w:val="auto"/>
          <w:sz w:val="20"/>
          <w:szCs w:val="20"/>
          <w:lang w:eastAsia="en-GB"/>
        </w:rPr>
        <w:t>0.6</w:t>
      </w:r>
      <w:r w:rsidR="007F7BD1" w:rsidRPr="00C37059">
        <w:rPr>
          <w:rFonts w:eastAsia="Times New Roman" w:cs="Arial"/>
          <w:color w:val="auto"/>
          <w:sz w:val="20"/>
          <w:szCs w:val="20"/>
          <w:lang w:eastAsia="en-GB"/>
        </w:rPr>
        <w:t>m</w:t>
      </w:r>
      <w:r w:rsidRPr="00C37059">
        <w:rPr>
          <w:rFonts w:eastAsia="Times New Roman" w:cs="Arial"/>
          <w:color w:val="auto"/>
          <w:sz w:val="20"/>
          <w:szCs w:val="20"/>
          <w:lang w:eastAsia="en-GB"/>
        </w:rPr>
        <w:t xml:space="preserve"> </w:t>
      </w:r>
      <w:r w:rsidR="00C37059" w:rsidRPr="00C37059">
        <w:rPr>
          <w:rFonts w:eastAsia="Times New Roman" w:cs="Arial"/>
          <w:color w:val="auto"/>
          <w:sz w:val="20"/>
          <w:szCs w:val="20"/>
          <w:lang w:eastAsia="en-GB"/>
        </w:rPr>
        <w:t xml:space="preserve">gain </w:t>
      </w:r>
      <w:r w:rsidRPr="00C37059">
        <w:rPr>
          <w:rFonts w:eastAsia="Times New Roman" w:cs="Arial"/>
          <w:color w:val="auto"/>
          <w:sz w:val="20"/>
          <w:szCs w:val="20"/>
          <w:lang w:eastAsia="en-GB"/>
        </w:rPr>
        <w:t>1</w:t>
      </w:r>
      <w:r w:rsidR="00C37059" w:rsidRPr="00C37059">
        <w:rPr>
          <w:rFonts w:eastAsia="Times New Roman" w:cs="Arial"/>
          <w:color w:val="auto"/>
          <w:sz w:val="20"/>
          <w:szCs w:val="20"/>
          <w:lang w:eastAsia="en-GB"/>
        </w:rPr>
        <w:t>6</w:t>
      </w:r>
      <w:r w:rsidRPr="00C37059">
        <w:rPr>
          <w:rFonts w:eastAsia="Times New Roman" w:cs="Arial"/>
          <w:color w:val="auto"/>
          <w:sz w:val="20"/>
          <w:szCs w:val="20"/>
          <w:lang w:eastAsia="en-GB"/>
        </w:rPr>
        <w:t>/1</w:t>
      </w:r>
      <w:r w:rsidR="00C37059" w:rsidRPr="00C37059">
        <w:rPr>
          <w:rFonts w:eastAsia="Times New Roman" w:cs="Arial"/>
          <w:color w:val="auto"/>
          <w:sz w:val="20"/>
          <w:szCs w:val="20"/>
          <w:lang w:eastAsia="en-GB"/>
        </w:rPr>
        <w:t>7</w:t>
      </w:r>
      <w:r w:rsidRPr="008B2535">
        <w:rPr>
          <w:rFonts w:eastAsia="Times New Roman" w:cs="Arial"/>
          <w:color w:val="auto"/>
          <w:sz w:val="20"/>
          <w:szCs w:val="20"/>
          <w:lang w:eastAsia="en-GB"/>
        </w:rPr>
        <w:t xml:space="preserve">). </w:t>
      </w:r>
      <w:r w:rsidR="00E33B81" w:rsidRPr="008B2535">
        <w:rPr>
          <w:rFonts w:eastAsia="Times New Roman" w:cs="Arial"/>
          <w:color w:val="auto"/>
          <w:sz w:val="20"/>
          <w:szCs w:val="20"/>
          <w:lang w:eastAsia="en-GB"/>
        </w:rPr>
        <w:t xml:space="preserve">In 2016/17 the loss included the transfer of the </w:t>
      </w:r>
      <w:proofErr w:type="gramStart"/>
      <w:r w:rsidR="00E33B81" w:rsidRPr="008B2535">
        <w:rPr>
          <w:rFonts w:eastAsia="Times New Roman" w:cs="Arial"/>
          <w:color w:val="auto"/>
          <w:sz w:val="20"/>
          <w:szCs w:val="20"/>
          <w:lang w:eastAsia="en-GB"/>
        </w:rPr>
        <w:t>net  pension</w:t>
      </w:r>
      <w:proofErr w:type="gramEnd"/>
      <w:r w:rsidR="00E33B81" w:rsidRPr="008B2535">
        <w:rPr>
          <w:rFonts w:eastAsia="Times New Roman" w:cs="Arial"/>
          <w:color w:val="auto"/>
          <w:sz w:val="20"/>
          <w:szCs w:val="20"/>
          <w:lang w:eastAsia="en-GB"/>
        </w:rPr>
        <w:t xml:space="preserve"> liability in rel</w:t>
      </w:r>
      <w:r w:rsidR="007048DA">
        <w:rPr>
          <w:rFonts w:eastAsia="Times New Roman" w:cs="Arial"/>
          <w:color w:val="auto"/>
          <w:sz w:val="20"/>
          <w:szCs w:val="20"/>
          <w:lang w:eastAsia="en-GB"/>
        </w:rPr>
        <w:t>a</w:t>
      </w:r>
      <w:r w:rsidR="00E33B81" w:rsidRPr="008B2535">
        <w:rPr>
          <w:rFonts w:eastAsia="Times New Roman" w:cs="Arial"/>
          <w:color w:val="auto"/>
          <w:sz w:val="20"/>
          <w:szCs w:val="20"/>
          <w:lang w:eastAsia="en-GB"/>
        </w:rPr>
        <w:t>tion to the English Rivi</w:t>
      </w:r>
      <w:r w:rsidR="008B2535" w:rsidRPr="008B2535">
        <w:rPr>
          <w:rFonts w:eastAsia="Times New Roman" w:cs="Arial"/>
          <w:color w:val="auto"/>
          <w:sz w:val="20"/>
          <w:szCs w:val="20"/>
          <w:lang w:eastAsia="en-GB"/>
        </w:rPr>
        <w:t>era</w:t>
      </w:r>
      <w:r w:rsidR="00E33B81" w:rsidRPr="008B2535">
        <w:rPr>
          <w:rFonts w:eastAsia="Times New Roman" w:cs="Arial"/>
          <w:color w:val="auto"/>
          <w:sz w:val="20"/>
          <w:szCs w:val="20"/>
          <w:lang w:eastAsia="en-GB"/>
        </w:rPr>
        <w:t xml:space="preserve"> Tourism Com</w:t>
      </w:r>
      <w:r w:rsidR="008B2535" w:rsidRPr="008B2535">
        <w:rPr>
          <w:rFonts w:eastAsia="Times New Roman" w:cs="Arial"/>
          <w:color w:val="auto"/>
          <w:sz w:val="20"/>
          <w:szCs w:val="20"/>
          <w:lang w:eastAsia="en-GB"/>
        </w:rPr>
        <w:t xml:space="preserve">pany </w:t>
      </w:r>
      <w:r w:rsidR="00E33B81" w:rsidRPr="008B2535">
        <w:rPr>
          <w:rFonts w:eastAsia="Times New Roman" w:cs="Arial"/>
          <w:color w:val="auto"/>
          <w:sz w:val="20"/>
          <w:szCs w:val="20"/>
          <w:lang w:eastAsia="en-GB"/>
        </w:rPr>
        <w:t>to Torbay Council</w:t>
      </w:r>
      <w:r w:rsidR="00F57E2F">
        <w:rPr>
          <w:rFonts w:eastAsia="Times New Roman" w:cs="Arial"/>
          <w:color w:val="auto"/>
          <w:sz w:val="20"/>
          <w:szCs w:val="20"/>
          <w:lang w:eastAsia="en-GB"/>
        </w:rPr>
        <w:t>.</w:t>
      </w:r>
    </w:p>
    <w:p w:rsidR="00D96AAC" w:rsidRPr="00C37059" w:rsidRDefault="00D96AAC" w:rsidP="00445BB9">
      <w:pPr>
        <w:pStyle w:val="CodeNotesExampleText"/>
        <w:widowControl w:val="0"/>
        <w:ind w:left="567"/>
        <w:rPr>
          <w:rFonts w:cs="Arial"/>
          <w:color w:val="auto"/>
          <w:sz w:val="20"/>
          <w:szCs w:val="20"/>
        </w:rPr>
      </w:pPr>
    </w:p>
    <w:p w:rsidR="00CF0F3B" w:rsidRPr="00C37059" w:rsidRDefault="008E1260" w:rsidP="00445BB9">
      <w:pPr>
        <w:autoSpaceDE w:val="0"/>
        <w:autoSpaceDN w:val="0"/>
        <w:adjustRightInd w:val="0"/>
        <w:spacing w:after="0" w:line="240" w:lineRule="auto"/>
        <w:ind w:left="567"/>
        <w:rPr>
          <w:rFonts w:eastAsia="Times New Roman" w:cs="Arial"/>
          <w:color w:val="auto"/>
          <w:sz w:val="20"/>
          <w:szCs w:val="20"/>
          <w:lang w:eastAsia="en-GB"/>
        </w:rPr>
      </w:pPr>
      <w:r w:rsidRPr="00C37059">
        <w:rPr>
          <w:rFonts w:eastAsia="Times New Roman" w:cs="Arial"/>
          <w:color w:val="auto"/>
          <w:sz w:val="20"/>
          <w:szCs w:val="20"/>
          <w:lang w:eastAsia="en-GB"/>
        </w:rPr>
        <w:t xml:space="preserve">To assess the value of the Employer's </w:t>
      </w:r>
      <w:r w:rsidR="00C37059">
        <w:rPr>
          <w:rFonts w:eastAsia="Times New Roman" w:cs="Arial"/>
          <w:color w:val="auto"/>
          <w:sz w:val="20"/>
          <w:szCs w:val="20"/>
          <w:lang w:eastAsia="en-GB"/>
        </w:rPr>
        <w:t xml:space="preserve">net </w:t>
      </w:r>
      <w:r w:rsidRPr="00C37059">
        <w:rPr>
          <w:rFonts w:eastAsia="Times New Roman" w:cs="Arial"/>
          <w:color w:val="auto"/>
          <w:sz w:val="20"/>
          <w:szCs w:val="20"/>
          <w:lang w:eastAsia="en-GB"/>
        </w:rPr>
        <w:t>liabilities at 31 March 201</w:t>
      </w:r>
      <w:r w:rsidR="00C37059" w:rsidRPr="00C37059">
        <w:rPr>
          <w:rFonts w:eastAsia="Times New Roman" w:cs="Arial"/>
          <w:color w:val="auto"/>
          <w:sz w:val="20"/>
          <w:szCs w:val="20"/>
          <w:lang w:eastAsia="en-GB"/>
        </w:rPr>
        <w:t>8</w:t>
      </w:r>
      <w:r w:rsidRPr="00C37059">
        <w:rPr>
          <w:rFonts w:eastAsia="Times New Roman" w:cs="Arial"/>
          <w:color w:val="auto"/>
          <w:sz w:val="20"/>
          <w:szCs w:val="20"/>
          <w:lang w:eastAsia="en-GB"/>
        </w:rPr>
        <w:t xml:space="preserve">, the actuary has </w:t>
      </w:r>
      <w:r w:rsidR="00CD1AA0" w:rsidRPr="00C37059">
        <w:rPr>
          <w:rFonts w:eastAsia="Times New Roman" w:cs="Arial"/>
          <w:color w:val="auto"/>
          <w:sz w:val="20"/>
          <w:szCs w:val="20"/>
          <w:lang w:eastAsia="en-GB"/>
        </w:rPr>
        <w:t>used</w:t>
      </w:r>
      <w:r w:rsidR="00CF0F3B" w:rsidRPr="00C37059">
        <w:rPr>
          <w:rFonts w:eastAsia="Times New Roman" w:cs="Arial"/>
          <w:color w:val="auto"/>
          <w:sz w:val="20"/>
          <w:szCs w:val="20"/>
          <w:lang w:eastAsia="en-GB"/>
        </w:rPr>
        <w:t xml:space="preserve"> a number of information sources including:</w:t>
      </w:r>
    </w:p>
    <w:p w:rsidR="00CF0F3B" w:rsidRPr="00C37059" w:rsidRDefault="00CF0F3B" w:rsidP="00445BB9">
      <w:pPr>
        <w:autoSpaceDE w:val="0"/>
        <w:autoSpaceDN w:val="0"/>
        <w:adjustRightInd w:val="0"/>
        <w:spacing w:after="0" w:line="240" w:lineRule="auto"/>
        <w:ind w:left="567"/>
        <w:rPr>
          <w:rFonts w:eastAsia="Times New Roman" w:cs="Arial"/>
          <w:color w:val="auto"/>
          <w:sz w:val="20"/>
          <w:szCs w:val="20"/>
          <w:lang w:eastAsia="en-GB"/>
        </w:rPr>
      </w:pPr>
    </w:p>
    <w:p w:rsidR="008E1260" w:rsidRPr="00C37059"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C37059">
        <w:rPr>
          <w:rFonts w:eastAsia="Times New Roman" w:cs="Arial"/>
          <w:color w:val="auto"/>
          <w:sz w:val="20"/>
          <w:szCs w:val="20"/>
          <w:lang w:eastAsia="en-GB"/>
        </w:rPr>
        <w:lastRenderedPageBreak/>
        <w:t xml:space="preserve">The results of the </w:t>
      </w:r>
      <w:r w:rsidR="008E1260" w:rsidRPr="00C37059">
        <w:rPr>
          <w:rFonts w:eastAsia="Times New Roman" w:cs="Arial"/>
          <w:color w:val="auto"/>
          <w:sz w:val="20"/>
          <w:szCs w:val="20"/>
          <w:lang w:eastAsia="en-GB"/>
        </w:rPr>
        <w:t>valuation as at 31 March 201</w:t>
      </w:r>
      <w:r w:rsidR="00CD1AA0" w:rsidRPr="00C37059">
        <w:rPr>
          <w:rFonts w:eastAsia="Times New Roman" w:cs="Arial"/>
          <w:color w:val="auto"/>
          <w:sz w:val="20"/>
          <w:szCs w:val="20"/>
          <w:lang w:eastAsia="en-GB"/>
        </w:rPr>
        <w:t>6</w:t>
      </w:r>
      <w:r w:rsidRPr="00C37059">
        <w:rPr>
          <w:rFonts w:eastAsia="Times New Roman" w:cs="Arial"/>
          <w:color w:val="auto"/>
          <w:sz w:val="20"/>
          <w:szCs w:val="20"/>
          <w:lang w:eastAsia="en-GB"/>
        </w:rPr>
        <w:t xml:space="preserve"> wh</w:t>
      </w:r>
      <w:r w:rsidR="007048DA">
        <w:rPr>
          <w:rFonts w:eastAsia="Times New Roman" w:cs="Arial"/>
          <w:color w:val="auto"/>
          <w:sz w:val="20"/>
          <w:szCs w:val="20"/>
          <w:lang w:eastAsia="en-GB"/>
        </w:rPr>
        <w:t>ich</w:t>
      </w:r>
      <w:r w:rsidRPr="00C37059">
        <w:rPr>
          <w:rFonts w:eastAsia="Times New Roman" w:cs="Arial"/>
          <w:color w:val="auto"/>
          <w:sz w:val="20"/>
          <w:szCs w:val="20"/>
          <w:lang w:eastAsia="en-GB"/>
        </w:rPr>
        <w:t xml:space="preserve"> was carried out for funding purposes</w:t>
      </w:r>
      <w:r w:rsidR="008E1260" w:rsidRPr="00C37059">
        <w:rPr>
          <w:rFonts w:eastAsia="Times New Roman" w:cs="Arial"/>
          <w:color w:val="auto"/>
          <w:sz w:val="20"/>
          <w:szCs w:val="20"/>
          <w:lang w:eastAsia="en-GB"/>
        </w:rPr>
        <w:t xml:space="preserve">. </w:t>
      </w:r>
    </w:p>
    <w:p w:rsidR="00CF0F3B" w:rsidRPr="00C37059"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C37059">
        <w:rPr>
          <w:rFonts w:eastAsia="Times New Roman" w:cs="Arial"/>
          <w:color w:val="auto"/>
          <w:sz w:val="20"/>
          <w:szCs w:val="20"/>
          <w:lang w:eastAsia="en-GB"/>
        </w:rPr>
        <w:t>Estimated whole fund income and expenditure items for the period to 31</w:t>
      </w:r>
      <w:r w:rsidRPr="00C37059">
        <w:rPr>
          <w:rFonts w:eastAsia="Times New Roman" w:cs="Arial"/>
          <w:color w:val="auto"/>
          <w:sz w:val="20"/>
          <w:szCs w:val="20"/>
          <w:vertAlign w:val="superscript"/>
          <w:lang w:eastAsia="en-GB"/>
        </w:rPr>
        <w:t>st</w:t>
      </w:r>
      <w:r w:rsidR="00C37059" w:rsidRPr="00C37059">
        <w:rPr>
          <w:rFonts w:eastAsia="Times New Roman" w:cs="Arial"/>
          <w:color w:val="auto"/>
          <w:sz w:val="20"/>
          <w:szCs w:val="20"/>
          <w:lang w:eastAsia="en-GB"/>
        </w:rPr>
        <w:t xml:space="preserve"> March 2018</w:t>
      </w:r>
    </w:p>
    <w:p w:rsidR="008E1260" w:rsidRPr="00C37059"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C37059">
        <w:rPr>
          <w:rFonts w:eastAsia="Times New Roman" w:cs="Arial"/>
          <w:color w:val="auto"/>
          <w:sz w:val="20"/>
          <w:szCs w:val="20"/>
          <w:lang w:eastAsia="en-GB"/>
        </w:rPr>
        <w:t>Estimated fund returns based on asset statements (or estimates of) as at 31</w:t>
      </w:r>
      <w:r w:rsidRPr="00C37059">
        <w:rPr>
          <w:rFonts w:eastAsia="Times New Roman" w:cs="Arial"/>
          <w:color w:val="auto"/>
          <w:sz w:val="20"/>
          <w:szCs w:val="20"/>
          <w:vertAlign w:val="superscript"/>
          <w:lang w:eastAsia="en-GB"/>
        </w:rPr>
        <w:t>st</w:t>
      </w:r>
      <w:r w:rsidRPr="00C37059">
        <w:rPr>
          <w:rFonts w:eastAsia="Times New Roman" w:cs="Arial"/>
          <w:color w:val="auto"/>
          <w:sz w:val="20"/>
          <w:szCs w:val="20"/>
          <w:lang w:eastAsia="en-GB"/>
        </w:rPr>
        <w:t xml:space="preserve"> March </w:t>
      </w:r>
      <w:r w:rsidR="00C37059" w:rsidRPr="00C37059">
        <w:rPr>
          <w:rFonts w:eastAsia="Times New Roman" w:cs="Arial"/>
          <w:color w:val="auto"/>
          <w:sz w:val="20"/>
          <w:szCs w:val="20"/>
          <w:lang w:eastAsia="en-GB"/>
        </w:rPr>
        <w:t xml:space="preserve">for </w:t>
      </w:r>
      <w:r w:rsidRPr="00C37059">
        <w:rPr>
          <w:rFonts w:eastAsia="Times New Roman" w:cs="Arial"/>
          <w:color w:val="auto"/>
          <w:sz w:val="20"/>
          <w:szCs w:val="20"/>
          <w:lang w:eastAsia="en-GB"/>
        </w:rPr>
        <w:t>2016</w:t>
      </w:r>
      <w:r w:rsidR="00C37059" w:rsidRPr="00C37059">
        <w:rPr>
          <w:rFonts w:eastAsia="Times New Roman" w:cs="Arial"/>
          <w:color w:val="auto"/>
          <w:sz w:val="20"/>
          <w:szCs w:val="20"/>
          <w:lang w:eastAsia="en-GB"/>
        </w:rPr>
        <w:t>, 2017 and 2018.</w:t>
      </w:r>
    </w:p>
    <w:p w:rsidR="00CF0F3B" w:rsidRPr="00C37059"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C37059">
        <w:rPr>
          <w:rFonts w:eastAsia="Times New Roman" w:cs="Arial"/>
          <w:color w:val="auto"/>
          <w:sz w:val="20"/>
          <w:szCs w:val="20"/>
          <w:lang w:eastAsia="en-GB"/>
        </w:rPr>
        <w:t>Estimated fund income and expenditure in respect of the employer for the period to 31</w:t>
      </w:r>
      <w:r w:rsidRPr="00C37059">
        <w:rPr>
          <w:rFonts w:eastAsia="Times New Roman" w:cs="Arial"/>
          <w:color w:val="auto"/>
          <w:sz w:val="20"/>
          <w:szCs w:val="20"/>
          <w:vertAlign w:val="superscript"/>
          <w:lang w:eastAsia="en-GB"/>
        </w:rPr>
        <w:t>st</w:t>
      </w:r>
      <w:r w:rsidR="00C37059" w:rsidRPr="00C37059">
        <w:rPr>
          <w:rFonts w:eastAsia="Times New Roman" w:cs="Arial"/>
          <w:color w:val="auto"/>
          <w:sz w:val="20"/>
          <w:szCs w:val="20"/>
          <w:lang w:eastAsia="en-GB"/>
        </w:rPr>
        <w:t xml:space="preserve"> March 2018</w:t>
      </w:r>
    </w:p>
    <w:p w:rsidR="00392363" w:rsidRPr="0005794A" w:rsidRDefault="00392363"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B12444" w:rsidRPr="00C37059" w:rsidRDefault="00463C28"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C37059">
        <w:rPr>
          <w:rFonts w:eastAsia="Times New Roman" w:cs="Arial"/>
          <w:color w:val="auto"/>
          <w:sz w:val="20"/>
          <w:szCs w:val="20"/>
          <w:lang w:eastAsia="en-GB"/>
        </w:rPr>
        <w:t>The service cost for the year ending 31st March 201</w:t>
      </w:r>
      <w:r w:rsidR="00C37059" w:rsidRPr="00C37059">
        <w:rPr>
          <w:rFonts w:eastAsia="Times New Roman" w:cs="Arial"/>
          <w:color w:val="auto"/>
          <w:sz w:val="20"/>
          <w:szCs w:val="20"/>
          <w:lang w:eastAsia="en-GB"/>
        </w:rPr>
        <w:t>8</w:t>
      </w:r>
      <w:r w:rsidRPr="00C37059">
        <w:rPr>
          <w:rFonts w:eastAsia="Times New Roman" w:cs="Arial"/>
          <w:color w:val="auto"/>
          <w:sz w:val="20"/>
          <w:szCs w:val="20"/>
          <w:lang w:eastAsia="en-GB"/>
        </w:rPr>
        <w:t xml:space="preserve"> is calculated using an estimate of the total pensionable payroll </w:t>
      </w:r>
      <w:r w:rsidR="00970D7F" w:rsidRPr="00C37059">
        <w:rPr>
          <w:rFonts w:eastAsia="Times New Roman" w:cs="Arial"/>
          <w:color w:val="auto"/>
          <w:sz w:val="20"/>
          <w:szCs w:val="20"/>
          <w:lang w:eastAsia="en-GB"/>
        </w:rPr>
        <w:t>in year of £2</w:t>
      </w:r>
      <w:r w:rsidR="00C37059" w:rsidRPr="00C37059">
        <w:rPr>
          <w:rFonts w:eastAsia="Times New Roman" w:cs="Arial"/>
          <w:color w:val="auto"/>
          <w:sz w:val="20"/>
          <w:szCs w:val="20"/>
          <w:lang w:eastAsia="en-GB"/>
        </w:rPr>
        <w:t>6</w:t>
      </w:r>
      <w:r w:rsidR="00970D7F" w:rsidRPr="00C37059">
        <w:rPr>
          <w:rFonts w:eastAsia="Times New Roman" w:cs="Arial"/>
          <w:color w:val="auto"/>
          <w:sz w:val="20"/>
          <w:szCs w:val="20"/>
          <w:lang w:eastAsia="en-GB"/>
        </w:rPr>
        <w:t>m.</w:t>
      </w:r>
    </w:p>
    <w:p w:rsidR="00463C28" w:rsidRPr="0005794A" w:rsidRDefault="00463C28" w:rsidP="00445BB9">
      <w:pPr>
        <w:autoSpaceDE w:val="0"/>
        <w:autoSpaceDN w:val="0"/>
        <w:adjustRightInd w:val="0"/>
        <w:spacing w:after="0" w:line="240" w:lineRule="auto"/>
        <w:rPr>
          <w:rFonts w:eastAsia="Times New Roman"/>
          <w:b/>
          <w:color w:val="548DD4" w:themeColor="text2" w:themeTint="99"/>
        </w:rPr>
      </w:pPr>
    </w:p>
    <w:p w:rsidR="009B6A87" w:rsidRPr="00164A76" w:rsidRDefault="006D5330" w:rsidP="009B6A87">
      <w:pPr>
        <w:autoSpaceDE w:val="0"/>
        <w:autoSpaceDN w:val="0"/>
        <w:adjustRightInd w:val="0"/>
        <w:spacing w:after="0" w:line="240" w:lineRule="auto"/>
        <w:rPr>
          <w:rFonts w:eastAsia="Times New Roman"/>
          <w:b/>
          <w:color w:val="auto"/>
        </w:rPr>
      </w:pPr>
      <w:r w:rsidRPr="00164A76">
        <w:rPr>
          <w:rFonts w:eastAsia="Times New Roman"/>
          <w:b/>
          <w:color w:val="auto"/>
        </w:rPr>
        <w:t>40</w:t>
      </w:r>
      <w:r w:rsidR="00445BB9" w:rsidRPr="00164A76">
        <w:rPr>
          <w:rFonts w:eastAsia="Times New Roman"/>
          <w:b/>
          <w:color w:val="auto"/>
        </w:rPr>
        <w:t xml:space="preserve">.2   </w:t>
      </w:r>
      <w:r w:rsidR="00F77276" w:rsidRPr="00164A76">
        <w:rPr>
          <w:rFonts w:eastAsia="Times New Roman"/>
          <w:b/>
          <w:color w:val="auto"/>
        </w:rPr>
        <w:t>F</w:t>
      </w:r>
      <w:r w:rsidR="009B6A87" w:rsidRPr="00164A76">
        <w:rPr>
          <w:rFonts w:eastAsia="Times New Roman"/>
          <w:b/>
          <w:color w:val="auto"/>
        </w:rPr>
        <w:t xml:space="preserve">inancial statements </w:t>
      </w:r>
    </w:p>
    <w:p w:rsidR="00F77276" w:rsidRPr="00164A76" w:rsidRDefault="00F77276" w:rsidP="009A0E34">
      <w:pPr>
        <w:spacing w:before="100" w:beforeAutospacing="1" w:after="100" w:afterAutospacing="1"/>
        <w:ind w:left="567"/>
        <w:rPr>
          <w:rFonts w:cs="Arial"/>
          <w:color w:val="auto"/>
          <w:sz w:val="20"/>
          <w:szCs w:val="20"/>
        </w:rPr>
      </w:pPr>
      <w:r w:rsidRPr="00164A76">
        <w:rPr>
          <w:rFonts w:cs="Arial"/>
          <w:color w:val="auto"/>
          <w:sz w:val="20"/>
          <w:szCs w:val="20"/>
        </w:rPr>
        <w:t>The following tables show the</w:t>
      </w:r>
      <w:r w:rsidR="00812730" w:rsidRPr="00164A76">
        <w:rPr>
          <w:rFonts w:cs="Arial"/>
          <w:color w:val="auto"/>
          <w:sz w:val="20"/>
          <w:szCs w:val="20"/>
        </w:rPr>
        <w:t xml:space="preserve"> </w:t>
      </w:r>
      <w:r w:rsidRPr="00164A76">
        <w:rPr>
          <w:rFonts w:cs="Arial"/>
          <w:color w:val="auto"/>
          <w:sz w:val="20"/>
          <w:szCs w:val="20"/>
        </w:rPr>
        <w:t>impact</w:t>
      </w:r>
      <w:r w:rsidR="00812730" w:rsidRPr="00164A76">
        <w:rPr>
          <w:rFonts w:cs="Arial"/>
          <w:color w:val="auto"/>
          <w:sz w:val="20"/>
          <w:szCs w:val="20"/>
        </w:rPr>
        <w:t xml:space="preserve"> </w:t>
      </w:r>
      <w:r w:rsidRPr="00164A76">
        <w:rPr>
          <w:rFonts w:cs="Arial"/>
          <w:color w:val="auto"/>
          <w:sz w:val="20"/>
          <w:szCs w:val="20"/>
        </w:rPr>
        <w:t xml:space="preserve">of the Assets and liabilities in relation to </w:t>
      </w:r>
      <w:proofErr w:type="spellStart"/>
      <w:r w:rsidRPr="00164A76">
        <w:rPr>
          <w:rFonts w:cs="Arial"/>
          <w:color w:val="auto"/>
          <w:sz w:val="20"/>
          <w:szCs w:val="20"/>
        </w:rPr>
        <w:t>post employment</w:t>
      </w:r>
      <w:proofErr w:type="spellEnd"/>
      <w:r w:rsidRPr="00164A76">
        <w:rPr>
          <w:rFonts w:cs="Arial"/>
          <w:color w:val="auto"/>
          <w:sz w:val="20"/>
          <w:szCs w:val="20"/>
        </w:rPr>
        <w:t xml:space="preserve"> benefits on the Co</w:t>
      </w:r>
      <w:r w:rsidR="00062A61" w:rsidRPr="00164A76">
        <w:rPr>
          <w:rFonts w:cs="Arial"/>
          <w:color w:val="auto"/>
          <w:sz w:val="20"/>
          <w:szCs w:val="20"/>
        </w:rPr>
        <w:t>uncil’s</w:t>
      </w:r>
      <w:r w:rsidRPr="00164A76">
        <w:rPr>
          <w:rFonts w:cs="Arial"/>
          <w:color w:val="auto"/>
          <w:sz w:val="20"/>
          <w:szCs w:val="20"/>
        </w:rPr>
        <w:t xml:space="preserve"> accounts in 201</w:t>
      </w:r>
      <w:r w:rsidR="00164A76" w:rsidRPr="00164A76">
        <w:rPr>
          <w:rFonts w:cs="Arial"/>
          <w:color w:val="auto"/>
          <w:sz w:val="20"/>
          <w:szCs w:val="20"/>
        </w:rPr>
        <w:t>7</w:t>
      </w:r>
      <w:r w:rsidRPr="00164A76">
        <w:rPr>
          <w:rFonts w:cs="Arial"/>
          <w:color w:val="auto"/>
          <w:sz w:val="20"/>
          <w:szCs w:val="20"/>
        </w:rPr>
        <w:t>/1</w:t>
      </w:r>
      <w:r w:rsidR="00164A76" w:rsidRPr="00164A76">
        <w:rPr>
          <w:rFonts w:cs="Arial"/>
          <w:color w:val="auto"/>
          <w:sz w:val="20"/>
          <w:szCs w:val="20"/>
        </w:rPr>
        <w:t>8</w:t>
      </w:r>
      <w:r w:rsidRPr="00164A76">
        <w:rPr>
          <w:rFonts w:cs="Arial"/>
          <w:color w:val="auto"/>
          <w:sz w:val="20"/>
          <w:szCs w:val="20"/>
        </w:rPr>
        <w:t>. The foll</w:t>
      </w:r>
      <w:r w:rsidR="00812730" w:rsidRPr="00164A76">
        <w:rPr>
          <w:rFonts w:cs="Arial"/>
          <w:color w:val="auto"/>
          <w:sz w:val="20"/>
          <w:szCs w:val="20"/>
        </w:rPr>
        <w:t>owing</w:t>
      </w:r>
      <w:r w:rsidRPr="00164A76">
        <w:rPr>
          <w:rFonts w:cs="Arial"/>
          <w:color w:val="auto"/>
          <w:sz w:val="20"/>
          <w:szCs w:val="20"/>
        </w:rPr>
        <w:t xml:space="preserve"> tables are shown:</w:t>
      </w:r>
    </w:p>
    <w:p w:rsidR="00F77276" w:rsidRPr="00CF6B66" w:rsidRDefault="00812730" w:rsidP="00FC32F1">
      <w:pPr>
        <w:pStyle w:val="ListParagraph"/>
        <w:numPr>
          <w:ilvl w:val="0"/>
          <w:numId w:val="22"/>
        </w:numPr>
        <w:spacing w:before="100" w:beforeAutospacing="1" w:after="100" w:afterAutospacing="1"/>
        <w:rPr>
          <w:rFonts w:cs="Arial"/>
          <w:color w:val="auto"/>
          <w:sz w:val="20"/>
          <w:szCs w:val="20"/>
        </w:rPr>
      </w:pPr>
      <w:r w:rsidRPr="00CF6B66">
        <w:rPr>
          <w:rFonts w:cs="Arial"/>
          <w:color w:val="auto"/>
          <w:sz w:val="20"/>
          <w:szCs w:val="20"/>
        </w:rPr>
        <w:t xml:space="preserve">Net Pension Liability – this table shows the net pension </w:t>
      </w:r>
      <w:r w:rsidR="00E85670" w:rsidRPr="00CF6B66">
        <w:rPr>
          <w:rFonts w:cs="Arial"/>
          <w:color w:val="auto"/>
          <w:sz w:val="20"/>
          <w:szCs w:val="20"/>
        </w:rPr>
        <w:t>liability</w:t>
      </w:r>
      <w:r w:rsidRPr="00CF6B66">
        <w:rPr>
          <w:rFonts w:cs="Arial"/>
          <w:color w:val="auto"/>
          <w:sz w:val="20"/>
          <w:szCs w:val="20"/>
        </w:rPr>
        <w:t xml:space="preserve"> in the balance sheet </w:t>
      </w:r>
    </w:p>
    <w:p w:rsidR="00812730" w:rsidRPr="00CF6B66" w:rsidRDefault="00E85670" w:rsidP="00FC32F1">
      <w:pPr>
        <w:pStyle w:val="ListParagraph"/>
        <w:numPr>
          <w:ilvl w:val="0"/>
          <w:numId w:val="22"/>
        </w:numPr>
        <w:spacing w:before="100" w:beforeAutospacing="1" w:after="100" w:afterAutospacing="1"/>
        <w:rPr>
          <w:rFonts w:cs="Arial"/>
          <w:color w:val="auto"/>
          <w:sz w:val="20"/>
          <w:szCs w:val="20"/>
        </w:rPr>
      </w:pPr>
      <w:r w:rsidRPr="00CF6B66">
        <w:rPr>
          <w:rFonts w:cs="Arial"/>
          <w:color w:val="auto"/>
          <w:sz w:val="20"/>
          <w:szCs w:val="20"/>
        </w:rPr>
        <w:t xml:space="preserve">Comprehensive Income </w:t>
      </w:r>
      <w:r w:rsidR="00F57E2F">
        <w:rPr>
          <w:rFonts w:cs="Arial"/>
          <w:color w:val="auto"/>
          <w:sz w:val="20"/>
          <w:szCs w:val="20"/>
        </w:rPr>
        <w:t>and</w:t>
      </w:r>
      <w:r w:rsidRPr="00CF6B66">
        <w:rPr>
          <w:rFonts w:cs="Arial"/>
          <w:color w:val="auto"/>
          <w:sz w:val="20"/>
          <w:szCs w:val="20"/>
        </w:rPr>
        <w:t xml:space="preserve"> Expenditure Statement – this table shows the IAS19 entries as they appear in the </w:t>
      </w:r>
      <w:r w:rsidRPr="00802ABC">
        <w:rPr>
          <w:rFonts w:cs="Arial"/>
          <w:color w:val="auto"/>
          <w:sz w:val="20"/>
          <w:szCs w:val="20"/>
        </w:rPr>
        <w:t>Council</w:t>
      </w:r>
      <w:r w:rsidR="00F57E2F" w:rsidRPr="00802ABC">
        <w:rPr>
          <w:rFonts w:cs="Arial"/>
          <w:color w:val="auto"/>
          <w:sz w:val="20"/>
          <w:szCs w:val="20"/>
        </w:rPr>
        <w:t>’</w:t>
      </w:r>
      <w:r w:rsidRPr="00802ABC">
        <w:rPr>
          <w:rFonts w:cs="Arial"/>
          <w:color w:val="auto"/>
          <w:sz w:val="20"/>
          <w:szCs w:val="20"/>
        </w:rPr>
        <w:t>s Comprehensive</w:t>
      </w:r>
      <w:r w:rsidRPr="00CF6B66">
        <w:rPr>
          <w:rFonts w:cs="Arial"/>
          <w:color w:val="auto"/>
          <w:sz w:val="20"/>
          <w:szCs w:val="20"/>
        </w:rPr>
        <w:t xml:space="preserve"> Income &amp; Expenditure Statement and the actual cash payment</w:t>
      </w:r>
      <w:r w:rsidR="00062A61" w:rsidRPr="00CF6B66">
        <w:rPr>
          <w:rFonts w:cs="Arial"/>
          <w:color w:val="auto"/>
          <w:sz w:val="20"/>
          <w:szCs w:val="20"/>
        </w:rPr>
        <w:t>s to</w:t>
      </w:r>
      <w:r w:rsidRPr="00CF6B66">
        <w:rPr>
          <w:rFonts w:cs="Arial"/>
          <w:color w:val="auto"/>
          <w:sz w:val="20"/>
          <w:szCs w:val="20"/>
        </w:rPr>
        <w:t xml:space="preserve"> the pension fund in year.</w:t>
      </w:r>
    </w:p>
    <w:p w:rsidR="00812730" w:rsidRPr="00CF6B66" w:rsidRDefault="00E85670" w:rsidP="00FC32F1">
      <w:pPr>
        <w:pStyle w:val="CodeNotesExampleText"/>
        <w:widowControl w:val="0"/>
        <w:numPr>
          <w:ilvl w:val="0"/>
          <w:numId w:val="22"/>
        </w:numPr>
        <w:outlineLvl w:val="0"/>
        <w:rPr>
          <w:rFonts w:cs="Arial"/>
          <w:color w:val="auto"/>
          <w:sz w:val="20"/>
          <w:szCs w:val="20"/>
        </w:rPr>
      </w:pPr>
      <w:r w:rsidRPr="00CF6B66">
        <w:rPr>
          <w:rFonts w:cs="Arial"/>
          <w:color w:val="auto"/>
          <w:sz w:val="20"/>
          <w:szCs w:val="20"/>
        </w:rPr>
        <w:t xml:space="preserve">Reconciliation of fair value of the scheme (plan) assets </w:t>
      </w:r>
      <w:r w:rsidR="00062A61" w:rsidRPr="00CF6B66">
        <w:rPr>
          <w:rFonts w:cs="Arial"/>
          <w:color w:val="auto"/>
          <w:sz w:val="20"/>
          <w:szCs w:val="20"/>
        </w:rPr>
        <w:t xml:space="preserve">- </w:t>
      </w:r>
      <w:r w:rsidRPr="00CF6B66">
        <w:rPr>
          <w:rFonts w:cs="Arial"/>
          <w:color w:val="auto"/>
          <w:sz w:val="20"/>
          <w:szCs w:val="20"/>
        </w:rPr>
        <w:t>this table shows an analysis of the movements in the pension asset during the year</w:t>
      </w:r>
    </w:p>
    <w:p w:rsidR="00E13756" w:rsidRPr="00CF6B66" w:rsidRDefault="00812730" w:rsidP="00FC32F1">
      <w:pPr>
        <w:pStyle w:val="CodeNotesExampleText"/>
        <w:widowControl w:val="0"/>
        <w:numPr>
          <w:ilvl w:val="0"/>
          <w:numId w:val="22"/>
        </w:numPr>
        <w:outlineLvl w:val="0"/>
        <w:rPr>
          <w:rFonts w:cs="Arial"/>
          <w:color w:val="auto"/>
          <w:sz w:val="20"/>
          <w:szCs w:val="20"/>
        </w:rPr>
      </w:pPr>
      <w:r w:rsidRPr="00CF6B66">
        <w:rPr>
          <w:rFonts w:cs="Arial"/>
          <w:color w:val="auto"/>
          <w:sz w:val="20"/>
          <w:szCs w:val="20"/>
        </w:rPr>
        <w:t>Reconciliation of fair value of the scheme (plan) liabilities</w:t>
      </w:r>
      <w:r w:rsidR="00062A61" w:rsidRPr="00CF6B66">
        <w:rPr>
          <w:rFonts w:cs="Arial"/>
          <w:color w:val="auto"/>
          <w:sz w:val="20"/>
          <w:szCs w:val="20"/>
        </w:rPr>
        <w:t xml:space="preserve"> -</w:t>
      </w:r>
      <w:r w:rsidRPr="00CF6B66">
        <w:rPr>
          <w:rFonts w:cs="Arial"/>
          <w:color w:val="auto"/>
          <w:sz w:val="20"/>
          <w:szCs w:val="20"/>
        </w:rPr>
        <w:t xml:space="preserve"> this </w:t>
      </w:r>
      <w:r w:rsidR="00E85670" w:rsidRPr="00CF6B66">
        <w:rPr>
          <w:rFonts w:cs="Arial"/>
          <w:color w:val="auto"/>
          <w:sz w:val="20"/>
          <w:szCs w:val="20"/>
        </w:rPr>
        <w:t>table</w:t>
      </w:r>
      <w:r w:rsidRPr="00CF6B66">
        <w:rPr>
          <w:rFonts w:cs="Arial"/>
          <w:color w:val="auto"/>
          <w:sz w:val="20"/>
          <w:szCs w:val="20"/>
        </w:rPr>
        <w:t xml:space="preserve"> shows an </w:t>
      </w:r>
      <w:r w:rsidR="00E85670" w:rsidRPr="00CF6B66">
        <w:rPr>
          <w:rFonts w:cs="Arial"/>
          <w:color w:val="auto"/>
          <w:sz w:val="20"/>
          <w:szCs w:val="20"/>
        </w:rPr>
        <w:t>analysis</w:t>
      </w:r>
      <w:r w:rsidRPr="00CF6B66">
        <w:rPr>
          <w:rFonts w:cs="Arial"/>
          <w:color w:val="auto"/>
          <w:sz w:val="20"/>
          <w:szCs w:val="20"/>
        </w:rPr>
        <w:t xml:space="preserve"> of the movements</w:t>
      </w:r>
      <w:r w:rsidR="00E85670" w:rsidRPr="00CF6B66">
        <w:rPr>
          <w:rFonts w:cs="Arial"/>
          <w:color w:val="auto"/>
          <w:sz w:val="20"/>
          <w:szCs w:val="20"/>
        </w:rPr>
        <w:t xml:space="preserve"> </w:t>
      </w:r>
      <w:r w:rsidRPr="00CF6B66">
        <w:rPr>
          <w:rFonts w:cs="Arial"/>
          <w:color w:val="auto"/>
          <w:sz w:val="20"/>
          <w:szCs w:val="20"/>
        </w:rPr>
        <w:t>in the pension liability during the year</w:t>
      </w:r>
    </w:p>
    <w:p w:rsidR="002C6DBC" w:rsidRPr="00CF6B66" w:rsidRDefault="002C6DBC" w:rsidP="008D0906">
      <w:pPr>
        <w:spacing w:before="100" w:beforeAutospacing="1" w:after="100" w:afterAutospacing="1"/>
        <w:ind w:left="567"/>
        <w:outlineLvl w:val="0"/>
        <w:rPr>
          <w:rFonts w:cs="Arial"/>
          <w:b/>
          <w:color w:val="auto"/>
          <w:sz w:val="20"/>
          <w:szCs w:val="20"/>
        </w:rPr>
      </w:pPr>
      <w:r w:rsidRPr="00CF6B66">
        <w:rPr>
          <w:rFonts w:cs="Arial"/>
          <w:b/>
          <w:color w:val="auto"/>
          <w:sz w:val="20"/>
          <w:szCs w:val="20"/>
        </w:rPr>
        <w:t xml:space="preserve">Net Pension </w:t>
      </w:r>
      <w:r w:rsidR="00F77276" w:rsidRPr="00CF6B66">
        <w:rPr>
          <w:rFonts w:cs="Arial"/>
          <w:b/>
          <w:color w:val="auto"/>
          <w:sz w:val="20"/>
          <w:szCs w:val="20"/>
        </w:rPr>
        <w:t>Liability</w:t>
      </w:r>
    </w:p>
    <w:tbl>
      <w:tblPr>
        <w:tblStyle w:val="ListTable3-Accent51"/>
        <w:tblW w:w="7655" w:type="dxa"/>
        <w:tblInd w:w="675" w:type="dxa"/>
        <w:tblLayout w:type="fixed"/>
        <w:tblLook w:val="0000" w:firstRow="0" w:lastRow="0" w:firstColumn="0" w:lastColumn="0" w:noHBand="0" w:noVBand="0"/>
      </w:tblPr>
      <w:tblGrid>
        <w:gridCol w:w="4616"/>
        <w:gridCol w:w="1004"/>
        <w:gridCol w:w="1004"/>
        <w:gridCol w:w="1031"/>
      </w:tblGrid>
      <w:tr w:rsidR="00760B1B" w:rsidRPr="0005794A" w:rsidTr="003805B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616" w:type="dxa"/>
            <w:shd w:val="clear" w:color="auto" w:fill="4BACC6" w:themeFill="accent5"/>
          </w:tcPr>
          <w:p w:rsidR="00760B1B" w:rsidRPr="00164A76" w:rsidRDefault="00760B1B" w:rsidP="00FB5658">
            <w:pPr>
              <w:pStyle w:val="NoParagraphStyle"/>
              <w:spacing w:line="240" w:lineRule="auto"/>
              <w:textAlignment w:val="auto"/>
              <w:rPr>
                <w:rFonts w:ascii="Arial" w:hAnsi="Arial" w:cs="Arial"/>
                <w:color w:val="auto"/>
                <w:sz w:val="20"/>
                <w:szCs w:val="20"/>
              </w:rPr>
            </w:pPr>
          </w:p>
        </w:tc>
        <w:tc>
          <w:tcPr>
            <w:tcW w:w="1004" w:type="dxa"/>
            <w:shd w:val="clear" w:color="auto" w:fill="4BACC6" w:themeFill="accent5"/>
          </w:tcPr>
          <w:p w:rsidR="00760B1B" w:rsidRPr="00164A76" w:rsidRDefault="008A57A2" w:rsidP="00051379">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Cs w:val="0"/>
                <w:color w:val="auto"/>
              </w:rPr>
            </w:pPr>
            <w:r w:rsidRPr="00164A76">
              <w:rPr>
                <w:rStyle w:val="Bold"/>
                <w:rFonts w:ascii="Arial" w:hAnsi="Arial" w:cs="Arial"/>
                <w:bCs w:val="0"/>
                <w:color w:val="auto"/>
              </w:rPr>
              <w:t>31/3/1</w:t>
            </w:r>
            <w:r w:rsidR="00164A76" w:rsidRPr="00164A76">
              <w:rPr>
                <w:rStyle w:val="Bold"/>
                <w:rFonts w:ascii="Arial" w:hAnsi="Arial" w:cs="Arial"/>
                <w:bCs w:val="0"/>
                <w:color w:val="auto"/>
              </w:rPr>
              <w:t>6</w:t>
            </w:r>
          </w:p>
          <w:p w:rsidR="00760B1B" w:rsidRPr="00164A76" w:rsidRDefault="00760B1B" w:rsidP="00051379">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Style w:val="Bold"/>
                <w:rFonts w:ascii="Arial" w:hAnsi="Arial" w:cs="Arial"/>
                <w:bCs w:val="0"/>
                <w:color w:val="auto"/>
              </w:rPr>
              <w:t>£m</w:t>
            </w:r>
          </w:p>
        </w:tc>
        <w:tc>
          <w:tcPr>
            <w:cnfStyle w:val="000010000000" w:firstRow="0" w:lastRow="0" w:firstColumn="0" w:lastColumn="0" w:oddVBand="1" w:evenVBand="0" w:oddHBand="0" w:evenHBand="0" w:firstRowFirstColumn="0" w:firstRowLastColumn="0" w:lastRowFirstColumn="0" w:lastRowLastColumn="0"/>
            <w:tcW w:w="1004" w:type="dxa"/>
            <w:shd w:val="clear" w:color="auto" w:fill="4BACC6" w:themeFill="accent5"/>
          </w:tcPr>
          <w:p w:rsidR="00760B1B" w:rsidRPr="00164A76" w:rsidRDefault="008A57A2" w:rsidP="00051379">
            <w:pPr>
              <w:pStyle w:val="TableRightBold"/>
              <w:jc w:val="center"/>
              <w:rPr>
                <w:rStyle w:val="Bold"/>
                <w:rFonts w:ascii="Arial" w:hAnsi="Arial" w:cs="Arial"/>
                <w:bCs w:val="0"/>
                <w:color w:val="auto"/>
              </w:rPr>
            </w:pPr>
            <w:r w:rsidRPr="00164A76">
              <w:rPr>
                <w:rStyle w:val="Bold"/>
                <w:rFonts w:ascii="Arial" w:hAnsi="Arial" w:cs="Arial"/>
                <w:bCs w:val="0"/>
                <w:color w:val="auto"/>
              </w:rPr>
              <w:t>31/3/1</w:t>
            </w:r>
            <w:r w:rsidR="00164A76" w:rsidRPr="00164A76">
              <w:rPr>
                <w:rStyle w:val="Bold"/>
                <w:rFonts w:ascii="Arial" w:hAnsi="Arial" w:cs="Arial"/>
                <w:bCs w:val="0"/>
                <w:color w:val="auto"/>
              </w:rPr>
              <w:t>7</w:t>
            </w:r>
          </w:p>
          <w:p w:rsidR="00760B1B" w:rsidRPr="00164A76" w:rsidRDefault="00760B1B" w:rsidP="00051379">
            <w:pPr>
              <w:pStyle w:val="TableRightBold"/>
              <w:jc w:val="center"/>
              <w:rPr>
                <w:rFonts w:ascii="Arial" w:hAnsi="Arial" w:cs="Arial"/>
                <w:color w:val="auto"/>
              </w:rPr>
            </w:pPr>
            <w:r w:rsidRPr="00164A76">
              <w:rPr>
                <w:rStyle w:val="Bold"/>
                <w:rFonts w:ascii="Arial" w:hAnsi="Arial" w:cs="Arial"/>
                <w:bCs w:val="0"/>
                <w:color w:val="auto"/>
              </w:rPr>
              <w:t>£m</w:t>
            </w:r>
          </w:p>
        </w:tc>
        <w:tc>
          <w:tcPr>
            <w:tcW w:w="1031" w:type="dxa"/>
            <w:shd w:val="clear" w:color="auto" w:fill="4BACC6" w:themeFill="accent5"/>
          </w:tcPr>
          <w:p w:rsidR="00760B1B" w:rsidRPr="00164A76" w:rsidRDefault="008A57A2" w:rsidP="00FB5658">
            <w:pPr>
              <w:pStyle w:val="TableRightBold"/>
              <w:jc w:val="center"/>
              <w:cnfStyle w:val="000000100000" w:firstRow="0" w:lastRow="0" w:firstColumn="0" w:lastColumn="0" w:oddVBand="0" w:evenVBand="0" w:oddHBand="1" w:evenHBand="0" w:firstRowFirstColumn="0" w:firstRowLastColumn="0" w:lastRowFirstColumn="0" w:lastRowLastColumn="0"/>
              <w:rPr>
                <w:rStyle w:val="Bold"/>
                <w:rFonts w:ascii="Arial" w:hAnsi="Arial" w:cs="Arial"/>
                <w:b/>
                <w:bCs w:val="0"/>
                <w:color w:val="auto"/>
              </w:rPr>
            </w:pPr>
            <w:r w:rsidRPr="00164A76">
              <w:rPr>
                <w:rStyle w:val="Bold"/>
                <w:rFonts w:ascii="Arial" w:hAnsi="Arial" w:cs="Arial"/>
                <w:b/>
                <w:bCs w:val="0"/>
                <w:color w:val="auto"/>
              </w:rPr>
              <w:t>31/3/1</w:t>
            </w:r>
            <w:r w:rsidR="00164A76" w:rsidRPr="00164A76">
              <w:rPr>
                <w:rStyle w:val="Bold"/>
                <w:rFonts w:ascii="Arial" w:hAnsi="Arial" w:cs="Arial"/>
                <w:b/>
                <w:bCs w:val="0"/>
                <w:color w:val="auto"/>
              </w:rPr>
              <w:t>8</w:t>
            </w:r>
          </w:p>
          <w:p w:rsidR="008A57A2" w:rsidRPr="00164A76" w:rsidRDefault="008A57A2" w:rsidP="00FB5658">
            <w:pPr>
              <w:pStyle w:val="TableRightBold"/>
              <w:jc w:val="center"/>
              <w:cnfStyle w:val="000000100000" w:firstRow="0" w:lastRow="0" w:firstColumn="0" w:lastColumn="0" w:oddVBand="0" w:evenVBand="0" w:oddHBand="1" w:evenHBand="0" w:firstRowFirstColumn="0" w:firstRowLastColumn="0" w:lastRowFirstColumn="0" w:lastRowLastColumn="0"/>
              <w:rPr>
                <w:rFonts w:ascii="Arial" w:hAnsi="Arial" w:cs="Arial"/>
                <w:b w:val="0"/>
                <w:color w:val="auto"/>
              </w:rPr>
            </w:pPr>
            <w:r w:rsidRPr="00164A76">
              <w:rPr>
                <w:rStyle w:val="Bold"/>
                <w:rFonts w:ascii="Arial" w:hAnsi="Arial" w:cs="Arial"/>
                <w:b/>
                <w:bCs w:val="0"/>
                <w:color w:val="auto"/>
              </w:rPr>
              <w:t>£m</w:t>
            </w:r>
          </w:p>
        </w:tc>
      </w:tr>
      <w:tr w:rsidR="00164A76" w:rsidRPr="0005794A" w:rsidTr="003805B6">
        <w:trPr>
          <w:trHeight w:val="60"/>
        </w:trPr>
        <w:tc>
          <w:tcPr>
            <w:cnfStyle w:val="000010000000" w:firstRow="0" w:lastRow="0" w:firstColumn="0" w:lastColumn="0" w:oddVBand="1" w:evenVBand="0" w:oddHBand="0" w:evenHBand="0" w:firstRowFirstColumn="0" w:firstRowLastColumn="0" w:lastRowFirstColumn="0" w:lastRowLastColumn="0"/>
            <w:tcW w:w="4616" w:type="dxa"/>
            <w:vAlign w:val="center"/>
          </w:tcPr>
          <w:p w:rsidR="00164A76" w:rsidRPr="00164A76" w:rsidRDefault="00164A76" w:rsidP="00802E21">
            <w:pPr>
              <w:pStyle w:val="TableTextBold"/>
              <w:rPr>
                <w:rFonts w:ascii="Arial" w:hAnsi="Arial" w:cs="Arial"/>
                <w:b w:val="0"/>
                <w:color w:val="auto"/>
              </w:rPr>
            </w:pPr>
            <w:r w:rsidRPr="00164A76">
              <w:rPr>
                <w:rFonts w:ascii="Arial" w:hAnsi="Arial" w:cs="Arial"/>
                <w:b w:val="0"/>
                <w:color w:val="auto"/>
              </w:rPr>
              <w:t>Present value of Funded Obligation</w:t>
            </w:r>
          </w:p>
        </w:tc>
        <w:tc>
          <w:tcPr>
            <w:tcW w:w="1004" w:type="dxa"/>
            <w:vAlign w:val="center"/>
          </w:tcPr>
          <w:p w:rsidR="00164A76" w:rsidRPr="00164A76" w:rsidRDefault="00164A76" w:rsidP="00164A76">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64A76">
              <w:rPr>
                <w:rFonts w:ascii="Arial" w:hAnsi="Arial" w:cs="Arial"/>
                <w:color w:val="auto"/>
                <w:sz w:val="20"/>
                <w:szCs w:val="20"/>
              </w:rPr>
              <w:t>(381.7)</w:t>
            </w:r>
          </w:p>
        </w:tc>
        <w:tc>
          <w:tcPr>
            <w:cnfStyle w:val="000010000000" w:firstRow="0" w:lastRow="0" w:firstColumn="0" w:lastColumn="0" w:oddVBand="1" w:evenVBand="0" w:oddHBand="0" w:evenHBand="0" w:firstRowFirstColumn="0" w:firstRowLastColumn="0" w:lastRowFirstColumn="0" w:lastRowLastColumn="0"/>
            <w:tcW w:w="1004" w:type="dxa"/>
            <w:vAlign w:val="center"/>
          </w:tcPr>
          <w:p w:rsidR="00164A76" w:rsidRPr="00940D8C" w:rsidRDefault="00164A76" w:rsidP="00164A76">
            <w:pPr>
              <w:pStyle w:val="NoParagraphStyle"/>
              <w:spacing w:line="240" w:lineRule="auto"/>
              <w:jc w:val="center"/>
              <w:textAlignment w:val="auto"/>
              <w:rPr>
                <w:rFonts w:ascii="Arial" w:hAnsi="Arial" w:cs="Arial"/>
                <w:color w:val="auto"/>
                <w:sz w:val="20"/>
                <w:szCs w:val="20"/>
              </w:rPr>
            </w:pPr>
            <w:r w:rsidRPr="00940D8C">
              <w:rPr>
                <w:rFonts w:ascii="Arial" w:hAnsi="Arial" w:cs="Arial"/>
                <w:color w:val="auto"/>
                <w:sz w:val="20"/>
                <w:szCs w:val="20"/>
              </w:rPr>
              <w:t>(465.9)</w:t>
            </w:r>
          </w:p>
        </w:tc>
        <w:tc>
          <w:tcPr>
            <w:tcW w:w="1031" w:type="dxa"/>
            <w:vAlign w:val="center"/>
          </w:tcPr>
          <w:p w:rsidR="00164A76" w:rsidRPr="00164A76" w:rsidRDefault="00CF6B66" w:rsidP="00CF6B66">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color w:val="auto"/>
                <w:sz w:val="20"/>
                <w:szCs w:val="20"/>
              </w:rPr>
              <w:t>(456.8)</w:t>
            </w:r>
          </w:p>
        </w:tc>
      </w:tr>
      <w:tr w:rsidR="00164A76" w:rsidRPr="0005794A" w:rsidTr="003805B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616" w:type="dxa"/>
            <w:vAlign w:val="center"/>
          </w:tcPr>
          <w:p w:rsidR="00164A76" w:rsidRPr="00164A76" w:rsidRDefault="00164A76" w:rsidP="00802E21">
            <w:pPr>
              <w:pStyle w:val="TableBullet"/>
              <w:rPr>
                <w:rFonts w:ascii="Arial" w:hAnsi="Arial" w:cs="Arial"/>
                <w:color w:val="auto"/>
              </w:rPr>
            </w:pPr>
            <w:r w:rsidRPr="00164A76">
              <w:rPr>
                <w:rFonts w:ascii="Arial" w:hAnsi="Arial" w:cs="Arial"/>
                <w:color w:val="auto"/>
              </w:rPr>
              <w:t>Fair Value of Fund Assets (Bid Value)</w:t>
            </w:r>
          </w:p>
        </w:tc>
        <w:tc>
          <w:tcPr>
            <w:tcW w:w="1004" w:type="dxa"/>
            <w:vAlign w:val="center"/>
          </w:tcPr>
          <w:p w:rsidR="00164A76" w:rsidRPr="00164A76" w:rsidRDefault="00164A76" w:rsidP="00164A76">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Fonts w:ascii="Arial" w:hAnsi="Arial" w:cs="Arial"/>
                <w:color w:val="auto"/>
              </w:rPr>
              <w:t>239.8</w:t>
            </w:r>
          </w:p>
        </w:tc>
        <w:tc>
          <w:tcPr>
            <w:cnfStyle w:val="000010000000" w:firstRow="0" w:lastRow="0" w:firstColumn="0" w:lastColumn="0" w:oddVBand="1" w:evenVBand="0" w:oddHBand="0" w:evenHBand="0" w:firstRowFirstColumn="0" w:firstRowLastColumn="0" w:lastRowFirstColumn="0" w:lastRowLastColumn="0"/>
            <w:tcW w:w="1004" w:type="dxa"/>
            <w:vAlign w:val="center"/>
          </w:tcPr>
          <w:p w:rsidR="00164A76" w:rsidRPr="00940D8C" w:rsidRDefault="00164A76" w:rsidP="00164A76">
            <w:pPr>
              <w:pStyle w:val="TableRight"/>
              <w:jc w:val="center"/>
              <w:rPr>
                <w:rFonts w:ascii="Arial" w:hAnsi="Arial" w:cs="Arial"/>
                <w:color w:val="auto"/>
              </w:rPr>
            </w:pPr>
            <w:r w:rsidRPr="00940D8C">
              <w:rPr>
                <w:rFonts w:ascii="Arial" w:hAnsi="Arial" w:cs="Arial"/>
                <w:color w:val="auto"/>
              </w:rPr>
              <w:t>273.8</w:t>
            </w:r>
          </w:p>
        </w:tc>
        <w:tc>
          <w:tcPr>
            <w:tcW w:w="1031" w:type="dxa"/>
            <w:vAlign w:val="center"/>
          </w:tcPr>
          <w:p w:rsidR="00164A76" w:rsidRPr="00164A76" w:rsidRDefault="00CF6B66" w:rsidP="00802E21">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280.3</w:t>
            </w:r>
          </w:p>
        </w:tc>
      </w:tr>
      <w:tr w:rsidR="00164A76" w:rsidRPr="0005794A" w:rsidTr="003805B6">
        <w:trPr>
          <w:trHeight w:val="60"/>
        </w:trPr>
        <w:tc>
          <w:tcPr>
            <w:cnfStyle w:val="000010000000" w:firstRow="0" w:lastRow="0" w:firstColumn="0" w:lastColumn="0" w:oddVBand="1" w:evenVBand="0" w:oddHBand="0" w:evenHBand="0" w:firstRowFirstColumn="0" w:firstRowLastColumn="0" w:lastRowFirstColumn="0" w:lastRowLastColumn="0"/>
            <w:tcW w:w="4616" w:type="dxa"/>
            <w:vAlign w:val="center"/>
          </w:tcPr>
          <w:p w:rsidR="00164A76" w:rsidRPr="00164A76" w:rsidRDefault="00164A76" w:rsidP="00802E21">
            <w:pPr>
              <w:pStyle w:val="TableBullet"/>
              <w:rPr>
                <w:rFonts w:ascii="Arial" w:hAnsi="Arial" w:cs="Arial"/>
                <w:b/>
                <w:color w:val="auto"/>
              </w:rPr>
            </w:pPr>
            <w:r w:rsidRPr="00164A76">
              <w:rPr>
                <w:rFonts w:ascii="Arial" w:hAnsi="Arial" w:cs="Arial"/>
                <w:b/>
                <w:color w:val="auto"/>
              </w:rPr>
              <w:t>Net Liability</w:t>
            </w:r>
          </w:p>
        </w:tc>
        <w:tc>
          <w:tcPr>
            <w:tcW w:w="1004" w:type="dxa"/>
            <w:vAlign w:val="center"/>
          </w:tcPr>
          <w:p w:rsidR="00164A76" w:rsidRPr="00164A76" w:rsidRDefault="00164A76" w:rsidP="00164A76">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A76">
              <w:rPr>
                <w:rFonts w:ascii="Arial" w:hAnsi="Arial" w:cs="Arial"/>
                <w:color w:val="auto"/>
              </w:rPr>
              <w:t>(141.9)</w:t>
            </w:r>
          </w:p>
        </w:tc>
        <w:tc>
          <w:tcPr>
            <w:cnfStyle w:val="000010000000" w:firstRow="0" w:lastRow="0" w:firstColumn="0" w:lastColumn="0" w:oddVBand="1" w:evenVBand="0" w:oddHBand="0" w:evenHBand="0" w:firstRowFirstColumn="0" w:firstRowLastColumn="0" w:lastRowFirstColumn="0" w:lastRowLastColumn="0"/>
            <w:tcW w:w="1004" w:type="dxa"/>
            <w:vAlign w:val="center"/>
          </w:tcPr>
          <w:p w:rsidR="00164A76" w:rsidRPr="00940D8C" w:rsidRDefault="00CF6B66" w:rsidP="00164A76">
            <w:pPr>
              <w:pStyle w:val="TableRight"/>
              <w:jc w:val="center"/>
              <w:rPr>
                <w:rFonts w:ascii="Arial" w:hAnsi="Arial" w:cs="Arial"/>
                <w:color w:val="auto"/>
              </w:rPr>
            </w:pPr>
            <w:r w:rsidRPr="00940D8C">
              <w:rPr>
                <w:rFonts w:ascii="Arial" w:hAnsi="Arial" w:cs="Arial"/>
                <w:color w:val="auto"/>
              </w:rPr>
              <w:t>(</w:t>
            </w:r>
            <w:r w:rsidR="00164A76" w:rsidRPr="00940D8C">
              <w:rPr>
                <w:rFonts w:ascii="Arial" w:hAnsi="Arial" w:cs="Arial"/>
                <w:color w:val="auto"/>
              </w:rPr>
              <w:t>192.1</w:t>
            </w:r>
            <w:r w:rsidRPr="00940D8C">
              <w:rPr>
                <w:rFonts w:ascii="Arial" w:hAnsi="Arial" w:cs="Arial"/>
                <w:color w:val="auto"/>
              </w:rPr>
              <w:t>)</w:t>
            </w:r>
          </w:p>
        </w:tc>
        <w:tc>
          <w:tcPr>
            <w:tcW w:w="1031" w:type="dxa"/>
            <w:vAlign w:val="center"/>
          </w:tcPr>
          <w:p w:rsidR="00164A76" w:rsidRPr="00164A76" w:rsidRDefault="00CF6B66" w:rsidP="00802E21">
            <w:pPr>
              <w:pStyle w:val="TableRigh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(176.5)</w:t>
            </w:r>
          </w:p>
        </w:tc>
      </w:tr>
      <w:tr w:rsidR="00164A76" w:rsidRPr="0005794A" w:rsidTr="003805B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616" w:type="dxa"/>
            <w:vAlign w:val="center"/>
          </w:tcPr>
          <w:p w:rsidR="00164A76" w:rsidRPr="00164A76" w:rsidRDefault="00164A76" w:rsidP="00802E21">
            <w:pPr>
              <w:pStyle w:val="TableBullet"/>
              <w:rPr>
                <w:rFonts w:ascii="Arial" w:hAnsi="Arial" w:cs="Arial"/>
                <w:color w:val="auto"/>
              </w:rPr>
            </w:pPr>
            <w:r w:rsidRPr="00164A76">
              <w:rPr>
                <w:rFonts w:ascii="Arial" w:hAnsi="Arial" w:cs="Arial"/>
                <w:color w:val="auto"/>
              </w:rPr>
              <w:t>Present value of Unfunded Obligation</w:t>
            </w:r>
          </w:p>
        </w:tc>
        <w:tc>
          <w:tcPr>
            <w:tcW w:w="1004" w:type="dxa"/>
            <w:vAlign w:val="center"/>
          </w:tcPr>
          <w:p w:rsidR="00164A76" w:rsidRPr="00164A76" w:rsidRDefault="00164A76" w:rsidP="00164A76">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Fonts w:ascii="Arial" w:hAnsi="Arial" w:cs="Arial"/>
                <w:color w:val="auto"/>
              </w:rPr>
              <w:t>(9.1)</w:t>
            </w:r>
          </w:p>
        </w:tc>
        <w:tc>
          <w:tcPr>
            <w:cnfStyle w:val="000010000000" w:firstRow="0" w:lastRow="0" w:firstColumn="0" w:lastColumn="0" w:oddVBand="1" w:evenVBand="0" w:oddHBand="0" w:evenHBand="0" w:firstRowFirstColumn="0" w:firstRowLastColumn="0" w:lastRowFirstColumn="0" w:lastRowLastColumn="0"/>
            <w:tcW w:w="1004" w:type="dxa"/>
            <w:vAlign w:val="center"/>
          </w:tcPr>
          <w:p w:rsidR="00164A76" w:rsidRPr="00940D8C" w:rsidRDefault="00164A76" w:rsidP="00164A76">
            <w:pPr>
              <w:pStyle w:val="TableRight"/>
              <w:jc w:val="center"/>
              <w:rPr>
                <w:rFonts w:ascii="Arial" w:hAnsi="Arial" w:cs="Arial"/>
                <w:color w:val="auto"/>
              </w:rPr>
            </w:pPr>
            <w:r w:rsidRPr="00940D8C">
              <w:rPr>
                <w:rFonts w:ascii="Arial" w:hAnsi="Arial" w:cs="Arial"/>
                <w:color w:val="auto"/>
              </w:rPr>
              <w:t>(10.0)</w:t>
            </w:r>
          </w:p>
        </w:tc>
        <w:tc>
          <w:tcPr>
            <w:tcW w:w="1031" w:type="dxa"/>
            <w:vAlign w:val="center"/>
          </w:tcPr>
          <w:p w:rsidR="00164A76" w:rsidRPr="00164A76" w:rsidRDefault="00CF6B66" w:rsidP="00A43AD8">
            <w:pPr>
              <w:pStyle w:val="TableRight"/>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(9.4)</w:t>
            </w:r>
          </w:p>
        </w:tc>
      </w:tr>
      <w:tr w:rsidR="00164A76" w:rsidRPr="0005794A" w:rsidTr="003805B6">
        <w:trPr>
          <w:trHeight w:val="60"/>
        </w:trPr>
        <w:tc>
          <w:tcPr>
            <w:cnfStyle w:val="000010000000" w:firstRow="0" w:lastRow="0" w:firstColumn="0" w:lastColumn="0" w:oddVBand="1" w:evenVBand="0" w:oddHBand="0" w:evenHBand="0" w:firstRowFirstColumn="0" w:firstRowLastColumn="0" w:lastRowFirstColumn="0" w:lastRowLastColumn="0"/>
            <w:tcW w:w="4616" w:type="dxa"/>
            <w:vAlign w:val="center"/>
          </w:tcPr>
          <w:p w:rsidR="00164A76" w:rsidRPr="00164A76" w:rsidRDefault="00164A76" w:rsidP="00802E21">
            <w:pPr>
              <w:pStyle w:val="TableTextBold"/>
              <w:rPr>
                <w:rFonts w:ascii="Arial" w:hAnsi="Arial" w:cs="Arial"/>
                <w:color w:val="auto"/>
              </w:rPr>
            </w:pPr>
            <w:r w:rsidRPr="00164A76">
              <w:rPr>
                <w:rFonts w:ascii="Arial" w:hAnsi="Arial" w:cs="Arial"/>
                <w:color w:val="auto"/>
              </w:rPr>
              <w:t>Net Liability in Balance Sheet</w:t>
            </w:r>
          </w:p>
        </w:tc>
        <w:tc>
          <w:tcPr>
            <w:tcW w:w="1004" w:type="dxa"/>
            <w:vAlign w:val="center"/>
          </w:tcPr>
          <w:p w:rsidR="00164A76" w:rsidRPr="00164A76" w:rsidRDefault="00164A76" w:rsidP="00164A76">
            <w:pPr>
              <w:pStyle w:val="TableTextBold"/>
              <w:jc w:val="center"/>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164A76">
              <w:rPr>
                <w:rFonts w:ascii="Arial" w:hAnsi="Arial" w:cs="Arial"/>
                <w:b w:val="0"/>
                <w:color w:val="auto"/>
              </w:rPr>
              <w:t>(151.0)</w:t>
            </w:r>
          </w:p>
        </w:tc>
        <w:tc>
          <w:tcPr>
            <w:cnfStyle w:val="000010000000" w:firstRow="0" w:lastRow="0" w:firstColumn="0" w:lastColumn="0" w:oddVBand="1" w:evenVBand="0" w:oddHBand="0" w:evenHBand="0" w:firstRowFirstColumn="0" w:firstRowLastColumn="0" w:lastRowFirstColumn="0" w:lastRowLastColumn="0"/>
            <w:tcW w:w="1004" w:type="dxa"/>
            <w:vAlign w:val="center"/>
          </w:tcPr>
          <w:p w:rsidR="00164A76" w:rsidRPr="00940D8C" w:rsidRDefault="00164A76" w:rsidP="00164A76">
            <w:pPr>
              <w:pStyle w:val="TableTextBold"/>
              <w:jc w:val="center"/>
              <w:rPr>
                <w:rFonts w:ascii="Arial" w:hAnsi="Arial" w:cs="Arial"/>
                <w:b w:val="0"/>
                <w:color w:val="auto"/>
              </w:rPr>
            </w:pPr>
            <w:r w:rsidRPr="00940D8C">
              <w:rPr>
                <w:rFonts w:ascii="Arial" w:hAnsi="Arial" w:cs="Arial"/>
                <w:b w:val="0"/>
                <w:color w:val="auto"/>
              </w:rPr>
              <w:t>(202.1)</w:t>
            </w:r>
          </w:p>
        </w:tc>
        <w:tc>
          <w:tcPr>
            <w:tcW w:w="1031" w:type="dxa"/>
            <w:vAlign w:val="center"/>
          </w:tcPr>
          <w:p w:rsidR="00164A76" w:rsidRPr="00164A76" w:rsidRDefault="00CF6B66" w:rsidP="00A43AD8">
            <w:pPr>
              <w:pStyle w:val="TableTextBold"/>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(185.9)</w:t>
            </w:r>
          </w:p>
        </w:tc>
      </w:tr>
    </w:tbl>
    <w:p w:rsidR="009A0E34" w:rsidRPr="0005794A" w:rsidRDefault="009A0E34" w:rsidP="003C5E34">
      <w:pPr>
        <w:pStyle w:val="ExampleSub"/>
        <w:keepNext w:val="0"/>
        <w:keepLines w:val="0"/>
        <w:spacing w:before="0" w:line="240" w:lineRule="auto"/>
        <w:rPr>
          <w:rFonts w:ascii="Arial" w:hAnsi="Arial" w:cs="Arial"/>
          <w:b w:val="0"/>
          <w:bCs w:val="0"/>
          <w:color w:val="548DD4" w:themeColor="text2" w:themeTint="99"/>
          <w:sz w:val="20"/>
          <w:szCs w:val="20"/>
          <w:lang w:eastAsia="en-US"/>
        </w:rPr>
      </w:pPr>
    </w:p>
    <w:p w:rsidR="009A0E34" w:rsidRPr="0005794A" w:rsidRDefault="009A0E34" w:rsidP="003C5E34">
      <w:pPr>
        <w:pStyle w:val="ExampleSub"/>
        <w:keepNext w:val="0"/>
        <w:keepLines w:val="0"/>
        <w:spacing w:before="0" w:line="240" w:lineRule="auto"/>
        <w:rPr>
          <w:rFonts w:ascii="Arial" w:hAnsi="Arial" w:cs="Arial"/>
          <w:b w:val="0"/>
          <w:bCs w:val="0"/>
          <w:color w:val="548DD4" w:themeColor="text2" w:themeTint="99"/>
          <w:sz w:val="20"/>
          <w:szCs w:val="20"/>
          <w:lang w:eastAsia="en-US"/>
        </w:rPr>
      </w:pPr>
    </w:p>
    <w:p w:rsidR="00DF06CF" w:rsidRPr="00CF6B66" w:rsidRDefault="00DF06CF" w:rsidP="008D0906">
      <w:pPr>
        <w:pStyle w:val="CodeNotesExampleText"/>
        <w:widowControl w:val="0"/>
        <w:ind w:left="567"/>
        <w:outlineLvl w:val="0"/>
        <w:rPr>
          <w:rFonts w:cs="Arial"/>
          <w:b/>
          <w:color w:val="auto"/>
          <w:sz w:val="20"/>
          <w:szCs w:val="20"/>
        </w:rPr>
      </w:pPr>
      <w:r w:rsidRPr="00CF6B66">
        <w:rPr>
          <w:rFonts w:cs="Arial"/>
          <w:b/>
          <w:color w:val="auto"/>
          <w:sz w:val="20"/>
          <w:szCs w:val="20"/>
        </w:rPr>
        <w:t>Comprehensive Income and Expenditure Statement</w:t>
      </w:r>
    </w:p>
    <w:p w:rsidR="00DF06CF" w:rsidRPr="00CF6B66" w:rsidRDefault="00DF06CF" w:rsidP="00FB5658">
      <w:pPr>
        <w:pStyle w:val="CodeNotesExampleText"/>
        <w:widowControl w:val="0"/>
        <w:ind w:left="567"/>
        <w:rPr>
          <w:rFonts w:cs="Arial"/>
          <w:color w:val="auto"/>
          <w:sz w:val="20"/>
          <w:szCs w:val="20"/>
        </w:rPr>
      </w:pPr>
    </w:p>
    <w:p w:rsidR="00FB5658" w:rsidRDefault="00672E76" w:rsidP="00BB57AD">
      <w:pPr>
        <w:pStyle w:val="CodeNotesExampleText"/>
        <w:widowControl w:val="0"/>
        <w:ind w:left="567"/>
        <w:rPr>
          <w:rFonts w:cs="Arial"/>
          <w:color w:val="auto"/>
          <w:sz w:val="20"/>
          <w:szCs w:val="20"/>
        </w:rPr>
      </w:pPr>
      <w:r w:rsidRPr="00CF6B66">
        <w:rPr>
          <w:rFonts w:cs="Arial"/>
          <w:color w:val="auto"/>
          <w:sz w:val="20"/>
          <w:szCs w:val="20"/>
        </w:rPr>
        <w:t>The following transactions have been made in the Comprehensive Income and Expenditure Statement and the General Fund Balance via the Movement in Reserves Statement during the year:</w:t>
      </w:r>
    </w:p>
    <w:p w:rsidR="00BE608E" w:rsidRDefault="00BE608E" w:rsidP="00BB57AD">
      <w:pPr>
        <w:pStyle w:val="CodeNotesExampleText"/>
        <w:widowControl w:val="0"/>
        <w:ind w:left="567"/>
        <w:rPr>
          <w:rFonts w:cs="Arial"/>
          <w:color w:val="auto"/>
          <w:sz w:val="20"/>
          <w:szCs w:val="20"/>
        </w:rPr>
      </w:pPr>
    </w:p>
    <w:p w:rsidR="00BE608E" w:rsidRDefault="00BE608E" w:rsidP="00BB57AD">
      <w:pPr>
        <w:pStyle w:val="CodeNotesExampleText"/>
        <w:widowControl w:val="0"/>
        <w:ind w:left="567"/>
        <w:rPr>
          <w:rFonts w:cs="Arial"/>
          <w:color w:val="auto"/>
          <w:sz w:val="20"/>
          <w:szCs w:val="20"/>
        </w:rPr>
      </w:pPr>
    </w:p>
    <w:p w:rsidR="00BE608E" w:rsidRDefault="00BE608E" w:rsidP="00BB57AD">
      <w:pPr>
        <w:pStyle w:val="CodeNotesExampleText"/>
        <w:widowControl w:val="0"/>
        <w:ind w:left="567"/>
        <w:rPr>
          <w:rFonts w:cs="Arial"/>
          <w:color w:val="auto"/>
          <w:sz w:val="20"/>
          <w:szCs w:val="20"/>
        </w:rPr>
      </w:pPr>
    </w:p>
    <w:p w:rsidR="00BE608E" w:rsidRDefault="00BE608E" w:rsidP="00BB57AD">
      <w:pPr>
        <w:pStyle w:val="CodeNotesExampleText"/>
        <w:widowControl w:val="0"/>
        <w:ind w:left="567"/>
        <w:rPr>
          <w:rFonts w:cs="Arial"/>
          <w:color w:val="auto"/>
          <w:sz w:val="20"/>
          <w:szCs w:val="20"/>
        </w:rPr>
      </w:pPr>
    </w:p>
    <w:p w:rsidR="00BE608E" w:rsidRDefault="00BE608E" w:rsidP="00BB57AD">
      <w:pPr>
        <w:pStyle w:val="CodeNotesExampleText"/>
        <w:widowControl w:val="0"/>
        <w:ind w:left="567"/>
        <w:rPr>
          <w:rFonts w:cs="Arial"/>
          <w:color w:val="auto"/>
          <w:sz w:val="20"/>
          <w:szCs w:val="20"/>
        </w:rPr>
      </w:pPr>
    </w:p>
    <w:p w:rsidR="00BE608E" w:rsidRDefault="00BE608E" w:rsidP="00BB57AD">
      <w:pPr>
        <w:pStyle w:val="CodeNotesExampleText"/>
        <w:widowControl w:val="0"/>
        <w:ind w:left="567"/>
        <w:rPr>
          <w:rFonts w:cs="Arial"/>
          <w:color w:val="auto"/>
          <w:sz w:val="20"/>
          <w:szCs w:val="20"/>
        </w:rPr>
      </w:pPr>
    </w:p>
    <w:p w:rsidR="00BE608E" w:rsidRDefault="00BE608E" w:rsidP="00BB57AD">
      <w:pPr>
        <w:pStyle w:val="CodeNotesExampleText"/>
        <w:widowControl w:val="0"/>
        <w:ind w:left="567"/>
        <w:rPr>
          <w:rFonts w:cs="Arial"/>
          <w:color w:val="auto"/>
          <w:sz w:val="20"/>
          <w:szCs w:val="20"/>
        </w:rPr>
      </w:pPr>
    </w:p>
    <w:p w:rsidR="00BE608E" w:rsidRDefault="00BE608E" w:rsidP="00BB57AD">
      <w:pPr>
        <w:pStyle w:val="CodeNotesExampleText"/>
        <w:widowControl w:val="0"/>
        <w:ind w:left="567"/>
        <w:rPr>
          <w:rFonts w:cs="Arial"/>
          <w:color w:val="auto"/>
          <w:sz w:val="20"/>
          <w:szCs w:val="20"/>
        </w:rPr>
      </w:pPr>
    </w:p>
    <w:p w:rsidR="00BE608E" w:rsidRDefault="00BE608E" w:rsidP="00BB57AD">
      <w:pPr>
        <w:pStyle w:val="CodeNotesExampleText"/>
        <w:widowControl w:val="0"/>
        <w:ind w:left="567"/>
        <w:rPr>
          <w:rFonts w:cs="Arial"/>
          <w:color w:val="auto"/>
          <w:sz w:val="20"/>
          <w:szCs w:val="20"/>
        </w:rPr>
      </w:pPr>
    </w:p>
    <w:p w:rsidR="00BE608E" w:rsidRDefault="00BE608E" w:rsidP="00BB57AD">
      <w:pPr>
        <w:pStyle w:val="CodeNotesExampleText"/>
        <w:widowControl w:val="0"/>
        <w:ind w:left="567"/>
        <w:rPr>
          <w:rFonts w:cs="Arial"/>
          <w:color w:val="auto"/>
          <w:sz w:val="20"/>
          <w:szCs w:val="20"/>
        </w:rPr>
      </w:pPr>
    </w:p>
    <w:p w:rsidR="00BE608E" w:rsidRPr="00CF6B66" w:rsidRDefault="00BE608E" w:rsidP="00BB57AD">
      <w:pPr>
        <w:pStyle w:val="CodeNotesExampleText"/>
        <w:widowControl w:val="0"/>
        <w:ind w:left="567"/>
        <w:rPr>
          <w:rFonts w:cs="Arial"/>
          <w:color w:val="auto"/>
          <w:sz w:val="20"/>
          <w:szCs w:val="20"/>
        </w:rPr>
      </w:pPr>
    </w:p>
    <w:p w:rsidR="00FB5658" w:rsidRPr="0005794A" w:rsidRDefault="00FB5658" w:rsidP="00E13756">
      <w:pPr>
        <w:pStyle w:val="CodeNotesExampleText"/>
        <w:widowControl w:val="0"/>
        <w:ind w:left="567"/>
        <w:rPr>
          <w:rFonts w:cs="Arial"/>
          <w:color w:val="548DD4" w:themeColor="text2" w:themeTint="99"/>
          <w:sz w:val="20"/>
          <w:szCs w:val="20"/>
        </w:rPr>
      </w:pPr>
    </w:p>
    <w:tbl>
      <w:tblPr>
        <w:tblStyle w:val="ListTable3-Accent51"/>
        <w:tblW w:w="8222" w:type="dxa"/>
        <w:tblInd w:w="675" w:type="dxa"/>
        <w:tblLayout w:type="fixed"/>
        <w:tblLook w:val="0000" w:firstRow="0" w:lastRow="0" w:firstColumn="0" w:lastColumn="0" w:noHBand="0" w:noVBand="0"/>
      </w:tblPr>
      <w:tblGrid>
        <w:gridCol w:w="1560"/>
        <w:gridCol w:w="3969"/>
        <w:gridCol w:w="1275"/>
        <w:gridCol w:w="1418"/>
      </w:tblGrid>
      <w:tr w:rsidR="00FB5658" w:rsidRPr="0005794A" w:rsidTr="00E26408">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8222" w:type="dxa"/>
            <w:gridSpan w:val="4"/>
            <w:shd w:val="clear" w:color="auto" w:fill="4BACC6" w:themeFill="accent5"/>
            <w:vAlign w:val="center"/>
          </w:tcPr>
          <w:p w:rsidR="00FB5658" w:rsidRPr="00164A76" w:rsidRDefault="00FB5658" w:rsidP="00E26408">
            <w:pPr>
              <w:pStyle w:val="TableRightBold"/>
              <w:spacing w:line="240" w:lineRule="auto"/>
              <w:jc w:val="center"/>
              <w:rPr>
                <w:rStyle w:val="Bold"/>
                <w:rFonts w:ascii="Arial" w:hAnsi="Arial" w:cs="Arial"/>
                <w:b/>
                <w:bCs w:val="0"/>
                <w:color w:val="auto"/>
                <w:lang w:val="en-GB"/>
              </w:rPr>
            </w:pPr>
            <w:r w:rsidRPr="00164A76">
              <w:rPr>
                <w:rStyle w:val="Bold"/>
                <w:rFonts w:ascii="Arial" w:hAnsi="Arial" w:cs="Arial"/>
                <w:b/>
                <w:bCs w:val="0"/>
                <w:color w:val="auto"/>
                <w:lang w:val="en-GB"/>
              </w:rPr>
              <w:lastRenderedPageBreak/>
              <w:t>Local Government Pension Scheme</w:t>
            </w:r>
          </w:p>
        </w:tc>
      </w:tr>
      <w:tr w:rsidR="00FB5658" w:rsidRPr="0005794A" w:rsidTr="00E26408">
        <w:trPr>
          <w:trHeight w:val="405"/>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vAlign w:val="center"/>
          </w:tcPr>
          <w:p w:rsidR="00FB5658" w:rsidRPr="00164A76" w:rsidRDefault="00FB5658" w:rsidP="00E26408">
            <w:pPr>
              <w:pStyle w:val="NoParagraphStyle"/>
              <w:spacing w:line="240" w:lineRule="auto"/>
              <w:jc w:val="center"/>
              <w:textAlignment w:val="auto"/>
              <w:rPr>
                <w:rFonts w:ascii="Arial" w:hAnsi="Arial" w:cs="Arial"/>
                <w:b/>
                <w:color w:val="auto"/>
                <w:sz w:val="20"/>
                <w:szCs w:val="20"/>
              </w:rPr>
            </w:pPr>
          </w:p>
        </w:tc>
        <w:tc>
          <w:tcPr>
            <w:tcW w:w="3969" w:type="dxa"/>
            <w:shd w:val="clear" w:color="auto" w:fill="4BACC6" w:themeFill="accent5"/>
            <w:vAlign w:val="center"/>
          </w:tcPr>
          <w:p w:rsidR="00FB5658" w:rsidRPr="00164A76" w:rsidRDefault="00FB5658" w:rsidP="00E26408">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proofErr w:type="spellStart"/>
            <w:r w:rsidRPr="00164A76">
              <w:rPr>
                <w:rFonts w:ascii="Arial" w:hAnsi="Arial" w:cs="Arial"/>
                <w:b/>
                <w:color w:val="auto"/>
                <w:sz w:val="20"/>
                <w:szCs w:val="20"/>
              </w:rPr>
              <w:t>Post Employment</w:t>
            </w:r>
            <w:proofErr w:type="spellEnd"/>
            <w:r w:rsidRPr="00164A76">
              <w:rPr>
                <w:rFonts w:ascii="Arial" w:hAnsi="Arial" w:cs="Arial"/>
                <w:b/>
                <w:color w:val="auto"/>
                <w:sz w:val="20"/>
                <w:szCs w:val="20"/>
              </w:rPr>
              <w:t xml:space="preserve"> Benefits</w:t>
            </w:r>
          </w:p>
        </w:tc>
        <w:tc>
          <w:tcPr>
            <w:cnfStyle w:val="000010000000" w:firstRow="0" w:lastRow="0" w:firstColumn="0" w:lastColumn="0" w:oddVBand="1" w:evenVBand="0" w:oddHBand="0" w:evenHBand="0" w:firstRowFirstColumn="0" w:firstRowLastColumn="0" w:lastRowFirstColumn="0" w:lastRowLastColumn="0"/>
            <w:tcW w:w="2693" w:type="dxa"/>
            <w:gridSpan w:val="2"/>
            <w:shd w:val="clear" w:color="auto" w:fill="4BACC6" w:themeFill="accent5"/>
            <w:vAlign w:val="center"/>
          </w:tcPr>
          <w:p w:rsidR="00FB5658" w:rsidRPr="00164A76" w:rsidRDefault="00FB5658" w:rsidP="00E26408">
            <w:pPr>
              <w:pStyle w:val="TableRightBold"/>
              <w:spacing w:line="240" w:lineRule="auto"/>
              <w:jc w:val="center"/>
              <w:rPr>
                <w:rFonts w:ascii="Arial" w:hAnsi="Arial" w:cs="Arial"/>
                <w:color w:val="auto"/>
              </w:rPr>
            </w:pPr>
          </w:p>
        </w:tc>
      </w:tr>
      <w:tr w:rsidR="00E26408" w:rsidRPr="0005794A" w:rsidTr="00E26408">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vAlign w:val="center"/>
          </w:tcPr>
          <w:p w:rsidR="00E26408" w:rsidRPr="00164A76" w:rsidRDefault="00E26408" w:rsidP="00A677DA">
            <w:pPr>
              <w:pStyle w:val="NoParagraphStyle"/>
              <w:spacing w:line="240" w:lineRule="auto"/>
              <w:jc w:val="center"/>
              <w:textAlignment w:val="auto"/>
              <w:rPr>
                <w:rFonts w:ascii="Arial" w:hAnsi="Arial" w:cs="Arial"/>
                <w:b/>
                <w:color w:val="auto"/>
                <w:sz w:val="20"/>
                <w:szCs w:val="20"/>
              </w:rPr>
            </w:pPr>
            <w:r w:rsidRPr="00164A76">
              <w:rPr>
                <w:rStyle w:val="Bold"/>
                <w:rFonts w:ascii="Arial" w:hAnsi="Arial" w:cs="Arial"/>
                <w:b w:val="0"/>
                <w:bCs/>
                <w:color w:val="auto"/>
                <w:sz w:val="20"/>
                <w:szCs w:val="20"/>
              </w:rPr>
              <w:t>201</w:t>
            </w:r>
            <w:r w:rsidR="00164A76" w:rsidRPr="00164A76">
              <w:rPr>
                <w:rStyle w:val="Bold"/>
                <w:rFonts w:ascii="Arial" w:hAnsi="Arial" w:cs="Arial"/>
                <w:b w:val="0"/>
                <w:bCs/>
                <w:color w:val="auto"/>
                <w:sz w:val="20"/>
                <w:szCs w:val="20"/>
              </w:rPr>
              <w:t>6</w:t>
            </w:r>
            <w:r w:rsidRPr="00164A76">
              <w:rPr>
                <w:rStyle w:val="Bold"/>
                <w:rFonts w:ascii="Arial" w:hAnsi="Arial" w:cs="Arial"/>
                <w:b w:val="0"/>
                <w:bCs/>
                <w:color w:val="auto"/>
                <w:sz w:val="20"/>
                <w:szCs w:val="20"/>
              </w:rPr>
              <w:t>/1</w:t>
            </w:r>
            <w:r w:rsidR="00164A76" w:rsidRPr="00164A76">
              <w:rPr>
                <w:rStyle w:val="Bold"/>
                <w:rFonts w:ascii="Arial" w:hAnsi="Arial" w:cs="Arial"/>
                <w:b w:val="0"/>
                <w:bCs/>
                <w:color w:val="auto"/>
                <w:sz w:val="20"/>
                <w:szCs w:val="20"/>
              </w:rPr>
              <w:t>7</w:t>
            </w:r>
          </w:p>
        </w:tc>
        <w:tc>
          <w:tcPr>
            <w:tcW w:w="5244" w:type="dxa"/>
            <w:gridSpan w:val="2"/>
            <w:shd w:val="clear" w:color="auto" w:fill="4BACC6" w:themeFill="accent5"/>
            <w:vAlign w:val="center"/>
          </w:tcPr>
          <w:p w:rsidR="00E26408" w:rsidRPr="00164A76" w:rsidRDefault="00E26408" w:rsidP="00E26408">
            <w:pPr>
              <w:pStyle w:val="NoParagraphStyle"/>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164A76">
              <w:rPr>
                <w:rFonts w:ascii="Arial" w:hAnsi="Arial" w:cs="Arial"/>
                <w:b/>
                <w:color w:val="auto"/>
                <w:sz w:val="20"/>
                <w:szCs w:val="20"/>
              </w:rPr>
              <w:t>Comprehensive Income &amp; Expenditure Statement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vAlign w:val="center"/>
          </w:tcPr>
          <w:p w:rsidR="00E26408" w:rsidRPr="00164A76" w:rsidRDefault="00E26408" w:rsidP="00A677DA">
            <w:pPr>
              <w:pStyle w:val="TableRightBold"/>
              <w:spacing w:line="240" w:lineRule="auto"/>
              <w:jc w:val="center"/>
              <w:rPr>
                <w:rFonts w:ascii="Arial" w:hAnsi="Arial" w:cs="Arial"/>
                <w:b w:val="0"/>
                <w:color w:val="auto"/>
              </w:rPr>
            </w:pPr>
            <w:r w:rsidRPr="00164A76">
              <w:rPr>
                <w:rStyle w:val="Bold"/>
                <w:rFonts w:ascii="Arial" w:hAnsi="Arial" w:cs="Arial"/>
                <w:b/>
                <w:bCs w:val="0"/>
                <w:color w:val="auto"/>
              </w:rPr>
              <w:t>201</w:t>
            </w:r>
            <w:r w:rsidR="00164A76" w:rsidRPr="00164A76">
              <w:rPr>
                <w:rStyle w:val="Bold"/>
                <w:rFonts w:ascii="Arial" w:hAnsi="Arial" w:cs="Arial"/>
                <w:b/>
                <w:bCs w:val="0"/>
                <w:color w:val="auto"/>
              </w:rPr>
              <w:t>7</w:t>
            </w:r>
            <w:r w:rsidRPr="00164A76">
              <w:rPr>
                <w:rStyle w:val="Bold"/>
                <w:rFonts w:ascii="Arial" w:hAnsi="Arial" w:cs="Arial"/>
                <w:b/>
                <w:bCs w:val="0"/>
                <w:color w:val="auto"/>
              </w:rPr>
              <w:t>/1</w:t>
            </w:r>
            <w:r w:rsidR="00164A76" w:rsidRPr="00164A76">
              <w:rPr>
                <w:rStyle w:val="Bold"/>
                <w:rFonts w:ascii="Arial" w:hAnsi="Arial" w:cs="Arial"/>
                <w:b/>
                <w:bCs w:val="0"/>
                <w:color w:val="auto"/>
              </w:rPr>
              <w:t>8</w:t>
            </w:r>
          </w:p>
        </w:tc>
      </w:tr>
      <w:tr w:rsidR="00FB5658" w:rsidRPr="0005794A"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vAlign w:val="center"/>
          </w:tcPr>
          <w:p w:rsidR="00FB5658" w:rsidRPr="00164A76" w:rsidRDefault="00FB5658" w:rsidP="00E26408">
            <w:pPr>
              <w:pStyle w:val="TableItalic"/>
              <w:spacing w:line="240" w:lineRule="auto"/>
              <w:jc w:val="center"/>
              <w:rPr>
                <w:rStyle w:val="Italic"/>
                <w:rFonts w:ascii="Arial" w:hAnsi="Arial" w:cs="Arial"/>
                <w:iCs w:val="0"/>
                <w:color w:val="auto"/>
                <w:u w:val="single"/>
              </w:rPr>
            </w:pPr>
            <w:r w:rsidRPr="00164A76">
              <w:rPr>
                <w:rStyle w:val="Bold"/>
                <w:rFonts w:ascii="Arial" w:hAnsi="Arial" w:cs="Arial"/>
                <w:b w:val="0"/>
                <w:bCs/>
                <w:i w:val="0"/>
                <w:color w:val="auto"/>
              </w:rPr>
              <w:t>£m</w:t>
            </w:r>
          </w:p>
        </w:tc>
        <w:tc>
          <w:tcPr>
            <w:tcW w:w="5244" w:type="dxa"/>
            <w:gridSpan w:val="2"/>
            <w:shd w:val="clear" w:color="auto" w:fill="4BACC6" w:themeFill="accent5"/>
            <w:vAlign w:val="center"/>
          </w:tcPr>
          <w:p w:rsidR="00FB5658" w:rsidRPr="00164A76" w:rsidRDefault="00FB5658" w:rsidP="00E26408">
            <w:pPr>
              <w:pStyle w:val="TableItalic"/>
              <w:spacing w:line="240" w:lineRule="auto"/>
              <w:jc w:val="center"/>
              <w:cnfStyle w:val="000000000000" w:firstRow="0" w:lastRow="0" w:firstColumn="0" w:lastColumn="0" w:oddVBand="0" w:evenVBand="0" w:oddHBand="0" w:evenHBand="0" w:firstRowFirstColumn="0" w:firstRowLastColumn="0" w:lastRowFirstColumn="0" w:lastRowLastColumn="0"/>
              <w:rPr>
                <w:rStyle w:val="Italic"/>
                <w:rFonts w:ascii="Arial" w:hAnsi="Arial" w:cs="Arial"/>
                <w:iCs w:val="0"/>
                <w:color w:val="auto"/>
                <w:u w:val="single"/>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vAlign w:val="center"/>
          </w:tcPr>
          <w:p w:rsidR="00FB5658" w:rsidRPr="00164A76" w:rsidRDefault="00FB5658" w:rsidP="00E26408">
            <w:pPr>
              <w:pStyle w:val="NoParagraphStyle"/>
              <w:spacing w:line="240" w:lineRule="auto"/>
              <w:jc w:val="center"/>
              <w:textAlignment w:val="auto"/>
              <w:rPr>
                <w:rFonts w:ascii="Arial" w:hAnsi="Arial" w:cs="Arial"/>
                <w:color w:val="auto"/>
                <w:sz w:val="18"/>
                <w:szCs w:val="18"/>
              </w:rPr>
            </w:pPr>
            <w:r w:rsidRPr="00164A76">
              <w:rPr>
                <w:rStyle w:val="Bold"/>
                <w:rFonts w:ascii="Arial" w:hAnsi="Arial" w:cs="Arial"/>
                <w:b w:val="0"/>
                <w:bCs/>
                <w:color w:val="auto"/>
                <w:sz w:val="18"/>
                <w:szCs w:val="18"/>
              </w:rPr>
              <w:t>£m</w:t>
            </w:r>
          </w:p>
        </w:tc>
      </w:tr>
      <w:tr w:rsidR="00FB5658" w:rsidRPr="0005794A"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FB5658" w:rsidRPr="00164A76" w:rsidRDefault="00FB5658" w:rsidP="00E26408">
            <w:pPr>
              <w:pStyle w:val="TableRight"/>
              <w:spacing w:before="0" w:line="240" w:lineRule="auto"/>
              <w:jc w:val="center"/>
              <w:rPr>
                <w:rFonts w:ascii="Arial" w:hAnsi="Arial" w:cs="Arial"/>
                <w:color w:val="auto"/>
              </w:rPr>
            </w:pPr>
          </w:p>
        </w:tc>
        <w:tc>
          <w:tcPr>
            <w:tcW w:w="5244" w:type="dxa"/>
            <w:gridSpan w:val="2"/>
            <w:vAlign w:val="center"/>
          </w:tcPr>
          <w:p w:rsidR="00FB5658" w:rsidRPr="00164A76" w:rsidRDefault="00FB5658" w:rsidP="00E26408">
            <w:pPr>
              <w:pStyle w:val="TableItalic"/>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164A76">
              <w:rPr>
                <w:rStyle w:val="Italic"/>
                <w:rFonts w:ascii="Arial" w:hAnsi="Arial" w:cs="Arial"/>
                <w:b/>
                <w:iCs w:val="0"/>
                <w:color w:val="auto"/>
                <w:sz w:val="20"/>
                <w:szCs w:val="20"/>
              </w:rPr>
              <w:t>Cost of Services: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FB5658" w:rsidRPr="0005794A" w:rsidRDefault="00FB5658" w:rsidP="00E26408">
            <w:pPr>
              <w:pStyle w:val="NoParagraphStyle"/>
              <w:spacing w:line="240" w:lineRule="auto"/>
              <w:jc w:val="center"/>
              <w:textAlignment w:val="auto"/>
              <w:rPr>
                <w:rFonts w:ascii="Arial" w:hAnsi="Arial" w:cs="Arial"/>
                <w:color w:val="548DD4" w:themeColor="text2" w:themeTint="99"/>
                <w:sz w:val="20"/>
                <w:szCs w:val="20"/>
              </w:rPr>
            </w:pPr>
          </w:p>
        </w:tc>
      </w:tr>
      <w:tr w:rsidR="00164A76" w:rsidRPr="0005794A"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7.2</w:t>
            </w:r>
          </w:p>
        </w:tc>
        <w:tc>
          <w:tcPr>
            <w:tcW w:w="5244" w:type="dxa"/>
            <w:gridSpan w:val="2"/>
            <w:vAlign w:val="center"/>
          </w:tcPr>
          <w:p w:rsidR="00164A76" w:rsidRPr="00164A76" w:rsidRDefault="00164A76" w:rsidP="00E26408">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A76">
              <w:rPr>
                <w:rFonts w:ascii="Arial" w:hAnsi="Arial" w:cs="Arial"/>
                <w:color w:val="auto"/>
              </w:rPr>
              <w:t>Current service cost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1B0A66" w:rsidP="009D3D44">
            <w:pPr>
              <w:pStyle w:val="TableRight"/>
              <w:spacing w:before="0" w:line="240" w:lineRule="auto"/>
              <w:jc w:val="center"/>
              <w:rPr>
                <w:rFonts w:ascii="Arial" w:hAnsi="Arial" w:cs="Arial"/>
                <w:b/>
                <w:color w:val="auto"/>
              </w:rPr>
            </w:pPr>
            <w:r w:rsidRPr="004F5C44">
              <w:rPr>
                <w:rFonts w:ascii="Arial" w:hAnsi="Arial" w:cs="Arial"/>
                <w:b/>
                <w:color w:val="auto"/>
              </w:rPr>
              <w:t>10.7</w:t>
            </w:r>
          </w:p>
        </w:tc>
      </w:tr>
      <w:tr w:rsidR="00164A76" w:rsidRPr="0005794A"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0.2</w:t>
            </w:r>
          </w:p>
        </w:tc>
        <w:tc>
          <w:tcPr>
            <w:tcW w:w="5244" w:type="dxa"/>
            <w:gridSpan w:val="2"/>
            <w:vAlign w:val="center"/>
          </w:tcPr>
          <w:p w:rsidR="00164A76" w:rsidRPr="00164A76" w:rsidRDefault="00164A76" w:rsidP="00E26408">
            <w:pPr>
              <w:pStyle w:val="TableBulle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Fonts w:ascii="Arial" w:hAnsi="Arial" w:cs="Arial"/>
                <w:color w:val="auto"/>
              </w:rPr>
              <w:t>Past service costs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E26408">
            <w:pPr>
              <w:pStyle w:val="TableRight"/>
              <w:spacing w:before="0" w:line="240" w:lineRule="auto"/>
              <w:jc w:val="center"/>
              <w:rPr>
                <w:rFonts w:ascii="Arial" w:hAnsi="Arial" w:cs="Arial"/>
                <w:b/>
                <w:color w:val="auto"/>
              </w:rPr>
            </w:pPr>
            <w:r w:rsidRPr="004F5C44">
              <w:rPr>
                <w:rFonts w:ascii="Arial" w:hAnsi="Arial" w:cs="Arial"/>
                <w:b/>
                <w:color w:val="auto"/>
              </w:rPr>
              <w:t>0.2</w:t>
            </w:r>
          </w:p>
        </w:tc>
      </w:tr>
      <w:tr w:rsidR="00164A76" w:rsidRPr="0005794A"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(0.6)</w:t>
            </w:r>
          </w:p>
        </w:tc>
        <w:tc>
          <w:tcPr>
            <w:tcW w:w="5244" w:type="dxa"/>
            <w:gridSpan w:val="2"/>
            <w:vAlign w:val="center"/>
          </w:tcPr>
          <w:p w:rsidR="00164A76" w:rsidRPr="00164A76" w:rsidRDefault="00164A76" w:rsidP="00E26408">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A76">
              <w:rPr>
                <w:rFonts w:ascii="Arial" w:hAnsi="Arial" w:cs="Arial"/>
                <w:color w:val="auto"/>
              </w:rPr>
              <w:t>Settlements and curtailments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135A9B">
            <w:pPr>
              <w:pStyle w:val="TableRight"/>
              <w:spacing w:before="0" w:line="240" w:lineRule="auto"/>
              <w:jc w:val="center"/>
              <w:rPr>
                <w:rFonts w:ascii="Arial" w:hAnsi="Arial" w:cs="Arial"/>
                <w:b/>
                <w:color w:val="auto"/>
              </w:rPr>
            </w:pPr>
            <w:r w:rsidRPr="004F5C44">
              <w:rPr>
                <w:rFonts w:ascii="Arial" w:hAnsi="Arial" w:cs="Arial"/>
                <w:b/>
                <w:color w:val="auto"/>
              </w:rPr>
              <w:t>0.4</w:t>
            </w:r>
          </w:p>
        </w:tc>
      </w:tr>
      <w:tr w:rsidR="00164A76" w:rsidRPr="0005794A"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line="240" w:lineRule="auto"/>
              <w:jc w:val="center"/>
              <w:rPr>
                <w:rFonts w:ascii="Arial" w:hAnsi="Arial" w:cs="Arial"/>
                <w:color w:val="auto"/>
              </w:rPr>
            </w:pPr>
            <w:r w:rsidRPr="004F5C44">
              <w:rPr>
                <w:rFonts w:ascii="Arial" w:hAnsi="Arial" w:cs="Arial"/>
                <w:color w:val="auto"/>
              </w:rPr>
              <w:t>0.1</w:t>
            </w:r>
          </w:p>
        </w:tc>
        <w:tc>
          <w:tcPr>
            <w:tcW w:w="5244" w:type="dxa"/>
            <w:gridSpan w:val="2"/>
            <w:vAlign w:val="center"/>
          </w:tcPr>
          <w:p w:rsidR="00164A76" w:rsidRPr="00164A76" w:rsidRDefault="00164A76" w:rsidP="00E26408">
            <w:pPr>
              <w:pStyle w:val="TableBullet"/>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Fonts w:ascii="Arial" w:hAnsi="Arial" w:cs="Arial"/>
                <w:color w:val="auto"/>
              </w:rPr>
              <w:t>Administration Expenses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E26408">
            <w:pPr>
              <w:pStyle w:val="TableRight"/>
              <w:spacing w:line="240" w:lineRule="auto"/>
              <w:jc w:val="center"/>
              <w:rPr>
                <w:rFonts w:ascii="Arial" w:hAnsi="Arial" w:cs="Arial"/>
                <w:b/>
                <w:color w:val="auto"/>
              </w:rPr>
            </w:pPr>
            <w:r w:rsidRPr="004F5C44">
              <w:rPr>
                <w:rFonts w:ascii="Arial" w:hAnsi="Arial" w:cs="Arial"/>
                <w:b/>
                <w:color w:val="auto"/>
              </w:rPr>
              <w:t>0.1</w:t>
            </w:r>
          </w:p>
        </w:tc>
      </w:tr>
      <w:tr w:rsidR="00164A76" w:rsidRPr="0005794A"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NoParagraphStyle"/>
              <w:spacing w:line="240" w:lineRule="auto"/>
              <w:jc w:val="center"/>
              <w:textAlignment w:val="auto"/>
              <w:rPr>
                <w:rFonts w:ascii="Arial" w:hAnsi="Arial" w:cs="Arial"/>
                <w:color w:val="auto"/>
                <w:sz w:val="20"/>
                <w:szCs w:val="20"/>
              </w:rPr>
            </w:pPr>
          </w:p>
        </w:tc>
        <w:tc>
          <w:tcPr>
            <w:tcW w:w="5244" w:type="dxa"/>
            <w:gridSpan w:val="2"/>
            <w:vAlign w:val="center"/>
          </w:tcPr>
          <w:p w:rsidR="00164A76" w:rsidRPr="00164A76" w:rsidRDefault="00164A76" w:rsidP="00E26408">
            <w:pPr>
              <w:pStyle w:val="TableItalic"/>
              <w:spacing w:after="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64A76">
              <w:rPr>
                <w:rStyle w:val="Italic"/>
                <w:rFonts w:ascii="Arial" w:hAnsi="Arial" w:cs="Arial"/>
                <w:b/>
                <w:iCs w:val="0"/>
                <w:color w:val="auto"/>
                <w:sz w:val="20"/>
                <w:szCs w:val="20"/>
              </w:rPr>
              <w:t>Financing and Investment Income and Expenditure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164A76" w:rsidP="00E26408">
            <w:pPr>
              <w:pStyle w:val="NoParagraphStyle"/>
              <w:spacing w:line="240" w:lineRule="auto"/>
              <w:jc w:val="center"/>
              <w:textAlignment w:val="auto"/>
              <w:rPr>
                <w:rFonts w:ascii="Arial" w:hAnsi="Arial" w:cs="Arial"/>
                <w:b/>
                <w:color w:val="auto"/>
                <w:sz w:val="20"/>
                <w:szCs w:val="20"/>
              </w:rPr>
            </w:pPr>
          </w:p>
        </w:tc>
      </w:tr>
      <w:tr w:rsidR="00164A76" w:rsidRPr="0005794A"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5.5</w:t>
            </w:r>
          </w:p>
        </w:tc>
        <w:tc>
          <w:tcPr>
            <w:tcW w:w="5244" w:type="dxa"/>
            <w:gridSpan w:val="2"/>
            <w:vAlign w:val="center"/>
          </w:tcPr>
          <w:p w:rsidR="00164A76" w:rsidRPr="00164A76" w:rsidRDefault="00164A76" w:rsidP="00E26408">
            <w:pPr>
              <w:pStyle w:val="TableBulle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Fonts w:ascii="Arial" w:hAnsi="Arial" w:cs="Arial"/>
                <w:color w:val="auto"/>
              </w:rPr>
              <w:t>Net Interest on the defined benefit liability</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E26408">
            <w:pPr>
              <w:pStyle w:val="TableRight"/>
              <w:spacing w:before="0" w:line="240" w:lineRule="auto"/>
              <w:jc w:val="center"/>
              <w:rPr>
                <w:rFonts w:ascii="Arial" w:hAnsi="Arial" w:cs="Arial"/>
                <w:b/>
                <w:color w:val="auto"/>
              </w:rPr>
            </w:pPr>
            <w:r w:rsidRPr="004F5C44">
              <w:rPr>
                <w:rFonts w:ascii="Arial" w:hAnsi="Arial" w:cs="Arial"/>
                <w:b/>
                <w:color w:val="auto"/>
              </w:rPr>
              <w:t>5.4</w:t>
            </w:r>
          </w:p>
        </w:tc>
      </w:tr>
      <w:tr w:rsidR="00164A76" w:rsidRPr="0005794A"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12.4</w:t>
            </w:r>
          </w:p>
        </w:tc>
        <w:tc>
          <w:tcPr>
            <w:tcW w:w="5244" w:type="dxa"/>
            <w:gridSpan w:val="2"/>
            <w:vAlign w:val="center"/>
          </w:tcPr>
          <w:p w:rsidR="00164A76" w:rsidRPr="00164A76" w:rsidRDefault="00164A76" w:rsidP="00E26408">
            <w:pPr>
              <w:pStyle w:val="TableItalic"/>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64A76">
              <w:rPr>
                <w:rStyle w:val="Italic"/>
                <w:rFonts w:ascii="Arial" w:hAnsi="Arial" w:cs="Arial"/>
                <w:b/>
                <w:iCs w:val="0"/>
                <w:color w:val="auto"/>
                <w:sz w:val="20"/>
                <w:szCs w:val="20"/>
              </w:rPr>
              <w:t>Total Charged to the Surplus or Deficit on the Provision of Services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135A9B">
            <w:pPr>
              <w:pStyle w:val="TableRight"/>
              <w:spacing w:before="0" w:line="240" w:lineRule="auto"/>
              <w:jc w:val="center"/>
              <w:rPr>
                <w:rFonts w:ascii="Arial" w:hAnsi="Arial" w:cs="Arial"/>
                <w:b/>
                <w:color w:val="auto"/>
              </w:rPr>
            </w:pPr>
            <w:r w:rsidRPr="004F5C44">
              <w:rPr>
                <w:rFonts w:ascii="Arial" w:hAnsi="Arial" w:cs="Arial"/>
                <w:b/>
                <w:color w:val="auto"/>
              </w:rPr>
              <w:t>16.8</w:t>
            </w:r>
          </w:p>
        </w:tc>
      </w:tr>
      <w:tr w:rsidR="00A677DA" w:rsidRPr="0005794A"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677DA" w:rsidRPr="004F5C44" w:rsidRDefault="00A677DA" w:rsidP="006C61A5">
            <w:pPr>
              <w:pStyle w:val="TableRight"/>
              <w:jc w:val="center"/>
              <w:rPr>
                <w:rFonts w:ascii="Arial" w:hAnsi="Arial" w:cs="Arial"/>
                <w:color w:val="auto"/>
              </w:rPr>
            </w:pPr>
          </w:p>
        </w:tc>
        <w:tc>
          <w:tcPr>
            <w:tcW w:w="5244" w:type="dxa"/>
            <w:gridSpan w:val="2"/>
            <w:vAlign w:val="center"/>
          </w:tcPr>
          <w:p w:rsidR="00A677DA" w:rsidRPr="00164A76" w:rsidRDefault="00A677DA" w:rsidP="00E26408">
            <w:pPr>
              <w:pStyle w:val="TableItalic"/>
              <w:spacing w:before="0"/>
              <w:cnfStyle w:val="000000100000" w:firstRow="0" w:lastRow="0" w:firstColumn="0" w:lastColumn="0" w:oddVBand="0" w:evenVBand="0" w:oddHBand="1" w:evenHBand="0" w:firstRowFirstColumn="0" w:firstRowLastColumn="0" w:lastRowFirstColumn="0" w:lastRowLastColumn="0"/>
              <w:rPr>
                <w:rStyle w:val="Italic"/>
                <w:rFonts w:ascii="Arial" w:hAnsi="Arial" w:cs="Arial"/>
                <w:b/>
                <w:iCs w:val="0"/>
                <w:color w:val="auto"/>
                <w:sz w:val="20"/>
                <w:szCs w:val="20"/>
              </w:rPr>
            </w:pPr>
            <w:r w:rsidRPr="00164A76">
              <w:rPr>
                <w:rStyle w:val="Italic"/>
                <w:rFonts w:ascii="Arial" w:hAnsi="Arial" w:cs="Arial"/>
                <w:b/>
                <w:iCs w:val="0"/>
                <w:color w:val="auto"/>
                <w:sz w:val="20"/>
                <w:szCs w:val="20"/>
              </w:rPr>
              <w:t>Other Comprehensive Income and Expenditure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677DA" w:rsidRPr="0005794A" w:rsidRDefault="00A677DA" w:rsidP="00E26408">
            <w:pPr>
              <w:pStyle w:val="TableRight"/>
              <w:jc w:val="center"/>
              <w:rPr>
                <w:rFonts w:ascii="Arial" w:hAnsi="Arial" w:cs="Arial"/>
                <w:b/>
                <w:color w:val="548DD4" w:themeColor="text2" w:themeTint="99"/>
              </w:rPr>
            </w:pPr>
          </w:p>
        </w:tc>
      </w:tr>
      <w:tr w:rsidR="00164A76" w:rsidRPr="0005794A"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5.3</w:t>
            </w:r>
          </w:p>
        </w:tc>
        <w:tc>
          <w:tcPr>
            <w:tcW w:w="5244" w:type="dxa"/>
            <w:gridSpan w:val="2"/>
            <w:vAlign w:val="center"/>
          </w:tcPr>
          <w:p w:rsidR="00164A76" w:rsidRPr="00164A76" w:rsidRDefault="00164A76" w:rsidP="00E26408">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A76">
              <w:rPr>
                <w:rFonts w:ascii="Arial" w:hAnsi="Arial" w:cs="Arial"/>
                <w:color w:val="auto"/>
              </w:rPr>
              <w:t>Other Actuarial (gains)/losses on assets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E26408">
            <w:pPr>
              <w:pStyle w:val="TableRight"/>
              <w:spacing w:before="0" w:line="240" w:lineRule="auto"/>
              <w:jc w:val="center"/>
              <w:rPr>
                <w:rFonts w:ascii="Arial" w:hAnsi="Arial" w:cs="Arial"/>
                <w:b/>
                <w:color w:val="auto"/>
              </w:rPr>
            </w:pPr>
            <w:r w:rsidRPr="004F5C44">
              <w:rPr>
                <w:rFonts w:ascii="Arial" w:hAnsi="Arial" w:cs="Arial"/>
                <w:b/>
                <w:color w:val="auto"/>
              </w:rPr>
              <w:t>0</w:t>
            </w:r>
          </w:p>
        </w:tc>
      </w:tr>
      <w:tr w:rsidR="00164A76" w:rsidRPr="0005794A"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95.6</w:t>
            </w:r>
          </w:p>
        </w:tc>
        <w:tc>
          <w:tcPr>
            <w:tcW w:w="5244" w:type="dxa"/>
            <w:gridSpan w:val="2"/>
            <w:vAlign w:val="center"/>
          </w:tcPr>
          <w:p w:rsidR="00164A76" w:rsidRPr="00164A76" w:rsidRDefault="00164A76" w:rsidP="00E26408">
            <w:pPr>
              <w:pStyle w:val="TableBulle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Fonts w:ascii="Arial" w:hAnsi="Arial" w:cs="Arial"/>
                <w:color w:val="auto"/>
              </w:rPr>
              <w:t>Change in Financial Assumptions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E26408">
            <w:pPr>
              <w:pStyle w:val="TableRight"/>
              <w:spacing w:before="0" w:line="240" w:lineRule="auto"/>
              <w:jc w:val="center"/>
              <w:rPr>
                <w:rFonts w:ascii="Arial" w:hAnsi="Arial" w:cs="Arial"/>
                <w:b/>
                <w:color w:val="auto"/>
              </w:rPr>
            </w:pPr>
            <w:r w:rsidRPr="004F5C44">
              <w:rPr>
                <w:rFonts w:ascii="Arial" w:hAnsi="Arial" w:cs="Arial"/>
                <w:b/>
                <w:color w:val="auto"/>
              </w:rPr>
              <w:t>(22.3)</w:t>
            </w:r>
          </w:p>
        </w:tc>
      </w:tr>
      <w:tr w:rsidR="00164A76" w:rsidRPr="0005794A"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(3.0)</w:t>
            </w:r>
          </w:p>
        </w:tc>
        <w:tc>
          <w:tcPr>
            <w:tcW w:w="5244" w:type="dxa"/>
            <w:gridSpan w:val="2"/>
            <w:vAlign w:val="center"/>
          </w:tcPr>
          <w:p w:rsidR="00164A76" w:rsidRPr="00164A76" w:rsidRDefault="00164A76" w:rsidP="00E26408">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A76">
              <w:rPr>
                <w:rFonts w:ascii="Arial" w:hAnsi="Arial" w:cs="Arial"/>
                <w:color w:val="auto"/>
              </w:rPr>
              <w:t>Change in Demographic Assumptions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E26408">
            <w:pPr>
              <w:pStyle w:val="TableRight"/>
              <w:spacing w:before="0" w:line="240" w:lineRule="auto"/>
              <w:jc w:val="center"/>
              <w:rPr>
                <w:rFonts w:ascii="Arial" w:hAnsi="Arial" w:cs="Arial"/>
                <w:b/>
                <w:color w:val="auto"/>
              </w:rPr>
            </w:pPr>
            <w:r w:rsidRPr="004F5C44">
              <w:rPr>
                <w:rFonts w:ascii="Arial" w:hAnsi="Arial" w:cs="Arial"/>
                <w:b/>
                <w:color w:val="auto"/>
              </w:rPr>
              <w:t>0</w:t>
            </w:r>
          </w:p>
        </w:tc>
      </w:tr>
      <w:tr w:rsidR="00164A76" w:rsidRPr="0005794A" w:rsidTr="00E2640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(17.2)</w:t>
            </w:r>
          </w:p>
        </w:tc>
        <w:tc>
          <w:tcPr>
            <w:tcW w:w="5244" w:type="dxa"/>
            <w:gridSpan w:val="2"/>
            <w:vAlign w:val="center"/>
          </w:tcPr>
          <w:p w:rsidR="00164A76" w:rsidRPr="00164A76" w:rsidRDefault="00164A76" w:rsidP="00E26408">
            <w:pPr>
              <w:pStyle w:val="TableBulle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Fonts w:ascii="Arial" w:hAnsi="Arial" w:cs="Arial"/>
                <w:color w:val="auto"/>
              </w:rPr>
              <w:t>Experience (gain)/loss on defined benefit obligation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E26408">
            <w:pPr>
              <w:pStyle w:val="TableRight"/>
              <w:spacing w:before="0" w:line="240" w:lineRule="auto"/>
              <w:jc w:val="center"/>
              <w:rPr>
                <w:rFonts w:ascii="Arial" w:hAnsi="Arial" w:cs="Arial"/>
                <w:b/>
                <w:color w:val="auto"/>
              </w:rPr>
            </w:pPr>
            <w:r w:rsidRPr="004F5C44">
              <w:rPr>
                <w:rFonts w:ascii="Arial" w:hAnsi="Arial" w:cs="Arial"/>
                <w:b/>
                <w:color w:val="auto"/>
              </w:rPr>
              <w:t>0</w:t>
            </w:r>
          </w:p>
        </w:tc>
      </w:tr>
      <w:tr w:rsidR="00164A76" w:rsidRPr="0005794A" w:rsidTr="00E26408">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(35.7)</w:t>
            </w:r>
          </w:p>
        </w:tc>
        <w:tc>
          <w:tcPr>
            <w:tcW w:w="5244" w:type="dxa"/>
            <w:gridSpan w:val="2"/>
            <w:vAlign w:val="center"/>
          </w:tcPr>
          <w:p w:rsidR="00164A76" w:rsidRPr="00164A76" w:rsidRDefault="00164A76" w:rsidP="00E26408">
            <w:pPr>
              <w:pStyle w:val="TableBulle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A76">
              <w:rPr>
                <w:rFonts w:ascii="Arial" w:hAnsi="Arial" w:cs="Arial"/>
                <w:color w:val="auto"/>
              </w:rPr>
              <w:t>Return on plan assets in excess of interest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E26408">
            <w:pPr>
              <w:pStyle w:val="TableRight"/>
              <w:spacing w:before="0" w:line="240" w:lineRule="auto"/>
              <w:jc w:val="center"/>
              <w:rPr>
                <w:rFonts w:ascii="Arial" w:hAnsi="Arial" w:cs="Arial"/>
                <w:b/>
                <w:color w:val="auto"/>
              </w:rPr>
            </w:pPr>
            <w:r w:rsidRPr="004F5C44">
              <w:rPr>
                <w:rFonts w:ascii="Arial" w:hAnsi="Arial" w:cs="Arial"/>
                <w:b/>
                <w:color w:val="auto"/>
              </w:rPr>
              <w:t>(3.9)</w:t>
            </w:r>
          </w:p>
        </w:tc>
      </w:tr>
      <w:tr w:rsidR="00164A76" w:rsidRPr="0005794A" w:rsidTr="00E26408">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NoParagraphStyle"/>
              <w:spacing w:line="276" w:lineRule="auto"/>
              <w:jc w:val="center"/>
              <w:textAlignment w:val="auto"/>
              <w:rPr>
                <w:rFonts w:ascii="Arial" w:hAnsi="Arial" w:cs="Arial"/>
                <w:color w:val="auto"/>
                <w:sz w:val="20"/>
                <w:szCs w:val="20"/>
              </w:rPr>
            </w:pPr>
            <w:r w:rsidRPr="004F5C44">
              <w:rPr>
                <w:rFonts w:ascii="Arial" w:hAnsi="Arial" w:cs="Arial"/>
                <w:color w:val="auto"/>
                <w:sz w:val="20"/>
                <w:szCs w:val="20"/>
              </w:rPr>
              <w:t>45.0</w:t>
            </w:r>
          </w:p>
        </w:tc>
        <w:tc>
          <w:tcPr>
            <w:tcW w:w="5244" w:type="dxa"/>
            <w:gridSpan w:val="2"/>
            <w:vAlign w:val="center"/>
          </w:tcPr>
          <w:p w:rsidR="00164A76" w:rsidRPr="00164A76" w:rsidRDefault="00164A76" w:rsidP="00014582">
            <w:pPr>
              <w:pStyle w:val="TableItalic"/>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164A76">
              <w:rPr>
                <w:rStyle w:val="Italic"/>
                <w:rFonts w:ascii="Arial" w:hAnsi="Arial" w:cs="Arial"/>
                <w:b/>
                <w:iCs w:val="0"/>
                <w:color w:val="auto"/>
                <w:sz w:val="20"/>
                <w:szCs w:val="20"/>
              </w:rPr>
              <w:t>Sub Total Other Comprehensive Income and Expenditure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E26408">
            <w:pPr>
              <w:pStyle w:val="NoParagraphStyle"/>
              <w:spacing w:line="276" w:lineRule="auto"/>
              <w:jc w:val="center"/>
              <w:textAlignment w:val="auto"/>
              <w:rPr>
                <w:rFonts w:ascii="Arial" w:hAnsi="Arial" w:cs="Arial"/>
                <w:b/>
                <w:color w:val="auto"/>
                <w:sz w:val="20"/>
                <w:szCs w:val="20"/>
              </w:rPr>
            </w:pPr>
            <w:r w:rsidRPr="004F5C44">
              <w:rPr>
                <w:rFonts w:ascii="Arial" w:hAnsi="Arial" w:cs="Arial"/>
                <w:b/>
                <w:color w:val="auto"/>
                <w:sz w:val="20"/>
                <w:szCs w:val="20"/>
              </w:rPr>
              <w:t>(26.2)</w:t>
            </w:r>
          </w:p>
        </w:tc>
      </w:tr>
      <w:tr w:rsidR="00164A76" w:rsidRPr="0005794A" w:rsidTr="00172060">
        <w:trPr>
          <w:trHeight w:val="57"/>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before="0" w:line="240" w:lineRule="auto"/>
              <w:jc w:val="center"/>
              <w:rPr>
                <w:rFonts w:ascii="Arial" w:hAnsi="Arial" w:cs="Arial"/>
                <w:color w:val="auto"/>
              </w:rPr>
            </w:pPr>
            <w:r w:rsidRPr="004F5C44">
              <w:rPr>
                <w:rFonts w:ascii="Arial" w:hAnsi="Arial" w:cs="Arial"/>
                <w:color w:val="auto"/>
              </w:rPr>
              <w:t>57.4</w:t>
            </w:r>
          </w:p>
        </w:tc>
        <w:tc>
          <w:tcPr>
            <w:tcW w:w="5244" w:type="dxa"/>
            <w:gridSpan w:val="2"/>
            <w:vAlign w:val="center"/>
          </w:tcPr>
          <w:p w:rsidR="00164A76" w:rsidRPr="00164A76" w:rsidRDefault="00164A76" w:rsidP="004F5C44">
            <w:pPr>
              <w:pStyle w:val="TableItalic"/>
              <w:spacing w:before="0" w:after="0" w:line="240" w:lineRule="auto"/>
              <w:cnfStyle w:val="000000000000" w:firstRow="0" w:lastRow="0" w:firstColumn="0" w:lastColumn="0" w:oddVBand="0" w:evenVBand="0" w:oddHBand="0" w:evenHBand="0" w:firstRowFirstColumn="0" w:firstRowLastColumn="0" w:lastRowFirstColumn="0" w:lastRowLastColumn="0"/>
              <w:rPr>
                <w:rStyle w:val="Italic"/>
                <w:rFonts w:ascii="Arial" w:hAnsi="Arial" w:cs="Arial"/>
                <w:b/>
                <w:iCs w:val="0"/>
                <w:color w:val="auto"/>
                <w:sz w:val="20"/>
                <w:szCs w:val="20"/>
              </w:rPr>
            </w:pPr>
            <w:r w:rsidRPr="00164A76">
              <w:rPr>
                <w:rStyle w:val="Italic"/>
                <w:rFonts w:ascii="Arial" w:hAnsi="Arial" w:cs="Arial"/>
                <w:b/>
                <w:iCs w:val="0"/>
                <w:color w:val="auto"/>
                <w:sz w:val="20"/>
                <w:szCs w:val="20"/>
              </w:rPr>
              <w:t>Total Post Employment Benefit Charged</w:t>
            </w:r>
            <w:r w:rsidR="004F5C44">
              <w:rPr>
                <w:rStyle w:val="Italic"/>
                <w:rFonts w:ascii="Arial" w:hAnsi="Arial" w:cs="Arial"/>
                <w:b/>
                <w:iCs w:val="0"/>
                <w:color w:val="auto"/>
                <w:sz w:val="20"/>
                <w:szCs w:val="20"/>
              </w:rPr>
              <w:t>/(Credited)</w:t>
            </w:r>
            <w:r w:rsidRPr="00164A76">
              <w:rPr>
                <w:rStyle w:val="Italic"/>
                <w:rFonts w:ascii="Arial" w:hAnsi="Arial" w:cs="Arial"/>
                <w:b/>
                <w:iCs w:val="0"/>
                <w:color w:val="auto"/>
                <w:sz w:val="20"/>
                <w:szCs w:val="20"/>
              </w:rPr>
              <w:t xml:space="preserve"> to the Comprehensive Income and Expenditure Statement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135A9B">
            <w:pPr>
              <w:pStyle w:val="TableRight"/>
              <w:spacing w:before="0" w:line="240" w:lineRule="auto"/>
              <w:jc w:val="center"/>
              <w:rPr>
                <w:rFonts w:ascii="Arial" w:hAnsi="Arial" w:cs="Arial"/>
                <w:b/>
                <w:color w:val="auto"/>
              </w:rPr>
            </w:pPr>
            <w:r w:rsidRPr="004F5C44">
              <w:rPr>
                <w:rFonts w:ascii="Arial" w:hAnsi="Arial" w:cs="Arial"/>
                <w:b/>
                <w:color w:val="auto"/>
              </w:rPr>
              <w:t>(9.4)</w:t>
            </w:r>
          </w:p>
        </w:tc>
      </w:tr>
      <w:tr w:rsidR="00164A76" w:rsidRPr="0005794A" w:rsidTr="00E26408">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line="276" w:lineRule="auto"/>
              <w:jc w:val="center"/>
              <w:rPr>
                <w:rFonts w:ascii="Arial" w:hAnsi="Arial" w:cs="Arial"/>
                <w:color w:val="auto"/>
              </w:rPr>
            </w:pPr>
          </w:p>
        </w:tc>
        <w:tc>
          <w:tcPr>
            <w:tcW w:w="5244" w:type="dxa"/>
            <w:gridSpan w:val="2"/>
            <w:vAlign w:val="center"/>
          </w:tcPr>
          <w:p w:rsidR="00164A76" w:rsidRPr="00164A76" w:rsidRDefault="00164A76" w:rsidP="00E26408">
            <w:pPr>
              <w:pStyle w:val="TableBullet"/>
              <w:spacing w:line="276"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i/>
                <w:color w:val="auto"/>
              </w:rPr>
            </w:pPr>
            <w:r w:rsidRPr="00164A76">
              <w:rPr>
                <w:rStyle w:val="Italic"/>
                <w:rFonts w:ascii="Arial" w:hAnsi="Arial" w:cs="Arial"/>
                <w:b/>
                <w:i w:val="0"/>
                <w:color w:val="auto"/>
              </w:rPr>
              <w:t>Movement in Reserves Statement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164A76" w:rsidP="00E26408">
            <w:pPr>
              <w:pStyle w:val="TableRight"/>
              <w:spacing w:line="276" w:lineRule="auto"/>
              <w:jc w:val="center"/>
              <w:rPr>
                <w:rFonts w:ascii="Arial" w:hAnsi="Arial" w:cs="Arial"/>
                <w:b/>
                <w:color w:val="auto"/>
              </w:rPr>
            </w:pPr>
          </w:p>
        </w:tc>
      </w:tr>
      <w:tr w:rsidR="00164A76" w:rsidRPr="0005794A" w:rsidTr="00E26408">
        <w:trPr>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line="276" w:lineRule="auto"/>
              <w:jc w:val="center"/>
              <w:rPr>
                <w:rFonts w:ascii="Arial" w:hAnsi="Arial" w:cs="Arial"/>
                <w:color w:val="auto"/>
              </w:rPr>
            </w:pPr>
            <w:r w:rsidRPr="004F5C44">
              <w:rPr>
                <w:rFonts w:ascii="Arial" w:hAnsi="Arial" w:cs="Arial"/>
                <w:color w:val="auto"/>
              </w:rPr>
              <w:t>(12.4)</w:t>
            </w:r>
          </w:p>
        </w:tc>
        <w:tc>
          <w:tcPr>
            <w:tcW w:w="5244" w:type="dxa"/>
            <w:gridSpan w:val="2"/>
            <w:vAlign w:val="center"/>
          </w:tcPr>
          <w:p w:rsidR="00164A76" w:rsidRPr="00164A76" w:rsidRDefault="00164A76" w:rsidP="00E26408">
            <w:pPr>
              <w:pStyle w:val="TableBullet"/>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A76">
              <w:rPr>
                <w:rFonts w:ascii="Arial" w:hAnsi="Arial" w:cs="Arial"/>
                <w:color w:val="auto"/>
              </w:rPr>
              <w:t xml:space="preserve">Reversal of net charges made to the Surplus or Deficit  for the Provision of Services for </w:t>
            </w:r>
            <w:proofErr w:type="spellStart"/>
            <w:r w:rsidRPr="00164A76">
              <w:rPr>
                <w:rFonts w:ascii="Arial" w:hAnsi="Arial" w:cs="Arial"/>
                <w:color w:val="auto"/>
              </w:rPr>
              <w:t>post employment</w:t>
            </w:r>
            <w:proofErr w:type="spellEnd"/>
            <w:r w:rsidRPr="00164A76">
              <w:rPr>
                <w:rFonts w:ascii="Arial" w:hAnsi="Arial" w:cs="Arial"/>
                <w:color w:val="auto"/>
              </w:rPr>
              <w:t xml:space="preserve"> benefits  in accordance with the Code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4F5C44" w:rsidRDefault="004F5C44" w:rsidP="00135A9B">
            <w:pPr>
              <w:pStyle w:val="TableRight"/>
              <w:spacing w:line="276" w:lineRule="auto"/>
              <w:jc w:val="center"/>
              <w:rPr>
                <w:rFonts w:ascii="Arial" w:hAnsi="Arial" w:cs="Arial"/>
                <w:b/>
                <w:color w:val="auto"/>
              </w:rPr>
            </w:pPr>
            <w:r w:rsidRPr="004F5C44">
              <w:rPr>
                <w:rFonts w:ascii="Arial" w:hAnsi="Arial" w:cs="Arial"/>
                <w:b/>
                <w:color w:val="auto"/>
              </w:rPr>
              <w:t>(16.8)</w:t>
            </w:r>
          </w:p>
        </w:tc>
      </w:tr>
      <w:tr w:rsidR="00164A76" w:rsidRPr="0005794A" w:rsidTr="00E26408">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NoParagraphStyle"/>
              <w:spacing w:line="276" w:lineRule="auto"/>
              <w:jc w:val="center"/>
              <w:textAlignment w:val="auto"/>
              <w:rPr>
                <w:rFonts w:ascii="Arial" w:hAnsi="Arial" w:cs="Arial"/>
                <w:color w:val="auto"/>
                <w:sz w:val="20"/>
                <w:szCs w:val="20"/>
              </w:rPr>
            </w:pPr>
          </w:p>
        </w:tc>
        <w:tc>
          <w:tcPr>
            <w:tcW w:w="5244" w:type="dxa"/>
            <w:gridSpan w:val="2"/>
            <w:vAlign w:val="center"/>
          </w:tcPr>
          <w:p w:rsidR="00164A76" w:rsidRPr="00164A76" w:rsidRDefault="00164A76" w:rsidP="00E26408">
            <w:pPr>
              <w:pStyle w:val="Table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164A76">
              <w:rPr>
                <w:rStyle w:val="Italic"/>
                <w:rFonts w:ascii="Arial" w:hAnsi="Arial" w:cs="Arial"/>
                <w:b/>
                <w:i w:val="0"/>
                <w:color w:val="auto"/>
              </w:rPr>
              <w:t>Actual amount charged against the General Fund Balance for pensions in the year:</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05794A" w:rsidRDefault="00164A76" w:rsidP="00E26408">
            <w:pPr>
              <w:pStyle w:val="NoParagraphStyle"/>
              <w:spacing w:line="276" w:lineRule="auto"/>
              <w:jc w:val="center"/>
              <w:textAlignment w:val="auto"/>
              <w:rPr>
                <w:rFonts w:ascii="Arial" w:hAnsi="Arial" w:cs="Arial"/>
                <w:b/>
                <w:color w:val="548DD4" w:themeColor="text2" w:themeTint="99"/>
                <w:sz w:val="20"/>
                <w:szCs w:val="20"/>
              </w:rPr>
            </w:pPr>
          </w:p>
        </w:tc>
      </w:tr>
      <w:tr w:rsidR="00164A76" w:rsidRPr="0005794A" w:rsidTr="00E26408">
        <w:trPr>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TableRight"/>
              <w:spacing w:line="276" w:lineRule="auto"/>
              <w:jc w:val="center"/>
              <w:rPr>
                <w:rFonts w:ascii="Arial" w:hAnsi="Arial" w:cs="Arial"/>
                <w:color w:val="auto"/>
              </w:rPr>
            </w:pPr>
            <w:r w:rsidRPr="004F5C44">
              <w:rPr>
                <w:rFonts w:ascii="Arial" w:hAnsi="Arial" w:cs="Arial"/>
                <w:color w:val="auto"/>
              </w:rPr>
              <w:t>5.8</w:t>
            </w:r>
          </w:p>
        </w:tc>
        <w:tc>
          <w:tcPr>
            <w:tcW w:w="5244" w:type="dxa"/>
            <w:gridSpan w:val="2"/>
            <w:vAlign w:val="center"/>
          </w:tcPr>
          <w:p w:rsidR="00164A76" w:rsidRPr="00164A76" w:rsidRDefault="00164A76" w:rsidP="00E26408">
            <w:pPr>
              <w:pStyle w:val="TableBullet"/>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4A76">
              <w:rPr>
                <w:rFonts w:ascii="Arial" w:hAnsi="Arial" w:cs="Arial"/>
                <w:color w:val="auto"/>
              </w:rPr>
              <w:t>Employers’ contributions payable to scheme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1B0A66" w:rsidRDefault="001B0A66" w:rsidP="001B0A66">
            <w:pPr>
              <w:pStyle w:val="TableRight"/>
              <w:spacing w:line="276" w:lineRule="auto"/>
              <w:jc w:val="center"/>
              <w:rPr>
                <w:rFonts w:ascii="Arial" w:hAnsi="Arial" w:cs="Arial"/>
                <w:b/>
                <w:color w:val="auto"/>
              </w:rPr>
            </w:pPr>
            <w:r w:rsidRPr="001B0A66">
              <w:rPr>
                <w:rFonts w:ascii="Arial" w:hAnsi="Arial" w:cs="Arial"/>
                <w:b/>
                <w:color w:val="auto"/>
              </w:rPr>
              <w:t>6.1</w:t>
            </w:r>
          </w:p>
        </w:tc>
      </w:tr>
      <w:tr w:rsidR="00164A76" w:rsidRPr="0005794A" w:rsidTr="00E26408">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1560" w:type="dxa"/>
            <w:vAlign w:val="center"/>
          </w:tcPr>
          <w:p w:rsidR="00164A76" w:rsidRPr="004F5C44" w:rsidRDefault="00164A76" w:rsidP="00164A76">
            <w:pPr>
              <w:pStyle w:val="NoParagraphStyle"/>
              <w:spacing w:line="240" w:lineRule="auto"/>
              <w:jc w:val="center"/>
              <w:textAlignment w:val="auto"/>
              <w:rPr>
                <w:rFonts w:ascii="Arial" w:hAnsi="Arial" w:cs="Arial"/>
                <w:color w:val="auto"/>
                <w:sz w:val="20"/>
                <w:szCs w:val="20"/>
              </w:rPr>
            </w:pPr>
            <w:r w:rsidRPr="004F5C44">
              <w:rPr>
                <w:rFonts w:ascii="Arial" w:hAnsi="Arial" w:cs="Arial"/>
                <w:color w:val="auto"/>
                <w:sz w:val="20"/>
                <w:szCs w:val="20"/>
              </w:rPr>
              <w:t>0.6</w:t>
            </w:r>
          </w:p>
        </w:tc>
        <w:tc>
          <w:tcPr>
            <w:tcW w:w="5244" w:type="dxa"/>
            <w:gridSpan w:val="2"/>
            <w:vAlign w:val="center"/>
          </w:tcPr>
          <w:p w:rsidR="00164A76" w:rsidRPr="00164A76" w:rsidRDefault="00164A76" w:rsidP="00E26408">
            <w:pPr>
              <w:pStyle w:val="TableBullet"/>
              <w:ind w:left="0" w:firstLine="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64A76">
              <w:rPr>
                <w:rFonts w:ascii="Arial" w:hAnsi="Arial" w:cs="Arial"/>
                <w:color w:val="auto"/>
              </w:rPr>
              <w:t>Retirement benefits payable to pensioners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164A76" w:rsidRPr="001B0A66" w:rsidRDefault="00CF6B66" w:rsidP="00E26408">
            <w:pPr>
              <w:pStyle w:val="NoParagraphStyle"/>
              <w:spacing w:line="240" w:lineRule="auto"/>
              <w:jc w:val="center"/>
              <w:textAlignment w:val="auto"/>
              <w:rPr>
                <w:rFonts w:ascii="Arial" w:hAnsi="Arial" w:cs="Arial"/>
                <w:b/>
                <w:color w:val="auto"/>
                <w:sz w:val="20"/>
                <w:szCs w:val="20"/>
              </w:rPr>
            </w:pPr>
            <w:r w:rsidRPr="001B0A66">
              <w:rPr>
                <w:rFonts w:ascii="Arial" w:hAnsi="Arial" w:cs="Arial"/>
                <w:b/>
                <w:color w:val="auto"/>
                <w:sz w:val="20"/>
                <w:szCs w:val="20"/>
              </w:rPr>
              <w:t>0.6</w:t>
            </w:r>
          </w:p>
        </w:tc>
      </w:tr>
    </w:tbl>
    <w:p w:rsidR="00650992" w:rsidRPr="0005794A" w:rsidRDefault="00650992" w:rsidP="005C24C8">
      <w:pPr>
        <w:pStyle w:val="CodeNotesExampleText"/>
        <w:widowControl w:val="0"/>
        <w:outlineLvl w:val="0"/>
        <w:rPr>
          <w:rFonts w:cs="Arial"/>
          <w:b/>
          <w:color w:val="548DD4" w:themeColor="text2" w:themeTint="99"/>
          <w:sz w:val="20"/>
          <w:szCs w:val="20"/>
        </w:rPr>
      </w:pPr>
    </w:p>
    <w:p w:rsidR="005C24C8" w:rsidRPr="00164A76" w:rsidRDefault="005C24C8" w:rsidP="008D0906">
      <w:pPr>
        <w:pStyle w:val="CodeNotesExampleText"/>
        <w:widowControl w:val="0"/>
        <w:ind w:firstLine="567"/>
        <w:outlineLvl w:val="0"/>
        <w:rPr>
          <w:rFonts w:cs="Arial"/>
          <w:b/>
          <w:color w:val="auto"/>
          <w:sz w:val="20"/>
          <w:szCs w:val="20"/>
        </w:rPr>
      </w:pPr>
      <w:r w:rsidRPr="00164A76">
        <w:rPr>
          <w:rFonts w:cs="Arial"/>
          <w:b/>
          <w:color w:val="auto"/>
          <w:sz w:val="20"/>
          <w:szCs w:val="20"/>
        </w:rPr>
        <w:t>Reconciliation of fair value of the scheme (plan) assets:</w:t>
      </w:r>
    </w:p>
    <w:p w:rsidR="00D12DE9" w:rsidRPr="00164A76" w:rsidRDefault="00D12DE9" w:rsidP="005C24C8">
      <w:pPr>
        <w:pStyle w:val="CodeNotesExampleText"/>
        <w:widowControl w:val="0"/>
        <w:outlineLvl w:val="0"/>
        <w:rPr>
          <w:rFonts w:cs="Arial"/>
          <w:b/>
          <w:color w:val="auto"/>
          <w:sz w:val="20"/>
          <w:szCs w:val="20"/>
        </w:rPr>
      </w:pPr>
    </w:p>
    <w:tbl>
      <w:tblPr>
        <w:tblStyle w:val="ListTable3-Accent51"/>
        <w:tblW w:w="8222" w:type="dxa"/>
        <w:tblInd w:w="675" w:type="dxa"/>
        <w:tblLayout w:type="fixed"/>
        <w:tblLook w:val="0000" w:firstRow="0" w:lastRow="0" w:firstColumn="0" w:lastColumn="0" w:noHBand="0" w:noVBand="0"/>
      </w:tblPr>
      <w:tblGrid>
        <w:gridCol w:w="1560"/>
        <w:gridCol w:w="5244"/>
        <w:gridCol w:w="1418"/>
      </w:tblGrid>
      <w:tr w:rsidR="004B2138" w:rsidRPr="0005794A"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4B2138" w:rsidRPr="00A1319B" w:rsidRDefault="004B2138" w:rsidP="00F60BC8">
            <w:pPr>
              <w:widowControl w:val="0"/>
              <w:spacing w:after="0" w:line="240" w:lineRule="auto"/>
              <w:rPr>
                <w:rFonts w:cs="Arial"/>
                <w:color w:val="auto"/>
                <w:sz w:val="18"/>
                <w:szCs w:val="18"/>
              </w:rPr>
            </w:pPr>
          </w:p>
        </w:tc>
        <w:tc>
          <w:tcPr>
            <w:tcW w:w="5244" w:type="dxa"/>
            <w:shd w:val="clear" w:color="auto" w:fill="4BACC6" w:themeFill="accent5"/>
          </w:tcPr>
          <w:p w:rsidR="004B2138" w:rsidRPr="00A1319B" w:rsidRDefault="004B2138" w:rsidP="00F60BC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p w:rsidR="004B2138" w:rsidRPr="00A1319B" w:rsidRDefault="004B2138" w:rsidP="00F60BC8">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1319B">
              <w:rPr>
                <w:rStyle w:val="Bold"/>
                <w:rFonts w:cs="Arial"/>
                <w:bCs/>
                <w:color w:val="auto"/>
                <w:sz w:val="20"/>
                <w:szCs w:val="20"/>
              </w:rPr>
              <w:t>Local Government Pension Scheme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B2138" w:rsidRPr="00A1319B" w:rsidRDefault="004B2138" w:rsidP="00F60BC8">
            <w:pPr>
              <w:pStyle w:val="TableRightBold"/>
              <w:jc w:val="center"/>
              <w:rPr>
                <w:rFonts w:ascii="Arial" w:hAnsi="Arial" w:cs="Arial"/>
                <w:color w:val="auto"/>
              </w:rPr>
            </w:pPr>
          </w:p>
        </w:tc>
      </w:tr>
      <w:tr w:rsidR="004B2138" w:rsidRPr="0005794A"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4B2138" w:rsidRPr="00A1319B" w:rsidRDefault="004B2138" w:rsidP="00AC2ADF">
            <w:pPr>
              <w:pStyle w:val="TableRightBold"/>
              <w:spacing w:line="240" w:lineRule="auto"/>
              <w:jc w:val="center"/>
              <w:rPr>
                <w:rFonts w:ascii="Arial" w:hAnsi="Arial" w:cs="Arial"/>
                <w:color w:val="auto"/>
                <w:sz w:val="18"/>
                <w:szCs w:val="18"/>
              </w:rPr>
            </w:pPr>
            <w:r w:rsidRPr="00A1319B">
              <w:rPr>
                <w:rStyle w:val="Bold"/>
                <w:rFonts w:ascii="Arial" w:hAnsi="Arial" w:cs="Arial"/>
                <w:bCs w:val="0"/>
                <w:color w:val="auto"/>
                <w:sz w:val="18"/>
                <w:szCs w:val="18"/>
              </w:rPr>
              <w:t>201</w:t>
            </w:r>
            <w:r w:rsidR="00A1319B" w:rsidRPr="00A1319B">
              <w:rPr>
                <w:rStyle w:val="Bold"/>
                <w:rFonts w:ascii="Arial" w:hAnsi="Arial" w:cs="Arial"/>
                <w:bCs w:val="0"/>
                <w:color w:val="auto"/>
                <w:sz w:val="18"/>
                <w:szCs w:val="18"/>
              </w:rPr>
              <w:t>6</w:t>
            </w:r>
            <w:r w:rsidRPr="00A1319B">
              <w:rPr>
                <w:rStyle w:val="Bold"/>
                <w:rFonts w:ascii="Arial" w:hAnsi="Arial" w:cs="Arial"/>
                <w:bCs w:val="0"/>
                <w:color w:val="auto"/>
                <w:sz w:val="18"/>
                <w:szCs w:val="18"/>
              </w:rPr>
              <w:t>/1</w:t>
            </w:r>
            <w:r w:rsidR="00A1319B" w:rsidRPr="00A1319B">
              <w:rPr>
                <w:rStyle w:val="Bold"/>
                <w:rFonts w:ascii="Arial" w:hAnsi="Arial" w:cs="Arial"/>
                <w:bCs w:val="0"/>
                <w:color w:val="auto"/>
                <w:sz w:val="18"/>
                <w:szCs w:val="18"/>
              </w:rPr>
              <w:t>7</w:t>
            </w:r>
          </w:p>
        </w:tc>
        <w:tc>
          <w:tcPr>
            <w:tcW w:w="5244" w:type="dxa"/>
            <w:shd w:val="clear" w:color="auto" w:fill="4BACC6" w:themeFill="accent5"/>
          </w:tcPr>
          <w:p w:rsidR="004B2138" w:rsidRPr="00A1319B" w:rsidRDefault="004B2138" w:rsidP="002704DC">
            <w:pPr>
              <w:pStyle w:val="TableText"/>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B2138" w:rsidRPr="00A1319B" w:rsidRDefault="004B2138" w:rsidP="00AC2ADF">
            <w:pPr>
              <w:pStyle w:val="TableRightBold"/>
              <w:spacing w:line="240" w:lineRule="auto"/>
              <w:jc w:val="center"/>
              <w:rPr>
                <w:rFonts w:ascii="Arial" w:hAnsi="Arial" w:cs="Arial"/>
                <w:color w:val="auto"/>
                <w:sz w:val="18"/>
                <w:szCs w:val="18"/>
              </w:rPr>
            </w:pPr>
            <w:r w:rsidRPr="00A1319B">
              <w:rPr>
                <w:rFonts w:ascii="Arial" w:hAnsi="Arial" w:cs="Arial"/>
                <w:color w:val="auto"/>
                <w:sz w:val="18"/>
                <w:szCs w:val="18"/>
              </w:rPr>
              <w:t>201</w:t>
            </w:r>
            <w:r w:rsidR="00A1319B" w:rsidRPr="00A1319B">
              <w:rPr>
                <w:rFonts w:ascii="Arial" w:hAnsi="Arial" w:cs="Arial"/>
                <w:color w:val="auto"/>
                <w:sz w:val="18"/>
                <w:szCs w:val="18"/>
              </w:rPr>
              <w:t>7</w:t>
            </w:r>
            <w:r w:rsidRPr="00A1319B">
              <w:rPr>
                <w:rFonts w:ascii="Arial" w:hAnsi="Arial" w:cs="Arial"/>
                <w:color w:val="auto"/>
                <w:sz w:val="18"/>
                <w:szCs w:val="18"/>
              </w:rPr>
              <w:t>/</w:t>
            </w:r>
            <w:r w:rsidR="00AC2ADF" w:rsidRPr="00A1319B">
              <w:rPr>
                <w:rFonts w:ascii="Arial" w:hAnsi="Arial" w:cs="Arial"/>
                <w:color w:val="auto"/>
                <w:sz w:val="18"/>
                <w:szCs w:val="18"/>
              </w:rPr>
              <w:t>1</w:t>
            </w:r>
            <w:r w:rsidR="00A1319B" w:rsidRPr="00A1319B">
              <w:rPr>
                <w:rFonts w:ascii="Arial" w:hAnsi="Arial" w:cs="Arial"/>
                <w:color w:val="auto"/>
                <w:sz w:val="18"/>
                <w:szCs w:val="18"/>
              </w:rPr>
              <w:t>8</w:t>
            </w:r>
          </w:p>
        </w:tc>
      </w:tr>
      <w:tr w:rsidR="004B2138" w:rsidRPr="0005794A"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4B2138" w:rsidRPr="00A1319B" w:rsidRDefault="004B2138" w:rsidP="004B2138">
            <w:pPr>
              <w:pStyle w:val="TableRight"/>
              <w:spacing w:before="0" w:line="240" w:lineRule="auto"/>
              <w:jc w:val="center"/>
              <w:rPr>
                <w:rFonts w:ascii="Arial" w:hAnsi="Arial" w:cs="Arial"/>
                <w:color w:val="auto"/>
              </w:rPr>
            </w:pPr>
            <w:r w:rsidRPr="00A1319B">
              <w:rPr>
                <w:rFonts w:ascii="Arial" w:hAnsi="Arial" w:cs="Arial"/>
                <w:color w:val="auto"/>
              </w:rPr>
              <w:t>£m</w:t>
            </w:r>
          </w:p>
        </w:tc>
        <w:tc>
          <w:tcPr>
            <w:tcW w:w="5244" w:type="dxa"/>
            <w:shd w:val="clear" w:color="auto" w:fill="4BACC6" w:themeFill="accent5"/>
          </w:tcPr>
          <w:p w:rsidR="004B2138" w:rsidRPr="00A1319B" w:rsidRDefault="004B2138" w:rsidP="002704DC">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4B2138" w:rsidRPr="00A1319B" w:rsidRDefault="004B2138" w:rsidP="002704DC">
            <w:pPr>
              <w:pStyle w:val="TableRight"/>
              <w:spacing w:before="0" w:line="240" w:lineRule="auto"/>
              <w:jc w:val="center"/>
              <w:rPr>
                <w:rFonts w:ascii="Arial" w:hAnsi="Arial" w:cs="Arial"/>
                <w:b/>
                <w:color w:val="auto"/>
              </w:rPr>
            </w:pPr>
            <w:r w:rsidRPr="00A1319B">
              <w:rPr>
                <w:rStyle w:val="Bold"/>
                <w:rFonts w:ascii="Arial" w:hAnsi="Arial" w:cs="Arial"/>
                <w:b w:val="0"/>
                <w:bCs/>
                <w:color w:val="auto"/>
              </w:rPr>
              <w:t>£m</w:t>
            </w:r>
          </w:p>
        </w:tc>
      </w:tr>
      <w:tr w:rsidR="00A1319B" w:rsidRPr="0005794A"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239.8</w:t>
            </w:r>
          </w:p>
        </w:tc>
        <w:tc>
          <w:tcPr>
            <w:tcW w:w="5244" w:type="dxa"/>
            <w:vAlign w:val="center"/>
          </w:tcPr>
          <w:p w:rsidR="00A1319B" w:rsidRPr="00A1319B" w:rsidRDefault="00A1319B" w:rsidP="004B2138">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319B">
              <w:rPr>
                <w:rFonts w:ascii="Arial" w:hAnsi="Arial" w:cs="Arial"/>
                <w:b/>
                <w:color w:val="auto"/>
              </w:rPr>
              <w:t>Opening balance at 1 April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A1319B" w:rsidRDefault="00E34EDE" w:rsidP="004B2138">
            <w:pPr>
              <w:pStyle w:val="TableRight"/>
              <w:spacing w:before="0" w:line="240" w:lineRule="auto"/>
              <w:jc w:val="center"/>
              <w:rPr>
                <w:rFonts w:ascii="Arial" w:hAnsi="Arial" w:cs="Arial"/>
                <w:b/>
                <w:color w:val="auto"/>
              </w:rPr>
            </w:pPr>
            <w:r>
              <w:rPr>
                <w:rFonts w:ascii="Arial" w:hAnsi="Arial" w:cs="Arial"/>
                <w:b/>
                <w:color w:val="auto"/>
              </w:rPr>
              <w:t>273.8</w:t>
            </w:r>
          </w:p>
        </w:tc>
      </w:tr>
      <w:tr w:rsidR="00A1319B" w:rsidRPr="0005794A"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8.8</w:t>
            </w:r>
          </w:p>
        </w:tc>
        <w:tc>
          <w:tcPr>
            <w:tcW w:w="5244" w:type="dxa"/>
            <w:vAlign w:val="center"/>
          </w:tcPr>
          <w:p w:rsidR="00A1319B" w:rsidRPr="00A1319B" w:rsidRDefault="00A1319B" w:rsidP="004B2138">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Interest on Assets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A1319B" w:rsidRDefault="00E34EDE" w:rsidP="004F570E">
            <w:pPr>
              <w:pStyle w:val="TableRight"/>
              <w:spacing w:before="0" w:line="240" w:lineRule="auto"/>
              <w:jc w:val="center"/>
              <w:rPr>
                <w:rFonts w:ascii="Arial" w:hAnsi="Arial" w:cs="Arial"/>
                <w:b/>
                <w:color w:val="auto"/>
              </w:rPr>
            </w:pPr>
            <w:r>
              <w:rPr>
                <w:rFonts w:ascii="Arial" w:hAnsi="Arial" w:cs="Arial"/>
                <w:b/>
                <w:color w:val="auto"/>
              </w:rPr>
              <w:t>7.3</w:t>
            </w:r>
          </w:p>
        </w:tc>
      </w:tr>
      <w:tr w:rsidR="00A1319B" w:rsidRPr="0005794A"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35.7</w:t>
            </w:r>
          </w:p>
        </w:tc>
        <w:tc>
          <w:tcPr>
            <w:tcW w:w="5244" w:type="dxa"/>
            <w:vAlign w:val="center"/>
          </w:tcPr>
          <w:p w:rsidR="00A1319B" w:rsidRPr="00A1319B" w:rsidRDefault="00A1319B" w:rsidP="004B2138">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Return on Assets less Interest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A1319B" w:rsidRDefault="00E34EDE" w:rsidP="004F570E">
            <w:pPr>
              <w:pStyle w:val="TableRight"/>
              <w:spacing w:before="0" w:line="240" w:lineRule="auto"/>
              <w:jc w:val="center"/>
              <w:rPr>
                <w:rFonts w:ascii="Arial" w:hAnsi="Arial" w:cs="Arial"/>
                <w:b/>
                <w:color w:val="auto"/>
              </w:rPr>
            </w:pPr>
            <w:r>
              <w:rPr>
                <w:rFonts w:ascii="Arial" w:hAnsi="Arial" w:cs="Arial"/>
                <w:b/>
                <w:color w:val="auto"/>
              </w:rPr>
              <w:t>3.9</w:t>
            </w:r>
          </w:p>
        </w:tc>
      </w:tr>
      <w:tr w:rsidR="00A1319B" w:rsidRPr="0005794A"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(5.3)</w:t>
            </w:r>
          </w:p>
        </w:tc>
        <w:tc>
          <w:tcPr>
            <w:tcW w:w="5244" w:type="dxa"/>
            <w:vAlign w:val="center"/>
          </w:tcPr>
          <w:p w:rsidR="00A1319B" w:rsidRPr="00A1319B" w:rsidRDefault="00A1319B" w:rsidP="004B2138">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Other Actuarial gains/(losses)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A1319B" w:rsidRDefault="00E34EDE" w:rsidP="004B2138">
            <w:pPr>
              <w:pStyle w:val="TableRight"/>
              <w:spacing w:before="0" w:line="240" w:lineRule="auto"/>
              <w:jc w:val="center"/>
              <w:rPr>
                <w:rFonts w:ascii="Arial" w:hAnsi="Arial" w:cs="Arial"/>
                <w:b/>
                <w:color w:val="auto"/>
              </w:rPr>
            </w:pPr>
            <w:r>
              <w:rPr>
                <w:rFonts w:ascii="Arial" w:hAnsi="Arial" w:cs="Arial"/>
                <w:b/>
                <w:color w:val="auto"/>
              </w:rPr>
              <w:t>0</w:t>
            </w:r>
          </w:p>
        </w:tc>
      </w:tr>
      <w:tr w:rsidR="00A1319B" w:rsidRPr="0005794A"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(0.1)</w:t>
            </w:r>
          </w:p>
        </w:tc>
        <w:tc>
          <w:tcPr>
            <w:tcW w:w="5244" w:type="dxa"/>
            <w:vAlign w:val="center"/>
          </w:tcPr>
          <w:p w:rsidR="00A1319B" w:rsidRPr="00A1319B" w:rsidRDefault="00A1319B" w:rsidP="004B2138">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Administration Expenses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A1319B" w:rsidRDefault="00E34EDE" w:rsidP="004B2138">
            <w:pPr>
              <w:pStyle w:val="TableRight"/>
              <w:spacing w:before="0" w:line="240" w:lineRule="auto"/>
              <w:jc w:val="center"/>
              <w:rPr>
                <w:rFonts w:ascii="Arial" w:hAnsi="Arial" w:cs="Arial"/>
                <w:b/>
                <w:color w:val="auto"/>
              </w:rPr>
            </w:pPr>
            <w:r>
              <w:rPr>
                <w:rFonts w:ascii="Arial" w:hAnsi="Arial" w:cs="Arial"/>
                <w:b/>
                <w:color w:val="auto"/>
              </w:rPr>
              <w:t>(0.1)</w:t>
            </w:r>
          </w:p>
        </w:tc>
      </w:tr>
      <w:tr w:rsidR="00A1319B" w:rsidRPr="0005794A"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1.7</w:t>
            </w:r>
          </w:p>
        </w:tc>
        <w:tc>
          <w:tcPr>
            <w:tcW w:w="5244" w:type="dxa"/>
            <w:vAlign w:val="center"/>
          </w:tcPr>
          <w:p w:rsidR="00A1319B" w:rsidRPr="00A1319B" w:rsidRDefault="00A1319B" w:rsidP="004B2138">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Contributions by scheme participants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A1319B" w:rsidRDefault="00E34EDE" w:rsidP="005F0F88">
            <w:pPr>
              <w:pStyle w:val="TableRight"/>
              <w:spacing w:before="0" w:line="240" w:lineRule="auto"/>
              <w:jc w:val="center"/>
              <w:rPr>
                <w:rFonts w:ascii="Arial" w:hAnsi="Arial" w:cs="Arial"/>
                <w:b/>
                <w:color w:val="auto"/>
              </w:rPr>
            </w:pPr>
            <w:r>
              <w:rPr>
                <w:rFonts w:ascii="Arial" w:hAnsi="Arial" w:cs="Arial"/>
                <w:b/>
                <w:color w:val="auto"/>
              </w:rPr>
              <w:t>1.7</w:t>
            </w:r>
          </w:p>
        </w:tc>
      </w:tr>
      <w:tr w:rsidR="00A1319B" w:rsidRPr="0005794A"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6.4</w:t>
            </w:r>
          </w:p>
        </w:tc>
        <w:tc>
          <w:tcPr>
            <w:tcW w:w="5244" w:type="dxa"/>
            <w:vAlign w:val="center"/>
          </w:tcPr>
          <w:p w:rsidR="00A1319B" w:rsidRPr="00A1319B" w:rsidRDefault="00A1319B" w:rsidP="004B2138">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Employer contributions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A1319B" w:rsidRDefault="00E34EDE" w:rsidP="004B2138">
            <w:pPr>
              <w:pStyle w:val="TableRight"/>
              <w:spacing w:before="0" w:line="240" w:lineRule="auto"/>
              <w:jc w:val="center"/>
              <w:rPr>
                <w:rFonts w:ascii="Arial" w:hAnsi="Arial" w:cs="Arial"/>
                <w:b/>
                <w:color w:val="auto"/>
              </w:rPr>
            </w:pPr>
            <w:r>
              <w:rPr>
                <w:rFonts w:ascii="Arial" w:hAnsi="Arial" w:cs="Arial"/>
                <w:b/>
                <w:color w:val="auto"/>
              </w:rPr>
              <w:t>6.8</w:t>
            </w:r>
          </w:p>
        </w:tc>
      </w:tr>
      <w:tr w:rsidR="00A1319B" w:rsidRPr="0005794A"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(12.9)</w:t>
            </w:r>
          </w:p>
        </w:tc>
        <w:tc>
          <w:tcPr>
            <w:tcW w:w="5244" w:type="dxa"/>
            <w:vAlign w:val="center"/>
          </w:tcPr>
          <w:p w:rsidR="00A1319B" w:rsidRPr="00A1319B" w:rsidRDefault="00A1319B" w:rsidP="004B2138">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Benefits paid</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A1319B" w:rsidRDefault="00E34EDE" w:rsidP="004B2138">
            <w:pPr>
              <w:pStyle w:val="TableRight"/>
              <w:spacing w:before="0" w:line="240" w:lineRule="auto"/>
              <w:jc w:val="center"/>
              <w:rPr>
                <w:rFonts w:ascii="Arial" w:hAnsi="Arial" w:cs="Arial"/>
                <w:b/>
                <w:color w:val="auto"/>
              </w:rPr>
            </w:pPr>
            <w:r>
              <w:rPr>
                <w:rFonts w:ascii="Arial" w:hAnsi="Arial" w:cs="Arial"/>
                <w:b/>
                <w:color w:val="auto"/>
              </w:rPr>
              <w:t>(13.7)</w:t>
            </w:r>
          </w:p>
        </w:tc>
      </w:tr>
      <w:tr w:rsidR="00A1319B" w:rsidRPr="0005794A" w:rsidTr="004B2138">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(0.3)</w:t>
            </w:r>
          </w:p>
        </w:tc>
        <w:tc>
          <w:tcPr>
            <w:tcW w:w="5244" w:type="dxa"/>
            <w:vAlign w:val="center"/>
          </w:tcPr>
          <w:p w:rsidR="00A1319B" w:rsidRPr="00A1319B" w:rsidRDefault="00A1319B" w:rsidP="004B2138">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Settlement process received/(paid)</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A1319B" w:rsidRDefault="001B6784" w:rsidP="004B2138">
            <w:pPr>
              <w:pStyle w:val="TableRight"/>
              <w:spacing w:before="0" w:line="240" w:lineRule="auto"/>
              <w:jc w:val="center"/>
              <w:rPr>
                <w:rFonts w:ascii="Arial" w:hAnsi="Arial" w:cs="Arial"/>
                <w:b/>
                <w:color w:val="auto"/>
              </w:rPr>
            </w:pPr>
            <w:r>
              <w:rPr>
                <w:rFonts w:ascii="Arial" w:hAnsi="Arial" w:cs="Arial"/>
                <w:b/>
                <w:color w:val="auto"/>
              </w:rPr>
              <w:t>0.6</w:t>
            </w:r>
          </w:p>
        </w:tc>
      </w:tr>
      <w:tr w:rsidR="00A1319B" w:rsidRPr="0005794A" w:rsidTr="004B2138">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273.8</w:t>
            </w:r>
          </w:p>
        </w:tc>
        <w:tc>
          <w:tcPr>
            <w:tcW w:w="5244" w:type="dxa"/>
            <w:vAlign w:val="center"/>
          </w:tcPr>
          <w:p w:rsidR="00A1319B" w:rsidRPr="00A1319B" w:rsidRDefault="00A1319B" w:rsidP="004B2138">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A1319B">
              <w:rPr>
                <w:rFonts w:ascii="Arial" w:hAnsi="Arial" w:cs="Arial"/>
                <w:b/>
                <w:color w:val="auto"/>
              </w:rPr>
              <w:t>Closing balance at 31 March</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A1319B" w:rsidRDefault="00E34EDE" w:rsidP="004B2138">
            <w:pPr>
              <w:pStyle w:val="TableRight"/>
              <w:spacing w:before="0" w:line="240" w:lineRule="auto"/>
              <w:jc w:val="center"/>
              <w:rPr>
                <w:rFonts w:ascii="Arial" w:hAnsi="Arial" w:cs="Arial"/>
                <w:b/>
                <w:color w:val="auto"/>
              </w:rPr>
            </w:pPr>
            <w:r>
              <w:rPr>
                <w:rFonts w:ascii="Arial" w:hAnsi="Arial" w:cs="Arial"/>
                <w:b/>
                <w:color w:val="auto"/>
              </w:rPr>
              <w:t>280.3</w:t>
            </w:r>
          </w:p>
        </w:tc>
      </w:tr>
    </w:tbl>
    <w:p w:rsidR="00183591" w:rsidRPr="0005794A" w:rsidRDefault="00183591" w:rsidP="002704DC">
      <w:pPr>
        <w:pStyle w:val="CodeNotesExampleText"/>
        <w:widowControl w:val="0"/>
        <w:outlineLvl w:val="0"/>
        <w:rPr>
          <w:rFonts w:cs="Arial"/>
          <w:b/>
          <w:color w:val="548DD4" w:themeColor="text2" w:themeTint="99"/>
          <w:sz w:val="20"/>
          <w:szCs w:val="20"/>
        </w:rPr>
      </w:pPr>
    </w:p>
    <w:p w:rsidR="002C6DBC" w:rsidRPr="00A1319B" w:rsidRDefault="00F655C8" w:rsidP="008D0906">
      <w:pPr>
        <w:pStyle w:val="CodeNotesExampleText"/>
        <w:widowControl w:val="0"/>
        <w:ind w:firstLine="567"/>
        <w:outlineLvl w:val="0"/>
        <w:rPr>
          <w:rFonts w:cs="Arial"/>
          <w:b/>
          <w:color w:val="auto"/>
          <w:sz w:val="20"/>
          <w:szCs w:val="20"/>
        </w:rPr>
      </w:pPr>
      <w:r w:rsidRPr="00A1319B">
        <w:rPr>
          <w:rFonts w:cs="Arial"/>
          <w:b/>
          <w:color w:val="auto"/>
          <w:sz w:val="20"/>
          <w:szCs w:val="20"/>
        </w:rPr>
        <w:lastRenderedPageBreak/>
        <w:t>Reconciliation of present value of the scheme liabilities (defined benefit obligation):</w:t>
      </w:r>
    </w:p>
    <w:p w:rsidR="00613D01" w:rsidRPr="00A1319B" w:rsidRDefault="00613D01" w:rsidP="00D12DE9">
      <w:pPr>
        <w:pStyle w:val="CodeNotesExampleText"/>
        <w:widowControl w:val="0"/>
        <w:outlineLvl w:val="0"/>
        <w:rPr>
          <w:rFonts w:cs="Arial"/>
          <w:color w:val="auto"/>
          <w:sz w:val="20"/>
          <w:szCs w:val="20"/>
        </w:rPr>
      </w:pPr>
    </w:p>
    <w:tbl>
      <w:tblPr>
        <w:tblStyle w:val="ListTable3-Accent51"/>
        <w:tblW w:w="8222" w:type="dxa"/>
        <w:tblInd w:w="675" w:type="dxa"/>
        <w:tblLayout w:type="fixed"/>
        <w:tblLook w:val="0000" w:firstRow="0" w:lastRow="0" w:firstColumn="0" w:lastColumn="0" w:noHBand="0" w:noVBand="0"/>
      </w:tblPr>
      <w:tblGrid>
        <w:gridCol w:w="1560"/>
        <w:gridCol w:w="5244"/>
        <w:gridCol w:w="1418"/>
      </w:tblGrid>
      <w:tr w:rsidR="00613D01" w:rsidRPr="00A1319B"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613D01" w:rsidRPr="00A1319B" w:rsidRDefault="00613D01" w:rsidP="002704DC">
            <w:pPr>
              <w:pStyle w:val="NoParagraphStyle"/>
              <w:spacing w:line="240" w:lineRule="auto"/>
              <w:textAlignment w:val="auto"/>
              <w:rPr>
                <w:rFonts w:ascii="Arial" w:hAnsi="Arial" w:cs="Arial"/>
                <w:color w:val="auto"/>
                <w:sz w:val="20"/>
                <w:szCs w:val="20"/>
              </w:rPr>
            </w:pPr>
          </w:p>
        </w:tc>
        <w:tc>
          <w:tcPr>
            <w:tcW w:w="5244" w:type="dxa"/>
            <w:shd w:val="clear" w:color="auto" w:fill="4BACC6" w:themeFill="accent5"/>
          </w:tcPr>
          <w:p w:rsidR="00613D01" w:rsidRPr="00A1319B" w:rsidRDefault="00613D01" w:rsidP="0023565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A1319B">
              <w:rPr>
                <w:rStyle w:val="Bold"/>
                <w:rFonts w:cs="Arial"/>
                <w:bCs/>
                <w:color w:val="auto"/>
                <w:sz w:val="20"/>
                <w:szCs w:val="20"/>
              </w:rPr>
              <w:t>Liabilities: Local Government Pension Scheme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613D01" w:rsidRPr="00A1319B" w:rsidRDefault="00613D01" w:rsidP="002704DC">
            <w:pPr>
              <w:pStyle w:val="NoParagraphStyle"/>
              <w:spacing w:line="240" w:lineRule="auto"/>
              <w:textAlignment w:val="auto"/>
              <w:rPr>
                <w:rStyle w:val="Bold"/>
                <w:rFonts w:ascii="Arial" w:hAnsi="Arial" w:cs="Arial"/>
                <w:b w:val="0"/>
                <w:bCs/>
                <w:color w:val="auto"/>
              </w:rPr>
            </w:pPr>
          </w:p>
        </w:tc>
      </w:tr>
      <w:tr w:rsidR="00613D01" w:rsidRPr="00A1319B"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613D01" w:rsidRPr="00A1319B" w:rsidRDefault="00613D01" w:rsidP="00AC2ADF">
            <w:pPr>
              <w:pStyle w:val="TableRightBold"/>
              <w:spacing w:line="240" w:lineRule="auto"/>
              <w:jc w:val="center"/>
              <w:rPr>
                <w:rFonts w:ascii="Arial" w:hAnsi="Arial" w:cs="Arial"/>
                <w:color w:val="auto"/>
                <w:sz w:val="18"/>
                <w:szCs w:val="18"/>
              </w:rPr>
            </w:pPr>
            <w:r w:rsidRPr="00A1319B">
              <w:rPr>
                <w:rStyle w:val="Bold"/>
                <w:rFonts w:ascii="Arial" w:hAnsi="Arial" w:cs="Arial"/>
                <w:bCs w:val="0"/>
                <w:color w:val="auto"/>
                <w:sz w:val="18"/>
                <w:szCs w:val="18"/>
              </w:rPr>
              <w:t>201</w:t>
            </w:r>
            <w:r w:rsidR="00A1319B">
              <w:rPr>
                <w:rStyle w:val="Bold"/>
                <w:rFonts w:ascii="Arial" w:hAnsi="Arial" w:cs="Arial"/>
                <w:bCs w:val="0"/>
                <w:color w:val="auto"/>
                <w:sz w:val="18"/>
                <w:szCs w:val="18"/>
              </w:rPr>
              <w:t>6</w:t>
            </w:r>
            <w:r w:rsidRPr="00A1319B">
              <w:rPr>
                <w:rStyle w:val="Bold"/>
                <w:rFonts w:ascii="Arial" w:hAnsi="Arial" w:cs="Arial"/>
                <w:bCs w:val="0"/>
                <w:color w:val="auto"/>
                <w:sz w:val="18"/>
                <w:szCs w:val="18"/>
              </w:rPr>
              <w:t>/1</w:t>
            </w:r>
            <w:r w:rsidR="00A1319B">
              <w:rPr>
                <w:rStyle w:val="Bold"/>
                <w:rFonts w:ascii="Arial" w:hAnsi="Arial" w:cs="Arial"/>
                <w:bCs w:val="0"/>
                <w:color w:val="auto"/>
                <w:sz w:val="18"/>
                <w:szCs w:val="18"/>
              </w:rPr>
              <w:t>7</w:t>
            </w:r>
          </w:p>
        </w:tc>
        <w:tc>
          <w:tcPr>
            <w:tcW w:w="5244" w:type="dxa"/>
            <w:shd w:val="clear" w:color="auto" w:fill="4BACC6" w:themeFill="accent5"/>
          </w:tcPr>
          <w:p w:rsidR="00613D01" w:rsidRPr="00A1319B" w:rsidRDefault="00613D01" w:rsidP="002704DC">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613D01" w:rsidRPr="00A1319B" w:rsidRDefault="00613D01" w:rsidP="00AC2ADF">
            <w:pPr>
              <w:pStyle w:val="TableRightBold"/>
              <w:spacing w:line="240" w:lineRule="auto"/>
              <w:jc w:val="center"/>
              <w:rPr>
                <w:rFonts w:ascii="Arial" w:hAnsi="Arial" w:cs="Arial"/>
                <w:color w:val="auto"/>
                <w:sz w:val="18"/>
                <w:szCs w:val="18"/>
              </w:rPr>
            </w:pPr>
            <w:r w:rsidRPr="00A1319B">
              <w:rPr>
                <w:rFonts w:ascii="Arial" w:hAnsi="Arial" w:cs="Arial"/>
                <w:color w:val="auto"/>
                <w:sz w:val="18"/>
                <w:szCs w:val="18"/>
              </w:rPr>
              <w:t>201</w:t>
            </w:r>
            <w:r w:rsidR="00A1319B">
              <w:rPr>
                <w:rFonts w:ascii="Arial" w:hAnsi="Arial" w:cs="Arial"/>
                <w:color w:val="auto"/>
                <w:sz w:val="18"/>
                <w:szCs w:val="18"/>
              </w:rPr>
              <w:t>7</w:t>
            </w:r>
            <w:r w:rsidRPr="00A1319B">
              <w:rPr>
                <w:rFonts w:ascii="Arial" w:hAnsi="Arial" w:cs="Arial"/>
                <w:color w:val="auto"/>
                <w:sz w:val="18"/>
                <w:szCs w:val="18"/>
              </w:rPr>
              <w:t>/1</w:t>
            </w:r>
            <w:r w:rsidR="00A1319B">
              <w:rPr>
                <w:rFonts w:ascii="Arial" w:hAnsi="Arial" w:cs="Arial"/>
                <w:color w:val="auto"/>
                <w:sz w:val="18"/>
                <w:szCs w:val="18"/>
              </w:rPr>
              <w:t>8</w:t>
            </w:r>
          </w:p>
        </w:tc>
      </w:tr>
      <w:tr w:rsidR="00613D01" w:rsidRPr="00A1319B" w:rsidTr="00235651">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1560" w:type="dxa"/>
            <w:shd w:val="clear" w:color="auto" w:fill="4BACC6" w:themeFill="accent5"/>
          </w:tcPr>
          <w:p w:rsidR="00613D01" w:rsidRPr="00A1319B" w:rsidRDefault="00613D01" w:rsidP="00A67EFA">
            <w:pPr>
              <w:pStyle w:val="TableRight"/>
              <w:spacing w:before="0" w:line="240" w:lineRule="auto"/>
              <w:jc w:val="center"/>
              <w:rPr>
                <w:rFonts w:ascii="Arial" w:hAnsi="Arial" w:cs="Arial"/>
                <w:color w:val="auto"/>
              </w:rPr>
            </w:pPr>
            <w:r w:rsidRPr="00A1319B">
              <w:rPr>
                <w:rFonts w:ascii="Arial" w:hAnsi="Arial" w:cs="Arial"/>
                <w:color w:val="auto"/>
              </w:rPr>
              <w:t>£m</w:t>
            </w:r>
          </w:p>
        </w:tc>
        <w:tc>
          <w:tcPr>
            <w:tcW w:w="5244" w:type="dxa"/>
            <w:shd w:val="clear" w:color="auto" w:fill="4BACC6" w:themeFill="accent5"/>
          </w:tcPr>
          <w:p w:rsidR="00613D01" w:rsidRPr="00A1319B" w:rsidRDefault="00613D01" w:rsidP="002704DC">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418" w:type="dxa"/>
            <w:shd w:val="clear" w:color="auto" w:fill="4BACC6" w:themeFill="accent5"/>
          </w:tcPr>
          <w:p w:rsidR="00613D01" w:rsidRPr="00A1319B" w:rsidRDefault="00613D01" w:rsidP="00A67EFA">
            <w:pPr>
              <w:pStyle w:val="TableRight"/>
              <w:spacing w:before="0" w:line="240" w:lineRule="auto"/>
              <w:jc w:val="center"/>
              <w:rPr>
                <w:rFonts w:ascii="Arial" w:hAnsi="Arial" w:cs="Arial"/>
                <w:color w:val="auto"/>
              </w:rPr>
            </w:pPr>
            <w:r w:rsidRPr="00A1319B">
              <w:rPr>
                <w:rFonts w:ascii="Arial" w:hAnsi="Arial" w:cs="Arial"/>
                <w:color w:val="auto"/>
              </w:rPr>
              <w:t>£m</w:t>
            </w:r>
          </w:p>
        </w:tc>
      </w:tr>
      <w:tr w:rsidR="00A1319B" w:rsidRPr="0005794A" w:rsidTr="00235651">
        <w:trPr>
          <w:trHeight w:val="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(390.8)</w:t>
            </w:r>
          </w:p>
        </w:tc>
        <w:tc>
          <w:tcPr>
            <w:tcW w:w="5244" w:type="dxa"/>
            <w:vAlign w:val="center"/>
          </w:tcPr>
          <w:p w:rsidR="00A1319B" w:rsidRPr="00A1319B" w:rsidRDefault="00A1319B" w:rsidP="00235651">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319B">
              <w:rPr>
                <w:rFonts w:ascii="Arial" w:hAnsi="Arial" w:cs="Arial"/>
                <w:b/>
                <w:color w:val="auto"/>
              </w:rPr>
              <w:t>Opening balance at 1 April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235651">
            <w:pPr>
              <w:pStyle w:val="TableRight"/>
              <w:spacing w:before="0" w:line="240" w:lineRule="auto"/>
              <w:jc w:val="center"/>
              <w:rPr>
                <w:rFonts w:ascii="Arial" w:hAnsi="Arial" w:cs="Arial"/>
                <w:b/>
                <w:color w:val="auto"/>
              </w:rPr>
            </w:pPr>
            <w:r w:rsidRPr="001B6784">
              <w:rPr>
                <w:rFonts w:ascii="Arial" w:hAnsi="Arial" w:cs="Arial"/>
                <w:b/>
                <w:color w:val="auto"/>
              </w:rPr>
              <w:t>(475.9)</w:t>
            </w:r>
          </w:p>
        </w:tc>
      </w:tr>
      <w:tr w:rsidR="00A1319B" w:rsidRPr="0005794A"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(7.2)</w:t>
            </w:r>
          </w:p>
        </w:tc>
        <w:tc>
          <w:tcPr>
            <w:tcW w:w="5244" w:type="dxa"/>
            <w:vAlign w:val="center"/>
          </w:tcPr>
          <w:p w:rsidR="00A1319B" w:rsidRPr="00A1319B" w:rsidRDefault="00A1319B" w:rsidP="00235651">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Current service cost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235651">
            <w:pPr>
              <w:pStyle w:val="TableRight"/>
              <w:spacing w:before="0" w:line="240" w:lineRule="auto"/>
              <w:jc w:val="center"/>
              <w:rPr>
                <w:rFonts w:ascii="Arial" w:hAnsi="Arial" w:cs="Arial"/>
                <w:b/>
                <w:color w:val="auto"/>
              </w:rPr>
            </w:pPr>
            <w:r w:rsidRPr="001B6784">
              <w:rPr>
                <w:rFonts w:ascii="Arial" w:hAnsi="Arial" w:cs="Arial"/>
                <w:b/>
                <w:color w:val="auto"/>
              </w:rPr>
              <w:t>(10.7)</w:t>
            </w:r>
          </w:p>
        </w:tc>
      </w:tr>
      <w:tr w:rsidR="00A1319B" w:rsidRPr="0005794A"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(1.7)</w:t>
            </w:r>
          </w:p>
        </w:tc>
        <w:tc>
          <w:tcPr>
            <w:tcW w:w="5244" w:type="dxa"/>
            <w:vAlign w:val="center"/>
          </w:tcPr>
          <w:p w:rsidR="00A1319B" w:rsidRPr="00A1319B" w:rsidRDefault="00A1319B" w:rsidP="00235651">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Contributions by scheme participants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235651">
            <w:pPr>
              <w:pStyle w:val="TableRight"/>
              <w:spacing w:before="0" w:line="240" w:lineRule="auto"/>
              <w:jc w:val="center"/>
              <w:rPr>
                <w:rFonts w:ascii="Arial" w:hAnsi="Arial" w:cs="Arial"/>
                <w:b/>
                <w:color w:val="auto"/>
              </w:rPr>
            </w:pPr>
            <w:r w:rsidRPr="001B6784">
              <w:rPr>
                <w:rFonts w:ascii="Arial" w:hAnsi="Arial" w:cs="Arial"/>
                <w:b/>
                <w:color w:val="auto"/>
              </w:rPr>
              <w:t>(1.7)</w:t>
            </w:r>
          </w:p>
        </w:tc>
      </w:tr>
      <w:tr w:rsidR="00A1319B" w:rsidRPr="0005794A"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(14.3)</w:t>
            </w:r>
          </w:p>
        </w:tc>
        <w:tc>
          <w:tcPr>
            <w:tcW w:w="5244" w:type="dxa"/>
            <w:vAlign w:val="center"/>
          </w:tcPr>
          <w:p w:rsidR="00A1319B" w:rsidRPr="00A1319B" w:rsidRDefault="00A1319B" w:rsidP="00235651">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Interest cost</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5D7101">
            <w:pPr>
              <w:pStyle w:val="TableRight"/>
              <w:spacing w:before="0" w:line="240" w:lineRule="auto"/>
              <w:jc w:val="center"/>
              <w:rPr>
                <w:rFonts w:ascii="Arial" w:hAnsi="Arial" w:cs="Arial"/>
                <w:b/>
                <w:color w:val="auto"/>
              </w:rPr>
            </w:pPr>
            <w:r w:rsidRPr="001B6784">
              <w:rPr>
                <w:rFonts w:ascii="Arial" w:hAnsi="Arial" w:cs="Arial"/>
                <w:b/>
                <w:color w:val="auto"/>
              </w:rPr>
              <w:t>(12.7)</w:t>
            </w:r>
          </w:p>
        </w:tc>
      </w:tr>
      <w:tr w:rsidR="00A1319B" w:rsidRPr="0005794A"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(95.6)</w:t>
            </w:r>
          </w:p>
        </w:tc>
        <w:tc>
          <w:tcPr>
            <w:tcW w:w="5244" w:type="dxa"/>
            <w:vAlign w:val="center"/>
          </w:tcPr>
          <w:p w:rsidR="00A1319B" w:rsidRPr="00A1319B" w:rsidRDefault="00A1319B" w:rsidP="00235651">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Change in Financial Assumptions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235651">
            <w:pPr>
              <w:pStyle w:val="TableRight"/>
              <w:spacing w:before="0" w:line="240" w:lineRule="auto"/>
              <w:jc w:val="center"/>
              <w:rPr>
                <w:rFonts w:ascii="Arial" w:hAnsi="Arial" w:cs="Arial"/>
                <w:b/>
                <w:color w:val="auto"/>
              </w:rPr>
            </w:pPr>
            <w:r w:rsidRPr="001B6784">
              <w:rPr>
                <w:rFonts w:ascii="Arial" w:hAnsi="Arial" w:cs="Arial"/>
                <w:b/>
                <w:color w:val="auto"/>
              </w:rPr>
              <w:t>22.3</w:t>
            </w:r>
          </w:p>
        </w:tc>
      </w:tr>
      <w:tr w:rsidR="00A1319B" w:rsidRPr="0005794A"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3.0</w:t>
            </w:r>
          </w:p>
        </w:tc>
        <w:tc>
          <w:tcPr>
            <w:tcW w:w="5244" w:type="dxa"/>
            <w:vAlign w:val="center"/>
          </w:tcPr>
          <w:p w:rsidR="00A1319B" w:rsidRPr="00A1319B" w:rsidRDefault="00A1319B" w:rsidP="00235651">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Change in Demographic Assumptions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235651">
            <w:pPr>
              <w:pStyle w:val="TableRight"/>
              <w:spacing w:before="0" w:line="240" w:lineRule="auto"/>
              <w:jc w:val="center"/>
              <w:rPr>
                <w:rFonts w:ascii="Arial" w:hAnsi="Arial" w:cs="Arial"/>
                <w:b/>
                <w:color w:val="auto"/>
              </w:rPr>
            </w:pPr>
            <w:r w:rsidRPr="001B6784">
              <w:rPr>
                <w:rFonts w:ascii="Arial" w:hAnsi="Arial" w:cs="Arial"/>
                <w:b/>
                <w:color w:val="auto"/>
              </w:rPr>
              <w:t>0</w:t>
            </w:r>
          </w:p>
        </w:tc>
      </w:tr>
      <w:tr w:rsidR="00A1319B" w:rsidRPr="0005794A"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17.2</w:t>
            </w:r>
          </w:p>
        </w:tc>
        <w:tc>
          <w:tcPr>
            <w:tcW w:w="5244" w:type="dxa"/>
            <w:vAlign w:val="center"/>
          </w:tcPr>
          <w:p w:rsidR="00A1319B" w:rsidRPr="00A1319B" w:rsidRDefault="00A1319B" w:rsidP="00235651">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Experience (loss)/gain on defined benefit obligation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235651">
            <w:pPr>
              <w:pStyle w:val="TableRight"/>
              <w:spacing w:before="0" w:line="240" w:lineRule="auto"/>
              <w:jc w:val="center"/>
              <w:rPr>
                <w:rFonts w:ascii="Arial" w:hAnsi="Arial" w:cs="Arial"/>
                <w:b/>
                <w:color w:val="auto"/>
              </w:rPr>
            </w:pPr>
            <w:r w:rsidRPr="001B6784">
              <w:rPr>
                <w:rFonts w:ascii="Arial" w:hAnsi="Arial" w:cs="Arial"/>
                <w:b/>
                <w:color w:val="auto"/>
              </w:rPr>
              <w:t>0</w:t>
            </w:r>
          </w:p>
        </w:tc>
      </w:tr>
      <w:tr w:rsidR="00A1319B" w:rsidRPr="0005794A"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12.2</w:t>
            </w:r>
          </w:p>
        </w:tc>
        <w:tc>
          <w:tcPr>
            <w:tcW w:w="5244" w:type="dxa"/>
            <w:vAlign w:val="center"/>
          </w:tcPr>
          <w:p w:rsidR="00A1319B" w:rsidRPr="00A1319B" w:rsidRDefault="00A1319B" w:rsidP="00235651">
            <w:pPr>
              <w:pStyle w:val="Table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Benefits paid</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5D7101">
            <w:pPr>
              <w:pStyle w:val="TableRight"/>
              <w:spacing w:before="0" w:line="240" w:lineRule="auto"/>
              <w:jc w:val="center"/>
              <w:rPr>
                <w:rFonts w:ascii="Arial" w:hAnsi="Arial" w:cs="Arial"/>
                <w:b/>
                <w:color w:val="auto"/>
              </w:rPr>
            </w:pPr>
            <w:r w:rsidRPr="001B6784">
              <w:rPr>
                <w:rFonts w:ascii="Arial" w:hAnsi="Arial" w:cs="Arial"/>
                <w:b/>
                <w:color w:val="auto"/>
              </w:rPr>
              <w:t>13.1</w:t>
            </w:r>
          </w:p>
        </w:tc>
      </w:tr>
      <w:tr w:rsidR="00A1319B" w:rsidRPr="0005794A"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line="240" w:lineRule="auto"/>
              <w:ind w:left="0"/>
              <w:jc w:val="center"/>
              <w:rPr>
                <w:rFonts w:ascii="Arial" w:hAnsi="Arial" w:cs="Arial"/>
                <w:color w:val="auto"/>
              </w:rPr>
            </w:pPr>
            <w:r w:rsidRPr="00A1319B">
              <w:rPr>
                <w:rFonts w:ascii="Arial" w:hAnsi="Arial" w:cs="Arial"/>
                <w:color w:val="auto"/>
              </w:rPr>
              <w:t>(0.2)</w:t>
            </w:r>
          </w:p>
        </w:tc>
        <w:tc>
          <w:tcPr>
            <w:tcW w:w="5244" w:type="dxa"/>
            <w:vAlign w:val="center"/>
          </w:tcPr>
          <w:p w:rsidR="00A1319B" w:rsidRPr="00A1319B" w:rsidRDefault="00A1319B" w:rsidP="00235651">
            <w:pPr>
              <w:pStyle w:val="TableText"/>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Past service costs, including Curtailments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235651">
            <w:pPr>
              <w:pStyle w:val="TableRight"/>
              <w:spacing w:line="240" w:lineRule="auto"/>
              <w:ind w:left="0"/>
              <w:jc w:val="center"/>
              <w:rPr>
                <w:rFonts w:ascii="Arial" w:hAnsi="Arial" w:cs="Arial"/>
                <w:b/>
                <w:color w:val="auto"/>
              </w:rPr>
            </w:pPr>
            <w:r w:rsidRPr="001B6784">
              <w:rPr>
                <w:rFonts w:ascii="Arial" w:hAnsi="Arial" w:cs="Arial"/>
                <w:b/>
                <w:color w:val="auto"/>
              </w:rPr>
              <w:t>(0.2)</w:t>
            </w:r>
          </w:p>
        </w:tc>
      </w:tr>
      <w:tr w:rsidR="00A1319B" w:rsidRPr="0005794A"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line="240" w:lineRule="auto"/>
              <w:jc w:val="center"/>
              <w:rPr>
                <w:rFonts w:ascii="Arial" w:hAnsi="Arial" w:cs="Arial"/>
                <w:color w:val="auto"/>
              </w:rPr>
            </w:pPr>
            <w:r w:rsidRPr="00A1319B">
              <w:rPr>
                <w:rFonts w:ascii="Arial" w:hAnsi="Arial" w:cs="Arial"/>
                <w:color w:val="auto"/>
              </w:rPr>
              <w:t>0.9</w:t>
            </w:r>
          </w:p>
        </w:tc>
        <w:tc>
          <w:tcPr>
            <w:tcW w:w="5244" w:type="dxa"/>
            <w:vAlign w:val="center"/>
          </w:tcPr>
          <w:p w:rsidR="00A1319B" w:rsidRPr="00A1319B" w:rsidRDefault="00A1319B" w:rsidP="00235651">
            <w:pPr>
              <w:pStyle w:val="TableText"/>
              <w:spacing w:line="24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Liabilities (assumed)/extinguished on Settlements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1B6784">
            <w:pPr>
              <w:pStyle w:val="TableRight"/>
              <w:spacing w:line="240" w:lineRule="auto"/>
              <w:jc w:val="center"/>
              <w:rPr>
                <w:rFonts w:ascii="Arial" w:hAnsi="Arial" w:cs="Arial"/>
                <w:b/>
                <w:color w:val="auto"/>
              </w:rPr>
            </w:pPr>
            <w:r w:rsidRPr="001B6784">
              <w:rPr>
                <w:rFonts w:ascii="Arial" w:hAnsi="Arial" w:cs="Arial"/>
                <w:b/>
                <w:color w:val="auto"/>
              </w:rPr>
              <w:t>(1.0)</w:t>
            </w:r>
          </w:p>
        </w:tc>
      </w:tr>
      <w:tr w:rsidR="00A1319B" w:rsidRPr="0005794A"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line="240" w:lineRule="auto"/>
              <w:jc w:val="center"/>
              <w:rPr>
                <w:rFonts w:ascii="Arial" w:hAnsi="Arial" w:cs="Arial"/>
                <w:color w:val="auto"/>
              </w:rPr>
            </w:pPr>
            <w:r w:rsidRPr="00A1319B">
              <w:rPr>
                <w:rFonts w:ascii="Arial" w:hAnsi="Arial" w:cs="Arial"/>
                <w:color w:val="auto"/>
              </w:rPr>
              <w:t>0.6</w:t>
            </w:r>
          </w:p>
        </w:tc>
        <w:tc>
          <w:tcPr>
            <w:tcW w:w="5244" w:type="dxa"/>
            <w:vAlign w:val="center"/>
          </w:tcPr>
          <w:p w:rsidR="00A1319B" w:rsidRPr="00A1319B" w:rsidRDefault="00A1319B" w:rsidP="00235651">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Unfunded Pension payments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235651">
            <w:pPr>
              <w:pStyle w:val="TableRight"/>
              <w:spacing w:line="240" w:lineRule="auto"/>
              <w:jc w:val="center"/>
              <w:rPr>
                <w:rFonts w:ascii="Arial" w:hAnsi="Arial" w:cs="Arial"/>
                <w:b/>
                <w:color w:val="auto"/>
              </w:rPr>
            </w:pPr>
            <w:r w:rsidRPr="001B6784">
              <w:rPr>
                <w:rFonts w:ascii="Arial" w:hAnsi="Arial" w:cs="Arial"/>
                <w:b/>
                <w:color w:val="auto"/>
              </w:rPr>
              <w:t>0.6</w:t>
            </w:r>
          </w:p>
        </w:tc>
      </w:tr>
      <w:tr w:rsidR="00A1319B" w:rsidRPr="0005794A" w:rsidTr="00235651">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line="240" w:lineRule="auto"/>
              <w:jc w:val="center"/>
              <w:rPr>
                <w:rFonts w:ascii="Arial" w:hAnsi="Arial" w:cs="Arial"/>
                <w:color w:val="auto"/>
              </w:rPr>
            </w:pPr>
            <w:r w:rsidRPr="00A1319B">
              <w:rPr>
                <w:rFonts w:ascii="Arial" w:hAnsi="Arial" w:cs="Arial"/>
                <w:color w:val="auto"/>
              </w:rPr>
              <w:t>(475.9)</w:t>
            </w:r>
          </w:p>
        </w:tc>
        <w:tc>
          <w:tcPr>
            <w:tcW w:w="5244" w:type="dxa"/>
            <w:vAlign w:val="center"/>
          </w:tcPr>
          <w:p w:rsidR="00A1319B" w:rsidRPr="00A1319B" w:rsidRDefault="00A1319B" w:rsidP="00235651">
            <w:pPr>
              <w:pStyle w:val="TableText"/>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A1319B">
              <w:rPr>
                <w:rFonts w:ascii="Arial" w:hAnsi="Arial" w:cs="Arial"/>
                <w:b/>
                <w:color w:val="auto"/>
              </w:rPr>
              <w:t>Closing balance at 31 March</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501C24">
            <w:pPr>
              <w:pStyle w:val="TableRight"/>
              <w:spacing w:line="240" w:lineRule="auto"/>
              <w:jc w:val="center"/>
              <w:rPr>
                <w:rFonts w:ascii="Arial" w:hAnsi="Arial" w:cs="Arial"/>
                <w:b/>
                <w:color w:val="auto"/>
              </w:rPr>
            </w:pPr>
            <w:r w:rsidRPr="001B6784">
              <w:rPr>
                <w:rFonts w:ascii="Arial" w:hAnsi="Arial" w:cs="Arial"/>
                <w:b/>
                <w:color w:val="auto"/>
              </w:rPr>
              <w:t>(466.2)</w:t>
            </w:r>
          </w:p>
        </w:tc>
      </w:tr>
      <w:tr w:rsidR="00A1319B" w:rsidRPr="0005794A" w:rsidTr="00235651">
        <w:trPr>
          <w:trHeight w:val="170"/>
        </w:trPr>
        <w:tc>
          <w:tcPr>
            <w:cnfStyle w:val="000010000000" w:firstRow="0" w:lastRow="0" w:firstColumn="0" w:lastColumn="0" w:oddVBand="1" w:evenVBand="0" w:oddHBand="0" w:evenHBand="0" w:firstRowFirstColumn="0" w:firstRowLastColumn="0" w:lastRowFirstColumn="0" w:lastRowLastColumn="0"/>
            <w:tcW w:w="1560" w:type="dxa"/>
            <w:vAlign w:val="center"/>
          </w:tcPr>
          <w:p w:rsidR="00A1319B" w:rsidRPr="00A1319B" w:rsidRDefault="00A1319B" w:rsidP="00A1319B">
            <w:pPr>
              <w:pStyle w:val="TableRight"/>
              <w:spacing w:line="240" w:lineRule="auto"/>
              <w:jc w:val="center"/>
              <w:rPr>
                <w:rFonts w:ascii="Arial" w:hAnsi="Arial" w:cs="Arial"/>
                <w:color w:val="auto"/>
              </w:rPr>
            </w:pPr>
            <w:r w:rsidRPr="00A1319B">
              <w:rPr>
                <w:rFonts w:ascii="Arial" w:hAnsi="Arial" w:cs="Arial"/>
                <w:color w:val="auto"/>
              </w:rPr>
              <w:t>(10.0)</w:t>
            </w:r>
          </w:p>
        </w:tc>
        <w:tc>
          <w:tcPr>
            <w:tcW w:w="5244" w:type="dxa"/>
            <w:vAlign w:val="center"/>
          </w:tcPr>
          <w:p w:rsidR="00A1319B" w:rsidRPr="00A1319B" w:rsidRDefault="00A1319B" w:rsidP="00235651">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1319B">
              <w:rPr>
                <w:rFonts w:ascii="Arial" w:hAnsi="Arial" w:cs="Arial"/>
                <w:color w:val="auto"/>
              </w:rPr>
              <w:t>Present Value of Unfunded Obligation included in above</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1319B" w:rsidRPr="001B6784" w:rsidRDefault="001B6784" w:rsidP="00526AAA">
            <w:pPr>
              <w:pStyle w:val="TableRight"/>
              <w:spacing w:line="240" w:lineRule="auto"/>
              <w:jc w:val="center"/>
              <w:rPr>
                <w:rFonts w:ascii="Arial" w:hAnsi="Arial" w:cs="Arial"/>
                <w:b/>
                <w:color w:val="auto"/>
              </w:rPr>
            </w:pPr>
            <w:r w:rsidRPr="001B6784">
              <w:rPr>
                <w:rFonts w:ascii="Arial" w:hAnsi="Arial" w:cs="Arial"/>
                <w:b/>
                <w:color w:val="auto"/>
              </w:rPr>
              <w:t>(9.4)</w:t>
            </w:r>
          </w:p>
        </w:tc>
      </w:tr>
    </w:tbl>
    <w:p w:rsidR="00E13756" w:rsidRPr="0005794A" w:rsidRDefault="00E13756" w:rsidP="000401DE">
      <w:pPr>
        <w:autoSpaceDE w:val="0"/>
        <w:autoSpaceDN w:val="0"/>
        <w:adjustRightInd w:val="0"/>
        <w:spacing w:after="0" w:line="240" w:lineRule="auto"/>
        <w:rPr>
          <w:rFonts w:eastAsia="Times New Roman" w:cs="Arial"/>
          <w:b/>
          <w:color w:val="548DD4" w:themeColor="text2" w:themeTint="99"/>
          <w:sz w:val="20"/>
          <w:szCs w:val="20"/>
        </w:rPr>
      </w:pPr>
    </w:p>
    <w:p w:rsidR="00B206FD" w:rsidRPr="0005794A" w:rsidRDefault="00B206FD" w:rsidP="000401DE">
      <w:pPr>
        <w:autoSpaceDE w:val="0"/>
        <w:autoSpaceDN w:val="0"/>
        <w:adjustRightInd w:val="0"/>
        <w:spacing w:after="0" w:line="240" w:lineRule="auto"/>
        <w:rPr>
          <w:rFonts w:eastAsia="Times New Roman" w:cs="Arial"/>
          <w:b/>
          <w:color w:val="548DD4" w:themeColor="text2" w:themeTint="99"/>
          <w:sz w:val="20"/>
          <w:szCs w:val="20"/>
        </w:rPr>
      </w:pPr>
    </w:p>
    <w:p w:rsidR="00407D28" w:rsidRPr="00E85B9B" w:rsidRDefault="006D5330" w:rsidP="000401DE">
      <w:pPr>
        <w:autoSpaceDE w:val="0"/>
        <w:autoSpaceDN w:val="0"/>
        <w:adjustRightInd w:val="0"/>
        <w:spacing w:after="0" w:line="240" w:lineRule="auto"/>
        <w:rPr>
          <w:rFonts w:eastAsia="Times New Roman"/>
          <w:b/>
          <w:color w:val="auto"/>
        </w:rPr>
      </w:pPr>
      <w:r w:rsidRPr="00E85B9B">
        <w:rPr>
          <w:rFonts w:eastAsia="Times New Roman"/>
          <w:b/>
          <w:color w:val="auto"/>
        </w:rPr>
        <w:t>40</w:t>
      </w:r>
      <w:r w:rsidR="00687A34" w:rsidRPr="00E85B9B">
        <w:rPr>
          <w:rFonts w:eastAsia="Times New Roman"/>
          <w:b/>
          <w:color w:val="auto"/>
        </w:rPr>
        <w:t>.3</w:t>
      </w:r>
      <w:r w:rsidR="007E2CD5" w:rsidRPr="00E85B9B">
        <w:rPr>
          <w:rFonts w:eastAsia="Times New Roman"/>
          <w:b/>
          <w:color w:val="auto"/>
        </w:rPr>
        <w:t xml:space="preserve"> </w:t>
      </w:r>
      <w:r w:rsidR="00E85988" w:rsidRPr="00E85B9B">
        <w:rPr>
          <w:rFonts w:eastAsia="Times New Roman"/>
          <w:b/>
          <w:color w:val="auto"/>
        </w:rPr>
        <w:t xml:space="preserve"> </w:t>
      </w:r>
      <w:r w:rsidR="00B206FD" w:rsidRPr="00E85B9B">
        <w:rPr>
          <w:rFonts w:eastAsia="Times New Roman"/>
          <w:b/>
          <w:color w:val="auto"/>
        </w:rPr>
        <w:t xml:space="preserve"> </w:t>
      </w:r>
      <w:r w:rsidR="00E85988" w:rsidRPr="00E85B9B">
        <w:rPr>
          <w:rFonts w:eastAsia="Times New Roman"/>
          <w:b/>
          <w:color w:val="auto"/>
        </w:rPr>
        <w:t xml:space="preserve">Fund </w:t>
      </w:r>
      <w:r w:rsidR="00407D28" w:rsidRPr="00E85B9B">
        <w:rPr>
          <w:rFonts w:eastAsia="Times New Roman"/>
          <w:b/>
          <w:color w:val="auto"/>
        </w:rPr>
        <w:t>Assets</w:t>
      </w:r>
    </w:p>
    <w:p w:rsidR="00653F9F" w:rsidRPr="00E85B9B" w:rsidRDefault="00653F9F" w:rsidP="007849CA">
      <w:pPr>
        <w:autoSpaceDE w:val="0"/>
        <w:autoSpaceDN w:val="0"/>
        <w:adjustRightInd w:val="0"/>
        <w:spacing w:after="0" w:line="240" w:lineRule="auto"/>
        <w:ind w:left="567"/>
        <w:rPr>
          <w:rFonts w:eastAsia="Times New Roman" w:cs="Arial"/>
          <w:b/>
          <w:color w:val="auto"/>
          <w:sz w:val="20"/>
          <w:szCs w:val="20"/>
        </w:rPr>
      </w:pPr>
    </w:p>
    <w:p w:rsidR="00407D28" w:rsidRPr="00E85B9B" w:rsidRDefault="00407D28" w:rsidP="007849CA">
      <w:pPr>
        <w:autoSpaceDE w:val="0"/>
        <w:autoSpaceDN w:val="0"/>
        <w:adjustRightInd w:val="0"/>
        <w:spacing w:after="0" w:line="240" w:lineRule="auto"/>
        <w:ind w:left="567"/>
        <w:rPr>
          <w:rFonts w:eastAsia="Times New Roman" w:cs="Arial"/>
          <w:color w:val="auto"/>
          <w:sz w:val="20"/>
          <w:szCs w:val="20"/>
          <w:lang w:eastAsia="en-GB"/>
        </w:rPr>
      </w:pPr>
      <w:r w:rsidRPr="00E85B9B">
        <w:rPr>
          <w:rFonts w:eastAsia="Times New Roman" w:cs="Arial"/>
          <w:color w:val="auto"/>
          <w:sz w:val="20"/>
          <w:szCs w:val="20"/>
          <w:lang w:eastAsia="en-GB"/>
        </w:rPr>
        <w:t>The return on the fund (on a bid value to bid value basis) for the year to 31st March 201</w:t>
      </w:r>
      <w:r w:rsidR="00E85B9B" w:rsidRPr="00E85B9B">
        <w:rPr>
          <w:rFonts w:eastAsia="Times New Roman" w:cs="Arial"/>
          <w:color w:val="auto"/>
          <w:sz w:val="20"/>
          <w:szCs w:val="20"/>
          <w:lang w:eastAsia="en-GB"/>
        </w:rPr>
        <w:t>8</w:t>
      </w:r>
      <w:r w:rsidRPr="00E85B9B">
        <w:rPr>
          <w:rFonts w:eastAsia="Times New Roman" w:cs="Arial"/>
          <w:color w:val="auto"/>
          <w:sz w:val="20"/>
          <w:szCs w:val="20"/>
          <w:lang w:eastAsia="en-GB"/>
        </w:rPr>
        <w:t xml:space="preserve"> is estimated to be </w:t>
      </w:r>
      <w:r w:rsidR="00E85B9B" w:rsidRPr="00E85B9B">
        <w:rPr>
          <w:rFonts w:eastAsia="Times New Roman" w:cs="Arial"/>
          <w:color w:val="auto"/>
          <w:sz w:val="20"/>
          <w:szCs w:val="20"/>
          <w:lang w:eastAsia="en-GB"/>
        </w:rPr>
        <w:t>4</w:t>
      </w:r>
      <w:r w:rsidR="009B3D38" w:rsidRPr="00E85B9B">
        <w:rPr>
          <w:rFonts w:eastAsia="Times New Roman" w:cs="Arial"/>
          <w:color w:val="auto"/>
          <w:sz w:val="20"/>
          <w:szCs w:val="20"/>
          <w:lang w:eastAsia="en-GB"/>
        </w:rPr>
        <w:t>% (</w:t>
      </w:r>
      <w:r w:rsidR="0058553F" w:rsidRPr="00E85B9B">
        <w:rPr>
          <w:rFonts w:eastAsia="Times New Roman" w:cs="Arial"/>
          <w:color w:val="auto"/>
          <w:sz w:val="20"/>
          <w:szCs w:val="20"/>
          <w:lang w:eastAsia="en-GB"/>
        </w:rPr>
        <w:t>1</w:t>
      </w:r>
      <w:r w:rsidR="00E85B9B" w:rsidRPr="00E85B9B">
        <w:rPr>
          <w:rFonts w:eastAsia="Times New Roman" w:cs="Arial"/>
          <w:color w:val="auto"/>
          <w:sz w:val="20"/>
          <w:szCs w:val="20"/>
          <w:lang w:eastAsia="en-GB"/>
        </w:rPr>
        <w:t>9</w:t>
      </w:r>
      <w:r w:rsidRPr="00E85B9B">
        <w:rPr>
          <w:rFonts w:eastAsia="Times New Roman" w:cs="Arial"/>
          <w:color w:val="auto"/>
          <w:sz w:val="20"/>
          <w:szCs w:val="20"/>
          <w:lang w:eastAsia="en-GB"/>
        </w:rPr>
        <w:t>%</w:t>
      </w:r>
      <w:r w:rsidR="009B3D38" w:rsidRPr="00E85B9B">
        <w:rPr>
          <w:rFonts w:eastAsia="Times New Roman" w:cs="Arial"/>
          <w:color w:val="auto"/>
          <w:sz w:val="20"/>
          <w:szCs w:val="20"/>
          <w:lang w:eastAsia="en-GB"/>
        </w:rPr>
        <w:t xml:space="preserve"> 1</w:t>
      </w:r>
      <w:r w:rsidR="00E85B9B" w:rsidRPr="00E85B9B">
        <w:rPr>
          <w:rFonts w:eastAsia="Times New Roman" w:cs="Arial"/>
          <w:color w:val="auto"/>
          <w:sz w:val="20"/>
          <w:szCs w:val="20"/>
          <w:lang w:eastAsia="en-GB"/>
        </w:rPr>
        <w:t>6</w:t>
      </w:r>
      <w:r w:rsidR="009B3D38" w:rsidRPr="00E85B9B">
        <w:rPr>
          <w:rFonts w:eastAsia="Times New Roman" w:cs="Arial"/>
          <w:color w:val="auto"/>
          <w:sz w:val="20"/>
          <w:szCs w:val="20"/>
          <w:lang w:eastAsia="en-GB"/>
        </w:rPr>
        <w:t>/1</w:t>
      </w:r>
      <w:r w:rsidR="00E85B9B" w:rsidRPr="00E85B9B">
        <w:rPr>
          <w:rFonts w:eastAsia="Times New Roman" w:cs="Arial"/>
          <w:color w:val="auto"/>
          <w:sz w:val="20"/>
          <w:szCs w:val="20"/>
          <w:lang w:eastAsia="en-GB"/>
        </w:rPr>
        <w:t>7</w:t>
      </w:r>
      <w:r w:rsidR="009B3D38" w:rsidRPr="00E85B9B">
        <w:rPr>
          <w:rFonts w:eastAsia="Times New Roman" w:cs="Arial"/>
          <w:color w:val="auto"/>
          <w:sz w:val="20"/>
          <w:szCs w:val="20"/>
          <w:lang w:eastAsia="en-GB"/>
        </w:rPr>
        <w:t xml:space="preserve">). </w:t>
      </w:r>
      <w:r w:rsidRPr="00E85B9B">
        <w:rPr>
          <w:rFonts w:eastAsia="Times New Roman" w:cs="Arial"/>
          <w:color w:val="auto"/>
          <w:sz w:val="20"/>
          <w:szCs w:val="20"/>
          <w:lang w:eastAsia="en-GB"/>
        </w:rPr>
        <w:t xml:space="preserve"> The actual return on Fund assets over the year may be different.</w:t>
      </w:r>
    </w:p>
    <w:p w:rsidR="00407D28" w:rsidRPr="0005794A" w:rsidRDefault="00407D28" w:rsidP="007849CA">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407D28" w:rsidRPr="00E85B9B" w:rsidRDefault="00407D28" w:rsidP="007849CA">
      <w:pPr>
        <w:autoSpaceDE w:val="0"/>
        <w:autoSpaceDN w:val="0"/>
        <w:adjustRightInd w:val="0"/>
        <w:spacing w:after="0" w:line="240" w:lineRule="auto"/>
        <w:ind w:left="567"/>
        <w:rPr>
          <w:rFonts w:eastAsia="Times New Roman" w:cs="Arial"/>
          <w:color w:val="auto"/>
          <w:sz w:val="20"/>
          <w:szCs w:val="20"/>
          <w:lang w:eastAsia="en-GB"/>
        </w:rPr>
      </w:pPr>
      <w:r w:rsidRPr="00E85B9B">
        <w:rPr>
          <w:rFonts w:eastAsia="Times New Roman" w:cs="Arial"/>
          <w:color w:val="auto"/>
          <w:sz w:val="20"/>
          <w:szCs w:val="20"/>
          <w:lang w:eastAsia="en-GB"/>
        </w:rPr>
        <w:t>The estimated ass</w:t>
      </w:r>
      <w:r w:rsidR="001D5D6D" w:rsidRPr="00E85B9B">
        <w:rPr>
          <w:rFonts w:eastAsia="Times New Roman" w:cs="Arial"/>
          <w:color w:val="auto"/>
          <w:sz w:val="20"/>
          <w:szCs w:val="20"/>
          <w:lang w:eastAsia="en-GB"/>
        </w:rPr>
        <w:t>e</w:t>
      </w:r>
      <w:r w:rsidRPr="00E85B9B">
        <w:rPr>
          <w:rFonts w:eastAsia="Times New Roman" w:cs="Arial"/>
          <w:color w:val="auto"/>
          <w:sz w:val="20"/>
          <w:szCs w:val="20"/>
          <w:lang w:eastAsia="en-GB"/>
        </w:rPr>
        <w:t>t allocation for Torbay Council as at 31st March 201</w:t>
      </w:r>
      <w:r w:rsidR="00E85B9B" w:rsidRPr="00E85B9B">
        <w:rPr>
          <w:rFonts w:eastAsia="Times New Roman" w:cs="Arial"/>
          <w:color w:val="auto"/>
          <w:sz w:val="20"/>
          <w:szCs w:val="20"/>
          <w:lang w:eastAsia="en-GB"/>
        </w:rPr>
        <w:t>8</w:t>
      </w:r>
      <w:r w:rsidRPr="00E85B9B">
        <w:rPr>
          <w:rFonts w:eastAsia="Times New Roman" w:cs="Arial"/>
          <w:color w:val="auto"/>
          <w:sz w:val="20"/>
          <w:szCs w:val="20"/>
          <w:lang w:eastAsia="en-GB"/>
        </w:rPr>
        <w:t xml:space="preserve"> </w:t>
      </w:r>
      <w:r w:rsidR="00E2444E" w:rsidRPr="00E85B9B">
        <w:rPr>
          <w:rFonts w:eastAsia="Times New Roman" w:cs="Arial"/>
          <w:color w:val="auto"/>
          <w:sz w:val="20"/>
          <w:szCs w:val="20"/>
          <w:lang w:eastAsia="en-GB"/>
        </w:rPr>
        <w:t xml:space="preserve">(7% of total fund) </w:t>
      </w:r>
      <w:r w:rsidRPr="00E85B9B">
        <w:rPr>
          <w:rFonts w:eastAsia="Times New Roman" w:cs="Arial"/>
          <w:color w:val="auto"/>
          <w:sz w:val="20"/>
          <w:szCs w:val="20"/>
          <w:lang w:eastAsia="en-GB"/>
        </w:rPr>
        <w:t>is as follows:</w:t>
      </w:r>
    </w:p>
    <w:p w:rsidR="00407D28" w:rsidRPr="0005794A" w:rsidRDefault="00407D28" w:rsidP="007849CA">
      <w:pPr>
        <w:autoSpaceDE w:val="0"/>
        <w:autoSpaceDN w:val="0"/>
        <w:adjustRightInd w:val="0"/>
        <w:spacing w:after="0" w:line="240" w:lineRule="auto"/>
        <w:ind w:left="567"/>
        <w:rPr>
          <w:rFonts w:eastAsia="Times New Roman" w:cs="Arial"/>
          <w:color w:val="548DD4" w:themeColor="text2" w:themeTint="99"/>
          <w:sz w:val="20"/>
          <w:szCs w:val="20"/>
        </w:rPr>
      </w:pPr>
    </w:p>
    <w:p w:rsidR="00AC2ADF" w:rsidRPr="0005794A" w:rsidRDefault="00AC2ADF" w:rsidP="007849CA">
      <w:pPr>
        <w:autoSpaceDE w:val="0"/>
        <w:autoSpaceDN w:val="0"/>
        <w:adjustRightInd w:val="0"/>
        <w:spacing w:after="0" w:line="240" w:lineRule="auto"/>
        <w:ind w:left="567"/>
        <w:rPr>
          <w:rFonts w:eastAsia="Times New Roman" w:cs="Arial"/>
          <w:color w:val="548DD4" w:themeColor="text2" w:themeTint="99"/>
          <w:sz w:val="20"/>
          <w:szCs w:val="20"/>
        </w:rPr>
      </w:pPr>
    </w:p>
    <w:tbl>
      <w:tblPr>
        <w:tblStyle w:val="ListTable3-Accent51"/>
        <w:tblW w:w="8222" w:type="dxa"/>
        <w:tblInd w:w="675" w:type="dxa"/>
        <w:tblLayout w:type="fixed"/>
        <w:tblLook w:val="0000" w:firstRow="0" w:lastRow="0" w:firstColumn="0" w:lastColumn="0" w:noHBand="0" w:noVBand="0"/>
      </w:tblPr>
      <w:tblGrid>
        <w:gridCol w:w="1276"/>
        <w:gridCol w:w="851"/>
        <w:gridCol w:w="3827"/>
        <w:gridCol w:w="1276"/>
        <w:gridCol w:w="992"/>
      </w:tblGrid>
      <w:tr w:rsidR="00B206FD" w:rsidRPr="0005794A" w:rsidTr="00B206FD">
        <w:trPr>
          <w:trHeight w:val="60"/>
          <w:tblHeader/>
        </w:trPr>
        <w:tc>
          <w:tcPr>
            <w:cnfStyle w:val="000010000000" w:firstRow="0" w:lastRow="0" w:firstColumn="0" w:lastColumn="0" w:oddVBand="1" w:evenVBand="0" w:oddHBand="0" w:evenHBand="0" w:firstRowFirstColumn="0" w:firstRowLastColumn="0" w:lastRowFirstColumn="0" w:lastRowLastColumn="0"/>
            <w:tcW w:w="2127" w:type="dxa"/>
            <w:gridSpan w:val="2"/>
            <w:shd w:val="clear" w:color="auto" w:fill="4BACC6" w:themeFill="accent5"/>
          </w:tcPr>
          <w:p w:rsidR="00B206FD" w:rsidRPr="00A1319B" w:rsidRDefault="00B206FD" w:rsidP="0019078B">
            <w:pPr>
              <w:pStyle w:val="TableRightBold"/>
              <w:jc w:val="center"/>
              <w:rPr>
                <w:rFonts w:ascii="Arial" w:hAnsi="Arial" w:cs="Arial"/>
                <w:color w:val="auto"/>
              </w:rPr>
            </w:pPr>
            <w:r w:rsidRPr="00A1319B">
              <w:rPr>
                <w:rStyle w:val="Bold"/>
                <w:rFonts w:ascii="Arial" w:hAnsi="Arial" w:cs="Arial"/>
                <w:bCs w:val="0"/>
                <w:color w:val="auto"/>
                <w:lang w:val="en-GB"/>
              </w:rPr>
              <w:t>31st  March 201</w:t>
            </w:r>
            <w:r w:rsidR="00A1319B" w:rsidRPr="00A1319B">
              <w:rPr>
                <w:rStyle w:val="Bold"/>
                <w:rFonts w:ascii="Arial" w:hAnsi="Arial" w:cs="Arial"/>
                <w:bCs w:val="0"/>
                <w:color w:val="auto"/>
                <w:lang w:val="en-GB"/>
              </w:rPr>
              <w:t>7</w:t>
            </w:r>
          </w:p>
        </w:tc>
        <w:tc>
          <w:tcPr>
            <w:tcW w:w="3827" w:type="dxa"/>
            <w:shd w:val="clear" w:color="auto" w:fill="4BACC6" w:themeFill="accent5"/>
          </w:tcPr>
          <w:p w:rsidR="00B206FD" w:rsidRPr="00A1319B" w:rsidRDefault="00B206FD" w:rsidP="00F60BC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268" w:type="dxa"/>
            <w:gridSpan w:val="2"/>
            <w:shd w:val="clear" w:color="auto" w:fill="4BACC6" w:themeFill="accent5"/>
          </w:tcPr>
          <w:p w:rsidR="00B206FD" w:rsidRPr="00A1319B" w:rsidRDefault="00B206FD" w:rsidP="00760B1B">
            <w:pPr>
              <w:pStyle w:val="TableRightBold"/>
              <w:jc w:val="center"/>
              <w:rPr>
                <w:rFonts w:ascii="Arial" w:hAnsi="Arial" w:cs="Arial"/>
                <w:color w:val="auto"/>
              </w:rPr>
            </w:pPr>
            <w:r w:rsidRPr="00A1319B">
              <w:rPr>
                <w:rStyle w:val="Bold"/>
                <w:rFonts w:ascii="Arial" w:hAnsi="Arial" w:cs="Arial"/>
                <w:b/>
                <w:bCs w:val="0"/>
                <w:color w:val="auto"/>
                <w:lang w:val="en-GB"/>
              </w:rPr>
              <w:t>31</w:t>
            </w:r>
            <w:r w:rsidRPr="00A1319B">
              <w:rPr>
                <w:rStyle w:val="Bold"/>
                <w:rFonts w:ascii="Arial" w:hAnsi="Arial" w:cs="Arial"/>
                <w:b/>
                <w:bCs w:val="0"/>
                <w:color w:val="auto"/>
                <w:vertAlign w:val="superscript"/>
                <w:lang w:val="en-GB"/>
              </w:rPr>
              <w:t>st</w:t>
            </w:r>
            <w:r w:rsidRPr="00A1319B">
              <w:rPr>
                <w:rStyle w:val="Bold"/>
                <w:rFonts w:ascii="Arial" w:hAnsi="Arial" w:cs="Arial"/>
                <w:b/>
                <w:bCs w:val="0"/>
                <w:color w:val="auto"/>
                <w:lang w:val="en-GB"/>
              </w:rPr>
              <w:t xml:space="preserve"> March 201</w:t>
            </w:r>
            <w:r w:rsidR="00A1319B" w:rsidRPr="00A1319B">
              <w:rPr>
                <w:rStyle w:val="Bold"/>
                <w:rFonts w:ascii="Arial" w:hAnsi="Arial" w:cs="Arial"/>
                <w:b/>
                <w:bCs w:val="0"/>
                <w:color w:val="auto"/>
                <w:lang w:val="en-GB"/>
              </w:rPr>
              <w:t>8</w:t>
            </w:r>
            <w:r w:rsidRPr="00A1319B">
              <w:rPr>
                <w:rStyle w:val="Bold"/>
                <w:rFonts w:ascii="Arial" w:hAnsi="Arial" w:cs="Arial"/>
                <w:b/>
                <w:bCs w:val="0"/>
                <w:color w:val="auto"/>
                <w:lang w:val="en-GB"/>
              </w:rPr>
              <w:t xml:space="preserve"> </w:t>
            </w:r>
          </w:p>
        </w:tc>
      </w:tr>
      <w:tr w:rsidR="00B206FD" w:rsidRPr="0005794A" w:rsidTr="00B206FD">
        <w:trPr>
          <w:trHeight w:val="60"/>
          <w:tblHeader/>
        </w:trPr>
        <w:tc>
          <w:tcPr>
            <w:cnfStyle w:val="000010000000" w:firstRow="0" w:lastRow="0" w:firstColumn="0" w:lastColumn="0" w:oddVBand="1" w:evenVBand="0" w:oddHBand="0" w:evenHBand="0" w:firstRowFirstColumn="0" w:firstRowLastColumn="0" w:lastRowFirstColumn="0" w:lastRowLastColumn="0"/>
            <w:tcW w:w="1276" w:type="dxa"/>
            <w:shd w:val="clear" w:color="auto" w:fill="4BACC6" w:themeFill="accent5"/>
          </w:tcPr>
          <w:p w:rsidR="00B206FD" w:rsidRPr="00A1319B" w:rsidRDefault="00B206FD" w:rsidP="00A67EFA">
            <w:pPr>
              <w:pStyle w:val="TableRightBold"/>
              <w:spacing w:line="240" w:lineRule="auto"/>
              <w:jc w:val="center"/>
              <w:rPr>
                <w:rStyle w:val="Bold"/>
                <w:rFonts w:ascii="Arial" w:hAnsi="Arial" w:cs="Arial"/>
                <w:bCs w:val="0"/>
                <w:color w:val="auto"/>
                <w:lang w:val="en-GB"/>
              </w:rPr>
            </w:pPr>
            <w:r w:rsidRPr="00A1319B">
              <w:rPr>
                <w:rStyle w:val="Bold"/>
                <w:rFonts w:ascii="Arial" w:hAnsi="Arial" w:cs="Arial"/>
                <w:bCs w:val="0"/>
                <w:color w:val="auto"/>
                <w:lang w:val="en-GB"/>
              </w:rPr>
              <w:t>£m</w:t>
            </w:r>
          </w:p>
        </w:tc>
        <w:tc>
          <w:tcPr>
            <w:tcW w:w="851" w:type="dxa"/>
            <w:shd w:val="clear" w:color="auto" w:fill="4BACC6" w:themeFill="accent5"/>
          </w:tcPr>
          <w:p w:rsidR="00B206FD" w:rsidRPr="00A1319B" w:rsidRDefault="00B206FD" w:rsidP="00A67EFA">
            <w:pPr>
              <w:pStyle w:val="TableRightBold"/>
              <w:spacing w:line="240" w:lineRule="auto"/>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Cs w:val="0"/>
                <w:color w:val="auto"/>
                <w:lang w:val="en-GB"/>
              </w:rPr>
            </w:pPr>
            <w:r w:rsidRPr="00A1319B">
              <w:rPr>
                <w:rStyle w:val="Bold"/>
                <w:rFonts w:ascii="Arial" w:hAnsi="Arial" w:cs="Arial"/>
                <w:bCs w:val="0"/>
                <w:color w:val="auto"/>
                <w:lang w:val="en-GB"/>
              </w:rPr>
              <w:t>%</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4BACC6" w:themeFill="accent5"/>
          </w:tcPr>
          <w:p w:rsidR="00B206FD" w:rsidRPr="00A1319B" w:rsidRDefault="00B206FD" w:rsidP="00B206FD">
            <w:pPr>
              <w:pStyle w:val="TableRightBold"/>
              <w:spacing w:line="240" w:lineRule="auto"/>
              <w:jc w:val="center"/>
              <w:rPr>
                <w:rStyle w:val="Bold"/>
                <w:rFonts w:ascii="Arial" w:hAnsi="Arial" w:cs="Arial"/>
                <w:bCs w:val="0"/>
                <w:color w:val="auto"/>
                <w:lang w:val="en-GB"/>
              </w:rPr>
            </w:pPr>
          </w:p>
        </w:tc>
        <w:tc>
          <w:tcPr>
            <w:tcW w:w="1276" w:type="dxa"/>
            <w:shd w:val="clear" w:color="auto" w:fill="4BACC6" w:themeFill="accent5"/>
          </w:tcPr>
          <w:p w:rsidR="00B206FD" w:rsidRPr="00A1319B" w:rsidRDefault="00B206FD" w:rsidP="00B206FD">
            <w:pPr>
              <w:pStyle w:val="TableRightBold"/>
              <w:spacing w:line="240" w:lineRule="auto"/>
              <w:jc w:val="center"/>
              <w:cnfStyle w:val="000000000000" w:firstRow="0" w:lastRow="0" w:firstColumn="0" w:lastColumn="0" w:oddVBand="0" w:evenVBand="0" w:oddHBand="0" w:evenHBand="0" w:firstRowFirstColumn="0" w:firstRowLastColumn="0" w:lastRowFirstColumn="0" w:lastRowLastColumn="0"/>
              <w:rPr>
                <w:rStyle w:val="Bold"/>
                <w:rFonts w:ascii="Arial" w:hAnsi="Arial" w:cs="Arial"/>
                <w:bCs w:val="0"/>
                <w:color w:val="auto"/>
                <w:lang w:val="en-GB"/>
              </w:rPr>
            </w:pPr>
            <w:r w:rsidRPr="00A1319B">
              <w:rPr>
                <w:rStyle w:val="Bold"/>
                <w:rFonts w:ascii="Arial" w:hAnsi="Arial" w:cs="Arial"/>
                <w:bCs w:val="0"/>
                <w:color w:val="auto"/>
                <w:lang w:val="en-GB"/>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BACC6" w:themeFill="accent5"/>
          </w:tcPr>
          <w:p w:rsidR="00B206FD" w:rsidRPr="00A1319B" w:rsidRDefault="00B206FD" w:rsidP="000401DE">
            <w:pPr>
              <w:pStyle w:val="TableRightBold"/>
              <w:spacing w:line="240" w:lineRule="auto"/>
              <w:jc w:val="center"/>
              <w:rPr>
                <w:rStyle w:val="Bold"/>
                <w:rFonts w:ascii="Arial" w:hAnsi="Arial" w:cs="Arial"/>
                <w:bCs w:val="0"/>
                <w:color w:val="auto"/>
                <w:lang w:val="en-GB"/>
              </w:rPr>
            </w:pPr>
            <w:r w:rsidRPr="00A1319B">
              <w:rPr>
                <w:rStyle w:val="Bold"/>
                <w:rFonts w:ascii="Arial" w:hAnsi="Arial" w:cs="Arial"/>
                <w:bCs w:val="0"/>
                <w:color w:val="auto"/>
                <w:lang w:val="en-GB"/>
              </w:rPr>
              <w:t>%</w:t>
            </w:r>
          </w:p>
        </w:tc>
      </w:tr>
      <w:tr w:rsidR="00A1319B" w:rsidRPr="0005794A"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8.2</w:t>
            </w:r>
          </w:p>
        </w:tc>
        <w:tc>
          <w:tcPr>
            <w:tcW w:w="851" w:type="dxa"/>
          </w:tcPr>
          <w:p w:rsidR="00A1319B" w:rsidRPr="00A1319B" w:rsidRDefault="00A1319B"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3</w:t>
            </w:r>
          </w:p>
        </w:tc>
        <w:tc>
          <w:tcPr>
            <w:cnfStyle w:val="000010000000" w:firstRow="0" w:lastRow="0" w:firstColumn="0" w:lastColumn="0" w:oddVBand="1" w:evenVBand="0" w:oddHBand="0" w:evenHBand="0" w:firstRowFirstColumn="0" w:firstRowLastColumn="0" w:lastRowFirstColumn="0" w:lastRowLastColumn="0"/>
            <w:tcW w:w="3827" w:type="dxa"/>
          </w:tcPr>
          <w:p w:rsidR="00A1319B" w:rsidRPr="00A1319B" w:rsidRDefault="00A1319B" w:rsidP="000401DE">
            <w:pPr>
              <w:pStyle w:val="TableText"/>
              <w:spacing w:before="0" w:line="240" w:lineRule="auto"/>
              <w:rPr>
                <w:rFonts w:ascii="Arial" w:hAnsi="Arial" w:cs="Arial"/>
                <w:color w:val="auto"/>
              </w:rPr>
            </w:pPr>
            <w:r w:rsidRPr="00A1319B">
              <w:rPr>
                <w:rFonts w:ascii="Arial" w:hAnsi="Arial" w:cs="Arial"/>
                <w:color w:val="auto"/>
              </w:rPr>
              <w:t>Gilts</w:t>
            </w:r>
          </w:p>
        </w:tc>
        <w:tc>
          <w:tcPr>
            <w:tcW w:w="1276" w:type="dxa"/>
          </w:tcPr>
          <w:p w:rsidR="00A1319B" w:rsidRPr="00A1319B" w:rsidRDefault="00E85B9B" w:rsidP="00233D64">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8.8</w:t>
            </w:r>
          </w:p>
        </w:tc>
        <w:tc>
          <w:tcPr>
            <w:cnfStyle w:val="000010000000" w:firstRow="0" w:lastRow="0" w:firstColumn="0" w:lastColumn="0" w:oddVBand="1" w:evenVBand="0" w:oddHBand="0" w:evenHBand="0" w:firstRowFirstColumn="0" w:firstRowLastColumn="0" w:lastRowFirstColumn="0" w:lastRowLastColumn="0"/>
            <w:tcW w:w="992" w:type="dxa"/>
          </w:tcPr>
          <w:p w:rsidR="00A1319B" w:rsidRPr="00A1319B" w:rsidRDefault="00E85B9B" w:rsidP="00097F9F">
            <w:pPr>
              <w:pStyle w:val="TableRight"/>
              <w:spacing w:before="0" w:line="240" w:lineRule="auto"/>
              <w:jc w:val="center"/>
              <w:rPr>
                <w:rFonts w:ascii="Arial" w:hAnsi="Arial" w:cs="Arial"/>
                <w:color w:val="auto"/>
              </w:rPr>
            </w:pPr>
            <w:r>
              <w:rPr>
                <w:rFonts w:ascii="Arial" w:hAnsi="Arial" w:cs="Arial"/>
                <w:color w:val="auto"/>
              </w:rPr>
              <w:t>3</w:t>
            </w:r>
          </w:p>
        </w:tc>
      </w:tr>
      <w:tr w:rsidR="00A1319B" w:rsidRPr="0005794A" w:rsidTr="00B206FD">
        <w:trPr>
          <w:trHeight w:val="60"/>
        </w:trPr>
        <w:tc>
          <w:tcPr>
            <w:cnfStyle w:val="000010000000" w:firstRow="0" w:lastRow="0" w:firstColumn="0" w:lastColumn="0" w:oddVBand="1" w:evenVBand="0" w:oddHBand="0" w:evenHBand="0" w:firstRowFirstColumn="0" w:firstRowLastColumn="0" w:lastRowFirstColumn="0" w:lastRowLastColumn="0"/>
            <w:tcW w:w="1276"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65.8</w:t>
            </w:r>
          </w:p>
        </w:tc>
        <w:tc>
          <w:tcPr>
            <w:tcW w:w="851" w:type="dxa"/>
          </w:tcPr>
          <w:p w:rsidR="00A1319B" w:rsidRPr="00A1319B" w:rsidRDefault="00A1319B"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24</w:t>
            </w:r>
          </w:p>
        </w:tc>
        <w:tc>
          <w:tcPr>
            <w:cnfStyle w:val="000010000000" w:firstRow="0" w:lastRow="0" w:firstColumn="0" w:lastColumn="0" w:oddVBand="1" w:evenVBand="0" w:oddHBand="0" w:evenHBand="0" w:firstRowFirstColumn="0" w:firstRowLastColumn="0" w:lastRowFirstColumn="0" w:lastRowLastColumn="0"/>
            <w:tcW w:w="3827" w:type="dxa"/>
          </w:tcPr>
          <w:p w:rsidR="00A1319B" w:rsidRPr="00A1319B" w:rsidRDefault="00A1319B" w:rsidP="000401DE">
            <w:pPr>
              <w:pStyle w:val="TableText"/>
              <w:spacing w:before="0" w:line="240" w:lineRule="auto"/>
              <w:rPr>
                <w:rFonts w:ascii="Arial" w:hAnsi="Arial" w:cs="Arial"/>
                <w:color w:val="auto"/>
              </w:rPr>
            </w:pPr>
            <w:r w:rsidRPr="00A1319B">
              <w:rPr>
                <w:rFonts w:ascii="Arial" w:hAnsi="Arial" w:cs="Arial"/>
                <w:color w:val="auto"/>
              </w:rPr>
              <w:t>UK Equities</w:t>
            </w:r>
          </w:p>
        </w:tc>
        <w:tc>
          <w:tcPr>
            <w:tcW w:w="1276" w:type="dxa"/>
          </w:tcPr>
          <w:p w:rsidR="00A1319B" w:rsidRPr="00A1319B" w:rsidRDefault="00E85B9B" w:rsidP="00233D64">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60.1</w:t>
            </w:r>
          </w:p>
        </w:tc>
        <w:tc>
          <w:tcPr>
            <w:cnfStyle w:val="000010000000" w:firstRow="0" w:lastRow="0" w:firstColumn="0" w:lastColumn="0" w:oddVBand="1" w:evenVBand="0" w:oddHBand="0" w:evenHBand="0" w:firstRowFirstColumn="0" w:firstRowLastColumn="0" w:lastRowFirstColumn="0" w:lastRowLastColumn="0"/>
            <w:tcW w:w="992" w:type="dxa"/>
          </w:tcPr>
          <w:p w:rsidR="00A1319B" w:rsidRPr="00A1319B" w:rsidRDefault="00E85B9B" w:rsidP="00233D64">
            <w:pPr>
              <w:pStyle w:val="TableRight"/>
              <w:spacing w:before="0" w:line="240" w:lineRule="auto"/>
              <w:jc w:val="center"/>
              <w:rPr>
                <w:rFonts w:ascii="Arial" w:hAnsi="Arial" w:cs="Arial"/>
                <w:color w:val="auto"/>
              </w:rPr>
            </w:pPr>
            <w:r>
              <w:rPr>
                <w:rFonts w:ascii="Arial" w:hAnsi="Arial" w:cs="Arial"/>
                <w:color w:val="auto"/>
              </w:rPr>
              <w:t>21</w:t>
            </w:r>
          </w:p>
        </w:tc>
      </w:tr>
      <w:tr w:rsidR="00A1319B" w:rsidRPr="0005794A"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95.2</w:t>
            </w:r>
          </w:p>
        </w:tc>
        <w:tc>
          <w:tcPr>
            <w:tcW w:w="851" w:type="dxa"/>
          </w:tcPr>
          <w:p w:rsidR="00A1319B" w:rsidRPr="00A1319B" w:rsidRDefault="00A1319B"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35</w:t>
            </w:r>
          </w:p>
        </w:tc>
        <w:tc>
          <w:tcPr>
            <w:cnfStyle w:val="000010000000" w:firstRow="0" w:lastRow="0" w:firstColumn="0" w:lastColumn="0" w:oddVBand="1" w:evenVBand="0" w:oddHBand="0" w:evenHBand="0" w:firstRowFirstColumn="0" w:firstRowLastColumn="0" w:lastRowFirstColumn="0" w:lastRowLastColumn="0"/>
            <w:tcW w:w="3827" w:type="dxa"/>
          </w:tcPr>
          <w:p w:rsidR="00A1319B" w:rsidRPr="00A1319B" w:rsidRDefault="00A1319B" w:rsidP="000401DE">
            <w:pPr>
              <w:pStyle w:val="TableText"/>
              <w:spacing w:before="0" w:line="240" w:lineRule="auto"/>
              <w:rPr>
                <w:rFonts w:ascii="Arial" w:hAnsi="Arial" w:cs="Arial"/>
                <w:color w:val="auto"/>
              </w:rPr>
            </w:pPr>
            <w:r w:rsidRPr="00A1319B">
              <w:rPr>
                <w:rFonts w:ascii="Arial" w:hAnsi="Arial" w:cs="Arial"/>
                <w:color w:val="auto"/>
              </w:rPr>
              <w:t>Overseas Equities</w:t>
            </w:r>
          </w:p>
        </w:tc>
        <w:tc>
          <w:tcPr>
            <w:tcW w:w="1276" w:type="dxa"/>
          </w:tcPr>
          <w:p w:rsidR="00A1319B" w:rsidRPr="00A1319B" w:rsidRDefault="00E85B9B" w:rsidP="00E85B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103.7</w:t>
            </w:r>
          </w:p>
        </w:tc>
        <w:tc>
          <w:tcPr>
            <w:cnfStyle w:val="000010000000" w:firstRow="0" w:lastRow="0" w:firstColumn="0" w:lastColumn="0" w:oddVBand="1" w:evenVBand="0" w:oddHBand="0" w:evenHBand="0" w:firstRowFirstColumn="0" w:firstRowLastColumn="0" w:lastRowFirstColumn="0" w:lastRowLastColumn="0"/>
            <w:tcW w:w="992" w:type="dxa"/>
          </w:tcPr>
          <w:p w:rsidR="00A1319B" w:rsidRPr="00A1319B" w:rsidRDefault="00E85B9B" w:rsidP="00233D64">
            <w:pPr>
              <w:pStyle w:val="TableRight"/>
              <w:spacing w:before="0" w:line="240" w:lineRule="auto"/>
              <w:jc w:val="center"/>
              <w:rPr>
                <w:rFonts w:ascii="Arial" w:hAnsi="Arial" w:cs="Arial"/>
                <w:color w:val="auto"/>
              </w:rPr>
            </w:pPr>
            <w:r>
              <w:rPr>
                <w:rFonts w:ascii="Arial" w:hAnsi="Arial" w:cs="Arial"/>
                <w:color w:val="auto"/>
              </w:rPr>
              <w:t>37</w:t>
            </w:r>
          </w:p>
        </w:tc>
      </w:tr>
      <w:tr w:rsidR="00A1319B" w:rsidRPr="0005794A" w:rsidTr="00B206FD">
        <w:trPr>
          <w:trHeight w:val="60"/>
        </w:trPr>
        <w:tc>
          <w:tcPr>
            <w:cnfStyle w:val="000010000000" w:firstRow="0" w:lastRow="0" w:firstColumn="0" w:lastColumn="0" w:oddVBand="1" w:evenVBand="0" w:oddHBand="0" w:evenHBand="0" w:firstRowFirstColumn="0" w:firstRowLastColumn="0" w:lastRowFirstColumn="0" w:lastRowLastColumn="0"/>
            <w:tcW w:w="1276"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23.9</w:t>
            </w:r>
          </w:p>
        </w:tc>
        <w:tc>
          <w:tcPr>
            <w:tcW w:w="851" w:type="dxa"/>
          </w:tcPr>
          <w:p w:rsidR="00A1319B" w:rsidRPr="00A1319B" w:rsidRDefault="00A1319B"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9</w:t>
            </w:r>
          </w:p>
        </w:tc>
        <w:tc>
          <w:tcPr>
            <w:cnfStyle w:val="000010000000" w:firstRow="0" w:lastRow="0" w:firstColumn="0" w:lastColumn="0" w:oddVBand="1" w:evenVBand="0" w:oddHBand="0" w:evenHBand="0" w:firstRowFirstColumn="0" w:firstRowLastColumn="0" w:lastRowFirstColumn="0" w:lastRowLastColumn="0"/>
            <w:tcW w:w="3827" w:type="dxa"/>
          </w:tcPr>
          <w:p w:rsidR="00A1319B" w:rsidRPr="00A1319B" w:rsidRDefault="00A1319B" w:rsidP="000401DE">
            <w:pPr>
              <w:pStyle w:val="TableText"/>
              <w:spacing w:before="0" w:line="240" w:lineRule="auto"/>
              <w:rPr>
                <w:rFonts w:ascii="Arial" w:hAnsi="Arial" w:cs="Arial"/>
                <w:color w:val="auto"/>
              </w:rPr>
            </w:pPr>
            <w:r w:rsidRPr="00A1319B">
              <w:rPr>
                <w:rFonts w:ascii="Arial" w:hAnsi="Arial" w:cs="Arial"/>
                <w:color w:val="auto"/>
              </w:rPr>
              <w:t>Property</w:t>
            </w:r>
          </w:p>
        </w:tc>
        <w:tc>
          <w:tcPr>
            <w:tcW w:w="1276" w:type="dxa"/>
          </w:tcPr>
          <w:p w:rsidR="00A1319B" w:rsidRPr="00A1319B" w:rsidRDefault="00E85B9B" w:rsidP="009B3D38">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26.1</w:t>
            </w:r>
          </w:p>
        </w:tc>
        <w:tc>
          <w:tcPr>
            <w:cnfStyle w:val="000010000000" w:firstRow="0" w:lastRow="0" w:firstColumn="0" w:lastColumn="0" w:oddVBand="1" w:evenVBand="0" w:oddHBand="0" w:evenHBand="0" w:firstRowFirstColumn="0" w:firstRowLastColumn="0" w:lastRowFirstColumn="0" w:lastRowLastColumn="0"/>
            <w:tcW w:w="992" w:type="dxa"/>
          </w:tcPr>
          <w:p w:rsidR="00A1319B" w:rsidRPr="00A1319B" w:rsidRDefault="00E85B9B" w:rsidP="00233D64">
            <w:pPr>
              <w:pStyle w:val="TableRight"/>
              <w:spacing w:before="0" w:line="240" w:lineRule="auto"/>
              <w:jc w:val="center"/>
              <w:rPr>
                <w:rFonts w:ascii="Arial" w:hAnsi="Arial" w:cs="Arial"/>
                <w:color w:val="auto"/>
              </w:rPr>
            </w:pPr>
            <w:r>
              <w:rPr>
                <w:rFonts w:ascii="Arial" w:hAnsi="Arial" w:cs="Arial"/>
                <w:color w:val="auto"/>
              </w:rPr>
              <w:t>9</w:t>
            </w:r>
          </w:p>
        </w:tc>
      </w:tr>
      <w:tr w:rsidR="00A1319B" w:rsidRPr="0005794A"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10.7</w:t>
            </w:r>
          </w:p>
        </w:tc>
        <w:tc>
          <w:tcPr>
            <w:tcW w:w="851" w:type="dxa"/>
          </w:tcPr>
          <w:p w:rsidR="00A1319B" w:rsidRPr="00A1319B" w:rsidRDefault="00A1319B"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4</w:t>
            </w:r>
          </w:p>
        </w:tc>
        <w:tc>
          <w:tcPr>
            <w:cnfStyle w:val="000010000000" w:firstRow="0" w:lastRow="0" w:firstColumn="0" w:lastColumn="0" w:oddVBand="1" w:evenVBand="0" w:oddHBand="0" w:evenHBand="0" w:firstRowFirstColumn="0" w:firstRowLastColumn="0" w:lastRowFirstColumn="0" w:lastRowLastColumn="0"/>
            <w:tcW w:w="3827" w:type="dxa"/>
          </w:tcPr>
          <w:p w:rsidR="00A1319B" w:rsidRPr="00A1319B" w:rsidRDefault="00A1319B" w:rsidP="000401DE">
            <w:pPr>
              <w:pStyle w:val="TableText"/>
              <w:spacing w:before="0" w:line="240" w:lineRule="auto"/>
              <w:rPr>
                <w:rFonts w:ascii="Arial" w:hAnsi="Arial" w:cs="Arial"/>
                <w:color w:val="auto"/>
              </w:rPr>
            </w:pPr>
            <w:r w:rsidRPr="00A1319B">
              <w:rPr>
                <w:rFonts w:ascii="Arial" w:hAnsi="Arial" w:cs="Arial"/>
                <w:color w:val="auto"/>
              </w:rPr>
              <w:t>Infrastructure</w:t>
            </w:r>
          </w:p>
        </w:tc>
        <w:tc>
          <w:tcPr>
            <w:tcW w:w="1276" w:type="dxa"/>
          </w:tcPr>
          <w:p w:rsidR="00A1319B" w:rsidRPr="00A1319B" w:rsidRDefault="00E85B9B" w:rsidP="00233D64">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10.1</w:t>
            </w:r>
          </w:p>
        </w:tc>
        <w:tc>
          <w:tcPr>
            <w:cnfStyle w:val="000010000000" w:firstRow="0" w:lastRow="0" w:firstColumn="0" w:lastColumn="0" w:oddVBand="1" w:evenVBand="0" w:oddHBand="0" w:evenHBand="0" w:firstRowFirstColumn="0" w:firstRowLastColumn="0" w:lastRowFirstColumn="0" w:lastRowLastColumn="0"/>
            <w:tcW w:w="992" w:type="dxa"/>
          </w:tcPr>
          <w:p w:rsidR="00A1319B" w:rsidRPr="00A1319B" w:rsidRDefault="00E85B9B" w:rsidP="00233D64">
            <w:pPr>
              <w:pStyle w:val="TableRight"/>
              <w:spacing w:before="0" w:line="240" w:lineRule="auto"/>
              <w:jc w:val="center"/>
              <w:rPr>
                <w:rFonts w:ascii="Arial" w:hAnsi="Arial" w:cs="Arial"/>
                <w:color w:val="auto"/>
              </w:rPr>
            </w:pPr>
            <w:r>
              <w:rPr>
                <w:rFonts w:ascii="Arial" w:hAnsi="Arial" w:cs="Arial"/>
                <w:color w:val="auto"/>
              </w:rPr>
              <w:t>4</w:t>
            </w:r>
          </w:p>
        </w:tc>
      </w:tr>
      <w:tr w:rsidR="00A1319B" w:rsidRPr="0005794A" w:rsidTr="00B206FD">
        <w:trPr>
          <w:trHeight w:val="60"/>
        </w:trPr>
        <w:tc>
          <w:tcPr>
            <w:cnfStyle w:val="000010000000" w:firstRow="0" w:lastRow="0" w:firstColumn="0" w:lastColumn="0" w:oddVBand="1" w:evenVBand="0" w:oddHBand="0" w:evenHBand="0" w:firstRowFirstColumn="0" w:firstRowLastColumn="0" w:lastRowFirstColumn="0" w:lastRowLastColumn="0"/>
            <w:tcW w:w="1276"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40.6</w:t>
            </w:r>
          </w:p>
        </w:tc>
        <w:tc>
          <w:tcPr>
            <w:tcW w:w="851" w:type="dxa"/>
          </w:tcPr>
          <w:p w:rsidR="00A1319B" w:rsidRPr="00A1319B" w:rsidRDefault="00A1319B"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15</w:t>
            </w:r>
          </w:p>
        </w:tc>
        <w:tc>
          <w:tcPr>
            <w:cnfStyle w:val="000010000000" w:firstRow="0" w:lastRow="0" w:firstColumn="0" w:lastColumn="0" w:oddVBand="1" w:evenVBand="0" w:oddHBand="0" w:evenHBand="0" w:firstRowFirstColumn="0" w:firstRowLastColumn="0" w:lastRowFirstColumn="0" w:lastRowLastColumn="0"/>
            <w:tcW w:w="3827" w:type="dxa"/>
          </w:tcPr>
          <w:p w:rsidR="00A1319B" w:rsidRPr="00A1319B" w:rsidRDefault="00A1319B" w:rsidP="000401DE">
            <w:pPr>
              <w:pStyle w:val="TableText"/>
              <w:spacing w:before="0" w:line="240" w:lineRule="auto"/>
              <w:rPr>
                <w:rFonts w:ascii="Arial" w:hAnsi="Arial" w:cs="Arial"/>
                <w:color w:val="auto"/>
              </w:rPr>
            </w:pPr>
            <w:r w:rsidRPr="00A1319B">
              <w:rPr>
                <w:rFonts w:ascii="Arial" w:hAnsi="Arial" w:cs="Arial"/>
                <w:color w:val="auto"/>
              </w:rPr>
              <w:t>Target Return portfolio</w:t>
            </w:r>
          </w:p>
        </w:tc>
        <w:tc>
          <w:tcPr>
            <w:tcW w:w="1276" w:type="dxa"/>
          </w:tcPr>
          <w:p w:rsidR="00A1319B" w:rsidRPr="00A1319B" w:rsidRDefault="00E85B9B" w:rsidP="00233D64">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41.9</w:t>
            </w:r>
          </w:p>
        </w:tc>
        <w:tc>
          <w:tcPr>
            <w:cnfStyle w:val="000010000000" w:firstRow="0" w:lastRow="0" w:firstColumn="0" w:lastColumn="0" w:oddVBand="1" w:evenVBand="0" w:oddHBand="0" w:evenHBand="0" w:firstRowFirstColumn="0" w:firstRowLastColumn="0" w:lastRowFirstColumn="0" w:lastRowLastColumn="0"/>
            <w:tcW w:w="992" w:type="dxa"/>
          </w:tcPr>
          <w:p w:rsidR="00A1319B" w:rsidRPr="00A1319B" w:rsidRDefault="00E85B9B" w:rsidP="00097F9F">
            <w:pPr>
              <w:pStyle w:val="TableRight"/>
              <w:spacing w:before="0" w:line="240" w:lineRule="auto"/>
              <w:jc w:val="center"/>
              <w:rPr>
                <w:rFonts w:ascii="Arial" w:hAnsi="Arial" w:cs="Arial"/>
                <w:color w:val="auto"/>
              </w:rPr>
            </w:pPr>
            <w:r>
              <w:rPr>
                <w:rFonts w:ascii="Arial" w:hAnsi="Arial" w:cs="Arial"/>
                <w:color w:val="auto"/>
              </w:rPr>
              <w:t>15</w:t>
            </w:r>
          </w:p>
        </w:tc>
      </w:tr>
      <w:tr w:rsidR="00A1319B" w:rsidRPr="0005794A"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7.3</w:t>
            </w:r>
          </w:p>
        </w:tc>
        <w:tc>
          <w:tcPr>
            <w:tcW w:w="851" w:type="dxa"/>
          </w:tcPr>
          <w:p w:rsidR="00A1319B" w:rsidRPr="00A1319B" w:rsidRDefault="00A1319B"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3</w:t>
            </w:r>
          </w:p>
        </w:tc>
        <w:tc>
          <w:tcPr>
            <w:cnfStyle w:val="000010000000" w:firstRow="0" w:lastRow="0" w:firstColumn="0" w:lastColumn="0" w:oddVBand="1" w:evenVBand="0" w:oddHBand="0" w:evenHBand="0" w:firstRowFirstColumn="0" w:firstRowLastColumn="0" w:lastRowFirstColumn="0" w:lastRowLastColumn="0"/>
            <w:tcW w:w="3827" w:type="dxa"/>
          </w:tcPr>
          <w:p w:rsidR="00A1319B" w:rsidRPr="00A1319B" w:rsidRDefault="00A1319B" w:rsidP="000401DE">
            <w:pPr>
              <w:pStyle w:val="TableText"/>
              <w:spacing w:before="0" w:line="240" w:lineRule="auto"/>
              <w:rPr>
                <w:rFonts w:ascii="Arial" w:hAnsi="Arial" w:cs="Arial"/>
                <w:color w:val="auto"/>
              </w:rPr>
            </w:pPr>
            <w:r w:rsidRPr="00A1319B">
              <w:rPr>
                <w:rFonts w:ascii="Arial" w:hAnsi="Arial" w:cs="Arial"/>
                <w:color w:val="auto"/>
              </w:rPr>
              <w:t>Cash</w:t>
            </w:r>
          </w:p>
        </w:tc>
        <w:tc>
          <w:tcPr>
            <w:tcW w:w="1276" w:type="dxa"/>
          </w:tcPr>
          <w:p w:rsidR="00A1319B" w:rsidRPr="00A1319B" w:rsidRDefault="00E85B9B" w:rsidP="00233D64">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6.8</w:t>
            </w:r>
          </w:p>
        </w:tc>
        <w:tc>
          <w:tcPr>
            <w:cnfStyle w:val="000010000000" w:firstRow="0" w:lastRow="0" w:firstColumn="0" w:lastColumn="0" w:oddVBand="1" w:evenVBand="0" w:oddHBand="0" w:evenHBand="0" w:firstRowFirstColumn="0" w:firstRowLastColumn="0" w:lastRowFirstColumn="0" w:lastRowLastColumn="0"/>
            <w:tcW w:w="992" w:type="dxa"/>
          </w:tcPr>
          <w:p w:rsidR="00A1319B" w:rsidRPr="00A1319B" w:rsidRDefault="00E85B9B" w:rsidP="00233D64">
            <w:pPr>
              <w:pStyle w:val="TableRight"/>
              <w:spacing w:before="0" w:line="240" w:lineRule="auto"/>
              <w:jc w:val="center"/>
              <w:rPr>
                <w:rFonts w:ascii="Arial" w:hAnsi="Arial" w:cs="Arial"/>
                <w:color w:val="auto"/>
              </w:rPr>
            </w:pPr>
            <w:r>
              <w:rPr>
                <w:rFonts w:ascii="Arial" w:hAnsi="Arial" w:cs="Arial"/>
                <w:color w:val="auto"/>
              </w:rPr>
              <w:t>2</w:t>
            </w:r>
          </w:p>
        </w:tc>
      </w:tr>
      <w:tr w:rsidR="00A1319B" w:rsidRPr="0005794A" w:rsidTr="00B206FD">
        <w:trPr>
          <w:trHeight w:val="60"/>
        </w:trPr>
        <w:tc>
          <w:tcPr>
            <w:cnfStyle w:val="000010000000" w:firstRow="0" w:lastRow="0" w:firstColumn="0" w:lastColumn="0" w:oddVBand="1" w:evenVBand="0" w:oddHBand="0" w:evenHBand="0" w:firstRowFirstColumn="0" w:firstRowLastColumn="0" w:lastRowFirstColumn="0" w:lastRowLastColumn="0"/>
            <w:tcW w:w="1276"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7.0</w:t>
            </w:r>
          </w:p>
        </w:tc>
        <w:tc>
          <w:tcPr>
            <w:tcW w:w="851" w:type="dxa"/>
          </w:tcPr>
          <w:p w:rsidR="00A1319B" w:rsidRPr="00A1319B" w:rsidRDefault="00A1319B"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2</w:t>
            </w:r>
          </w:p>
        </w:tc>
        <w:tc>
          <w:tcPr>
            <w:cnfStyle w:val="000010000000" w:firstRow="0" w:lastRow="0" w:firstColumn="0" w:lastColumn="0" w:oddVBand="1" w:evenVBand="0" w:oddHBand="0" w:evenHBand="0" w:firstRowFirstColumn="0" w:firstRowLastColumn="0" w:lastRowFirstColumn="0" w:lastRowLastColumn="0"/>
            <w:tcW w:w="3827" w:type="dxa"/>
          </w:tcPr>
          <w:p w:rsidR="00A1319B" w:rsidRPr="00A1319B" w:rsidRDefault="00A1319B" w:rsidP="000401DE">
            <w:pPr>
              <w:pStyle w:val="TableText"/>
              <w:spacing w:before="0" w:line="240" w:lineRule="auto"/>
              <w:rPr>
                <w:rFonts w:ascii="Arial" w:hAnsi="Arial" w:cs="Arial"/>
                <w:color w:val="auto"/>
              </w:rPr>
            </w:pPr>
            <w:r w:rsidRPr="00A1319B">
              <w:rPr>
                <w:rFonts w:ascii="Arial" w:hAnsi="Arial" w:cs="Arial"/>
                <w:color w:val="auto"/>
              </w:rPr>
              <w:t>Other Bonds</w:t>
            </w:r>
          </w:p>
        </w:tc>
        <w:tc>
          <w:tcPr>
            <w:tcW w:w="1276" w:type="dxa"/>
          </w:tcPr>
          <w:p w:rsidR="00A1319B" w:rsidRPr="00A1319B" w:rsidRDefault="00E85B9B" w:rsidP="00233D64">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5.7</w:t>
            </w:r>
          </w:p>
        </w:tc>
        <w:tc>
          <w:tcPr>
            <w:cnfStyle w:val="000010000000" w:firstRow="0" w:lastRow="0" w:firstColumn="0" w:lastColumn="0" w:oddVBand="1" w:evenVBand="0" w:oddHBand="0" w:evenHBand="0" w:firstRowFirstColumn="0" w:firstRowLastColumn="0" w:lastRowFirstColumn="0" w:lastRowLastColumn="0"/>
            <w:tcW w:w="992" w:type="dxa"/>
          </w:tcPr>
          <w:p w:rsidR="00A1319B" w:rsidRPr="00A1319B" w:rsidRDefault="00E85B9B" w:rsidP="00824569">
            <w:pPr>
              <w:pStyle w:val="TableRight"/>
              <w:spacing w:before="0" w:line="240" w:lineRule="auto"/>
              <w:jc w:val="center"/>
              <w:rPr>
                <w:rFonts w:ascii="Arial" w:hAnsi="Arial" w:cs="Arial"/>
                <w:color w:val="auto"/>
              </w:rPr>
            </w:pPr>
            <w:r>
              <w:rPr>
                <w:rFonts w:ascii="Arial" w:hAnsi="Arial" w:cs="Arial"/>
                <w:color w:val="auto"/>
              </w:rPr>
              <w:t>2</w:t>
            </w:r>
          </w:p>
        </w:tc>
      </w:tr>
      <w:tr w:rsidR="00A1319B" w:rsidRPr="0005794A"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15.0</w:t>
            </w:r>
          </w:p>
        </w:tc>
        <w:tc>
          <w:tcPr>
            <w:tcW w:w="851" w:type="dxa"/>
          </w:tcPr>
          <w:p w:rsidR="00A1319B" w:rsidRPr="00A1319B" w:rsidRDefault="00A1319B"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5</w:t>
            </w:r>
          </w:p>
        </w:tc>
        <w:tc>
          <w:tcPr>
            <w:cnfStyle w:val="000010000000" w:firstRow="0" w:lastRow="0" w:firstColumn="0" w:lastColumn="0" w:oddVBand="1" w:evenVBand="0" w:oddHBand="0" w:evenHBand="0" w:firstRowFirstColumn="0" w:firstRowLastColumn="0" w:lastRowFirstColumn="0" w:lastRowLastColumn="0"/>
            <w:tcW w:w="3827" w:type="dxa"/>
          </w:tcPr>
          <w:p w:rsidR="00A1319B" w:rsidRPr="00A1319B" w:rsidRDefault="00A1319B" w:rsidP="000401DE">
            <w:pPr>
              <w:pStyle w:val="TableText"/>
              <w:spacing w:before="0" w:line="240" w:lineRule="auto"/>
              <w:rPr>
                <w:rFonts w:ascii="Arial" w:hAnsi="Arial" w:cs="Arial"/>
                <w:color w:val="auto"/>
              </w:rPr>
            </w:pPr>
            <w:r w:rsidRPr="00A1319B">
              <w:rPr>
                <w:rFonts w:ascii="Arial" w:hAnsi="Arial" w:cs="Arial"/>
                <w:color w:val="auto"/>
              </w:rPr>
              <w:t>Alternative Assets</w:t>
            </w:r>
          </w:p>
        </w:tc>
        <w:tc>
          <w:tcPr>
            <w:tcW w:w="1276" w:type="dxa"/>
          </w:tcPr>
          <w:p w:rsidR="00A1319B" w:rsidRPr="00A1319B" w:rsidRDefault="00E85B9B" w:rsidP="00214ED1">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15.2</w:t>
            </w:r>
          </w:p>
        </w:tc>
        <w:tc>
          <w:tcPr>
            <w:cnfStyle w:val="000010000000" w:firstRow="0" w:lastRow="0" w:firstColumn="0" w:lastColumn="0" w:oddVBand="1" w:evenVBand="0" w:oddHBand="0" w:evenHBand="0" w:firstRowFirstColumn="0" w:firstRowLastColumn="0" w:lastRowFirstColumn="0" w:lastRowLastColumn="0"/>
            <w:tcW w:w="992" w:type="dxa"/>
          </w:tcPr>
          <w:p w:rsidR="00A1319B" w:rsidRPr="00A1319B" w:rsidRDefault="00E85B9B" w:rsidP="00233D64">
            <w:pPr>
              <w:pStyle w:val="TableRight"/>
              <w:spacing w:before="0" w:line="240" w:lineRule="auto"/>
              <w:jc w:val="center"/>
              <w:rPr>
                <w:rFonts w:ascii="Arial" w:hAnsi="Arial" w:cs="Arial"/>
                <w:color w:val="auto"/>
              </w:rPr>
            </w:pPr>
            <w:r>
              <w:rPr>
                <w:rFonts w:ascii="Arial" w:hAnsi="Arial" w:cs="Arial"/>
                <w:color w:val="auto"/>
              </w:rPr>
              <w:t>6</w:t>
            </w:r>
          </w:p>
        </w:tc>
      </w:tr>
      <w:tr w:rsidR="00E85B9B" w:rsidRPr="0005794A" w:rsidTr="00B206FD">
        <w:trPr>
          <w:trHeight w:val="60"/>
        </w:trPr>
        <w:tc>
          <w:tcPr>
            <w:cnfStyle w:val="000010000000" w:firstRow="0" w:lastRow="0" w:firstColumn="0" w:lastColumn="0" w:oddVBand="1" w:evenVBand="0" w:oddHBand="0" w:evenHBand="0" w:firstRowFirstColumn="0" w:firstRowLastColumn="0" w:lastRowFirstColumn="0" w:lastRowLastColumn="0"/>
            <w:tcW w:w="1276" w:type="dxa"/>
          </w:tcPr>
          <w:p w:rsidR="00E85B9B" w:rsidRPr="00A1319B" w:rsidRDefault="00E85B9B" w:rsidP="00A1319B">
            <w:pPr>
              <w:pStyle w:val="TableRight"/>
              <w:spacing w:before="0" w:line="240" w:lineRule="auto"/>
              <w:jc w:val="center"/>
              <w:rPr>
                <w:rFonts w:ascii="Arial" w:hAnsi="Arial" w:cs="Arial"/>
                <w:color w:val="auto"/>
              </w:rPr>
            </w:pPr>
            <w:r>
              <w:rPr>
                <w:rFonts w:ascii="Arial" w:hAnsi="Arial" w:cs="Arial"/>
                <w:color w:val="auto"/>
              </w:rPr>
              <w:t>-</w:t>
            </w:r>
          </w:p>
        </w:tc>
        <w:tc>
          <w:tcPr>
            <w:tcW w:w="851" w:type="dxa"/>
          </w:tcPr>
          <w:p w:rsidR="00E85B9B" w:rsidRPr="00A1319B" w:rsidRDefault="00E85B9B"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w:t>
            </w:r>
          </w:p>
        </w:tc>
        <w:tc>
          <w:tcPr>
            <w:cnfStyle w:val="000010000000" w:firstRow="0" w:lastRow="0" w:firstColumn="0" w:lastColumn="0" w:oddVBand="1" w:evenVBand="0" w:oddHBand="0" w:evenHBand="0" w:firstRowFirstColumn="0" w:firstRowLastColumn="0" w:lastRowFirstColumn="0" w:lastRowLastColumn="0"/>
            <w:tcW w:w="3827" w:type="dxa"/>
          </w:tcPr>
          <w:p w:rsidR="00E85B9B" w:rsidRPr="00A1319B" w:rsidRDefault="00E85B9B" w:rsidP="000401DE">
            <w:pPr>
              <w:pStyle w:val="TableText"/>
              <w:spacing w:before="0" w:line="240" w:lineRule="auto"/>
              <w:rPr>
                <w:rFonts w:ascii="Arial" w:hAnsi="Arial" w:cs="Arial"/>
                <w:color w:val="auto"/>
              </w:rPr>
            </w:pPr>
            <w:r>
              <w:rPr>
                <w:rFonts w:ascii="Arial" w:hAnsi="Arial" w:cs="Arial"/>
                <w:color w:val="auto"/>
              </w:rPr>
              <w:t>Private Equity</w:t>
            </w:r>
          </w:p>
        </w:tc>
        <w:tc>
          <w:tcPr>
            <w:tcW w:w="1276" w:type="dxa"/>
          </w:tcPr>
          <w:p w:rsidR="00E85B9B" w:rsidRDefault="00E85B9B" w:rsidP="00214ED1">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w:t>
            </w:r>
          </w:p>
        </w:tc>
        <w:tc>
          <w:tcPr>
            <w:cnfStyle w:val="000010000000" w:firstRow="0" w:lastRow="0" w:firstColumn="0" w:lastColumn="0" w:oddVBand="1" w:evenVBand="0" w:oddHBand="0" w:evenHBand="0" w:firstRowFirstColumn="0" w:firstRowLastColumn="0" w:lastRowFirstColumn="0" w:lastRowLastColumn="0"/>
            <w:tcW w:w="992" w:type="dxa"/>
          </w:tcPr>
          <w:p w:rsidR="00E85B9B" w:rsidRDefault="00E85B9B" w:rsidP="00233D64">
            <w:pPr>
              <w:pStyle w:val="TableRight"/>
              <w:spacing w:before="0" w:line="240" w:lineRule="auto"/>
              <w:jc w:val="center"/>
              <w:rPr>
                <w:rFonts w:ascii="Arial" w:hAnsi="Arial" w:cs="Arial"/>
                <w:color w:val="auto"/>
              </w:rPr>
            </w:pPr>
            <w:r>
              <w:rPr>
                <w:rFonts w:ascii="Arial" w:hAnsi="Arial" w:cs="Arial"/>
                <w:color w:val="auto"/>
              </w:rPr>
              <w:t>1</w:t>
            </w:r>
          </w:p>
        </w:tc>
      </w:tr>
      <w:tr w:rsidR="00A1319B" w:rsidRPr="0005794A" w:rsidTr="00B206F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276" w:type="dxa"/>
          </w:tcPr>
          <w:p w:rsidR="00A1319B" w:rsidRPr="00A1319B" w:rsidRDefault="00A1319B" w:rsidP="00A1319B">
            <w:pPr>
              <w:pStyle w:val="TableRight"/>
              <w:spacing w:line="240" w:lineRule="auto"/>
              <w:jc w:val="center"/>
              <w:rPr>
                <w:rFonts w:ascii="Arial" w:hAnsi="Arial" w:cs="Arial"/>
                <w:b/>
                <w:color w:val="auto"/>
              </w:rPr>
            </w:pPr>
            <w:r w:rsidRPr="00A1319B">
              <w:rPr>
                <w:rFonts w:ascii="Arial" w:hAnsi="Arial" w:cs="Arial"/>
                <w:b/>
                <w:color w:val="auto"/>
              </w:rPr>
              <w:t>273.7</w:t>
            </w:r>
          </w:p>
        </w:tc>
        <w:tc>
          <w:tcPr>
            <w:tcW w:w="851" w:type="dxa"/>
          </w:tcPr>
          <w:p w:rsidR="00A1319B" w:rsidRPr="00A1319B" w:rsidRDefault="00A1319B" w:rsidP="00A1319B">
            <w:pPr>
              <w:pStyle w:val="TableRight"/>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A1319B">
              <w:rPr>
                <w:rFonts w:ascii="Arial" w:hAnsi="Arial" w:cs="Arial"/>
                <w:b/>
                <w:color w:val="auto"/>
              </w:rPr>
              <w:t>100</w:t>
            </w:r>
          </w:p>
        </w:tc>
        <w:tc>
          <w:tcPr>
            <w:cnfStyle w:val="000010000000" w:firstRow="0" w:lastRow="0" w:firstColumn="0" w:lastColumn="0" w:oddVBand="1" w:evenVBand="0" w:oddHBand="0" w:evenHBand="0" w:firstRowFirstColumn="0" w:firstRowLastColumn="0" w:lastRowFirstColumn="0" w:lastRowLastColumn="0"/>
            <w:tcW w:w="3827" w:type="dxa"/>
          </w:tcPr>
          <w:p w:rsidR="00A1319B" w:rsidRPr="00A1319B" w:rsidRDefault="00A1319B" w:rsidP="000401DE">
            <w:pPr>
              <w:pStyle w:val="NoParagraphStyle"/>
              <w:spacing w:line="240" w:lineRule="auto"/>
              <w:textAlignment w:val="auto"/>
              <w:rPr>
                <w:rFonts w:ascii="Arial" w:hAnsi="Arial" w:cs="Arial"/>
                <w:b/>
                <w:color w:val="auto"/>
                <w:sz w:val="20"/>
                <w:szCs w:val="20"/>
              </w:rPr>
            </w:pPr>
          </w:p>
        </w:tc>
        <w:tc>
          <w:tcPr>
            <w:tcW w:w="1276" w:type="dxa"/>
          </w:tcPr>
          <w:p w:rsidR="00A1319B" w:rsidRPr="00A1319B" w:rsidRDefault="00E85B9B" w:rsidP="00CA31BD">
            <w:pPr>
              <w:pStyle w:val="TableRight"/>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Pr>
                <w:rFonts w:ascii="Arial" w:hAnsi="Arial" w:cs="Arial"/>
                <w:b/>
                <w:color w:val="auto"/>
              </w:rPr>
              <w:t>280.3</w:t>
            </w:r>
          </w:p>
        </w:tc>
        <w:tc>
          <w:tcPr>
            <w:cnfStyle w:val="000010000000" w:firstRow="0" w:lastRow="0" w:firstColumn="0" w:lastColumn="0" w:oddVBand="1" w:evenVBand="0" w:oddHBand="0" w:evenHBand="0" w:firstRowFirstColumn="0" w:firstRowLastColumn="0" w:lastRowFirstColumn="0" w:lastRowLastColumn="0"/>
            <w:tcW w:w="992" w:type="dxa"/>
          </w:tcPr>
          <w:p w:rsidR="00A1319B" w:rsidRPr="00A1319B" w:rsidRDefault="00E85B9B" w:rsidP="00233D64">
            <w:pPr>
              <w:pStyle w:val="TableRight"/>
              <w:spacing w:line="240" w:lineRule="auto"/>
              <w:jc w:val="center"/>
              <w:rPr>
                <w:rFonts w:ascii="Arial" w:hAnsi="Arial" w:cs="Arial"/>
                <w:b/>
                <w:color w:val="auto"/>
              </w:rPr>
            </w:pPr>
            <w:r>
              <w:rPr>
                <w:rFonts w:ascii="Arial" w:hAnsi="Arial" w:cs="Arial"/>
                <w:b/>
                <w:color w:val="auto"/>
              </w:rPr>
              <w:t>100</w:t>
            </w:r>
          </w:p>
        </w:tc>
      </w:tr>
    </w:tbl>
    <w:p w:rsidR="00407D28" w:rsidRPr="0005794A" w:rsidRDefault="00407D28" w:rsidP="007849CA">
      <w:pPr>
        <w:autoSpaceDE w:val="0"/>
        <w:autoSpaceDN w:val="0"/>
        <w:adjustRightInd w:val="0"/>
        <w:spacing w:after="0" w:line="240" w:lineRule="auto"/>
        <w:ind w:left="567"/>
        <w:rPr>
          <w:rFonts w:eastAsia="Times New Roman" w:cs="Arial"/>
          <w:color w:val="548DD4" w:themeColor="text2" w:themeTint="99"/>
          <w:sz w:val="20"/>
          <w:szCs w:val="20"/>
        </w:rPr>
      </w:pPr>
    </w:p>
    <w:p w:rsidR="00AB0ED3" w:rsidRPr="000E7413" w:rsidRDefault="00AB0ED3" w:rsidP="007849CA">
      <w:pPr>
        <w:autoSpaceDE w:val="0"/>
        <w:autoSpaceDN w:val="0"/>
        <w:adjustRightInd w:val="0"/>
        <w:spacing w:after="0" w:line="240" w:lineRule="auto"/>
        <w:ind w:left="567"/>
        <w:rPr>
          <w:rFonts w:eastAsia="Times New Roman" w:cs="Arial"/>
          <w:color w:val="auto"/>
          <w:sz w:val="20"/>
          <w:szCs w:val="20"/>
        </w:rPr>
      </w:pPr>
      <w:r w:rsidRPr="000E7413">
        <w:rPr>
          <w:rFonts w:eastAsia="Times New Roman" w:cs="Arial"/>
          <w:color w:val="auto"/>
          <w:sz w:val="20"/>
          <w:szCs w:val="20"/>
        </w:rPr>
        <w:t xml:space="preserve">Further </w:t>
      </w:r>
      <w:r w:rsidR="00A65CD1" w:rsidRPr="000E7413">
        <w:rPr>
          <w:rFonts w:eastAsia="Times New Roman" w:cs="Arial"/>
          <w:color w:val="auto"/>
          <w:sz w:val="20"/>
          <w:szCs w:val="20"/>
        </w:rPr>
        <w:t>information on</w:t>
      </w:r>
      <w:r w:rsidRPr="000E7413">
        <w:rPr>
          <w:rFonts w:eastAsia="Times New Roman" w:cs="Arial"/>
          <w:color w:val="auto"/>
          <w:sz w:val="20"/>
          <w:szCs w:val="20"/>
        </w:rPr>
        <w:t xml:space="preserve"> the inves</w:t>
      </w:r>
      <w:r w:rsidR="000E7413" w:rsidRPr="000E7413">
        <w:rPr>
          <w:rFonts w:eastAsia="Times New Roman" w:cs="Arial"/>
          <w:color w:val="auto"/>
          <w:sz w:val="20"/>
          <w:szCs w:val="20"/>
        </w:rPr>
        <w:t xml:space="preserve">tment activity is available on the peninsula </w:t>
      </w:r>
      <w:proofErr w:type="spellStart"/>
      <w:r w:rsidR="000E7413" w:rsidRPr="000E7413">
        <w:rPr>
          <w:rFonts w:eastAsia="Times New Roman" w:cs="Arial"/>
          <w:color w:val="auto"/>
          <w:sz w:val="20"/>
          <w:szCs w:val="20"/>
        </w:rPr>
        <w:t>pensiosn</w:t>
      </w:r>
      <w:proofErr w:type="spellEnd"/>
      <w:r w:rsidR="000E7413" w:rsidRPr="000E7413">
        <w:rPr>
          <w:rFonts w:eastAsia="Times New Roman" w:cs="Arial"/>
          <w:color w:val="auto"/>
          <w:sz w:val="20"/>
          <w:szCs w:val="20"/>
        </w:rPr>
        <w:t xml:space="preserve"> website.</w:t>
      </w:r>
    </w:p>
    <w:p w:rsidR="00C924E9" w:rsidRPr="0005794A" w:rsidRDefault="00C924E9" w:rsidP="00653F9F">
      <w:pPr>
        <w:autoSpaceDE w:val="0"/>
        <w:autoSpaceDN w:val="0"/>
        <w:adjustRightInd w:val="0"/>
        <w:spacing w:after="0" w:line="240" w:lineRule="auto"/>
        <w:rPr>
          <w:rFonts w:ascii="Calibri" w:hAnsi="Calibri" w:cs="Calibri"/>
          <w:color w:val="548DD4" w:themeColor="text2" w:themeTint="99"/>
          <w:sz w:val="20"/>
          <w:szCs w:val="20"/>
          <w:lang w:eastAsia="en-GB"/>
        </w:rPr>
      </w:pPr>
    </w:p>
    <w:p w:rsidR="00A754EB" w:rsidRPr="005A6B52" w:rsidRDefault="006D5330" w:rsidP="00B206FD">
      <w:pPr>
        <w:autoSpaceDE w:val="0"/>
        <w:autoSpaceDN w:val="0"/>
        <w:adjustRightInd w:val="0"/>
        <w:spacing w:after="0" w:line="240" w:lineRule="auto"/>
        <w:rPr>
          <w:rFonts w:eastAsia="Times New Roman"/>
          <w:b/>
          <w:color w:val="auto"/>
        </w:rPr>
      </w:pPr>
      <w:r w:rsidRPr="005A6B52">
        <w:rPr>
          <w:rFonts w:eastAsia="Times New Roman"/>
          <w:b/>
          <w:color w:val="auto"/>
        </w:rPr>
        <w:t>40</w:t>
      </w:r>
      <w:r w:rsidR="007E33E1" w:rsidRPr="005A6B52">
        <w:rPr>
          <w:rFonts w:eastAsia="Times New Roman"/>
          <w:b/>
          <w:color w:val="auto"/>
        </w:rPr>
        <w:t>.4 Actuarial</w:t>
      </w:r>
      <w:r w:rsidR="004A563D" w:rsidRPr="005A6B52">
        <w:rPr>
          <w:rFonts w:eastAsia="Times New Roman"/>
          <w:b/>
          <w:color w:val="auto"/>
        </w:rPr>
        <w:t xml:space="preserve"> Assumptions</w:t>
      </w:r>
    </w:p>
    <w:p w:rsidR="00E25CA3" w:rsidRPr="005A6B52" w:rsidRDefault="00E25CA3" w:rsidP="00B206FD">
      <w:pPr>
        <w:autoSpaceDE w:val="0"/>
        <w:autoSpaceDN w:val="0"/>
        <w:adjustRightInd w:val="0"/>
        <w:spacing w:after="0" w:line="240" w:lineRule="auto"/>
        <w:rPr>
          <w:rFonts w:eastAsia="Times New Roman"/>
          <w:b/>
          <w:color w:val="auto"/>
        </w:rPr>
      </w:pPr>
    </w:p>
    <w:p w:rsidR="00E25CA3" w:rsidRPr="005A6B52" w:rsidRDefault="00E25CA3" w:rsidP="008D0906">
      <w:pPr>
        <w:autoSpaceDE w:val="0"/>
        <w:autoSpaceDN w:val="0"/>
        <w:adjustRightInd w:val="0"/>
        <w:spacing w:after="0" w:line="240" w:lineRule="auto"/>
        <w:ind w:firstLine="567"/>
        <w:outlineLvl w:val="0"/>
        <w:rPr>
          <w:rFonts w:eastAsia="Times New Roman"/>
          <w:b/>
          <w:color w:val="auto"/>
        </w:rPr>
      </w:pPr>
      <w:proofErr w:type="spellStart"/>
      <w:r w:rsidRPr="005A6B52">
        <w:rPr>
          <w:rFonts w:eastAsia="Times New Roman" w:cs="Arial"/>
          <w:b/>
          <w:color w:val="auto"/>
          <w:sz w:val="20"/>
          <w:szCs w:val="20"/>
          <w:lang w:eastAsia="en-GB"/>
        </w:rPr>
        <w:t>Valaution</w:t>
      </w:r>
      <w:proofErr w:type="spellEnd"/>
      <w:r w:rsidRPr="005A6B52">
        <w:rPr>
          <w:rFonts w:eastAsia="Times New Roman" w:cs="Arial"/>
          <w:b/>
          <w:color w:val="auto"/>
          <w:sz w:val="20"/>
          <w:szCs w:val="20"/>
          <w:lang w:eastAsia="en-GB"/>
        </w:rPr>
        <w:t xml:space="preserve"> Approach</w:t>
      </w:r>
    </w:p>
    <w:p w:rsidR="00E25CA3" w:rsidRPr="005A6B52" w:rsidRDefault="00E25CA3" w:rsidP="00B206FD">
      <w:pPr>
        <w:autoSpaceDE w:val="0"/>
        <w:autoSpaceDN w:val="0"/>
        <w:adjustRightInd w:val="0"/>
        <w:spacing w:after="0" w:line="240" w:lineRule="auto"/>
        <w:rPr>
          <w:rFonts w:eastAsia="Times New Roman"/>
          <w:b/>
          <w:color w:val="auto"/>
        </w:rPr>
      </w:pPr>
    </w:p>
    <w:p w:rsidR="00E25CA3" w:rsidRPr="005A6B52" w:rsidRDefault="0022676D" w:rsidP="001E7585">
      <w:pPr>
        <w:pStyle w:val="ExampleSub"/>
        <w:keepNext w:val="0"/>
        <w:keepLines w:val="0"/>
        <w:spacing w:before="0" w:line="240" w:lineRule="auto"/>
        <w:rPr>
          <w:rFonts w:ascii="Arial" w:hAnsi="Arial" w:cs="Arial"/>
          <w:b w:val="0"/>
          <w:bCs w:val="0"/>
          <w:color w:val="auto"/>
          <w:sz w:val="20"/>
          <w:szCs w:val="20"/>
        </w:rPr>
      </w:pPr>
      <w:r w:rsidRPr="005A6B52">
        <w:rPr>
          <w:rFonts w:ascii="Arial" w:hAnsi="Arial" w:cs="Arial"/>
          <w:b w:val="0"/>
          <w:bCs w:val="0"/>
          <w:color w:val="auto"/>
          <w:sz w:val="20"/>
          <w:szCs w:val="20"/>
        </w:rPr>
        <w:t xml:space="preserve">To </w:t>
      </w:r>
      <w:r w:rsidR="009D051A" w:rsidRPr="005A6B52">
        <w:rPr>
          <w:rFonts w:ascii="Arial" w:hAnsi="Arial" w:cs="Arial"/>
          <w:b w:val="0"/>
          <w:bCs w:val="0"/>
          <w:color w:val="auto"/>
          <w:sz w:val="20"/>
          <w:szCs w:val="20"/>
        </w:rPr>
        <w:t>assess</w:t>
      </w:r>
      <w:r w:rsidRPr="005A6B52">
        <w:rPr>
          <w:rFonts w:ascii="Arial" w:hAnsi="Arial" w:cs="Arial"/>
          <w:b w:val="0"/>
          <w:bCs w:val="0"/>
          <w:color w:val="auto"/>
          <w:sz w:val="20"/>
          <w:szCs w:val="20"/>
        </w:rPr>
        <w:t xml:space="preserve"> the value of the </w:t>
      </w:r>
      <w:r w:rsidR="008F055D" w:rsidRPr="005A6B52">
        <w:rPr>
          <w:rFonts w:ascii="Arial" w:hAnsi="Arial" w:cs="Arial"/>
          <w:b w:val="0"/>
          <w:bCs w:val="0"/>
          <w:color w:val="auto"/>
          <w:sz w:val="20"/>
          <w:szCs w:val="20"/>
        </w:rPr>
        <w:t>employer’s</w:t>
      </w:r>
      <w:r w:rsidRPr="005A6B52">
        <w:rPr>
          <w:rFonts w:ascii="Arial" w:hAnsi="Arial" w:cs="Arial"/>
          <w:b w:val="0"/>
          <w:bCs w:val="0"/>
          <w:color w:val="auto"/>
          <w:sz w:val="20"/>
          <w:szCs w:val="20"/>
        </w:rPr>
        <w:t xml:space="preserve"> </w:t>
      </w:r>
      <w:r w:rsidR="009D051A" w:rsidRPr="005A6B52">
        <w:rPr>
          <w:rFonts w:ascii="Arial" w:hAnsi="Arial" w:cs="Arial"/>
          <w:b w:val="0"/>
          <w:bCs w:val="0"/>
          <w:color w:val="auto"/>
          <w:sz w:val="20"/>
          <w:szCs w:val="20"/>
        </w:rPr>
        <w:t>liabilities</w:t>
      </w:r>
      <w:r w:rsidRPr="005A6B52">
        <w:rPr>
          <w:rFonts w:ascii="Arial" w:hAnsi="Arial" w:cs="Arial"/>
          <w:b w:val="0"/>
          <w:bCs w:val="0"/>
          <w:color w:val="auto"/>
          <w:sz w:val="20"/>
          <w:szCs w:val="20"/>
        </w:rPr>
        <w:t xml:space="preserve"> as at 31</w:t>
      </w:r>
      <w:r w:rsidRPr="005A6B52">
        <w:rPr>
          <w:rFonts w:ascii="Arial" w:hAnsi="Arial" w:cs="Arial"/>
          <w:b w:val="0"/>
          <w:bCs w:val="0"/>
          <w:color w:val="auto"/>
          <w:sz w:val="20"/>
          <w:szCs w:val="20"/>
          <w:vertAlign w:val="superscript"/>
        </w:rPr>
        <w:t>st</w:t>
      </w:r>
      <w:r w:rsidRPr="005A6B52">
        <w:rPr>
          <w:rFonts w:ascii="Arial" w:hAnsi="Arial" w:cs="Arial"/>
          <w:b w:val="0"/>
          <w:bCs w:val="0"/>
          <w:color w:val="auto"/>
          <w:sz w:val="20"/>
          <w:szCs w:val="20"/>
        </w:rPr>
        <w:t xml:space="preserve"> March 201</w:t>
      </w:r>
      <w:r w:rsidR="005A6B52" w:rsidRPr="005A6B52">
        <w:rPr>
          <w:rFonts w:ascii="Arial" w:hAnsi="Arial" w:cs="Arial"/>
          <w:b w:val="0"/>
          <w:bCs w:val="0"/>
          <w:color w:val="auto"/>
          <w:sz w:val="20"/>
          <w:szCs w:val="20"/>
        </w:rPr>
        <w:t>8</w:t>
      </w:r>
      <w:r w:rsidRPr="005A6B52">
        <w:rPr>
          <w:rFonts w:ascii="Arial" w:hAnsi="Arial" w:cs="Arial"/>
          <w:b w:val="0"/>
          <w:bCs w:val="0"/>
          <w:color w:val="auto"/>
          <w:sz w:val="20"/>
          <w:szCs w:val="20"/>
        </w:rPr>
        <w:t xml:space="preserve">, </w:t>
      </w:r>
      <w:r w:rsidR="00C924E9" w:rsidRPr="005A6B52">
        <w:rPr>
          <w:rFonts w:ascii="Arial" w:hAnsi="Arial" w:cs="Arial"/>
          <w:b w:val="0"/>
          <w:bCs w:val="0"/>
          <w:color w:val="auto"/>
          <w:sz w:val="20"/>
          <w:szCs w:val="20"/>
        </w:rPr>
        <w:t xml:space="preserve">the actuary </w:t>
      </w:r>
      <w:r w:rsidRPr="005A6B52">
        <w:rPr>
          <w:rFonts w:ascii="Arial" w:hAnsi="Arial" w:cs="Arial"/>
          <w:b w:val="0"/>
          <w:bCs w:val="0"/>
          <w:color w:val="auto"/>
          <w:sz w:val="20"/>
          <w:szCs w:val="20"/>
        </w:rPr>
        <w:t>rolled forward the value of the employer</w:t>
      </w:r>
      <w:r w:rsidR="001C6663" w:rsidRPr="005A6B52">
        <w:rPr>
          <w:rFonts w:ascii="Arial" w:hAnsi="Arial" w:cs="Arial"/>
          <w:b w:val="0"/>
          <w:bCs w:val="0"/>
          <w:color w:val="auto"/>
          <w:sz w:val="20"/>
          <w:szCs w:val="20"/>
        </w:rPr>
        <w:t>’</w:t>
      </w:r>
      <w:r w:rsidRPr="005A6B52">
        <w:rPr>
          <w:rFonts w:ascii="Arial" w:hAnsi="Arial" w:cs="Arial"/>
          <w:b w:val="0"/>
          <w:bCs w:val="0"/>
          <w:color w:val="auto"/>
          <w:sz w:val="20"/>
          <w:szCs w:val="20"/>
        </w:rPr>
        <w:t xml:space="preserve">s liabilities </w:t>
      </w:r>
      <w:r w:rsidR="008F055D" w:rsidRPr="005A6B52">
        <w:rPr>
          <w:rFonts w:ascii="Arial" w:hAnsi="Arial" w:cs="Arial"/>
          <w:b w:val="0"/>
          <w:bCs w:val="0"/>
          <w:color w:val="auto"/>
          <w:sz w:val="20"/>
          <w:szCs w:val="20"/>
        </w:rPr>
        <w:t>calculated</w:t>
      </w:r>
      <w:r w:rsidRPr="005A6B52">
        <w:rPr>
          <w:rFonts w:ascii="Arial" w:hAnsi="Arial" w:cs="Arial"/>
          <w:b w:val="0"/>
          <w:bCs w:val="0"/>
          <w:color w:val="auto"/>
          <w:sz w:val="20"/>
          <w:szCs w:val="20"/>
        </w:rPr>
        <w:t xml:space="preserve"> for the funding </w:t>
      </w:r>
      <w:r w:rsidR="008F055D" w:rsidRPr="005A6B52">
        <w:rPr>
          <w:rFonts w:ascii="Arial" w:hAnsi="Arial" w:cs="Arial"/>
          <w:b w:val="0"/>
          <w:bCs w:val="0"/>
          <w:color w:val="auto"/>
          <w:sz w:val="20"/>
          <w:szCs w:val="20"/>
        </w:rPr>
        <w:t>valuation</w:t>
      </w:r>
      <w:r w:rsidRPr="005A6B52">
        <w:rPr>
          <w:rFonts w:ascii="Arial" w:hAnsi="Arial" w:cs="Arial"/>
          <w:b w:val="0"/>
          <w:bCs w:val="0"/>
          <w:color w:val="auto"/>
          <w:sz w:val="20"/>
          <w:szCs w:val="20"/>
        </w:rPr>
        <w:t xml:space="preserve"> as at 31</w:t>
      </w:r>
      <w:r w:rsidRPr="005A6B52">
        <w:rPr>
          <w:rFonts w:ascii="Arial" w:hAnsi="Arial" w:cs="Arial"/>
          <w:b w:val="0"/>
          <w:bCs w:val="0"/>
          <w:color w:val="auto"/>
          <w:sz w:val="20"/>
          <w:szCs w:val="20"/>
          <w:vertAlign w:val="superscript"/>
        </w:rPr>
        <w:t>st</w:t>
      </w:r>
      <w:r w:rsidRPr="005A6B52">
        <w:rPr>
          <w:rFonts w:ascii="Arial" w:hAnsi="Arial" w:cs="Arial"/>
          <w:b w:val="0"/>
          <w:bCs w:val="0"/>
          <w:color w:val="auto"/>
          <w:sz w:val="20"/>
          <w:szCs w:val="20"/>
        </w:rPr>
        <w:t xml:space="preserve"> March 2016, using financial assumptions that comply with IAS19.</w:t>
      </w:r>
      <w:r w:rsidR="001E7585" w:rsidRPr="005A6B52">
        <w:rPr>
          <w:rFonts w:ascii="Arial" w:hAnsi="Arial" w:cs="Arial"/>
          <w:b w:val="0"/>
          <w:bCs w:val="0"/>
          <w:color w:val="auto"/>
          <w:sz w:val="20"/>
          <w:szCs w:val="20"/>
        </w:rPr>
        <w:t xml:space="preserve"> The full actuarial valuation invol</w:t>
      </w:r>
      <w:r w:rsidR="009D051A" w:rsidRPr="005A6B52">
        <w:rPr>
          <w:rFonts w:ascii="Arial" w:hAnsi="Arial" w:cs="Arial"/>
          <w:b w:val="0"/>
          <w:bCs w:val="0"/>
          <w:color w:val="auto"/>
          <w:sz w:val="20"/>
          <w:szCs w:val="20"/>
        </w:rPr>
        <w:t>v</w:t>
      </w:r>
      <w:r w:rsidR="001E7585" w:rsidRPr="005A6B52">
        <w:rPr>
          <w:rFonts w:ascii="Arial" w:hAnsi="Arial" w:cs="Arial"/>
          <w:b w:val="0"/>
          <w:bCs w:val="0"/>
          <w:color w:val="auto"/>
          <w:sz w:val="20"/>
          <w:szCs w:val="20"/>
        </w:rPr>
        <w:t xml:space="preserve">ed projecting future </w:t>
      </w:r>
      <w:r w:rsidR="008F055D" w:rsidRPr="005A6B52">
        <w:rPr>
          <w:rFonts w:ascii="Arial" w:hAnsi="Arial" w:cs="Arial"/>
          <w:b w:val="0"/>
          <w:bCs w:val="0"/>
          <w:color w:val="auto"/>
          <w:sz w:val="20"/>
          <w:szCs w:val="20"/>
        </w:rPr>
        <w:t>cash flows</w:t>
      </w:r>
      <w:r w:rsidR="001E7585" w:rsidRPr="005A6B52">
        <w:rPr>
          <w:rFonts w:ascii="Arial" w:hAnsi="Arial" w:cs="Arial"/>
          <w:b w:val="0"/>
          <w:bCs w:val="0"/>
          <w:color w:val="auto"/>
          <w:sz w:val="20"/>
          <w:szCs w:val="20"/>
        </w:rPr>
        <w:t xml:space="preserve"> to be paid </w:t>
      </w:r>
      <w:r w:rsidR="008F055D" w:rsidRPr="005A6B52">
        <w:rPr>
          <w:rFonts w:ascii="Arial" w:hAnsi="Arial" w:cs="Arial"/>
          <w:b w:val="0"/>
          <w:bCs w:val="0"/>
          <w:color w:val="auto"/>
          <w:sz w:val="20"/>
          <w:szCs w:val="20"/>
        </w:rPr>
        <w:t>from the</w:t>
      </w:r>
      <w:r w:rsidR="001E7585" w:rsidRPr="005A6B52">
        <w:rPr>
          <w:rFonts w:ascii="Arial" w:hAnsi="Arial" w:cs="Arial"/>
          <w:b w:val="0"/>
          <w:bCs w:val="0"/>
          <w:color w:val="auto"/>
          <w:sz w:val="20"/>
          <w:szCs w:val="20"/>
        </w:rPr>
        <w:t xml:space="preserve"> fund and placing a value on them.</w:t>
      </w:r>
      <w:r w:rsidR="001E7585" w:rsidRPr="005A6B52">
        <w:rPr>
          <w:rFonts w:ascii="Arial" w:hAnsi="Arial" w:cs="Arial"/>
          <w:b w:val="0"/>
          <w:bCs w:val="0"/>
          <w:color w:val="auto"/>
          <w:sz w:val="20"/>
          <w:szCs w:val="20"/>
        </w:rPr>
        <w:tab/>
      </w:r>
    </w:p>
    <w:p w:rsidR="009D051A" w:rsidRPr="005A6B52" w:rsidRDefault="009D051A" w:rsidP="001E7585">
      <w:pPr>
        <w:pStyle w:val="ExampleSub"/>
        <w:keepNext w:val="0"/>
        <w:keepLines w:val="0"/>
        <w:spacing w:before="0" w:line="240" w:lineRule="auto"/>
        <w:rPr>
          <w:rFonts w:ascii="Arial" w:hAnsi="Arial" w:cs="Arial"/>
          <w:b w:val="0"/>
          <w:bCs w:val="0"/>
          <w:color w:val="auto"/>
          <w:sz w:val="20"/>
          <w:szCs w:val="20"/>
        </w:rPr>
      </w:pPr>
    </w:p>
    <w:p w:rsidR="009D051A" w:rsidRPr="005A6B52" w:rsidRDefault="009D051A" w:rsidP="001E7585">
      <w:pPr>
        <w:pStyle w:val="ExampleSub"/>
        <w:keepNext w:val="0"/>
        <w:keepLines w:val="0"/>
        <w:spacing w:before="0" w:line="240" w:lineRule="auto"/>
        <w:rPr>
          <w:rFonts w:ascii="Arial" w:hAnsi="Arial" w:cs="Arial"/>
          <w:b w:val="0"/>
          <w:bCs w:val="0"/>
          <w:color w:val="auto"/>
          <w:sz w:val="20"/>
          <w:szCs w:val="20"/>
        </w:rPr>
      </w:pPr>
      <w:r w:rsidRPr="005A6B52">
        <w:rPr>
          <w:rFonts w:ascii="Arial" w:hAnsi="Arial" w:cs="Arial"/>
          <w:b w:val="0"/>
          <w:bCs w:val="0"/>
          <w:color w:val="auto"/>
          <w:sz w:val="20"/>
          <w:szCs w:val="20"/>
        </w:rPr>
        <w:t xml:space="preserve">The actuary is </w:t>
      </w:r>
      <w:r w:rsidR="008F055D" w:rsidRPr="005A6B52">
        <w:rPr>
          <w:rFonts w:ascii="Arial" w:hAnsi="Arial" w:cs="Arial"/>
          <w:b w:val="0"/>
          <w:bCs w:val="0"/>
          <w:color w:val="auto"/>
          <w:sz w:val="20"/>
          <w:szCs w:val="20"/>
        </w:rPr>
        <w:t>satisfied</w:t>
      </w:r>
      <w:r w:rsidRPr="005A6B52">
        <w:rPr>
          <w:rFonts w:ascii="Arial" w:hAnsi="Arial" w:cs="Arial"/>
          <w:b w:val="0"/>
          <w:bCs w:val="0"/>
          <w:color w:val="auto"/>
          <w:sz w:val="20"/>
          <w:szCs w:val="20"/>
        </w:rPr>
        <w:t xml:space="preserve"> that the </w:t>
      </w:r>
      <w:r w:rsidR="008F055D" w:rsidRPr="005A6B52">
        <w:rPr>
          <w:rFonts w:ascii="Arial" w:hAnsi="Arial" w:cs="Arial"/>
          <w:b w:val="0"/>
          <w:bCs w:val="0"/>
          <w:color w:val="auto"/>
          <w:sz w:val="20"/>
          <w:szCs w:val="20"/>
        </w:rPr>
        <w:t>approach</w:t>
      </w:r>
      <w:r w:rsidRPr="005A6B52">
        <w:rPr>
          <w:rFonts w:ascii="Arial" w:hAnsi="Arial" w:cs="Arial"/>
          <w:b w:val="0"/>
          <w:bCs w:val="0"/>
          <w:color w:val="auto"/>
          <w:sz w:val="20"/>
          <w:szCs w:val="20"/>
        </w:rPr>
        <w:t xml:space="preserve"> </w:t>
      </w:r>
      <w:r w:rsidR="001C6663" w:rsidRPr="005A6B52">
        <w:rPr>
          <w:rFonts w:ascii="Arial" w:hAnsi="Arial" w:cs="Arial"/>
          <w:b w:val="0"/>
          <w:bCs w:val="0"/>
          <w:color w:val="auto"/>
          <w:sz w:val="20"/>
          <w:szCs w:val="20"/>
        </w:rPr>
        <w:t>t</w:t>
      </w:r>
      <w:r w:rsidRPr="005A6B52">
        <w:rPr>
          <w:rFonts w:ascii="Arial" w:hAnsi="Arial" w:cs="Arial"/>
          <w:b w:val="0"/>
          <w:bCs w:val="0"/>
          <w:color w:val="auto"/>
          <w:sz w:val="20"/>
          <w:szCs w:val="20"/>
        </w:rPr>
        <w:t xml:space="preserve">o </w:t>
      </w:r>
      <w:r w:rsidR="008F055D" w:rsidRPr="005A6B52">
        <w:rPr>
          <w:rFonts w:ascii="Arial" w:hAnsi="Arial" w:cs="Arial"/>
          <w:b w:val="0"/>
          <w:bCs w:val="0"/>
          <w:color w:val="auto"/>
          <w:sz w:val="20"/>
          <w:szCs w:val="20"/>
        </w:rPr>
        <w:t>rolling</w:t>
      </w:r>
      <w:r w:rsidRPr="005A6B52">
        <w:rPr>
          <w:rFonts w:ascii="Arial" w:hAnsi="Arial" w:cs="Arial"/>
          <w:b w:val="0"/>
          <w:bCs w:val="0"/>
          <w:color w:val="auto"/>
          <w:sz w:val="20"/>
          <w:szCs w:val="20"/>
        </w:rPr>
        <w:t xml:space="preserve"> forward </w:t>
      </w:r>
      <w:r w:rsidR="008F055D" w:rsidRPr="005A6B52">
        <w:rPr>
          <w:rFonts w:ascii="Arial" w:hAnsi="Arial" w:cs="Arial"/>
          <w:b w:val="0"/>
          <w:bCs w:val="0"/>
          <w:color w:val="auto"/>
          <w:sz w:val="20"/>
          <w:szCs w:val="20"/>
        </w:rPr>
        <w:t>the</w:t>
      </w:r>
      <w:r w:rsidRPr="005A6B52">
        <w:rPr>
          <w:rFonts w:ascii="Arial" w:hAnsi="Arial" w:cs="Arial"/>
          <w:b w:val="0"/>
          <w:bCs w:val="0"/>
          <w:color w:val="auto"/>
          <w:sz w:val="20"/>
          <w:szCs w:val="20"/>
        </w:rPr>
        <w:t xml:space="preserve"> </w:t>
      </w:r>
      <w:r w:rsidR="008F055D" w:rsidRPr="005A6B52">
        <w:rPr>
          <w:rFonts w:ascii="Arial" w:hAnsi="Arial" w:cs="Arial"/>
          <w:b w:val="0"/>
          <w:bCs w:val="0"/>
          <w:color w:val="auto"/>
          <w:sz w:val="20"/>
          <w:szCs w:val="20"/>
        </w:rPr>
        <w:t>previous</w:t>
      </w:r>
      <w:r w:rsidRPr="005A6B52">
        <w:rPr>
          <w:rFonts w:ascii="Arial" w:hAnsi="Arial" w:cs="Arial"/>
          <w:b w:val="0"/>
          <w:bCs w:val="0"/>
          <w:color w:val="auto"/>
          <w:sz w:val="20"/>
          <w:szCs w:val="20"/>
        </w:rPr>
        <w:t xml:space="preserve"> </w:t>
      </w:r>
      <w:r w:rsidR="008F055D" w:rsidRPr="005A6B52">
        <w:rPr>
          <w:rFonts w:ascii="Arial" w:hAnsi="Arial" w:cs="Arial"/>
          <w:b w:val="0"/>
          <w:bCs w:val="0"/>
          <w:color w:val="auto"/>
          <w:sz w:val="20"/>
          <w:szCs w:val="20"/>
        </w:rPr>
        <w:t>valuation</w:t>
      </w:r>
      <w:r w:rsidRPr="005A6B52">
        <w:rPr>
          <w:rFonts w:ascii="Arial" w:hAnsi="Arial" w:cs="Arial"/>
          <w:b w:val="0"/>
          <w:bCs w:val="0"/>
          <w:color w:val="auto"/>
          <w:sz w:val="20"/>
          <w:szCs w:val="20"/>
        </w:rPr>
        <w:t xml:space="preserve"> data </w:t>
      </w:r>
      <w:r w:rsidR="008F055D" w:rsidRPr="005A6B52">
        <w:rPr>
          <w:rFonts w:ascii="Arial" w:hAnsi="Arial" w:cs="Arial"/>
          <w:b w:val="0"/>
          <w:bCs w:val="0"/>
          <w:color w:val="auto"/>
          <w:sz w:val="20"/>
          <w:szCs w:val="20"/>
        </w:rPr>
        <w:t>to</w:t>
      </w:r>
      <w:r w:rsidRPr="005A6B52">
        <w:rPr>
          <w:rFonts w:ascii="Arial" w:hAnsi="Arial" w:cs="Arial"/>
          <w:b w:val="0"/>
          <w:bCs w:val="0"/>
          <w:color w:val="auto"/>
          <w:sz w:val="20"/>
          <w:szCs w:val="20"/>
        </w:rPr>
        <w:t xml:space="preserve"> 31</w:t>
      </w:r>
      <w:r w:rsidRPr="005A6B52">
        <w:rPr>
          <w:rFonts w:ascii="Arial" w:hAnsi="Arial" w:cs="Arial"/>
          <w:b w:val="0"/>
          <w:bCs w:val="0"/>
          <w:color w:val="auto"/>
          <w:sz w:val="20"/>
          <w:szCs w:val="20"/>
          <w:vertAlign w:val="superscript"/>
        </w:rPr>
        <w:t>st</w:t>
      </w:r>
      <w:r w:rsidRPr="005A6B52">
        <w:rPr>
          <w:rFonts w:ascii="Arial" w:hAnsi="Arial" w:cs="Arial"/>
          <w:b w:val="0"/>
          <w:bCs w:val="0"/>
          <w:color w:val="auto"/>
          <w:sz w:val="20"/>
          <w:szCs w:val="20"/>
        </w:rPr>
        <w:t xml:space="preserve"> March 201</w:t>
      </w:r>
      <w:r w:rsidR="005A6B52" w:rsidRPr="005A6B52">
        <w:rPr>
          <w:rFonts w:ascii="Arial" w:hAnsi="Arial" w:cs="Arial"/>
          <w:b w:val="0"/>
          <w:bCs w:val="0"/>
          <w:color w:val="auto"/>
          <w:sz w:val="20"/>
          <w:szCs w:val="20"/>
        </w:rPr>
        <w:t>8</w:t>
      </w:r>
      <w:r w:rsidRPr="005A6B52">
        <w:rPr>
          <w:rFonts w:ascii="Arial" w:hAnsi="Arial" w:cs="Arial"/>
          <w:b w:val="0"/>
          <w:bCs w:val="0"/>
          <w:color w:val="auto"/>
          <w:sz w:val="20"/>
          <w:szCs w:val="20"/>
        </w:rPr>
        <w:t xml:space="preserve"> </w:t>
      </w:r>
      <w:r w:rsidR="008F055D" w:rsidRPr="005A6B52">
        <w:rPr>
          <w:rFonts w:ascii="Arial" w:hAnsi="Arial" w:cs="Arial"/>
          <w:b w:val="0"/>
          <w:bCs w:val="0"/>
          <w:color w:val="auto"/>
          <w:sz w:val="20"/>
          <w:szCs w:val="20"/>
        </w:rPr>
        <w:t>should</w:t>
      </w:r>
      <w:r w:rsidRPr="005A6B52">
        <w:rPr>
          <w:rFonts w:ascii="Arial" w:hAnsi="Arial" w:cs="Arial"/>
          <w:b w:val="0"/>
          <w:bCs w:val="0"/>
          <w:color w:val="auto"/>
          <w:sz w:val="20"/>
          <w:szCs w:val="20"/>
        </w:rPr>
        <w:t xml:space="preserve"> not introduce any material </w:t>
      </w:r>
      <w:r w:rsidR="008F055D" w:rsidRPr="005A6B52">
        <w:rPr>
          <w:rFonts w:ascii="Arial" w:hAnsi="Arial" w:cs="Arial"/>
          <w:b w:val="0"/>
          <w:bCs w:val="0"/>
          <w:color w:val="auto"/>
          <w:sz w:val="20"/>
          <w:szCs w:val="20"/>
        </w:rPr>
        <w:t>distortion</w:t>
      </w:r>
      <w:r w:rsidRPr="005A6B52">
        <w:rPr>
          <w:rFonts w:ascii="Arial" w:hAnsi="Arial" w:cs="Arial"/>
          <w:b w:val="0"/>
          <w:bCs w:val="0"/>
          <w:color w:val="auto"/>
          <w:sz w:val="20"/>
          <w:szCs w:val="20"/>
        </w:rPr>
        <w:t xml:space="preserve"> in the results provided that the actual experience of the employer and the fund has been broadly in line </w:t>
      </w:r>
      <w:r w:rsidR="008F055D" w:rsidRPr="005A6B52">
        <w:rPr>
          <w:rFonts w:ascii="Arial" w:hAnsi="Arial" w:cs="Arial"/>
          <w:b w:val="0"/>
          <w:bCs w:val="0"/>
          <w:color w:val="auto"/>
          <w:sz w:val="20"/>
          <w:szCs w:val="20"/>
        </w:rPr>
        <w:t>with</w:t>
      </w:r>
      <w:r w:rsidRPr="005A6B52">
        <w:rPr>
          <w:rFonts w:ascii="Arial" w:hAnsi="Arial" w:cs="Arial"/>
          <w:b w:val="0"/>
          <w:bCs w:val="0"/>
          <w:color w:val="auto"/>
          <w:sz w:val="20"/>
          <w:szCs w:val="20"/>
        </w:rPr>
        <w:t xml:space="preserve"> the underlying assumptions and the structure of the liabilities is substantially the same as the latest formal valuation.</w:t>
      </w:r>
    </w:p>
    <w:p w:rsidR="009D051A" w:rsidRPr="005A6B52" w:rsidRDefault="009D051A" w:rsidP="001E7585">
      <w:pPr>
        <w:pStyle w:val="ExampleSub"/>
        <w:keepNext w:val="0"/>
        <w:keepLines w:val="0"/>
        <w:spacing w:before="0" w:line="240" w:lineRule="auto"/>
        <w:rPr>
          <w:rFonts w:ascii="Arial" w:hAnsi="Arial" w:cs="Arial"/>
          <w:b w:val="0"/>
          <w:bCs w:val="0"/>
          <w:color w:val="auto"/>
          <w:sz w:val="20"/>
          <w:szCs w:val="20"/>
        </w:rPr>
      </w:pPr>
    </w:p>
    <w:p w:rsidR="009D051A" w:rsidRPr="005A6B52" w:rsidRDefault="009D051A" w:rsidP="001E7585">
      <w:pPr>
        <w:pStyle w:val="ExampleSub"/>
        <w:keepNext w:val="0"/>
        <w:keepLines w:val="0"/>
        <w:spacing w:before="0" w:line="240" w:lineRule="auto"/>
        <w:rPr>
          <w:rFonts w:ascii="Arial" w:hAnsi="Arial" w:cs="Arial"/>
          <w:b w:val="0"/>
          <w:bCs w:val="0"/>
          <w:color w:val="auto"/>
          <w:sz w:val="20"/>
          <w:szCs w:val="20"/>
        </w:rPr>
      </w:pPr>
      <w:r w:rsidRPr="005A6B52">
        <w:rPr>
          <w:rFonts w:ascii="Arial" w:hAnsi="Arial" w:cs="Arial"/>
          <w:b w:val="0"/>
          <w:bCs w:val="0"/>
          <w:color w:val="auto"/>
          <w:sz w:val="20"/>
          <w:szCs w:val="20"/>
        </w:rPr>
        <w:t>To calcu</w:t>
      </w:r>
      <w:r w:rsidR="008F055D" w:rsidRPr="005A6B52">
        <w:rPr>
          <w:rFonts w:ascii="Arial" w:hAnsi="Arial" w:cs="Arial"/>
          <w:b w:val="0"/>
          <w:bCs w:val="0"/>
          <w:color w:val="auto"/>
          <w:sz w:val="20"/>
          <w:szCs w:val="20"/>
        </w:rPr>
        <w:t>late</w:t>
      </w:r>
      <w:r w:rsidRPr="005A6B52">
        <w:rPr>
          <w:rFonts w:ascii="Arial" w:hAnsi="Arial" w:cs="Arial"/>
          <w:b w:val="0"/>
          <w:bCs w:val="0"/>
          <w:color w:val="auto"/>
          <w:sz w:val="20"/>
          <w:szCs w:val="20"/>
        </w:rPr>
        <w:t xml:space="preserve"> the ass</w:t>
      </w:r>
      <w:r w:rsidR="008F055D" w:rsidRPr="005A6B52">
        <w:rPr>
          <w:rFonts w:ascii="Arial" w:hAnsi="Arial" w:cs="Arial"/>
          <w:b w:val="0"/>
          <w:bCs w:val="0"/>
          <w:color w:val="auto"/>
          <w:sz w:val="20"/>
          <w:szCs w:val="20"/>
        </w:rPr>
        <w:t>e</w:t>
      </w:r>
      <w:r w:rsidRPr="005A6B52">
        <w:rPr>
          <w:rFonts w:ascii="Arial" w:hAnsi="Arial" w:cs="Arial"/>
          <w:b w:val="0"/>
          <w:bCs w:val="0"/>
          <w:color w:val="auto"/>
          <w:sz w:val="20"/>
          <w:szCs w:val="20"/>
        </w:rPr>
        <w:t>t the actuary has rolled forward the assets allocated to the employer as at 31</w:t>
      </w:r>
      <w:r w:rsidRPr="005A6B52">
        <w:rPr>
          <w:rFonts w:ascii="Arial" w:hAnsi="Arial" w:cs="Arial"/>
          <w:b w:val="0"/>
          <w:bCs w:val="0"/>
          <w:color w:val="auto"/>
          <w:sz w:val="20"/>
          <w:szCs w:val="20"/>
          <w:vertAlign w:val="superscript"/>
        </w:rPr>
        <w:t>st</w:t>
      </w:r>
      <w:r w:rsidRPr="005A6B52">
        <w:rPr>
          <w:rFonts w:ascii="Arial" w:hAnsi="Arial" w:cs="Arial"/>
          <w:b w:val="0"/>
          <w:bCs w:val="0"/>
          <w:color w:val="auto"/>
          <w:sz w:val="20"/>
          <w:szCs w:val="20"/>
        </w:rPr>
        <w:t xml:space="preserve"> March 2016 allowi</w:t>
      </w:r>
      <w:r w:rsidR="008F055D" w:rsidRPr="005A6B52">
        <w:rPr>
          <w:rFonts w:ascii="Arial" w:hAnsi="Arial" w:cs="Arial"/>
          <w:b w:val="0"/>
          <w:bCs w:val="0"/>
          <w:color w:val="auto"/>
          <w:sz w:val="20"/>
          <w:szCs w:val="20"/>
        </w:rPr>
        <w:t>ng</w:t>
      </w:r>
      <w:r w:rsidRPr="005A6B52">
        <w:rPr>
          <w:rFonts w:ascii="Arial" w:hAnsi="Arial" w:cs="Arial"/>
          <w:b w:val="0"/>
          <w:bCs w:val="0"/>
          <w:color w:val="auto"/>
          <w:sz w:val="20"/>
          <w:szCs w:val="20"/>
        </w:rPr>
        <w:t xml:space="preserve"> for investment returns, contributions paid into, and estimated benefits paid from, the fund by and in respect of the employer and its employees.</w:t>
      </w:r>
    </w:p>
    <w:p w:rsidR="00E25CA3" w:rsidRPr="0005794A" w:rsidRDefault="00E25CA3" w:rsidP="000401DE">
      <w:pPr>
        <w:pStyle w:val="ExampleSub"/>
        <w:keepNext w:val="0"/>
        <w:keepLines w:val="0"/>
        <w:spacing w:before="0" w:line="240" w:lineRule="auto"/>
        <w:ind w:left="0"/>
        <w:rPr>
          <w:rFonts w:ascii="Arial" w:hAnsi="Arial" w:cs="Arial"/>
          <w:b w:val="0"/>
          <w:bCs w:val="0"/>
          <w:color w:val="548DD4" w:themeColor="text2" w:themeTint="99"/>
          <w:sz w:val="20"/>
          <w:szCs w:val="20"/>
        </w:rPr>
      </w:pPr>
    </w:p>
    <w:p w:rsidR="00164AC3" w:rsidRPr="005A6B52" w:rsidRDefault="00164AC3" w:rsidP="008D0906">
      <w:pPr>
        <w:pStyle w:val="CodeNotesExampleText"/>
        <w:widowControl w:val="0"/>
        <w:ind w:left="567"/>
        <w:outlineLvl w:val="0"/>
        <w:rPr>
          <w:rFonts w:cs="Arial"/>
          <w:b/>
          <w:color w:val="auto"/>
          <w:sz w:val="20"/>
          <w:szCs w:val="20"/>
          <w:lang w:eastAsia="en-GB"/>
        </w:rPr>
      </w:pPr>
      <w:r w:rsidRPr="005A6B52">
        <w:rPr>
          <w:rFonts w:cs="Arial"/>
          <w:b/>
          <w:color w:val="auto"/>
          <w:sz w:val="20"/>
          <w:szCs w:val="20"/>
          <w:lang w:eastAsia="en-GB"/>
        </w:rPr>
        <w:t>Demographi</w:t>
      </w:r>
      <w:r w:rsidR="00940D12" w:rsidRPr="005A6B52">
        <w:rPr>
          <w:rFonts w:cs="Arial"/>
          <w:b/>
          <w:color w:val="auto"/>
          <w:sz w:val="20"/>
          <w:szCs w:val="20"/>
          <w:lang w:eastAsia="en-GB"/>
        </w:rPr>
        <w:t>c and</w:t>
      </w:r>
      <w:r w:rsidR="002B2DB1" w:rsidRPr="005A6B52">
        <w:rPr>
          <w:rFonts w:cs="Arial"/>
          <w:b/>
          <w:color w:val="auto"/>
          <w:sz w:val="20"/>
          <w:szCs w:val="20"/>
          <w:lang w:eastAsia="en-GB"/>
        </w:rPr>
        <w:t xml:space="preserve"> </w:t>
      </w:r>
      <w:r w:rsidRPr="005A6B52">
        <w:rPr>
          <w:rFonts w:cs="Arial"/>
          <w:b/>
          <w:color w:val="auto"/>
          <w:sz w:val="20"/>
          <w:szCs w:val="20"/>
          <w:lang w:eastAsia="en-GB"/>
        </w:rPr>
        <w:t>Statistical Assumptions</w:t>
      </w:r>
    </w:p>
    <w:p w:rsidR="007E4359" w:rsidRPr="005A6B52" w:rsidRDefault="007E4359" w:rsidP="00B206FD">
      <w:pPr>
        <w:pStyle w:val="CodeNotesExampleText"/>
        <w:widowControl w:val="0"/>
        <w:ind w:left="567"/>
        <w:rPr>
          <w:rFonts w:cs="Arial"/>
          <w:color w:val="auto"/>
          <w:sz w:val="20"/>
          <w:szCs w:val="20"/>
          <w:lang w:eastAsia="en-GB"/>
        </w:rPr>
      </w:pPr>
    </w:p>
    <w:p w:rsidR="007E4359" w:rsidRPr="005A6B52" w:rsidRDefault="002B65DD" w:rsidP="00B206FD">
      <w:pPr>
        <w:autoSpaceDE w:val="0"/>
        <w:autoSpaceDN w:val="0"/>
        <w:adjustRightInd w:val="0"/>
        <w:spacing w:after="0" w:line="240" w:lineRule="auto"/>
        <w:ind w:left="567"/>
        <w:rPr>
          <w:rFonts w:eastAsia="Times New Roman" w:cs="Arial"/>
          <w:color w:val="auto"/>
          <w:sz w:val="20"/>
          <w:szCs w:val="20"/>
          <w:lang w:eastAsia="en-GB"/>
        </w:rPr>
      </w:pPr>
      <w:r w:rsidRPr="005A6B52">
        <w:rPr>
          <w:rFonts w:eastAsia="Times New Roman" w:cs="Arial"/>
          <w:color w:val="auto"/>
          <w:sz w:val="20"/>
          <w:szCs w:val="20"/>
          <w:lang w:eastAsia="en-GB"/>
        </w:rPr>
        <w:t xml:space="preserve">The actuary has </w:t>
      </w:r>
      <w:r w:rsidR="007E4359" w:rsidRPr="005A6B52">
        <w:rPr>
          <w:rFonts w:eastAsia="Times New Roman" w:cs="Arial"/>
          <w:color w:val="auto"/>
          <w:sz w:val="20"/>
          <w:szCs w:val="20"/>
          <w:lang w:eastAsia="en-GB"/>
        </w:rPr>
        <w:t xml:space="preserve">adopted a set of demographic assumptions that are consistent with those used for the </w:t>
      </w:r>
      <w:r w:rsidR="008D0EAB" w:rsidRPr="005A6B52">
        <w:rPr>
          <w:rFonts w:eastAsia="Times New Roman" w:cs="Arial"/>
          <w:color w:val="auto"/>
          <w:sz w:val="20"/>
          <w:szCs w:val="20"/>
          <w:lang w:eastAsia="en-GB"/>
        </w:rPr>
        <w:t xml:space="preserve">most recent </w:t>
      </w:r>
      <w:r w:rsidR="007E4359" w:rsidRPr="005A6B52">
        <w:rPr>
          <w:rFonts w:eastAsia="Times New Roman" w:cs="Arial"/>
          <w:color w:val="auto"/>
          <w:sz w:val="20"/>
          <w:szCs w:val="20"/>
          <w:lang w:eastAsia="en-GB"/>
        </w:rPr>
        <w:t>funding valuation as at 31 March 201</w:t>
      </w:r>
      <w:r w:rsidR="00F371D7" w:rsidRPr="005A6B52">
        <w:rPr>
          <w:rFonts w:eastAsia="Times New Roman" w:cs="Arial"/>
          <w:color w:val="auto"/>
          <w:sz w:val="20"/>
          <w:szCs w:val="20"/>
          <w:lang w:eastAsia="en-GB"/>
        </w:rPr>
        <w:t>6</w:t>
      </w:r>
      <w:r w:rsidR="007E4359" w:rsidRPr="005A6B52">
        <w:rPr>
          <w:rFonts w:eastAsia="Times New Roman" w:cs="Arial"/>
          <w:color w:val="auto"/>
          <w:sz w:val="20"/>
          <w:szCs w:val="20"/>
          <w:lang w:eastAsia="en-GB"/>
        </w:rPr>
        <w:t>. The post retirement mortality tables adopted are the S</w:t>
      </w:r>
      <w:r w:rsidR="00F371D7" w:rsidRPr="005A6B52">
        <w:rPr>
          <w:rFonts w:eastAsia="Times New Roman" w:cs="Arial"/>
          <w:color w:val="auto"/>
          <w:sz w:val="20"/>
          <w:szCs w:val="20"/>
          <w:lang w:eastAsia="en-GB"/>
        </w:rPr>
        <w:t>2</w:t>
      </w:r>
      <w:r w:rsidR="007E4359" w:rsidRPr="005A6B52">
        <w:rPr>
          <w:rFonts w:eastAsia="Times New Roman" w:cs="Arial"/>
          <w:color w:val="auto"/>
          <w:sz w:val="20"/>
          <w:szCs w:val="20"/>
          <w:lang w:eastAsia="en-GB"/>
        </w:rPr>
        <w:t>PA tables with a multiplier 90%. These base tables are then projected using the CMI 201</w:t>
      </w:r>
      <w:r w:rsidR="00F371D7" w:rsidRPr="005A6B52">
        <w:rPr>
          <w:rFonts w:eastAsia="Times New Roman" w:cs="Arial"/>
          <w:color w:val="auto"/>
          <w:sz w:val="20"/>
          <w:szCs w:val="20"/>
          <w:lang w:eastAsia="en-GB"/>
        </w:rPr>
        <w:t>5</w:t>
      </w:r>
      <w:r w:rsidR="007E4359" w:rsidRPr="005A6B52">
        <w:rPr>
          <w:rFonts w:eastAsia="Times New Roman" w:cs="Arial"/>
          <w:color w:val="auto"/>
          <w:sz w:val="20"/>
          <w:szCs w:val="20"/>
          <w:lang w:eastAsia="en-GB"/>
        </w:rPr>
        <w:t xml:space="preserve"> Model, allowing for a long term rate of improvement of 1.5% per annum. </w:t>
      </w:r>
    </w:p>
    <w:p w:rsidR="00231640" w:rsidRPr="0005794A" w:rsidRDefault="00231640" w:rsidP="00B206FD">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7E4359" w:rsidRPr="005A6B52" w:rsidRDefault="007E4359" w:rsidP="008D0906">
      <w:pPr>
        <w:pStyle w:val="CodeNotesExampleText"/>
        <w:widowControl w:val="0"/>
        <w:ind w:left="567"/>
        <w:outlineLvl w:val="0"/>
        <w:rPr>
          <w:rFonts w:cs="Arial"/>
          <w:color w:val="auto"/>
          <w:sz w:val="20"/>
          <w:szCs w:val="20"/>
          <w:lang w:eastAsia="en-GB"/>
        </w:rPr>
      </w:pPr>
      <w:r w:rsidRPr="005A6B52">
        <w:rPr>
          <w:rFonts w:cs="Arial"/>
          <w:color w:val="auto"/>
          <w:sz w:val="20"/>
          <w:szCs w:val="20"/>
          <w:lang w:eastAsia="en-GB"/>
        </w:rPr>
        <w:t>The assumed life expectations from age 65 are;</w:t>
      </w:r>
    </w:p>
    <w:p w:rsidR="007E4359" w:rsidRPr="0005794A" w:rsidRDefault="007E4359" w:rsidP="00164AC3">
      <w:pPr>
        <w:pStyle w:val="CodeNotesExampleText"/>
        <w:widowControl w:val="0"/>
        <w:ind w:left="420"/>
        <w:rPr>
          <w:rFonts w:cs="Arial"/>
          <w:color w:val="548DD4" w:themeColor="text2" w:themeTint="99"/>
          <w:sz w:val="20"/>
          <w:szCs w:val="20"/>
          <w:lang w:eastAsia="en-GB"/>
        </w:rPr>
      </w:pPr>
    </w:p>
    <w:tbl>
      <w:tblPr>
        <w:tblStyle w:val="ListTable3-Accent51"/>
        <w:tblW w:w="8647" w:type="dxa"/>
        <w:tblInd w:w="675" w:type="dxa"/>
        <w:tblLayout w:type="fixed"/>
        <w:tblLook w:val="0000" w:firstRow="0" w:lastRow="0" w:firstColumn="0" w:lastColumn="0" w:noHBand="0" w:noVBand="0"/>
      </w:tblPr>
      <w:tblGrid>
        <w:gridCol w:w="4253"/>
        <w:gridCol w:w="992"/>
        <w:gridCol w:w="1134"/>
        <w:gridCol w:w="1134"/>
        <w:gridCol w:w="1134"/>
      </w:tblGrid>
      <w:tr w:rsidR="00B6365A" w:rsidRPr="0005794A" w:rsidTr="008C78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shd w:val="clear" w:color="auto" w:fill="4BACC6" w:themeFill="accent5"/>
          </w:tcPr>
          <w:p w:rsidR="00B6365A" w:rsidRPr="00A1319B" w:rsidRDefault="00B6365A" w:rsidP="00B206FD">
            <w:pPr>
              <w:pStyle w:val="TableText"/>
              <w:rPr>
                <w:rFonts w:ascii="Arial" w:hAnsi="Arial" w:cs="Arial"/>
                <w:b/>
                <w:color w:val="auto"/>
              </w:rPr>
            </w:pPr>
            <w:r w:rsidRPr="00A1319B">
              <w:rPr>
                <w:rFonts w:ascii="Arial" w:hAnsi="Arial" w:cs="Arial"/>
                <w:b/>
                <w:color w:val="auto"/>
              </w:rPr>
              <w:t>Mortality assumptions:</w:t>
            </w:r>
          </w:p>
        </w:tc>
        <w:tc>
          <w:tcPr>
            <w:tcW w:w="992" w:type="dxa"/>
            <w:shd w:val="clear" w:color="auto" w:fill="4BACC6" w:themeFill="accent5"/>
          </w:tcPr>
          <w:p w:rsidR="00B6365A" w:rsidRPr="00A1319B" w:rsidRDefault="00B6365A" w:rsidP="000F3D61">
            <w:pPr>
              <w:pStyle w:val="NoParagraphStyle"/>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1319B">
              <w:rPr>
                <w:rFonts w:ascii="Arial" w:hAnsi="Arial" w:cs="Arial"/>
                <w:color w:val="auto"/>
                <w:sz w:val="20"/>
                <w:szCs w:val="20"/>
              </w:rPr>
              <w:t>201</w:t>
            </w:r>
            <w:r w:rsidR="00A1319B" w:rsidRPr="00A1319B">
              <w:rPr>
                <w:rFonts w:ascii="Arial" w:hAnsi="Arial" w:cs="Arial"/>
                <w:color w:val="auto"/>
                <w:sz w:val="20"/>
                <w:szCs w:val="20"/>
              </w:rPr>
              <w:t>4</w:t>
            </w:r>
            <w:r w:rsidRPr="00A1319B">
              <w:rPr>
                <w:rFonts w:ascii="Arial" w:hAnsi="Arial" w:cs="Arial"/>
                <w:color w:val="auto"/>
                <w:sz w:val="20"/>
                <w:szCs w:val="20"/>
              </w:rPr>
              <w:t>/1</w:t>
            </w:r>
            <w:r w:rsidR="00A1319B" w:rsidRPr="00A1319B">
              <w:rPr>
                <w:rFonts w:ascii="Arial" w:hAnsi="Arial" w:cs="Arial"/>
                <w:color w:val="auto"/>
                <w:sz w:val="20"/>
                <w:szCs w:val="20"/>
              </w:rPr>
              <w:t>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B6365A" w:rsidRPr="00A1319B" w:rsidRDefault="00B6365A" w:rsidP="000F3D61">
            <w:pPr>
              <w:pStyle w:val="NoParagraphStyle"/>
              <w:spacing w:line="240" w:lineRule="auto"/>
              <w:jc w:val="center"/>
              <w:textAlignment w:val="auto"/>
              <w:rPr>
                <w:rFonts w:ascii="Arial" w:hAnsi="Arial" w:cs="Arial"/>
                <w:color w:val="auto"/>
                <w:sz w:val="20"/>
                <w:szCs w:val="20"/>
              </w:rPr>
            </w:pPr>
            <w:r w:rsidRPr="00A1319B">
              <w:rPr>
                <w:rFonts w:ascii="Arial" w:hAnsi="Arial" w:cs="Arial"/>
                <w:color w:val="auto"/>
                <w:sz w:val="20"/>
                <w:szCs w:val="20"/>
              </w:rPr>
              <w:t>201</w:t>
            </w:r>
            <w:r w:rsidR="00A1319B" w:rsidRPr="00A1319B">
              <w:rPr>
                <w:rFonts w:ascii="Arial" w:hAnsi="Arial" w:cs="Arial"/>
                <w:color w:val="auto"/>
                <w:sz w:val="20"/>
                <w:szCs w:val="20"/>
              </w:rPr>
              <w:t>5</w:t>
            </w:r>
            <w:r w:rsidRPr="00A1319B">
              <w:rPr>
                <w:rFonts w:ascii="Arial" w:hAnsi="Arial" w:cs="Arial"/>
                <w:color w:val="auto"/>
                <w:sz w:val="20"/>
                <w:szCs w:val="20"/>
              </w:rPr>
              <w:t>/1</w:t>
            </w:r>
            <w:r w:rsidR="00A1319B" w:rsidRPr="00A1319B">
              <w:rPr>
                <w:rFonts w:ascii="Arial" w:hAnsi="Arial" w:cs="Arial"/>
                <w:color w:val="auto"/>
                <w:sz w:val="20"/>
                <w:szCs w:val="20"/>
              </w:rPr>
              <w:t>6</w:t>
            </w:r>
          </w:p>
        </w:tc>
        <w:tc>
          <w:tcPr>
            <w:tcW w:w="1134" w:type="dxa"/>
            <w:shd w:val="clear" w:color="auto" w:fill="4BACC6" w:themeFill="accent5"/>
          </w:tcPr>
          <w:p w:rsidR="00B6365A" w:rsidRPr="00A1319B" w:rsidRDefault="00B6365A" w:rsidP="000F3D61">
            <w:pPr>
              <w:pStyle w:val="NoParagraphStyle"/>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A1319B">
              <w:rPr>
                <w:rFonts w:ascii="Arial" w:hAnsi="Arial" w:cs="Arial"/>
                <w:color w:val="auto"/>
                <w:sz w:val="20"/>
                <w:szCs w:val="20"/>
              </w:rPr>
              <w:t>201</w:t>
            </w:r>
            <w:r w:rsidR="00A1319B" w:rsidRPr="00A1319B">
              <w:rPr>
                <w:rFonts w:ascii="Arial" w:hAnsi="Arial" w:cs="Arial"/>
                <w:color w:val="auto"/>
                <w:sz w:val="20"/>
                <w:szCs w:val="20"/>
              </w:rPr>
              <w:t>6</w:t>
            </w:r>
            <w:r w:rsidRPr="00A1319B">
              <w:rPr>
                <w:rFonts w:ascii="Arial" w:hAnsi="Arial" w:cs="Arial"/>
                <w:color w:val="auto"/>
                <w:sz w:val="20"/>
                <w:szCs w:val="20"/>
              </w:rPr>
              <w:t>/1</w:t>
            </w:r>
            <w:r w:rsidR="00A1319B" w:rsidRPr="00A1319B">
              <w:rPr>
                <w:rFonts w:ascii="Arial" w:hAnsi="Arial" w:cs="Arial"/>
                <w:color w:val="auto"/>
                <w:sz w:val="20"/>
                <w:szCs w:val="20"/>
              </w:rPr>
              <w:t>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4BACC6" w:themeFill="accent5"/>
          </w:tcPr>
          <w:p w:rsidR="00B6365A" w:rsidRPr="00A1319B" w:rsidRDefault="00B6365A" w:rsidP="000F3D61">
            <w:pPr>
              <w:pStyle w:val="NoParagraphStyle"/>
              <w:spacing w:line="240" w:lineRule="auto"/>
              <w:jc w:val="center"/>
              <w:textAlignment w:val="auto"/>
              <w:rPr>
                <w:rFonts w:ascii="Arial" w:hAnsi="Arial" w:cs="Arial"/>
                <w:b/>
                <w:color w:val="auto"/>
                <w:sz w:val="20"/>
                <w:szCs w:val="20"/>
              </w:rPr>
            </w:pPr>
            <w:r w:rsidRPr="00A1319B">
              <w:rPr>
                <w:rFonts w:ascii="Arial" w:hAnsi="Arial" w:cs="Arial"/>
                <w:b/>
                <w:color w:val="auto"/>
                <w:sz w:val="20"/>
                <w:szCs w:val="20"/>
              </w:rPr>
              <w:t>201</w:t>
            </w:r>
            <w:r w:rsidR="00A1319B" w:rsidRPr="00A1319B">
              <w:rPr>
                <w:rFonts w:ascii="Arial" w:hAnsi="Arial" w:cs="Arial"/>
                <w:b/>
                <w:color w:val="auto"/>
                <w:sz w:val="20"/>
                <w:szCs w:val="20"/>
              </w:rPr>
              <w:t>7</w:t>
            </w:r>
            <w:r w:rsidRPr="00A1319B">
              <w:rPr>
                <w:rFonts w:ascii="Arial" w:hAnsi="Arial" w:cs="Arial"/>
                <w:b/>
                <w:color w:val="auto"/>
                <w:sz w:val="20"/>
                <w:szCs w:val="20"/>
              </w:rPr>
              <w:t>/1</w:t>
            </w:r>
            <w:r w:rsidR="00A1319B" w:rsidRPr="00A1319B">
              <w:rPr>
                <w:rFonts w:ascii="Arial" w:hAnsi="Arial" w:cs="Arial"/>
                <w:b/>
                <w:color w:val="auto"/>
                <w:sz w:val="20"/>
                <w:szCs w:val="20"/>
              </w:rPr>
              <w:t>8</w:t>
            </w:r>
          </w:p>
        </w:tc>
      </w:tr>
      <w:tr w:rsidR="00B6365A" w:rsidRPr="0005794A" w:rsidTr="008C785E">
        <w:trPr>
          <w:trHeight w:val="60"/>
        </w:trPr>
        <w:tc>
          <w:tcPr>
            <w:cnfStyle w:val="000010000000" w:firstRow="0" w:lastRow="0" w:firstColumn="0" w:lastColumn="0" w:oddVBand="1" w:evenVBand="0" w:oddHBand="0" w:evenHBand="0" w:firstRowFirstColumn="0" w:firstRowLastColumn="0" w:lastRowFirstColumn="0" w:lastRowLastColumn="0"/>
            <w:tcW w:w="4253" w:type="dxa"/>
          </w:tcPr>
          <w:p w:rsidR="00B6365A" w:rsidRPr="00A1319B" w:rsidRDefault="00B6365A" w:rsidP="00B206FD">
            <w:pPr>
              <w:pStyle w:val="TableText"/>
              <w:rPr>
                <w:rFonts w:ascii="Arial" w:hAnsi="Arial" w:cs="Arial"/>
                <w:color w:val="auto"/>
              </w:rPr>
            </w:pPr>
            <w:r w:rsidRPr="00A1319B">
              <w:rPr>
                <w:rFonts w:ascii="Arial" w:hAnsi="Arial" w:cs="Arial"/>
                <w:color w:val="auto"/>
              </w:rPr>
              <w:t>Longevity from age 65: retiring today</w:t>
            </w:r>
          </w:p>
        </w:tc>
        <w:tc>
          <w:tcPr>
            <w:tcW w:w="992" w:type="dxa"/>
          </w:tcPr>
          <w:p w:rsidR="00B6365A" w:rsidRPr="00A1319B" w:rsidRDefault="00B6365A" w:rsidP="00B206FD">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B6365A" w:rsidRPr="00A1319B" w:rsidRDefault="00B6365A" w:rsidP="00B206FD">
            <w:pPr>
              <w:pStyle w:val="NoParagraphStyle"/>
              <w:spacing w:line="240" w:lineRule="auto"/>
              <w:jc w:val="center"/>
              <w:textAlignment w:val="auto"/>
              <w:rPr>
                <w:rFonts w:ascii="Arial" w:hAnsi="Arial" w:cs="Arial"/>
                <w:color w:val="auto"/>
                <w:sz w:val="20"/>
                <w:szCs w:val="20"/>
              </w:rPr>
            </w:pPr>
          </w:p>
        </w:tc>
        <w:tc>
          <w:tcPr>
            <w:tcW w:w="1134" w:type="dxa"/>
          </w:tcPr>
          <w:p w:rsidR="00B6365A" w:rsidRPr="00A1319B" w:rsidRDefault="00B6365A" w:rsidP="00B206FD">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B6365A" w:rsidRPr="00A1319B" w:rsidRDefault="00B6365A" w:rsidP="00B206FD">
            <w:pPr>
              <w:pStyle w:val="NoParagraphStyle"/>
              <w:spacing w:line="240" w:lineRule="auto"/>
              <w:jc w:val="center"/>
              <w:textAlignment w:val="auto"/>
              <w:rPr>
                <w:rFonts w:ascii="Arial" w:hAnsi="Arial" w:cs="Arial"/>
                <w:color w:val="auto"/>
                <w:sz w:val="20"/>
                <w:szCs w:val="20"/>
              </w:rPr>
            </w:pPr>
          </w:p>
        </w:tc>
      </w:tr>
      <w:tr w:rsidR="00A1319B" w:rsidRPr="0005794A" w:rsidTr="008C78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rsidR="00A1319B" w:rsidRPr="00A1319B" w:rsidRDefault="00A1319B" w:rsidP="00FC32F1">
            <w:pPr>
              <w:pStyle w:val="TableText"/>
              <w:numPr>
                <w:ilvl w:val="0"/>
                <w:numId w:val="25"/>
              </w:numPr>
              <w:spacing w:before="0" w:line="240" w:lineRule="auto"/>
              <w:rPr>
                <w:rFonts w:ascii="Arial" w:hAnsi="Arial" w:cs="Arial"/>
                <w:color w:val="auto"/>
              </w:rPr>
            </w:pPr>
            <w:r w:rsidRPr="00A1319B">
              <w:rPr>
                <w:rFonts w:ascii="Arial" w:hAnsi="Arial" w:cs="Arial"/>
                <w:color w:val="auto"/>
              </w:rPr>
              <w:t xml:space="preserve">Men </w:t>
            </w:r>
          </w:p>
        </w:tc>
        <w:tc>
          <w:tcPr>
            <w:tcW w:w="992" w:type="dxa"/>
          </w:tcPr>
          <w:p w:rsidR="00A1319B" w:rsidRPr="00A1319B" w:rsidRDefault="00A1319B"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 xml:space="preserve">22.8 </w:t>
            </w:r>
            <w:proofErr w:type="spellStart"/>
            <w:r w:rsidRPr="00A1319B">
              <w:rPr>
                <w:rFonts w:ascii="Arial" w:hAnsi="Arial" w:cs="Arial"/>
                <w:color w:val="auto"/>
              </w:rPr>
              <w:t>yrs</w:t>
            </w:r>
            <w:proofErr w:type="spellEnd"/>
          </w:p>
        </w:tc>
        <w:tc>
          <w:tcPr>
            <w:cnfStyle w:val="000010000000" w:firstRow="0" w:lastRow="0" w:firstColumn="0" w:lastColumn="0" w:oddVBand="1" w:evenVBand="0" w:oddHBand="0" w:evenHBand="0" w:firstRowFirstColumn="0" w:firstRowLastColumn="0" w:lastRowFirstColumn="0" w:lastRowLastColumn="0"/>
            <w:tcW w:w="1134"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 xml:space="preserve">22.9 </w:t>
            </w:r>
            <w:proofErr w:type="spellStart"/>
            <w:r w:rsidRPr="00A1319B">
              <w:rPr>
                <w:rFonts w:ascii="Arial" w:hAnsi="Arial" w:cs="Arial"/>
                <w:color w:val="auto"/>
              </w:rPr>
              <w:t>yrs</w:t>
            </w:r>
            <w:proofErr w:type="spellEnd"/>
          </w:p>
        </w:tc>
        <w:tc>
          <w:tcPr>
            <w:tcW w:w="1134" w:type="dxa"/>
          </w:tcPr>
          <w:p w:rsidR="00A1319B" w:rsidRPr="00A1319B" w:rsidRDefault="00A1319B"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 xml:space="preserve">23.4 </w:t>
            </w:r>
            <w:proofErr w:type="spellStart"/>
            <w:r w:rsidRPr="00A1319B">
              <w:rPr>
                <w:rFonts w:ascii="Arial" w:hAnsi="Arial" w:cs="Arial"/>
                <w:color w:val="auto"/>
              </w:rPr>
              <w:t>yrs</w:t>
            </w:r>
            <w:proofErr w:type="spellEnd"/>
          </w:p>
        </w:tc>
        <w:tc>
          <w:tcPr>
            <w:cnfStyle w:val="000010000000" w:firstRow="0" w:lastRow="0" w:firstColumn="0" w:lastColumn="0" w:oddVBand="1" w:evenVBand="0" w:oddHBand="0" w:evenHBand="0" w:firstRowFirstColumn="0" w:firstRowLastColumn="0" w:lastRowFirstColumn="0" w:lastRowLastColumn="0"/>
            <w:tcW w:w="1134" w:type="dxa"/>
          </w:tcPr>
          <w:p w:rsidR="00A1319B" w:rsidRPr="00A1319B" w:rsidRDefault="005A6B52" w:rsidP="00B206FD">
            <w:pPr>
              <w:pStyle w:val="TableRight"/>
              <w:spacing w:before="0" w:line="240" w:lineRule="auto"/>
              <w:jc w:val="center"/>
              <w:rPr>
                <w:rFonts w:ascii="Arial" w:hAnsi="Arial" w:cs="Arial"/>
                <w:b/>
                <w:color w:val="auto"/>
              </w:rPr>
            </w:pPr>
            <w:r>
              <w:rPr>
                <w:rFonts w:ascii="Arial" w:hAnsi="Arial" w:cs="Arial"/>
                <w:b/>
                <w:color w:val="auto"/>
              </w:rPr>
              <w:t xml:space="preserve">23.5 </w:t>
            </w:r>
            <w:proofErr w:type="spellStart"/>
            <w:r>
              <w:rPr>
                <w:rFonts w:ascii="Arial" w:hAnsi="Arial" w:cs="Arial"/>
                <w:b/>
                <w:color w:val="auto"/>
              </w:rPr>
              <w:t>yrs</w:t>
            </w:r>
            <w:proofErr w:type="spellEnd"/>
          </w:p>
        </w:tc>
      </w:tr>
      <w:tr w:rsidR="00A1319B" w:rsidRPr="0005794A" w:rsidTr="008C785E">
        <w:trPr>
          <w:trHeight w:val="60"/>
        </w:trPr>
        <w:tc>
          <w:tcPr>
            <w:cnfStyle w:val="000010000000" w:firstRow="0" w:lastRow="0" w:firstColumn="0" w:lastColumn="0" w:oddVBand="1" w:evenVBand="0" w:oddHBand="0" w:evenHBand="0" w:firstRowFirstColumn="0" w:firstRowLastColumn="0" w:lastRowFirstColumn="0" w:lastRowLastColumn="0"/>
            <w:tcW w:w="4253" w:type="dxa"/>
          </w:tcPr>
          <w:p w:rsidR="00A1319B" w:rsidRPr="00A1319B" w:rsidRDefault="00A1319B" w:rsidP="00FC32F1">
            <w:pPr>
              <w:pStyle w:val="TableText"/>
              <w:numPr>
                <w:ilvl w:val="0"/>
                <w:numId w:val="25"/>
              </w:numPr>
              <w:spacing w:before="0" w:line="240" w:lineRule="auto"/>
              <w:rPr>
                <w:rFonts w:ascii="Arial" w:hAnsi="Arial" w:cs="Arial"/>
                <w:color w:val="auto"/>
              </w:rPr>
            </w:pPr>
            <w:r w:rsidRPr="00A1319B">
              <w:rPr>
                <w:rFonts w:ascii="Arial" w:hAnsi="Arial" w:cs="Arial"/>
                <w:color w:val="auto"/>
              </w:rPr>
              <w:t>Women</w:t>
            </w:r>
          </w:p>
        </w:tc>
        <w:tc>
          <w:tcPr>
            <w:tcW w:w="992" w:type="dxa"/>
          </w:tcPr>
          <w:p w:rsidR="00A1319B" w:rsidRPr="00A1319B" w:rsidRDefault="00A1319B"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 xml:space="preserve">26.1 </w:t>
            </w:r>
            <w:proofErr w:type="spellStart"/>
            <w:r w:rsidRPr="00A1319B">
              <w:rPr>
                <w:rFonts w:ascii="Arial" w:hAnsi="Arial" w:cs="Arial"/>
                <w:color w:val="auto"/>
              </w:rPr>
              <w:t>yrs</w:t>
            </w:r>
            <w:proofErr w:type="spellEnd"/>
          </w:p>
        </w:tc>
        <w:tc>
          <w:tcPr>
            <w:cnfStyle w:val="000010000000" w:firstRow="0" w:lastRow="0" w:firstColumn="0" w:lastColumn="0" w:oddVBand="1" w:evenVBand="0" w:oddHBand="0" w:evenHBand="0" w:firstRowFirstColumn="0" w:firstRowLastColumn="0" w:lastRowFirstColumn="0" w:lastRowLastColumn="0"/>
            <w:tcW w:w="1134"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 xml:space="preserve">26.2 </w:t>
            </w:r>
            <w:proofErr w:type="spellStart"/>
            <w:r w:rsidRPr="00A1319B">
              <w:rPr>
                <w:rFonts w:ascii="Arial" w:hAnsi="Arial" w:cs="Arial"/>
                <w:color w:val="auto"/>
              </w:rPr>
              <w:t>yrs</w:t>
            </w:r>
            <w:proofErr w:type="spellEnd"/>
          </w:p>
        </w:tc>
        <w:tc>
          <w:tcPr>
            <w:tcW w:w="1134" w:type="dxa"/>
          </w:tcPr>
          <w:p w:rsidR="00A1319B" w:rsidRPr="00A1319B" w:rsidRDefault="00A1319B"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 xml:space="preserve">25.5 </w:t>
            </w:r>
            <w:proofErr w:type="spellStart"/>
            <w:r w:rsidRPr="00A1319B">
              <w:rPr>
                <w:rFonts w:ascii="Arial" w:hAnsi="Arial" w:cs="Arial"/>
                <w:color w:val="auto"/>
              </w:rPr>
              <w:t>yrs</w:t>
            </w:r>
            <w:proofErr w:type="spellEnd"/>
          </w:p>
        </w:tc>
        <w:tc>
          <w:tcPr>
            <w:cnfStyle w:val="000010000000" w:firstRow="0" w:lastRow="0" w:firstColumn="0" w:lastColumn="0" w:oddVBand="1" w:evenVBand="0" w:oddHBand="0" w:evenHBand="0" w:firstRowFirstColumn="0" w:firstRowLastColumn="0" w:lastRowFirstColumn="0" w:lastRowLastColumn="0"/>
            <w:tcW w:w="1134" w:type="dxa"/>
          </w:tcPr>
          <w:p w:rsidR="00A1319B" w:rsidRPr="00A1319B" w:rsidRDefault="005A6B52" w:rsidP="005A6B52">
            <w:pPr>
              <w:pStyle w:val="TableRight"/>
              <w:spacing w:before="0" w:line="240" w:lineRule="auto"/>
              <w:jc w:val="center"/>
              <w:rPr>
                <w:rFonts w:ascii="Arial" w:hAnsi="Arial" w:cs="Arial"/>
                <w:b/>
                <w:color w:val="auto"/>
              </w:rPr>
            </w:pPr>
            <w:r>
              <w:rPr>
                <w:rFonts w:ascii="Arial" w:hAnsi="Arial" w:cs="Arial"/>
                <w:b/>
                <w:color w:val="auto"/>
              </w:rPr>
              <w:t xml:space="preserve">25.6 </w:t>
            </w:r>
            <w:proofErr w:type="spellStart"/>
            <w:r>
              <w:rPr>
                <w:rFonts w:ascii="Arial" w:hAnsi="Arial" w:cs="Arial"/>
                <w:b/>
                <w:color w:val="auto"/>
              </w:rPr>
              <w:t>yrs</w:t>
            </w:r>
            <w:proofErr w:type="spellEnd"/>
          </w:p>
        </w:tc>
      </w:tr>
      <w:tr w:rsidR="00A1319B" w:rsidRPr="0005794A" w:rsidTr="008C78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rsidR="00A1319B" w:rsidRPr="00A1319B" w:rsidRDefault="00A1319B" w:rsidP="00B206FD">
            <w:pPr>
              <w:pStyle w:val="TableText"/>
              <w:spacing w:before="0" w:line="240" w:lineRule="auto"/>
              <w:rPr>
                <w:rFonts w:ascii="Arial" w:hAnsi="Arial" w:cs="Arial"/>
                <w:color w:val="auto"/>
              </w:rPr>
            </w:pPr>
            <w:r w:rsidRPr="00A1319B">
              <w:rPr>
                <w:rFonts w:ascii="Arial" w:hAnsi="Arial" w:cs="Arial"/>
                <w:color w:val="auto"/>
              </w:rPr>
              <w:t>Longevity from age 65: retiring in 20 years</w:t>
            </w:r>
          </w:p>
        </w:tc>
        <w:tc>
          <w:tcPr>
            <w:tcW w:w="992" w:type="dxa"/>
          </w:tcPr>
          <w:p w:rsidR="00A1319B" w:rsidRPr="00A1319B" w:rsidRDefault="00A1319B" w:rsidP="00A1319B">
            <w:pPr>
              <w:pStyle w:val="NoParagraphStyle"/>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A1319B" w:rsidRPr="00A1319B" w:rsidRDefault="00A1319B" w:rsidP="00A1319B">
            <w:pPr>
              <w:pStyle w:val="NoParagraphStyle"/>
              <w:spacing w:line="240" w:lineRule="auto"/>
              <w:jc w:val="center"/>
              <w:textAlignment w:val="auto"/>
              <w:rPr>
                <w:rFonts w:ascii="Arial" w:hAnsi="Arial" w:cs="Arial"/>
                <w:color w:val="auto"/>
                <w:sz w:val="20"/>
                <w:szCs w:val="20"/>
              </w:rPr>
            </w:pPr>
          </w:p>
        </w:tc>
        <w:tc>
          <w:tcPr>
            <w:tcW w:w="1134" w:type="dxa"/>
          </w:tcPr>
          <w:p w:rsidR="00A1319B" w:rsidRPr="00A1319B" w:rsidRDefault="00A1319B" w:rsidP="00A1319B">
            <w:pPr>
              <w:pStyle w:val="NoParagraphStyle"/>
              <w:spacing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A1319B" w:rsidRPr="00A1319B" w:rsidRDefault="00A1319B" w:rsidP="00B206FD">
            <w:pPr>
              <w:pStyle w:val="NoParagraphStyle"/>
              <w:spacing w:line="240" w:lineRule="auto"/>
              <w:jc w:val="center"/>
              <w:textAlignment w:val="auto"/>
              <w:rPr>
                <w:rFonts w:ascii="Arial" w:hAnsi="Arial" w:cs="Arial"/>
                <w:b/>
                <w:color w:val="auto"/>
                <w:sz w:val="20"/>
                <w:szCs w:val="20"/>
              </w:rPr>
            </w:pPr>
          </w:p>
        </w:tc>
      </w:tr>
      <w:tr w:rsidR="00A1319B" w:rsidRPr="0005794A" w:rsidTr="008C785E">
        <w:trPr>
          <w:trHeight w:val="60"/>
        </w:trPr>
        <w:tc>
          <w:tcPr>
            <w:cnfStyle w:val="000010000000" w:firstRow="0" w:lastRow="0" w:firstColumn="0" w:lastColumn="0" w:oddVBand="1" w:evenVBand="0" w:oddHBand="0" w:evenHBand="0" w:firstRowFirstColumn="0" w:firstRowLastColumn="0" w:lastRowFirstColumn="0" w:lastRowLastColumn="0"/>
            <w:tcW w:w="4253" w:type="dxa"/>
          </w:tcPr>
          <w:p w:rsidR="00A1319B" w:rsidRPr="00A1319B" w:rsidRDefault="00A1319B" w:rsidP="00FC32F1">
            <w:pPr>
              <w:pStyle w:val="TableText"/>
              <w:numPr>
                <w:ilvl w:val="0"/>
                <w:numId w:val="25"/>
              </w:numPr>
              <w:spacing w:before="0" w:line="240" w:lineRule="auto"/>
              <w:rPr>
                <w:rFonts w:ascii="Arial" w:hAnsi="Arial" w:cs="Arial"/>
                <w:color w:val="auto"/>
              </w:rPr>
            </w:pPr>
            <w:r w:rsidRPr="00A1319B">
              <w:rPr>
                <w:rFonts w:ascii="Arial" w:hAnsi="Arial" w:cs="Arial"/>
                <w:color w:val="auto"/>
              </w:rPr>
              <w:t>Men</w:t>
            </w:r>
          </w:p>
        </w:tc>
        <w:tc>
          <w:tcPr>
            <w:tcW w:w="992" w:type="dxa"/>
          </w:tcPr>
          <w:p w:rsidR="00A1319B" w:rsidRPr="00A1319B" w:rsidRDefault="00A1319B"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 xml:space="preserve">25.1 </w:t>
            </w:r>
            <w:proofErr w:type="spellStart"/>
            <w:r w:rsidRPr="00A1319B">
              <w:rPr>
                <w:rFonts w:ascii="Arial" w:hAnsi="Arial" w:cs="Arial"/>
                <w:color w:val="auto"/>
              </w:rPr>
              <w:t>yrs</w:t>
            </w:r>
            <w:proofErr w:type="spellEnd"/>
          </w:p>
        </w:tc>
        <w:tc>
          <w:tcPr>
            <w:cnfStyle w:val="000010000000" w:firstRow="0" w:lastRow="0" w:firstColumn="0" w:lastColumn="0" w:oddVBand="1" w:evenVBand="0" w:oddHBand="0" w:evenHBand="0" w:firstRowFirstColumn="0" w:firstRowLastColumn="0" w:lastRowFirstColumn="0" w:lastRowLastColumn="0"/>
            <w:tcW w:w="1134"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 xml:space="preserve">25.2 </w:t>
            </w:r>
            <w:proofErr w:type="spellStart"/>
            <w:r w:rsidRPr="00A1319B">
              <w:rPr>
                <w:rFonts w:ascii="Arial" w:hAnsi="Arial" w:cs="Arial"/>
                <w:color w:val="auto"/>
              </w:rPr>
              <w:t>yrs</w:t>
            </w:r>
            <w:proofErr w:type="spellEnd"/>
          </w:p>
        </w:tc>
        <w:tc>
          <w:tcPr>
            <w:tcW w:w="1134" w:type="dxa"/>
          </w:tcPr>
          <w:p w:rsidR="00A1319B" w:rsidRPr="00A1319B" w:rsidRDefault="00A1319B" w:rsidP="00A1319B">
            <w:pPr>
              <w:pStyle w:val="TableRigh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B">
              <w:rPr>
                <w:rFonts w:ascii="Arial" w:hAnsi="Arial" w:cs="Arial"/>
                <w:color w:val="auto"/>
              </w:rPr>
              <w:t xml:space="preserve">25.6 </w:t>
            </w:r>
            <w:proofErr w:type="spellStart"/>
            <w:r w:rsidRPr="00A1319B">
              <w:rPr>
                <w:rFonts w:ascii="Arial" w:hAnsi="Arial" w:cs="Arial"/>
                <w:color w:val="auto"/>
              </w:rPr>
              <w:t>yrs</w:t>
            </w:r>
            <w:proofErr w:type="spellEnd"/>
          </w:p>
        </w:tc>
        <w:tc>
          <w:tcPr>
            <w:cnfStyle w:val="000010000000" w:firstRow="0" w:lastRow="0" w:firstColumn="0" w:lastColumn="0" w:oddVBand="1" w:evenVBand="0" w:oddHBand="0" w:evenHBand="0" w:firstRowFirstColumn="0" w:firstRowLastColumn="0" w:lastRowFirstColumn="0" w:lastRowLastColumn="0"/>
            <w:tcW w:w="1134" w:type="dxa"/>
          </w:tcPr>
          <w:p w:rsidR="00A1319B" w:rsidRPr="00A1319B" w:rsidRDefault="005A6B52" w:rsidP="00B206FD">
            <w:pPr>
              <w:pStyle w:val="TableRight"/>
              <w:spacing w:before="0" w:line="240" w:lineRule="auto"/>
              <w:jc w:val="center"/>
              <w:rPr>
                <w:rFonts w:ascii="Arial" w:hAnsi="Arial" w:cs="Arial"/>
                <w:b/>
                <w:color w:val="auto"/>
              </w:rPr>
            </w:pPr>
            <w:r>
              <w:rPr>
                <w:rFonts w:ascii="Arial" w:hAnsi="Arial" w:cs="Arial"/>
                <w:b/>
                <w:color w:val="auto"/>
              </w:rPr>
              <w:t xml:space="preserve">25.7 </w:t>
            </w:r>
            <w:proofErr w:type="spellStart"/>
            <w:r>
              <w:rPr>
                <w:rFonts w:ascii="Arial" w:hAnsi="Arial" w:cs="Arial"/>
                <w:b/>
                <w:color w:val="auto"/>
              </w:rPr>
              <w:t>yrs</w:t>
            </w:r>
            <w:proofErr w:type="spellEnd"/>
          </w:p>
        </w:tc>
      </w:tr>
      <w:tr w:rsidR="00A1319B" w:rsidRPr="0005794A" w:rsidTr="008C78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4253" w:type="dxa"/>
          </w:tcPr>
          <w:p w:rsidR="00A1319B" w:rsidRPr="00A1319B" w:rsidRDefault="00A1319B" w:rsidP="00FC32F1">
            <w:pPr>
              <w:pStyle w:val="TableText"/>
              <w:numPr>
                <w:ilvl w:val="0"/>
                <w:numId w:val="25"/>
              </w:numPr>
              <w:spacing w:before="0" w:line="240" w:lineRule="auto"/>
              <w:rPr>
                <w:rFonts w:ascii="Arial" w:hAnsi="Arial" w:cs="Arial"/>
                <w:color w:val="auto"/>
              </w:rPr>
            </w:pPr>
            <w:r w:rsidRPr="00A1319B">
              <w:rPr>
                <w:rFonts w:ascii="Arial" w:hAnsi="Arial" w:cs="Arial"/>
                <w:color w:val="auto"/>
              </w:rPr>
              <w:t>Women</w:t>
            </w:r>
          </w:p>
        </w:tc>
        <w:tc>
          <w:tcPr>
            <w:tcW w:w="992" w:type="dxa"/>
          </w:tcPr>
          <w:p w:rsidR="00A1319B" w:rsidRPr="00A1319B" w:rsidRDefault="00A1319B"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 xml:space="preserve">28.4 </w:t>
            </w:r>
            <w:proofErr w:type="spellStart"/>
            <w:r w:rsidRPr="00A1319B">
              <w:rPr>
                <w:rFonts w:ascii="Arial" w:hAnsi="Arial" w:cs="Arial"/>
                <w:color w:val="auto"/>
              </w:rPr>
              <w:t>yrs</w:t>
            </w:r>
            <w:proofErr w:type="spellEnd"/>
          </w:p>
        </w:tc>
        <w:tc>
          <w:tcPr>
            <w:cnfStyle w:val="000010000000" w:firstRow="0" w:lastRow="0" w:firstColumn="0" w:lastColumn="0" w:oddVBand="1" w:evenVBand="0" w:oddHBand="0" w:evenHBand="0" w:firstRowFirstColumn="0" w:firstRowLastColumn="0" w:lastRowFirstColumn="0" w:lastRowLastColumn="0"/>
            <w:tcW w:w="1134" w:type="dxa"/>
          </w:tcPr>
          <w:p w:rsidR="00A1319B" w:rsidRPr="00A1319B" w:rsidRDefault="00A1319B" w:rsidP="00A1319B">
            <w:pPr>
              <w:pStyle w:val="TableRight"/>
              <w:spacing w:before="0" w:line="240" w:lineRule="auto"/>
              <w:jc w:val="center"/>
              <w:rPr>
                <w:rFonts w:ascii="Arial" w:hAnsi="Arial" w:cs="Arial"/>
                <w:color w:val="auto"/>
              </w:rPr>
            </w:pPr>
            <w:r w:rsidRPr="00A1319B">
              <w:rPr>
                <w:rFonts w:ascii="Arial" w:hAnsi="Arial" w:cs="Arial"/>
                <w:color w:val="auto"/>
              </w:rPr>
              <w:t xml:space="preserve">28.6 </w:t>
            </w:r>
            <w:proofErr w:type="spellStart"/>
            <w:r w:rsidRPr="00A1319B">
              <w:rPr>
                <w:rFonts w:ascii="Arial" w:hAnsi="Arial" w:cs="Arial"/>
                <w:color w:val="auto"/>
              </w:rPr>
              <w:t>yrs</w:t>
            </w:r>
            <w:proofErr w:type="spellEnd"/>
          </w:p>
        </w:tc>
        <w:tc>
          <w:tcPr>
            <w:tcW w:w="1134" w:type="dxa"/>
          </w:tcPr>
          <w:p w:rsidR="00A1319B" w:rsidRPr="00A1319B" w:rsidRDefault="00A1319B" w:rsidP="00A1319B">
            <w:pPr>
              <w:pStyle w:val="TableRigh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1319B">
              <w:rPr>
                <w:rFonts w:ascii="Arial" w:hAnsi="Arial" w:cs="Arial"/>
                <w:color w:val="auto"/>
              </w:rPr>
              <w:t xml:space="preserve">27.8 </w:t>
            </w:r>
            <w:proofErr w:type="spellStart"/>
            <w:r w:rsidRPr="00A1319B">
              <w:rPr>
                <w:rFonts w:ascii="Arial" w:hAnsi="Arial" w:cs="Arial"/>
                <w:color w:val="auto"/>
              </w:rPr>
              <w:t>yrs</w:t>
            </w:r>
            <w:proofErr w:type="spellEnd"/>
          </w:p>
        </w:tc>
        <w:tc>
          <w:tcPr>
            <w:cnfStyle w:val="000010000000" w:firstRow="0" w:lastRow="0" w:firstColumn="0" w:lastColumn="0" w:oddVBand="1" w:evenVBand="0" w:oddHBand="0" w:evenHBand="0" w:firstRowFirstColumn="0" w:firstRowLastColumn="0" w:lastRowFirstColumn="0" w:lastRowLastColumn="0"/>
            <w:tcW w:w="1134" w:type="dxa"/>
          </w:tcPr>
          <w:p w:rsidR="00A1319B" w:rsidRPr="00A1319B" w:rsidRDefault="005A6B52" w:rsidP="00B206FD">
            <w:pPr>
              <w:pStyle w:val="TableRight"/>
              <w:spacing w:before="0" w:line="240" w:lineRule="auto"/>
              <w:jc w:val="center"/>
              <w:rPr>
                <w:rFonts w:ascii="Arial" w:hAnsi="Arial" w:cs="Arial"/>
                <w:b/>
                <w:color w:val="auto"/>
              </w:rPr>
            </w:pPr>
            <w:r>
              <w:rPr>
                <w:rFonts w:ascii="Arial" w:hAnsi="Arial" w:cs="Arial"/>
                <w:b/>
                <w:color w:val="auto"/>
              </w:rPr>
              <w:t xml:space="preserve">27.9 </w:t>
            </w:r>
            <w:proofErr w:type="spellStart"/>
            <w:r>
              <w:rPr>
                <w:rFonts w:ascii="Arial" w:hAnsi="Arial" w:cs="Arial"/>
                <w:b/>
                <w:color w:val="auto"/>
              </w:rPr>
              <w:t>yrs</w:t>
            </w:r>
            <w:proofErr w:type="spellEnd"/>
          </w:p>
        </w:tc>
      </w:tr>
    </w:tbl>
    <w:p w:rsidR="000D78C6" w:rsidRPr="0005794A" w:rsidRDefault="000D78C6" w:rsidP="00164AC3">
      <w:pPr>
        <w:pStyle w:val="CodeNotesExampleText"/>
        <w:widowControl w:val="0"/>
        <w:ind w:left="420"/>
        <w:rPr>
          <w:rFonts w:cs="Arial"/>
          <w:i/>
          <w:color w:val="548DD4" w:themeColor="text2" w:themeTint="99"/>
          <w:sz w:val="20"/>
          <w:szCs w:val="20"/>
        </w:rPr>
      </w:pPr>
    </w:p>
    <w:p w:rsidR="007E4359" w:rsidRPr="005A6B52" w:rsidRDefault="002B65DD" w:rsidP="00163DF6">
      <w:pPr>
        <w:autoSpaceDE w:val="0"/>
        <w:autoSpaceDN w:val="0"/>
        <w:adjustRightInd w:val="0"/>
        <w:spacing w:after="0" w:line="240" w:lineRule="auto"/>
        <w:ind w:left="567"/>
        <w:rPr>
          <w:rFonts w:eastAsia="Times New Roman" w:cs="Arial"/>
          <w:color w:val="auto"/>
          <w:sz w:val="20"/>
          <w:szCs w:val="20"/>
          <w:lang w:eastAsia="en-GB"/>
        </w:rPr>
      </w:pPr>
      <w:r w:rsidRPr="005A6B52">
        <w:rPr>
          <w:rFonts w:eastAsia="Times New Roman" w:cs="Arial"/>
          <w:color w:val="auto"/>
          <w:sz w:val="20"/>
          <w:szCs w:val="20"/>
          <w:lang w:eastAsia="en-GB"/>
        </w:rPr>
        <w:t>The actuary has made t</w:t>
      </w:r>
      <w:r w:rsidR="007E4359" w:rsidRPr="005A6B52">
        <w:rPr>
          <w:rFonts w:eastAsia="Times New Roman" w:cs="Arial"/>
          <w:color w:val="auto"/>
          <w:sz w:val="20"/>
          <w:szCs w:val="20"/>
          <w:lang w:eastAsia="en-GB"/>
        </w:rPr>
        <w:t xml:space="preserve">he following assumptions: </w:t>
      </w:r>
    </w:p>
    <w:p w:rsidR="002B65DD" w:rsidRPr="005A6B52" w:rsidRDefault="002B65DD" w:rsidP="00163DF6">
      <w:pPr>
        <w:autoSpaceDE w:val="0"/>
        <w:autoSpaceDN w:val="0"/>
        <w:adjustRightInd w:val="0"/>
        <w:spacing w:after="0" w:line="240" w:lineRule="auto"/>
        <w:ind w:left="567"/>
        <w:rPr>
          <w:rFonts w:eastAsia="Times New Roman" w:cs="Arial"/>
          <w:color w:val="auto"/>
          <w:sz w:val="20"/>
          <w:szCs w:val="20"/>
          <w:lang w:eastAsia="en-GB"/>
        </w:rPr>
      </w:pPr>
    </w:p>
    <w:p w:rsidR="007E4359" w:rsidRPr="005A6B52" w:rsidRDefault="007E4359" w:rsidP="00FC32F1">
      <w:pPr>
        <w:pStyle w:val="ListParagraph"/>
        <w:numPr>
          <w:ilvl w:val="0"/>
          <w:numId w:val="24"/>
        </w:numPr>
        <w:autoSpaceDE w:val="0"/>
        <w:autoSpaceDN w:val="0"/>
        <w:adjustRightInd w:val="0"/>
        <w:spacing w:after="225" w:line="240" w:lineRule="auto"/>
        <w:rPr>
          <w:rFonts w:eastAsia="Times New Roman" w:cs="Arial"/>
          <w:color w:val="auto"/>
          <w:sz w:val="20"/>
          <w:szCs w:val="20"/>
          <w:lang w:eastAsia="en-GB"/>
        </w:rPr>
      </w:pPr>
      <w:r w:rsidRPr="005A6B52">
        <w:rPr>
          <w:rFonts w:eastAsia="Times New Roman" w:cs="Arial"/>
          <w:color w:val="auto"/>
          <w:sz w:val="20"/>
          <w:szCs w:val="20"/>
          <w:lang w:eastAsia="en-GB"/>
        </w:rPr>
        <w:t xml:space="preserve">Members will exchange half of their commutable pension for cash at retirement; </w:t>
      </w:r>
    </w:p>
    <w:p w:rsidR="0074645D" w:rsidRPr="005A6B52" w:rsidRDefault="007E4359" w:rsidP="00FC32F1">
      <w:pPr>
        <w:pStyle w:val="ListParagraph"/>
        <w:numPr>
          <w:ilvl w:val="0"/>
          <w:numId w:val="24"/>
        </w:numPr>
        <w:autoSpaceDE w:val="0"/>
        <w:autoSpaceDN w:val="0"/>
        <w:adjustRightInd w:val="0"/>
        <w:spacing w:after="225" w:line="240" w:lineRule="auto"/>
        <w:rPr>
          <w:rFonts w:eastAsia="Times New Roman" w:cs="Arial"/>
          <w:color w:val="auto"/>
          <w:sz w:val="20"/>
          <w:szCs w:val="20"/>
          <w:lang w:eastAsia="en-GB"/>
        </w:rPr>
      </w:pPr>
      <w:r w:rsidRPr="005A6B52">
        <w:rPr>
          <w:rFonts w:eastAsia="Times New Roman" w:cs="Arial"/>
          <w:color w:val="auto"/>
          <w:sz w:val="20"/>
          <w:szCs w:val="20"/>
          <w:lang w:eastAsia="en-GB"/>
        </w:rPr>
        <w:t>Members will retire at one retirement age for all tranches of benefit, which will be the pension weighted average tranche retirement age;</w:t>
      </w:r>
    </w:p>
    <w:p w:rsidR="007E4359" w:rsidRPr="005A6B52" w:rsidRDefault="0074645D" w:rsidP="00FC32F1">
      <w:pPr>
        <w:pStyle w:val="ListParagraph"/>
        <w:numPr>
          <w:ilvl w:val="0"/>
          <w:numId w:val="24"/>
        </w:numPr>
        <w:autoSpaceDE w:val="0"/>
        <w:autoSpaceDN w:val="0"/>
        <w:adjustRightInd w:val="0"/>
        <w:spacing w:after="225" w:line="240" w:lineRule="auto"/>
        <w:rPr>
          <w:rFonts w:eastAsia="Times New Roman" w:cs="Arial"/>
          <w:color w:val="auto"/>
          <w:sz w:val="20"/>
          <w:szCs w:val="20"/>
          <w:lang w:eastAsia="en-GB"/>
        </w:rPr>
      </w:pPr>
      <w:r w:rsidRPr="005A6B52">
        <w:rPr>
          <w:rFonts w:eastAsia="Times New Roman" w:cs="Arial"/>
          <w:color w:val="auto"/>
          <w:sz w:val="20"/>
          <w:szCs w:val="20"/>
          <w:lang w:eastAsia="en-GB"/>
        </w:rPr>
        <w:t xml:space="preserve">It is assumed </w:t>
      </w:r>
      <w:r w:rsidR="007E4359" w:rsidRPr="005A6B52">
        <w:rPr>
          <w:rFonts w:eastAsia="Times New Roman" w:cs="Arial"/>
          <w:color w:val="auto"/>
          <w:sz w:val="20"/>
          <w:szCs w:val="20"/>
          <w:lang w:eastAsia="en-GB"/>
        </w:rPr>
        <w:t xml:space="preserve">members </w:t>
      </w:r>
      <w:r w:rsidRPr="005A6B52">
        <w:rPr>
          <w:rFonts w:eastAsia="Times New Roman" w:cs="Arial"/>
          <w:color w:val="auto"/>
          <w:sz w:val="20"/>
          <w:szCs w:val="20"/>
          <w:lang w:eastAsia="en-GB"/>
        </w:rPr>
        <w:t xml:space="preserve">opted into the </w:t>
      </w:r>
      <w:r w:rsidR="007E4359" w:rsidRPr="005A6B52">
        <w:rPr>
          <w:rFonts w:eastAsia="Times New Roman" w:cs="Arial"/>
          <w:color w:val="auto"/>
          <w:sz w:val="20"/>
          <w:szCs w:val="20"/>
          <w:lang w:eastAsia="en-GB"/>
        </w:rPr>
        <w:t>50</w:t>
      </w:r>
      <w:r w:rsidRPr="005A6B52">
        <w:rPr>
          <w:rFonts w:eastAsia="Times New Roman" w:cs="Arial"/>
          <w:color w:val="auto"/>
          <w:sz w:val="20"/>
          <w:szCs w:val="20"/>
          <w:lang w:eastAsia="en-GB"/>
        </w:rPr>
        <w:t>:50 section at the previous valuation will continue.</w:t>
      </w:r>
      <w:r w:rsidR="007E4359" w:rsidRPr="005A6B52">
        <w:rPr>
          <w:rFonts w:eastAsia="Times New Roman" w:cs="Arial"/>
          <w:color w:val="auto"/>
          <w:sz w:val="20"/>
          <w:szCs w:val="20"/>
          <w:lang w:eastAsia="en-GB"/>
        </w:rPr>
        <w:t xml:space="preserve"> </w:t>
      </w:r>
    </w:p>
    <w:p w:rsidR="00164AC3" w:rsidRPr="0005794A" w:rsidRDefault="00164AC3" w:rsidP="0098499F">
      <w:pPr>
        <w:autoSpaceDE w:val="0"/>
        <w:autoSpaceDN w:val="0"/>
        <w:adjustRightInd w:val="0"/>
        <w:spacing w:after="0" w:line="240" w:lineRule="auto"/>
        <w:rPr>
          <w:rFonts w:eastAsia="Times New Roman" w:cs="Arial"/>
          <w:color w:val="548DD4" w:themeColor="text2" w:themeTint="99"/>
          <w:sz w:val="20"/>
          <w:szCs w:val="20"/>
        </w:rPr>
      </w:pPr>
    </w:p>
    <w:p w:rsidR="00164AC3" w:rsidRPr="008E7268" w:rsidRDefault="008A6EEE" w:rsidP="008D0906">
      <w:pPr>
        <w:autoSpaceDE w:val="0"/>
        <w:autoSpaceDN w:val="0"/>
        <w:adjustRightInd w:val="0"/>
        <w:spacing w:after="0" w:line="240" w:lineRule="auto"/>
        <w:ind w:left="567"/>
        <w:outlineLvl w:val="0"/>
        <w:rPr>
          <w:rFonts w:eastAsia="Times New Roman" w:cs="Arial"/>
          <w:b/>
          <w:color w:val="auto"/>
          <w:sz w:val="20"/>
          <w:szCs w:val="20"/>
        </w:rPr>
      </w:pPr>
      <w:r w:rsidRPr="008E7268">
        <w:rPr>
          <w:rFonts w:eastAsia="Times New Roman" w:cs="Arial"/>
          <w:b/>
          <w:color w:val="auto"/>
          <w:sz w:val="20"/>
          <w:szCs w:val="20"/>
        </w:rPr>
        <w:t>Financial Assumptions</w:t>
      </w:r>
    </w:p>
    <w:p w:rsidR="00164AC3" w:rsidRPr="0005794A" w:rsidRDefault="00164AC3" w:rsidP="007849CA">
      <w:pPr>
        <w:autoSpaceDE w:val="0"/>
        <w:autoSpaceDN w:val="0"/>
        <w:adjustRightInd w:val="0"/>
        <w:spacing w:after="0" w:line="240" w:lineRule="auto"/>
        <w:ind w:left="567"/>
        <w:rPr>
          <w:rFonts w:eastAsia="Times New Roman" w:cs="Arial"/>
          <w:color w:val="548DD4" w:themeColor="text2" w:themeTint="99"/>
          <w:sz w:val="20"/>
          <w:szCs w:val="20"/>
        </w:rPr>
      </w:pPr>
    </w:p>
    <w:tbl>
      <w:tblPr>
        <w:tblStyle w:val="ListTable3-Accent51"/>
        <w:tblW w:w="6155" w:type="dxa"/>
        <w:jc w:val="center"/>
        <w:tblBorders>
          <w:insideH w:val="single" w:sz="4" w:space="0" w:color="4BACC6" w:themeColor="accent5"/>
          <w:insideV w:val="single" w:sz="4" w:space="0" w:color="4BACC6" w:themeColor="accent5"/>
        </w:tblBorders>
        <w:tblLook w:val="04A0" w:firstRow="1" w:lastRow="0" w:firstColumn="1" w:lastColumn="0" w:noHBand="0" w:noVBand="1"/>
      </w:tblPr>
      <w:tblGrid>
        <w:gridCol w:w="1883"/>
        <w:gridCol w:w="1012"/>
        <w:gridCol w:w="992"/>
        <w:gridCol w:w="1134"/>
        <w:gridCol w:w="1134"/>
      </w:tblGrid>
      <w:tr w:rsidR="0077074F" w:rsidRPr="0005794A" w:rsidTr="0098763F">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100" w:firstRow="0" w:lastRow="0" w:firstColumn="1" w:lastColumn="0" w:oddVBand="0" w:evenVBand="0" w:oddHBand="0" w:evenHBand="0" w:firstRowFirstColumn="1" w:firstRowLastColumn="0" w:lastRowFirstColumn="0" w:lastRowLastColumn="0"/>
            <w:tcW w:w="1883" w:type="dxa"/>
          </w:tcPr>
          <w:p w:rsidR="0077074F" w:rsidRPr="00A1319B" w:rsidRDefault="0077074F" w:rsidP="007849CA">
            <w:pPr>
              <w:autoSpaceDE w:val="0"/>
              <w:autoSpaceDN w:val="0"/>
              <w:adjustRightInd w:val="0"/>
              <w:spacing w:after="0" w:line="240" w:lineRule="auto"/>
              <w:rPr>
                <w:rFonts w:eastAsia="Times New Roman" w:cs="Arial"/>
                <w:b w:val="0"/>
                <w:color w:val="auto"/>
                <w:sz w:val="20"/>
                <w:szCs w:val="20"/>
              </w:rPr>
            </w:pPr>
          </w:p>
        </w:tc>
        <w:tc>
          <w:tcPr>
            <w:tcW w:w="1012" w:type="dxa"/>
          </w:tcPr>
          <w:p w:rsidR="0077074F" w:rsidRPr="00A1319B" w:rsidRDefault="0077074F" w:rsidP="006C61A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A1319B">
              <w:rPr>
                <w:rFonts w:eastAsia="Times New Roman" w:cs="Arial"/>
                <w:b w:val="0"/>
                <w:color w:val="auto"/>
                <w:sz w:val="20"/>
                <w:szCs w:val="20"/>
              </w:rPr>
              <w:t>31st March 201</w:t>
            </w:r>
            <w:r w:rsidR="00A1319B" w:rsidRPr="00A1319B">
              <w:rPr>
                <w:rFonts w:eastAsia="Times New Roman" w:cs="Arial"/>
                <w:b w:val="0"/>
                <w:color w:val="auto"/>
                <w:sz w:val="20"/>
                <w:szCs w:val="20"/>
              </w:rPr>
              <w:t>5</w:t>
            </w:r>
          </w:p>
        </w:tc>
        <w:tc>
          <w:tcPr>
            <w:tcW w:w="992" w:type="dxa"/>
          </w:tcPr>
          <w:p w:rsidR="0077074F" w:rsidRPr="00A1319B" w:rsidRDefault="0077074F" w:rsidP="006C61A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A1319B">
              <w:rPr>
                <w:rFonts w:eastAsia="Times New Roman" w:cs="Arial"/>
                <w:b w:val="0"/>
                <w:color w:val="auto"/>
                <w:sz w:val="20"/>
                <w:szCs w:val="20"/>
              </w:rPr>
              <w:t>31st March 201</w:t>
            </w:r>
            <w:r w:rsidR="00A1319B" w:rsidRPr="00A1319B">
              <w:rPr>
                <w:rFonts w:eastAsia="Times New Roman" w:cs="Arial"/>
                <w:b w:val="0"/>
                <w:color w:val="auto"/>
                <w:sz w:val="20"/>
                <w:szCs w:val="20"/>
              </w:rPr>
              <w:t>6</w:t>
            </w:r>
          </w:p>
        </w:tc>
        <w:tc>
          <w:tcPr>
            <w:tcW w:w="1134" w:type="dxa"/>
          </w:tcPr>
          <w:p w:rsidR="0077074F" w:rsidRPr="00A1319B" w:rsidRDefault="0077074F" w:rsidP="006C61A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A1319B">
              <w:rPr>
                <w:rFonts w:eastAsia="Times New Roman" w:cs="Arial"/>
                <w:b w:val="0"/>
                <w:color w:val="auto"/>
                <w:sz w:val="20"/>
                <w:szCs w:val="20"/>
              </w:rPr>
              <w:t>31st March 201</w:t>
            </w:r>
            <w:r w:rsidR="00A1319B" w:rsidRPr="00A1319B">
              <w:rPr>
                <w:rFonts w:eastAsia="Times New Roman" w:cs="Arial"/>
                <w:b w:val="0"/>
                <w:color w:val="auto"/>
                <w:sz w:val="20"/>
                <w:szCs w:val="20"/>
              </w:rPr>
              <w:t>7</w:t>
            </w:r>
          </w:p>
        </w:tc>
        <w:tc>
          <w:tcPr>
            <w:tcW w:w="1134" w:type="dxa"/>
          </w:tcPr>
          <w:p w:rsidR="0077074F" w:rsidRPr="00A1319B" w:rsidRDefault="0077074F" w:rsidP="00AA6D60">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A1319B">
              <w:rPr>
                <w:rFonts w:eastAsia="Times New Roman" w:cs="Arial"/>
                <w:b w:val="0"/>
                <w:color w:val="auto"/>
                <w:sz w:val="20"/>
                <w:szCs w:val="20"/>
              </w:rPr>
              <w:t>31st March 201</w:t>
            </w:r>
            <w:r w:rsidR="00A1319B" w:rsidRPr="00A1319B">
              <w:rPr>
                <w:rFonts w:eastAsia="Times New Roman" w:cs="Arial"/>
                <w:b w:val="0"/>
                <w:color w:val="auto"/>
                <w:sz w:val="20"/>
                <w:szCs w:val="20"/>
              </w:rPr>
              <w:t>8</w:t>
            </w:r>
          </w:p>
        </w:tc>
      </w:tr>
      <w:tr w:rsidR="0077074F" w:rsidRPr="0005794A" w:rsidTr="0098763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883" w:type="dxa"/>
          </w:tcPr>
          <w:p w:rsidR="0077074F" w:rsidRPr="00A1319B" w:rsidRDefault="0077074F" w:rsidP="007849CA">
            <w:pPr>
              <w:autoSpaceDE w:val="0"/>
              <w:autoSpaceDN w:val="0"/>
              <w:adjustRightInd w:val="0"/>
              <w:spacing w:after="0" w:line="240" w:lineRule="auto"/>
              <w:rPr>
                <w:rFonts w:eastAsia="Times New Roman" w:cs="Arial"/>
                <w:color w:val="auto"/>
                <w:sz w:val="20"/>
                <w:szCs w:val="20"/>
              </w:rPr>
            </w:pPr>
          </w:p>
        </w:tc>
        <w:tc>
          <w:tcPr>
            <w:tcW w:w="1012" w:type="dxa"/>
          </w:tcPr>
          <w:p w:rsidR="0077074F" w:rsidRPr="00A1319B" w:rsidRDefault="0077074F" w:rsidP="0077074F">
            <w:pPr>
              <w:jc w:val="center"/>
              <w:cnfStyle w:val="000000100000" w:firstRow="0" w:lastRow="0" w:firstColumn="0" w:lastColumn="0" w:oddVBand="0" w:evenVBand="0" w:oddHBand="1" w:evenHBand="0" w:firstRowFirstColumn="0" w:firstRowLastColumn="0" w:lastRowFirstColumn="0" w:lastRowLastColumn="0"/>
              <w:rPr>
                <w:color w:val="auto"/>
              </w:rPr>
            </w:pPr>
            <w:r w:rsidRPr="00A1319B">
              <w:rPr>
                <w:rFonts w:eastAsia="Times New Roman" w:cs="Arial"/>
                <w:color w:val="auto"/>
                <w:sz w:val="20"/>
                <w:szCs w:val="20"/>
              </w:rPr>
              <w:t xml:space="preserve">% </w:t>
            </w:r>
            <w:proofErr w:type="spellStart"/>
            <w:r w:rsidRPr="00A1319B">
              <w:rPr>
                <w:rFonts w:eastAsia="Times New Roman" w:cs="Arial"/>
                <w:color w:val="auto"/>
                <w:sz w:val="20"/>
                <w:szCs w:val="20"/>
              </w:rPr>
              <w:t>p.a</w:t>
            </w:r>
            <w:proofErr w:type="spellEnd"/>
          </w:p>
        </w:tc>
        <w:tc>
          <w:tcPr>
            <w:tcW w:w="992" w:type="dxa"/>
          </w:tcPr>
          <w:p w:rsidR="0077074F" w:rsidRPr="00A1319B" w:rsidRDefault="0077074F" w:rsidP="0077074F">
            <w:pPr>
              <w:jc w:val="center"/>
              <w:cnfStyle w:val="000000100000" w:firstRow="0" w:lastRow="0" w:firstColumn="0" w:lastColumn="0" w:oddVBand="0" w:evenVBand="0" w:oddHBand="1" w:evenHBand="0" w:firstRowFirstColumn="0" w:firstRowLastColumn="0" w:lastRowFirstColumn="0" w:lastRowLastColumn="0"/>
              <w:rPr>
                <w:color w:val="auto"/>
              </w:rPr>
            </w:pPr>
            <w:r w:rsidRPr="00A1319B">
              <w:rPr>
                <w:rFonts w:eastAsia="Times New Roman" w:cs="Arial"/>
                <w:color w:val="auto"/>
                <w:sz w:val="20"/>
                <w:szCs w:val="20"/>
              </w:rPr>
              <w:t xml:space="preserve">% </w:t>
            </w:r>
            <w:proofErr w:type="spellStart"/>
            <w:r w:rsidRPr="00A1319B">
              <w:rPr>
                <w:rFonts w:eastAsia="Times New Roman" w:cs="Arial"/>
                <w:color w:val="auto"/>
                <w:sz w:val="20"/>
                <w:szCs w:val="20"/>
              </w:rPr>
              <w:t>p.a</w:t>
            </w:r>
            <w:proofErr w:type="spellEnd"/>
          </w:p>
        </w:tc>
        <w:tc>
          <w:tcPr>
            <w:tcW w:w="1134" w:type="dxa"/>
          </w:tcPr>
          <w:p w:rsidR="0077074F" w:rsidRPr="00A1319B" w:rsidRDefault="0077074F" w:rsidP="0077074F">
            <w:pPr>
              <w:jc w:val="center"/>
              <w:cnfStyle w:val="000000100000" w:firstRow="0" w:lastRow="0" w:firstColumn="0" w:lastColumn="0" w:oddVBand="0" w:evenVBand="0" w:oddHBand="1" w:evenHBand="0" w:firstRowFirstColumn="0" w:firstRowLastColumn="0" w:lastRowFirstColumn="0" w:lastRowLastColumn="0"/>
              <w:rPr>
                <w:color w:val="auto"/>
              </w:rPr>
            </w:pPr>
            <w:r w:rsidRPr="00A1319B">
              <w:rPr>
                <w:rFonts w:eastAsia="Times New Roman" w:cs="Arial"/>
                <w:color w:val="auto"/>
                <w:sz w:val="20"/>
                <w:szCs w:val="20"/>
              </w:rPr>
              <w:t xml:space="preserve">% </w:t>
            </w:r>
            <w:proofErr w:type="spellStart"/>
            <w:r w:rsidRPr="00A1319B">
              <w:rPr>
                <w:rFonts w:eastAsia="Times New Roman" w:cs="Arial"/>
                <w:color w:val="auto"/>
                <w:sz w:val="20"/>
                <w:szCs w:val="20"/>
              </w:rPr>
              <w:t>p.a</w:t>
            </w:r>
            <w:proofErr w:type="spellEnd"/>
          </w:p>
        </w:tc>
        <w:tc>
          <w:tcPr>
            <w:tcW w:w="1134" w:type="dxa"/>
          </w:tcPr>
          <w:p w:rsidR="0077074F" w:rsidRPr="00A1319B" w:rsidRDefault="0077074F" w:rsidP="0077074F">
            <w:pPr>
              <w:jc w:val="center"/>
              <w:cnfStyle w:val="000000100000" w:firstRow="0" w:lastRow="0" w:firstColumn="0" w:lastColumn="0" w:oddVBand="0" w:evenVBand="0" w:oddHBand="1" w:evenHBand="0" w:firstRowFirstColumn="0" w:firstRowLastColumn="0" w:lastRowFirstColumn="0" w:lastRowLastColumn="0"/>
              <w:rPr>
                <w:color w:val="auto"/>
              </w:rPr>
            </w:pPr>
            <w:r w:rsidRPr="00A1319B">
              <w:rPr>
                <w:rFonts w:eastAsia="Times New Roman" w:cs="Arial"/>
                <w:color w:val="auto"/>
                <w:sz w:val="20"/>
                <w:szCs w:val="20"/>
              </w:rPr>
              <w:t xml:space="preserve">% </w:t>
            </w:r>
            <w:proofErr w:type="spellStart"/>
            <w:r w:rsidRPr="00A1319B">
              <w:rPr>
                <w:rFonts w:eastAsia="Times New Roman" w:cs="Arial"/>
                <w:color w:val="auto"/>
                <w:sz w:val="20"/>
                <w:szCs w:val="20"/>
              </w:rPr>
              <w:t>p.a</w:t>
            </w:r>
            <w:proofErr w:type="spellEnd"/>
          </w:p>
        </w:tc>
      </w:tr>
      <w:tr w:rsidR="00A1319B" w:rsidRPr="0005794A" w:rsidTr="008E7268">
        <w:trPr>
          <w:jc w:val="center"/>
        </w:trPr>
        <w:tc>
          <w:tcPr>
            <w:cnfStyle w:val="001000000000" w:firstRow="0" w:lastRow="0" w:firstColumn="1" w:lastColumn="0" w:oddVBand="0" w:evenVBand="0" w:oddHBand="0" w:evenHBand="0" w:firstRowFirstColumn="0" w:firstRowLastColumn="0" w:lastRowFirstColumn="0" w:lastRowLastColumn="0"/>
            <w:tcW w:w="1883" w:type="dxa"/>
          </w:tcPr>
          <w:p w:rsidR="00A1319B" w:rsidRPr="00A1319B" w:rsidRDefault="00A1319B" w:rsidP="007849CA">
            <w:pPr>
              <w:autoSpaceDE w:val="0"/>
              <w:autoSpaceDN w:val="0"/>
              <w:adjustRightInd w:val="0"/>
              <w:spacing w:after="0" w:line="240" w:lineRule="auto"/>
              <w:rPr>
                <w:rFonts w:eastAsia="Times New Roman" w:cs="Arial"/>
                <w:b w:val="0"/>
                <w:color w:val="auto"/>
                <w:sz w:val="20"/>
                <w:szCs w:val="20"/>
              </w:rPr>
            </w:pPr>
            <w:r w:rsidRPr="00A1319B">
              <w:rPr>
                <w:rFonts w:eastAsia="Times New Roman" w:cs="Arial"/>
                <w:b w:val="0"/>
                <w:color w:val="auto"/>
                <w:sz w:val="20"/>
                <w:szCs w:val="20"/>
              </w:rPr>
              <w:t>RPI Increases</w:t>
            </w:r>
          </w:p>
        </w:tc>
        <w:tc>
          <w:tcPr>
            <w:tcW w:w="1012" w:type="dxa"/>
          </w:tcPr>
          <w:p w:rsidR="00A1319B" w:rsidRPr="00A1319B"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3.2</w:t>
            </w:r>
          </w:p>
        </w:tc>
        <w:tc>
          <w:tcPr>
            <w:tcW w:w="992" w:type="dxa"/>
          </w:tcPr>
          <w:p w:rsidR="00A1319B" w:rsidRPr="00A1319B"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3.3</w:t>
            </w:r>
          </w:p>
        </w:tc>
        <w:tc>
          <w:tcPr>
            <w:tcW w:w="1134" w:type="dxa"/>
          </w:tcPr>
          <w:p w:rsidR="00A1319B" w:rsidRPr="00A1319B"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highlight w:val="yellow"/>
              </w:rPr>
            </w:pPr>
            <w:r w:rsidRPr="00A1319B">
              <w:rPr>
                <w:rFonts w:eastAsia="Times New Roman" w:cs="Arial"/>
                <w:color w:val="auto"/>
                <w:sz w:val="20"/>
                <w:szCs w:val="20"/>
              </w:rPr>
              <w:t>3.6</w:t>
            </w:r>
          </w:p>
        </w:tc>
        <w:tc>
          <w:tcPr>
            <w:tcW w:w="1134" w:type="dxa"/>
            <w:shd w:val="clear" w:color="auto" w:fill="auto"/>
          </w:tcPr>
          <w:p w:rsidR="00A1319B" w:rsidRPr="008E7268" w:rsidRDefault="008E7268" w:rsidP="0077074F">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rPr>
            </w:pPr>
            <w:r w:rsidRPr="008E7268">
              <w:rPr>
                <w:rFonts w:eastAsia="Times New Roman" w:cs="Arial"/>
                <w:b/>
                <w:color w:val="auto"/>
                <w:sz w:val="20"/>
                <w:szCs w:val="20"/>
              </w:rPr>
              <w:t>3.3</w:t>
            </w:r>
          </w:p>
        </w:tc>
      </w:tr>
      <w:tr w:rsidR="00A1319B" w:rsidRPr="0005794A" w:rsidTr="008E72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3" w:type="dxa"/>
          </w:tcPr>
          <w:p w:rsidR="00A1319B" w:rsidRPr="00A1319B" w:rsidRDefault="00A1319B" w:rsidP="007849CA">
            <w:pPr>
              <w:autoSpaceDE w:val="0"/>
              <w:autoSpaceDN w:val="0"/>
              <w:adjustRightInd w:val="0"/>
              <w:spacing w:after="0" w:line="240" w:lineRule="auto"/>
              <w:rPr>
                <w:rFonts w:eastAsia="Times New Roman" w:cs="Arial"/>
                <w:b w:val="0"/>
                <w:color w:val="auto"/>
                <w:sz w:val="20"/>
                <w:szCs w:val="20"/>
              </w:rPr>
            </w:pPr>
            <w:r w:rsidRPr="00A1319B">
              <w:rPr>
                <w:rFonts w:eastAsia="Times New Roman" w:cs="Arial"/>
                <w:b w:val="0"/>
                <w:color w:val="auto"/>
                <w:sz w:val="20"/>
                <w:szCs w:val="20"/>
              </w:rPr>
              <w:t>CPI Increases</w:t>
            </w:r>
          </w:p>
        </w:tc>
        <w:tc>
          <w:tcPr>
            <w:tcW w:w="1012" w:type="dxa"/>
          </w:tcPr>
          <w:p w:rsidR="00A1319B" w:rsidRPr="00A1319B" w:rsidRDefault="00A1319B" w:rsidP="00A1319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2.4</w:t>
            </w:r>
          </w:p>
        </w:tc>
        <w:tc>
          <w:tcPr>
            <w:tcW w:w="992" w:type="dxa"/>
          </w:tcPr>
          <w:p w:rsidR="00A1319B" w:rsidRPr="00A1319B" w:rsidRDefault="00A1319B" w:rsidP="00A1319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2.4</w:t>
            </w:r>
          </w:p>
        </w:tc>
        <w:tc>
          <w:tcPr>
            <w:tcW w:w="1134" w:type="dxa"/>
          </w:tcPr>
          <w:p w:rsidR="00A1319B" w:rsidRPr="00A1319B" w:rsidRDefault="00A1319B" w:rsidP="00A1319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highlight w:val="yellow"/>
              </w:rPr>
            </w:pPr>
            <w:r w:rsidRPr="00A1319B">
              <w:rPr>
                <w:rFonts w:eastAsia="Times New Roman" w:cs="Arial"/>
                <w:color w:val="auto"/>
                <w:sz w:val="20"/>
                <w:szCs w:val="20"/>
              </w:rPr>
              <w:t>2.7</w:t>
            </w:r>
          </w:p>
        </w:tc>
        <w:tc>
          <w:tcPr>
            <w:tcW w:w="1134" w:type="dxa"/>
            <w:shd w:val="clear" w:color="auto" w:fill="auto"/>
          </w:tcPr>
          <w:p w:rsidR="00A1319B" w:rsidRPr="008E7268" w:rsidRDefault="008E7268" w:rsidP="0077074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8E7268">
              <w:rPr>
                <w:rFonts w:eastAsia="Times New Roman" w:cs="Arial"/>
                <w:b/>
                <w:color w:val="auto"/>
                <w:sz w:val="20"/>
                <w:szCs w:val="20"/>
              </w:rPr>
              <w:t>2.3</w:t>
            </w:r>
          </w:p>
        </w:tc>
      </w:tr>
      <w:tr w:rsidR="00A1319B" w:rsidRPr="0005794A" w:rsidTr="0098763F">
        <w:trPr>
          <w:jc w:val="center"/>
        </w:trPr>
        <w:tc>
          <w:tcPr>
            <w:cnfStyle w:val="001000000000" w:firstRow="0" w:lastRow="0" w:firstColumn="1" w:lastColumn="0" w:oddVBand="0" w:evenVBand="0" w:oddHBand="0" w:evenHBand="0" w:firstRowFirstColumn="0" w:firstRowLastColumn="0" w:lastRowFirstColumn="0" w:lastRowLastColumn="0"/>
            <w:tcW w:w="1883" w:type="dxa"/>
          </w:tcPr>
          <w:p w:rsidR="00A1319B" w:rsidRPr="00A1319B" w:rsidRDefault="00A1319B" w:rsidP="007849CA">
            <w:pPr>
              <w:autoSpaceDE w:val="0"/>
              <w:autoSpaceDN w:val="0"/>
              <w:adjustRightInd w:val="0"/>
              <w:spacing w:after="0" w:line="240" w:lineRule="auto"/>
              <w:rPr>
                <w:rFonts w:eastAsia="Times New Roman" w:cs="Arial"/>
                <w:b w:val="0"/>
                <w:color w:val="auto"/>
                <w:sz w:val="20"/>
                <w:szCs w:val="20"/>
              </w:rPr>
            </w:pPr>
            <w:r w:rsidRPr="00A1319B">
              <w:rPr>
                <w:rFonts w:eastAsia="Times New Roman" w:cs="Arial"/>
                <w:b w:val="0"/>
                <w:color w:val="auto"/>
                <w:sz w:val="20"/>
                <w:szCs w:val="20"/>
              </w:rPr>
              <w:t>Salary Increases</w:t>
            </w:r>
          </w:p>
        </w:tc>
        <w:tc>
          <w:tcPr>
            <w:tcW w:w="1012" w:type="dxa"/>
          </w:tcPr>
          <w:p w:rsidR="00A1319B" w:rsidRPr="00A1319B"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4.2</w:t>
            </w:r>
          </w:p>
        </w:tc>
        <w:tc>
          <w:tcPr>
            <w:tcW w:w="992" w:type="dxa"/>
          </w:tcPr>
          <w:p w:rsidR="00A1319B" w:rsidRPr="00A1319B"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4.2</w:t>
            </w:r>
          </w:p>
        </w:tc>
        <w:tc>
          <w:tcPr>
            <w:tcW w:w="1134" w:type="dxa"/>
          </w:tcPr>
          <w:p w:rsidR="00A1319B" w:rsidRPr="00A1319B"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4.2</w:t>
            </w:r>
          </w:p>
        </w:tc>
        <w:tc>
          <w:tcPr>
            <w:tcW w:w="1134" w:type="dxa"/>
          </w:tcPr>
          <w:p w:rsidR="00A1319B" w:rsidRPr="00A1319B" w:rsidRDefault="008E7268" w:rsidP="0077074F">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rPr>
            </w:pPr>
            <w:r>
              <w:rPr>
                <w:rFonts w:eastAsia="Times New Roman" w:cs="Arial"/>
                <w:b/>
                <w:color w:val="auto"/>
                <w:sz w:val="20"/>
                <w:szCs w:val="20"/>
              </w:rPr>
              <w:t>3.8</w:t>
            </w:r>
          </w:p>
        </w:tc>
      </w:tr>
      <w:tr w:rsidR="00A1319B" w:rsidRPr="0005794A" w:rsidTr="00987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3" w:type="dxa"/>
          </w:tcPr>
          <w:p w:rsidR="00A1319B" w:rsidRPr="00A1319B" w:rsidRDefault="00A1319B" w:rsidP="007849CA">
            <w:pPr>
              <w:autoSpaceDE w:val="0"/>
              <w:autoSpaceDN w:val="0"/>
              <w:adjustRightInd w:val="0"/>
              <w:spacing w:after="0" w:line="240" w:lineRule="auto"/>
              <w:rPr>
                <w:rFonts w:eastAsia="Times New Roman" w:cs="Arial"/>
                <w:b w:val="0"/>
                <w:color w:val="auto"/>
                <w:sz w:val="20"/>
                <w:szCs w:val="20"/>
              </w:rPr>
            </w:pPr>
            <w:r w:rsidRPr="00A1319B">
              <w:rPr>
                <w:rFonts w:eastAsia="Times New Roman" w:cs="Arial"/>
                <w:b w:val="0"/>
                <w:color w:val="auto"/>
                <w:sz w:val="20"/>
                <w:szCs w:val="20"/>
              </w:rPr>
              <w:t>Pension Increases</w:t>
            </w:r>
          </w:p>
        </w:tc>
        <w:tc>
          <w:tcPr>
            <w:tcW w:w="1012" w:type="dxa"/>
          </w:tcPr>
          <w:p w:rsidR="00A1319B" w:rsidRPr="00A1319B" w:rsidRDefault="00A1319B" w:rsidP="00A1319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2.4</w:t>
            </w:r>
          </w:p>
        </w:tc>
        <w:tc>
          <w:tcPr>
            <w:tcW w:w="992" w:type="dxa"/>
          </w:tcPr>
          <w:p w:rsidR="00A1319B" w:rsidRPr="00A1319B" w:rsidRDefault="00A1319B" w:rsidP="00A1319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2.4</w:t>
            </w:r>
          </w:p>
        </w:tc>
        <w:tc>
          <w:tcPr>
            <w:tcW w:w="1134" w:type="dxa"/>
          </w:tcPr>
          <w:p w:rsidR="00A1319B" w:rsidRPr="00A1319B" w:rsidRDefault="00A1319B" w:rsidP="00A1319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2.7</w:t>
            </w:r>
          </w:p>
        </w:tc>
        <w:tc>
          <w:tcPr>
            <w:tcW w:w="1134" w:type="dxa"/>
          </w:tcPr>
          <w:p w:rsidR="00A1319B" w:rsidRPr="00A1319B" w:rsidRDefault="008E7268" w:rsidP="0077074F">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Pr>
                <w:rFonts w:eastAsia="Times New Roman" w:cs="Arial"/>
                <w:b/>
                <w:color w:val="auto"/>
                <w:sz w:val="20"/>
                <w:szCs w:val="20"/>
              </w:rPr>
              <w:t>2.3</w:t>
            </w:r>
          </w:p>
        </w:tc>
      </w:tr>
      <w:tr w:rsidR="00A1319B" w:rsidRPr="0005794A" w:rsidTr="0098763F">
        <w:trPr>
          <w:jc w:val="center"/>
        </w:trPr>
        <w:tc>
          <w:tcPr>
            <w:cnfStyle w:val="001000000000" w:firstRow="0" w:lastRow="0" w:firstColumn="1" w:lastColumn="0" w:oddVBand="0" w:evenVBand="0" w:oddHBand="0" w:evenHBand="0" w:firstRowFirstColumn="0" w:firstRowLastColumn="0" w:lastRowFirstColumn="0" w:lastRowLastColumn="0"/>
            <w:tcW w:w="1883" w:type="dxa"/>
          </w:tcPr>
          <w:p w:rsidR="00A1319B" w:rsidRPr="00A1319B" w:rsidRDefault="00A1319B" w:rsidP="007849CA">
            <w:pPr>
              <w:autoSpaceDE w:val="0"/>
              <w:autoSpaceDN w:val="0"/>
              <w:adjustRightInd w:val="0"/>
              <w:spacing w:after="0" w:line="240" w:lineRule="auto"/>
              <w:rPr>
                <w:rFonts w:eastAsia="Times New Roman" w:cs="Arial"/>
                <w:b w:val="0"/>
                <w:color w:val="auto"/>
                <w:sz w:val="20"/>
                <w:szCs w:val="20"/>
              </w:rPr>
            </w:pPr>
            <w:r w:rsidRPr="00A1319B">
              <w:rPr>
                <w:rFonts w:eastAsia="Times New Roman" w:cs="Arial"/>
                <w:b w:val="0"/>
                <w:color w:val="auto"/>
                <w:sz w:val="20"/>
                <w:szCs w:val="20"/>
              </w:rPr>
              <w:t>Discount Rate</w:t>
            </w:r>
          </w:p>
        </w:tc>
        <w:tc>
          <w:tcPr>
            <w:tcW w:w="1012" w:type="dxa"/>
          </w:tcPr>
          <w:p w:rsidR="00A1319B" w:rsidRPr="00A1319B"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3.3</w:t>
            </w:r>
          </w:p>
        </w:tc>
        <w:tc>
          <w:tcPr>
            <w:tcW w:w="992" w:type="dxa"/>
          </w:tcPr>
          <w:p w:rsidR="00A1319B" w:rsidRPr="00A1319B"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3.7</w:t>
            </w:r>
          </w:p>
        </w:tc>
        <w:tc>
          <w:tcPr>
            <w:tcW w:w="1134" w:type="dxa"/>
          </w:tcPr>
          <w:p w:rsidR="00A1319B" w:rsidRPr="00A1319B" w:rsidRDefault="00A1319B" w:rsidP="00A1319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1319B">
              <w:rPr>
                <w:rFonts w:eastAsia="Times New Roman" w:cs="Arial"/>
                <w:color w:val="auto"/>
                <w:sz w:val="20"/>
                <w:szCs w:val="20"/>
              </w:rPr>
              <w:t>2.7</w:t>
            </w:r>
          </w:p>
        </w:tc>
        <w:tc>
          <w:tcPr>
            <w:tcW w:w="1134" w:type="dxa"/>
          </w:tcPr>
          <w:p w:rsidR="00A1319B" w:rsidRPr="00A1319B" w:rsidRDefault="008E7268" w:rsidP="0077074F">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rPr>
            </w:pPr>
            <w:r>
              <w:rPr>
                <w:rFonts w:eastAsia="Times New Roman" w:cs="Arial"/>
                <w:b/>
                <w:color w:val="auto"/>
                <w:sz w:val="20"/>
                <w:szCs w:val="20"/>
              </w:rPr>
              <w:t>2.55</w:t>
            </w:r>
          </w:p>
        </w:tc>
      </w:tr>
    </w:tbl>
    <w:p w:rsidR="000002CB" w:rsidRPr="0005794A" w:rsidRDefault="000002CB" w:rsidP="007E4359">
      <w:pPr>
        <w:autoSpaceDE w:val="0"/>
        <w:autoSpaceDN w:val="0"/>
        <w:adjustRightInd w:val="0"/>
        <w:spacing w:after="0" w:line="240" w:lineRule="auto"/>
        <w:rPr>
          <w:rFonts w:eastAsia="Times New Roman" w:cs="Arial"/>
          <w:color w:val="548DD4" w:themeColor="text2" w:themeTint="99"/>
          <w:sz w:val="20"/>
          <w:szCs w:val="20"/>
          <w:lang w:eastAsia="en-GB"/>
        </w:rPr>
      </w:pPr>
    </w:p>
    <w:p w:rsidR="007E4359" w:rsidRPr="008E7268" w:rsidRDefault="007E4359" w:rsidP="008D0906">
      <w:pPr>
        <w:autoSpaceDE w:val="0"/>
        <w:autoSpaceDN w:val="0"/>
        <w:adjustRightInd w:val="0"/>
        <w:spacing w:after="0" w:line="240" w:lineRule="auto"/>
        <w:ind w:firstLine="567"/>
        <w:outlineLvl w:val="0"/>
        <w:rPr>
          <w:rFonts w:eastAsia="Times New Roman" w:cs="Arial"/>
          <w:color w:val="auto"/>
          <w:sz w:val="20"/>
          <w:szCs w:val="20"/>
          <w:lang w:eastAsia="en-GB"/>
        </w:rPr>
      </w:pPr>
      <w:r w:rsidRPr="008E7268">
        <w:rPr>
          <w:rFonts w:eastAsia="Times New Roman" w:cs="Arial"/>
          <w:color w:val="auto"/>
          <w:sz w:val="20"/>
          <w:szCs w:val="20"/>
          <w:lang w:eastAsia="en-GB"/>
        </w:rPr>
        <w:t>These assumptions are set with reference to market conditions at 31 March 201</w:t>
      </w:r>
      <w:r w:rsidR="008E7268" w:rsidRPr="008E7268">
        <w:rPr>
          <w:rFonts w:eastAsia="Times New Roman" w:cs="Arial"/>
          <w:color w:val="auto"/>
          <w:sz w:val="20"/>
          <w:szCs w:val="20"/>
          <w:lang w:eastAsia="en-GB"/>
        </w:rPr>
        <w:t>8</w:t>
      </w:r>
      <w:r w:rsidRPr="008E7268">
        <w:rPr>
          <w:rFonts w:eastAsia="Times New Roman" w:cs="Arial"/>
          <w:color w:val="auto"/>
          <w:sz w:val="20"/>
          <w:szCs w:val="20"/>
          <w:lang w:eastAsia="en-GB"/>
        </w:rPr>
        <w:t xml:space="preserve">. </w:t>
      </w:r>
    </w:p>
    <w:p w:rsidR="000002CB" w:rsidRPr="008E7268" w:rsidRDefault="000002CB" w:rsidP="007E4359">
      <w:pPr>
        <w:autoSpaceDE w:val="0"/>
        <w:autoSpaceDN w:val="0"/>
        <w:adjustRightInd w:val="0"/>
        <w:spacing w:after="0" w:line="240" w:lineRule="auto"/>
        <w:rPr>
          <w:rFonts w:eastAsia="Times New Roman" w:cs="Arial"/>
          <w:color w:val="auto"/>
          <w:sz w:val="20"/>
          <w:szCs w:val="20"/>
          <w:lang w:eastAsia="en-GB"/>
        </w:rPr>
      </w:pPr>
    </w:p>
    <w:p w:rsidR="007E4359" w:rsidRPr="008E7268" w:rsidRDefault="000002CB"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8E7268">
        <w:rPr>
          <w:rFonts w:eastAsia="Times New Roman" w:cs="Arial"/>
          <w:color w:val="auto"/>
          <w:sz w:val="20"/>
          <w:szCs w:val="20"/>
          <w:lang w:eastAsia="en-GB"/>
        </w:rPr>
        <w:t xml:space="preserve">The actuary’s </w:t>
      </w:r>
      <w:r w:rsidR="007E4359" w:rsidRPr="008E7268">
        <w:rPr>
          <w:rFonts w:eastAsia="Times New Roman" w:cs="Arial"/>
          <w:color w:val="auto"/>
          <w:sz w:val="20"/>
          <w:szCs w:val="20"/>
          <w:lang w:eastAsia="en-GB"/>
        </w:rPr>
        <w:t xml:space="preserve">estimate of the duration of the Employer’s liabilities is 19 years. </w:t>
      </w:r>
    </w:p>
    <w:p w:rsidR="000002CB" w:rsidRPr="0005794A" w:rsidRDefault="000002CB" w:rsidP="004A563D">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7E4359" w:rsidRPr="008E7268" w:rsidRDefault="007E4359" w:rsidP="004A563D">
      <w:pPr>
        <w:autoSpaceDE w:val="0"/>
        <w:autoSpaceDN w:val="0"/>
        <w:adjustRightInd w:val="0"/>
        <w:spacing w:after="0" w:line="240" w:lineRule="auto"/>
        <w:ind w:left="567"/>
        <w:rPr>
          <w:rFonts w:eastAsia="Times New Roman" w:cs="Arial"/>
          <w:color w:val="auto"/>
          <w:sz w:val="20"/>
          <w:szCs w:val="20"/>
          <w:lang w:eastAsia="en-GB"/>
        </w:rPr>
      </w:pPr>
      <w:r w:rsidRPr="008E7268">
        <w:rPr>
          <w:rFonts w:eastAsia="Times New Roman" w:cs="Arial"/>
          <w:color w:val="auto"/>
          <w:sz w:val="20"/>
          <w:szCs w:val="20"/>
          <w:lang w:eastAsia="en-GB"/>
        </w:rPr>
        <w:t xml:space="preserve">The discount rate is the annualised yield at the 19 year point on the Merrill Lynch AA rated corporate bond </w:t>
      </w:r>
      <w:r w:rsidR="000579A8" w:rsidRPr="008E7268">
        <w:rPr>
          <w:rFonts w:eastAsia="Times New Roman" w:cs="Arial"/>
          <w:color w:val="auto"/>
          <w:sz w:val="20"/>
          <w:szCs w:val="20"/>
          <w:lang w:eastAsia="en-GB"/>
        </w:rPr>
        <w:t xml:space="preserve">yield </w:t>
      </w:r>
      <w:r w:rsidRPr="008E7268">
        <w:rPr>
          <w:rFonts w:eastAsia="Times New Roman" w:cs="Arial"/>
          <w:color w:val="auto"/>
          <w:sz w:val="20"/>
          <w:szCs w:val="20"/>
          <w:lang w:eastAsia="en-GB"/>
        </w:rPr>
        <w:t xml:space="preserve">curve which has been chosen to meet the requirements of IAS19 and with </w:t>
      </w:r>
      <w:r w:rsidRPr="008E7268">
        <w:rPr>
          <w:rFonts w:eastAsia="Times New Roman" w:cs="Arial"/>
          <w:color w:val="auto"/>
          <w:sz w:val="20"/>
          <w:szCs w:val="20"/>
          <w:lang w:eastAsia="en-GB"/>
        </w:rPr>
        <w:lastRenderedPageBreak/>
        <w:t xml:space="preserve">consideration of the duration of the Employer’s liabilities. This is consistent with the approach used at the last accounting date. </w:t>
      </w:r>
    </w:p>
    <w:p w:rsidR="000002CB" w:rsidRPr="0005794A" w:rsidRDefault="000002CB" w:rsidP="004A563D">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7E4359" w:rsidRPr="008E7268" w:rsidRDefault="007E4359" w:rsidP="004A563D">
      <w:pPr>
        <w:autoSpaceDE w:val="0"/>
        <w:autoSpaceDN w:val="0"/>
        <w:adjustRightInd w:val="0"/>
        <w:spacing w:after="0" w:line="240" w:lineRule="auto"/>
        <w:ind w:left="567"/>
        <w:rPr>
          <w:rFonts w:eastAsia="Times New Roman" w:cs="Arial"/>
          <w:color w:val="auto"/>
          <w:sz w:val="20"/>
          <w:szCs w:val="20"/>
          <w:lang w:eastAsia="en-GB"/>
        </w:rPr>
      </w:pPr>
      <w:r w:rsidRPr="008E7268">
        <w:rPr>
          <w:rFonts w:eastAsia="Times New Roman" w:cs="Arial"/>
          <w:color w:val="auto"/>
          <w:sz w:val="20"/>
          <w:szCs w:val="20"/>
          <w:lang w:eastAsia="en-GB"/>
        </w:rPr>
        <w:t xml:space="preserve">The RPI increase assumption is set based on </w:t>
      </w:r>
      <w:r w:rsidR="008E7268">
        <w:rPr>
          <w:rFonts w:eastAsia="Times New Roman" w:cs="Arial"/>
          <w:color w:val="auto"/>
          <w:sz w:val="20"/>
          <w:szCs w:val="20"/>
          <w:lang w:eastAsia="en-GB"/>
        </w:rPr>
        <w:t xml:space="preserve">the </w:t>
      </w:r>
      <w:proofErr w:type="spellStart"/>
      <w:r w:rsidR="008E7268" w:rsidRPr="008E7268">
        <w:rPr>
          <w:rFonts w:eastAsia="Times New Roman" w:cs="Arial"/>
          <w:color w:val="auto"/>
          <w:sz w:val="20"/>
          <w:szCs w:val="20"/>
          <w:lang w:eastAsia="en-GB"/>
        </w:rPr>
        <w:t>annulised</w:t>
      </w:r>
      <w:proofErr w:type="spellEnd"/>
      <w:r w:rsidR="008E7268" w:rsidRPr="008E7268">
        <w:rPr>
          <w:rFonts w:eastAsia="Times New Roman" w:cs="Arial"/>
          <w:color w:val="auto"/>
          <w:sz w:val="20"/>
          <w:szCs w:val="20"/>
          <w:lang w:eastAsia="en-GB"/>
        </w:rPr>
        <w:t xml:space="preserve"> </w:t>
      </w:r>
      <w:proofErr w:type="spellStart"/>
      <w:r w:rsidR="008E7268" w:rsidRPr="008E7268">
        <w:rPr>
          <w:rFonts w:eastAsia="Times New Roman" w:cs="Arial"/>
          <w:color w:val="auto"/>
          <w:sz w:val="20"/>
          <w:szCs w:val="20"/>
          <w:lang w:eastAsia="en-GB"/>
        </w:rPr>
        <w:t>Merril</w:t>
      </w:r>
      <w:proofErr w:type="spellEnd"/>
      <w:r w:rsidR="008E7268" w:rsidRPr="008E7268">
        <w:rPr>
          <w:rFonts w:eastAsia="Times New Roman" w:cs="Arial"/>
          <w:color w:val="auto"/>
          <w:sz w:val="20"/>
          <w:szCs w:val="20"/>
          <w:lang w:eastAsia="en-GB"/>
        </w:rPr>
        <w:t xml:space="preserve"> Lynch AA rated corporate bond yield curve and the Bank of England implied inflation curve</w:t>
      </w:r>
      <w:r w:rsidR="008E7268">
        <w:rPr>
          <w:rFonts w:eastAsia="Times New Roman" w:cs="Arial"/>
          <w:color w:val="548DD4" w:themeColor="text2" w:themeTint="99"/>
          <w:sz w:val="20"/>
          <w:szCs w:val="20"/>
          <w:lang w:eastAsia="en-GB"/>
        </w:rPr>
        <w:t xml:space="preserve">. </w:t>
      </w:r>
      <w:r w:rsidRPr="008E7268">
        <w:rPr>
          <w:rFonts w:eastAsia="Times New Roman" w:cs="Arial"/>
          <w:color w:val="auto"/>
          <w:sz w:val="20"/>
          <w:szCs w:val="20"/>
          <w:lang w:eastAsia="en-GB"/>
        </w:rPr>
        <w:t xml:space="preserve">As future pension increases are expected to be based on CPI rather than RPI, </w:t>
      </w:r>
      <w:r w:rsidR="003D0B76" w:rsidRPr="008E7268">
        <w:rPr>
          <w:rFonts w:eastAsia="Times New Roman" w:cs="Arial"/>
          <w:color w:val="auto"/>
          <w:sz w:val="20"/>
          <w:szCs w:val="20"/>
          <w:lang w:eastAsia="en-GB"/>
        </w:rPr>
        <w:t>the actuary has</w:t>
      </w:r>
      <w:r w:rsidRPr="008E7268">
        <w:rPr>
          <w:rFonts w:eastAsia="Times New Roman" w:cs="Arial"/>
          <w:color w:val="auto"/>
          <w:sz w:val="20"/>
          <w:szCs w:val="20"/>
          <w:lang w:eastAsia="en-GB"/>
        </w:rPr>
        <w:t xml:space="preserve"> made a further assumption about CPI which is that it will be </w:t>
      </w:r>
      <w:r w:rsidR="008E7268" w:rsidRPr="008E7268">
        <w:rPr>
          <w:rFonts w:eastAsia="Times New Roman" w:cs="Arial"/>
          <w:color w:val="auto"/>
          <w:sz w:val="20"/>
          <w:szCs w:val="20"/>
          <w:lang w:eastAsia="en-GB"/>
        </w:rPr>
        <w:t>1.0</w:t>
      </w:r>
      <w:r w:rsidRPr="008E7268">
        <w:rPr>
          <w:rFonts w:eastAsia="Times New Roman" w:cs="Arial"/>
          <w:color w:val="auto"/>
          <w:sz w:val="20"/>
          <w:szCs w:val="20"/>
          <w:lang w:eastAsia="en-GB"/>
        </w:rPr>
        <w:t>% below RPI i.e. 2.</w:t>
      </w:r>
      <w:r w:rsidR="008E7268" w:rsidRPr="008E7268">
        <w:rPr>
          <w:rFonts w:eastAsia="Times New Roman" w:cs="Arial"/>
          <w:color w:val="auto"/>
          <w:sz w:val="20"/>
          <w:szCs w:val="20"/>
          <w:lang w:eastAsia="en-GB"/>
        </w:rPr>
        <w:t>3</w:t>
      </w:r>
      <w:r w:rsidRPr="008E7268">
        <w:rPr>
          <w:rFonts w:eastAsia="Times New Roman" w:cs="Arial"/>
          <w:color w:val="auto"/>
          <w:sz w:val="20"/>
          <w:szCs w:val="20"/>
          <w:lang w:eastAsia="en-GB"/>
        </w:rPr>
        <w:t>%.</w:t>
      </w:r>
      <w:r w:rsidR="000579A8" w:rsidRPr="008E7268">
        <w:rPr>
          <w:rFonts w:eastAsia="Times New Roman" w:cs="Arial"/>
          <w:color w:val="auto"/>
          <w:sz w:val="20"/>
          <w:szCs w:val="20"/>
          <w:lang w:eastAsia="en-GB"/>
        </w:rPr>
        <w:t xml:space="preserve"> </w:t>
      </w:r>
      <w:r w:rsidR="003D0B76" w:rsidRPr="008E7268">
        <w:rPr>
          <w:rFonts w:eastAsia="Times New Roman" w:cs="Arial"/>
          <w:color w:val="auto"/>
          <w:sz w:val="20"/>
          <w:szCs w:val="20"/>
          <w:lang w:eastAsia="en-GB"/>
        </w:rPr>
        <w:t>The actuary belie</w:t>
      </w:r>
      <w:r w:rsidR="005D2C2E" w:rsidRPr="008E7268">
        <w:rPr>
          <w:rFonts w:eastAsia="Times New Roman" w:cs="Arial"/>
          <w:color w:val="auto"/>
          <w:sz w:val="20"/>
          <w:szCs w:val="20"/>
          <w:lang w:eastAsia="en-GB"/>
        </w:rPr>
        <w:t>v</w:t>
      </w:r>
      <w:r w:rsidR="003D0B76" w:rsidRPr="008E7268">
        <w:rPr>
          <w:rFonts w:eastAsia="Times New Roman" w:cs="Arial"/>
          <w:color w:val="auto"/>
          <w:sz w:val="20"/>
          <w:szCs w:val="20"/>
          <w:lang w:eastAsia="en-GB"/>
        </w:rPr>
        <w:t xml:space="preserve">es </w:t>
      </w:r>
      <w:r w:rsidRPr="008E7268">
        <w:rPr>
          <w:rFonts w:eastAsia="Times New Roman" w:cs="Arial"/>
          <w:color w:val="auto"/>
          <w:sz w:val="20"/>
          <w:szCs w:val="20"/>
          <w:lang w:eastAsia="en-GB"/>
        </w:rPr>
        <w:t>that this is a reasonable estimate for the future differences in the indices, based on the different calculation methods</w:t>
      </w:r>
      <w:r w:rsidR="000579A8" w:rsidRPr="008E7268">
        <w:rPr>
          <w:rFonts w:eastAsia="Times New Roman" w:cs="Arial"/>
          <w:color w:val="auto"/>
          <w:sz w:val="20"/>
          <w:szCs w:val="20"/>
          <w:lang w:eastAsia="en-GB"/>
        </w:rPr>
        <w:t xml:space="preserve"> and recent independent forecasts</w:t>
      </w:r>
      <w:r w:rsidRPr="008E7268">
        <w:rPr>
          <w:rFonts w:eastAsia="Times New Roman" w:cs="Arial"/>
          <w:color w:val="auto"/>
          <w:sz w:val="20"/>
          <w:szCs w:val="20"/>
          <w:lang w:eastAsia="en-GB"/>
        </w:rPr>
        <w:t xml:space="preserve">. </w:t>
      </w:r>
    </w:p>
    <w:p w:rsidR="00242A8C" w:rsidRPr="0005794A" w:rsidRDefault="00242A8C" w:rsidP="007E435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13756" w:rsidRPr="008E7268" w:rsidRDefault="007E4359" w:rsidP="004A563D">
      <w:pPr>
        <w:autoSpaceDE w:val="0"/>
        <w:autoSpaceDN w:val="0"/>
        <w:adjustRightInd w:val="0"/>
        <w:spacing w:after="0" w:line="240" w:lineRule="auto"/>
        <w:ind w:left="567"/>
        <w:rPr>
          <w:rFonts w:eastAsia="Times New Roman" w:cs="Arial"/>
          <w:color w:val="auto"/>
          <w:sz w:val="20"/>
          <w:szCs w:val="20"/>
          <w:lang w:eastAsia="en-GB"/>
        </w:rPr>
      </w:pPr>
      <w:r w:rsidRPr="008E7268">
        <w:rPr>
          <w:rFonts w:eastAsia="Times New Roman" w:cs="Arial"/>
          <w:color w:val="auto"/>
          <w:sz w:val="20"/>
          <w:szCs w:val="20"/>
          <w:lang w:eastAsia="en-GB"/>
        </w:rPr>
        <w:t>Salary increases are then assumed to increase at 1.</w:t>
      </w:r>
      <w:r w:rsidR="00D64366" w:rsidRPr="008E7268">
        <w:rPr>
          <w:rFonts w:eastAsia="Times New Roman" w:cs="Arial"/>
          <w:color w:val="auto"/>
          <w:sz w:val="20"/>
          <w:szCs w:val="20"/>
          <w:lang w:eastAsia="en-GB"/>
        </w:rPr>
        <w:t>5</w:t>
      </w:r>
      <w:r w:rsidRPr="008E7268">
        <w:rPr>
          <w:rFonts w:eastAsia="Times New Roman" w:cs="Arial"/>
          <w:color w:val="auto"/>
          <w:sz w:val="20"/>
          <w:szCs w:val="20"/>
          <w:lang w:eastAsia="en-GB"/>
        </w:rPr>
        <w:t xml:space="preserve">% per annum above CPI in addition to a promotional scale. </w:t>
      </w:r>
      <w:r w:rsidR="00D64366" w:rsidRPr="008E7268">
        <w:rPr>
          <w:rFonts w:eastAsia="Times New Roman" w:cs="Arial"/>
          <w:color w:val="auto"/>
          <w:sz w:val="20"/>
          <w:szCs w:val="20"/>
          <w:lang w:eastAsia="en-GB"/>
        </w:rPr>
        <w:t>The actuary has, in addition, allowed for a short term overlay for salaries to rise in line with CPI.</w:t>
      </w:r>
    </w:p>
    <w:p w:rsidR="00E13756" w:rsidRPr="0005794A" w:rsidRDefault="00E13756" w:rsidP="002F518C">
      <w:pPr>
        <w:autoSpaceDE w:val="0"/>
        <w:autoSpaceDN w:val="0"/>
        <w:adjustRightInd w:val="0"/>
        <w:spacing w:after="0" w:line="240" w:lineRule="auto"/>
        <w:ind w:left="567" w:firstLine="153"/>
        <w:rPr>
          <w:rFonts w:eastAsia="Times New Roman" w:cs="Arial"/>
          <w:b/>
          <w:color w:val="548DD4" w:themeColor="text2" w:themeTint="99"/>
          <w:sz w:val="20"/>
          <w:szCs w:val="20"/>
        </w:rPr>
      </w:pPr>
    </w:p>
    <w:p w:rsidR="007E2CD5" w:rsidRPr="00A02689" w:rsidRDefault="007E2CD5" w:rsidP="008D0906">
      <w:pPr>
        <w:autoSpaceDE w:val="0"/>
        <w:autoSpaceDN w:val="0"/>
        <w:adjustRightInd w:val="0"/>
        <w:spacing w:after="0" w:line="240" w:lineRule="auto"/>
        <w:ind w:left="567"/>
        <w:outlineLvl w:val="0"/>
        <w:rPr>
          <w:rFonts w:eastAsia="Times New Roman" w:cs="Arial"/>
          <w:b/>
          <w:color w:val="auto"/>
          <w:sz w:val="20"/>
          <w:szCs w:val="20"/>
          <w:lang w:eastAsia="en-GB"/>
        </w:rPr>
      </w:pPr>
      <w:r w:rsidRPr="00A02689">
        <w:rPr>
          <w:rFonts w:eastAsia="Times New Roman" w:cs="Arial"/>
          <w:b/>
          <w:color w:val="auto"/>
          <w:sz w:val="20"/>
          <w:szCs w:val="20"/>
          <w:lang w:eastAsia="en-GB"/>
        </w:rPr>
        <w:t>Sensitivity Analysis on Actuarial assumptions:</w:t>
      </w:r>
    </w:p>
    <w:p w:rsidR="007E2CD5" w:rsidRPr="00A02689" w:rsidRDefault="007E2CD5" w:rsidP="007E2CD5">
      <w:pPr>
        <w:autoSpaceDE w:val="0"/>
        <w:autoSpaceDN w:val="0"/>
        <w:adjustRightInd w:val="0"/>
        <w:spacing w:after="0" w:line="240" w:lineRule="auto"/>
        <w:ind w:left="567"/>
        <w:rPr>
          <w:rFonts w:eastAsia="Times New Roman" w:cs="Arial"/>
          <w:color w:val="auto"/>
          <w:sz w:val="20"/>
          <w:szCs w:val="20"/>
          <w:lang w:eastAsia="en-GB"/>
        </w:rPr>
      </w:pPr>
    </w:p>
    <w:p w:rsidR="007E2CD5" w:rsidRPr="00A02689" w:rsidRDefault="002F518C" w:rsidP="004A563D">
      <w:pPr>
        <w:autoSpaceDE w:val="0"/>
        <w:autoSpaceDN w:val="0"/>
        <w:adjustRightInd w:val="0"/>
        <w:spacing w:after="0" w:line="240" w:lineRule="auto"/>
        <w:ind w:left="567"/>
        <w:rPr>
          <w:rFonts w:eastAsia="Times New Roman" w:cs="Arial"/>
          <w:color w:val="auto"/>
          <w:sz w:val="20"/>
          <w:szCs w:val="20"/>
          <w:lang w:eastAsia="en-GB"/>
        </w:rPr>
      </w:pPr>
      <w:r w:rsidRPr="00A02689">
        <w:rPr>
          <w:rFonts w:eastAsia="Times New Roman" w:cs="Arial"/>
          <w:color w:val="auto"/>
          <w:sz w:val="20"/>
          <w:szCs w:val="20"/>
          <w:lang w:eastAsia="en-GB"/>
        </w:rPr>
        <w:t>The actuary has prov</w:t>
      </w:r>
      <w:r w:rsidR="008E50D3" w:rsidRPr="00A02689">
        <w:rPr>
          <w:rFonts w:eastAsia="Times New Roman" w:cs="Arial"/>
          <w:color w:val="auto"/>
          <w:sz w:val="20"/>
          <w:szCs w:val="20"/>
          <w:lang w:eastAsia="en-GB"/>
        </w:rPr>
        <w:t xml:space="preserve">ided </w:t>
      </w:r>
      <w:r w:rsidRPr="00A02689">
        <w:rPr>
          <w:rFonts w:eastAsia="Times New Roman" w:cs="Arial"/>
          <w:color w:val="auto"/>
          <w:sz w:val="20"/>
          <w:szCs w:val="20"/>
          <w:lang w:eastAsia="en-GB"/>
        </w:rPr>
        <w:t xml:space="preserve">a sensitivity analysis of a 0.1% change in the key actuarial assumptions showing the impact on the net </w:t>
      </w:r>
      <w:r w:rsidR="007E33E1" w:rsidRPr="00A02689">
        <w:rPr>
          <w:rFonts w:eastAsia="Times New Roman" w:cs="Arial"/>
          <w:color w:val="auto"/>
          <w:sz w:val="20"/>
          <w:szCs w:val="20"/>
          <w:lang w:eastAsia="en-GB"/>
        </w:rPr>
        <w:t>liability</w:t>
      </w:r>
      <w:r w:rsidRPr="00A02689">
        <w:rPr>
          <w:rFonts w:eastAsia="Times New Roman" w:cs="Arial"/>
          <w:color w:val="auto"/>
          <w:sz w:val="20"/>
          <w:szCs w:val="20"/>
          <w:lang w:eastAsia="en-GB"/>
        </w:rPr>
        <w:t xml:space="preserve"> and the Servi</w:t>
      </w:r>
      <w:r w:rsidR="00A54A4B" w:rsidRPr="00A02689">
        <w:rPr>
          <w:rFonts w:eastAsia="Times New Roman" w:cs="Arial"/>
          <w:color w:val="auto"/>
          <w:sz w:val="20"/>
          <w:szCs w:val="20"/>
          <w:lang w:eastAsia="en-GB"/>
        </w:rPr>
        <w:t>c</w:t>
      </w:r>
      <w:r w:rsidRPr="00A02689">
        <w:rPr>
          <w:rFonts w:eastAsia="Times New Roman" w:cs="Arial"/>
          <w:color w:val="auto"/>
          <w:sz w:val="20"/>
          <w:szCs w:val="20"/>
          <w:lang w:eastAsia="en-GB"/>
        </w:rPr>
        <w:t>e Cost.</w:t>
      </w:r>
    </w:p>
    <w:p w:rsidR="000401DE" w:rsidRPr="0005794A" w:rsidRDefault="000401DE" w:rsidP="002F518C">
      <w:pPr>
        <w:autoSpaceDE w:val="0"/>
        <w:autoSpaceDN w:val="0"/>
        <w:adjustRightInd w:val="0"/>
        <w:spacing w:after="0" w:line="240" w:lineRule="auto"/>
        <w:ind w:left="720" w:firstLine="3"/>
        <w:rPr>
          <w:rFonts w:eastAsia="Times New Roman" w:cs="Arial"/>
          <w:color w:val="548DD4" w:themeColor="text2" w:themeTint="99"/>
          <w:sz w:val="20"/>
          <w:szCs w:val="20"/>
          <w:lang w:eastAsia="en-GB"/>
        </w:rPr>
      </w:pPr>
    </w:p>
    <w:p w:rsidR="00922D1C" w:rsidRPr="0005794A" w:rsidRDefault="00922D1C" w:rsidP="002F518C">
      <w:pPr>
        <w:autoSpaceDE w:val="0"/>
        <w:autoSpaceDN w:val="0"/>
        <w:adjustRightInd w:val="0"/>
        <w:spacing w:after="0" w:line="240" w:lineRule="auto"/>
        <w:ind w:left="720" w:firstLine="3"/>
        <w:rPr>
          <w:rFonts w:eastAsia="Times New Roman" w:cs="Arial"/>
          <w:color w:val="548DD4" w:themeColor="text2" w:themeTint="99"/>
          <w:sz w:val="20"/>
          <w:szCs w:val="20"/>
          <w:lang w:eastAsia="en-GB"/>
        </w:rPr>
      </w:pPr>
    </w:p>
    <w:tbl>
      <w:tblPr>
        <w:tblStyle w:val="ListTable3-Accent51"/>
        <w:tblpPr w:leftFromText="180" w:rightFromText="180" w:vertAnchor="text" w:horzAnchor="margin" w:tblpXSpec="center" w:tblpY="127"/>
        <w:tblW w:w="0" w:type="auto"/>
        <w:tblBorders>
          <w:insideH w:val="single" w:sz="4" w:space="0" w:color="4BACC6" w:themeColor="accent5"/>
          <w:insideV w:val="single" w:sz="4" w:space="0" w:color="4BACC6" w:themeColor="accent5"/>
        </w:tblBorders>
        <w:tblLook w:val="04A0" w:firstRow="1" w:lastRow="0" w:firstColumn="1" w:lastColumn="0" w:noHBand="0" w:noVBand="1"/>
      </w:tblPr>
      <w:tblGrid>
        <w:gridCol w:w="3895"/>
        <w:gridCol w:w="1417"/>
        <w:gridCol w:w="1418"/>
        <w:gridCol w:w="1337"/>
      </w:tblGrid>
      <w:tr w:rsidR="004A563D" w:rsidRPr="0005794A" w:rsidTr="004A56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95" w:type="dxa"/>
            <w:tcBorders>
              <w:bottom w:val="none" w:sz="0" w:space="0" w:color="auto"/>
              <w:right w:val="none" w:sz="0" w:space="0" w:color="auto"/>
            </w:tcBorders>
          </w:tcPr>
          <w:p w:rsidR="004A563D" w:rsidRPr="00A02689" w:rsidRDefault="004A563D" w:rsidP="004A563D">
            <w:pPr>
              <w:autoSpaceDE w:val="0"/>
              <w:autoSpaceDN w:val="0"/>
              <w:adjustRightInd w:val="0"/>
              <w:spacing w:after="0" w:line="240" w:lineRule="auto"/>
              <w:rPr>
                <w:rFonts w:eastAsia="Times New Roman" w:cs="Arial"/>
                <w:b w:val="0"/>
                <w:color w:val="auto"/>
                <w:sz w:val="20"/>
                <w:szCs w:val="20"/>
              </w:rPr>
            </w:pPr>
          </w:p>
        </w:tc>
        <w:tc>
          <w:tcPr>
            <w:tcW w:w="1417" w:type="dxa"/>
          </w:tcPr>
          <w:p w:rsidR="004A563D" w:rsidRPr="00A02689" w:rsidRDefault="004A563D" w:rsidP="004A563D">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A02689">
              <w:rPr>
                <w:rFonts w:eastAsia="Times New Roman" w:cs="Arial"/>
                <w:b w:val="0"/>
                <w:color w:val="auto"/>
                <w:sz w:val="20"/>
                <w:szCs w:val="20"/>
              </w:rPr>
              <w:t>£m</w:t>
            </w:r>
          </w:p>
          <w:p w:rsidR="004A563D" w:rsidRPr="00A02689" w:rsidRDefault="004A563D" w:rsidP="004A563D">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p>
        </w:tc>
        <w:tc>
          <w:tcPr>
            <w:tcW w:w="1418" w:type="dxa"/>
          </w:tcPr>
          <w:p w:rsidR="004A563D" w:rsidRPr="00A02689" w:rsidRDefault="004A563D" w:rsidP="004A563D">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A02689">
              <w:rPr>
                <w:rFonts w:eastAsia="Times New Roman" w:cs="Arial"/>
                <w:b w:val="0"/>
                <w:color w:val="auto"/>
                <w:sz w:val="20"/>
                <w:szCs w:val="20"/>
              </w:rPr>
              <w:t>£m</w:t>
            </w:r>
          </w:p>
        </w:tc>
        <w:tc>
          <w:tcPr>
            <w:tcW w:w="1337" w:type="dxa"/>
          </w:tcPr>
          <w:p w:rsidR="004A563D" w:rsidRPr="00A02689" w:rsidRDefault="004A563D" w:rsidP="004A563D">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auto"/>
                <w:sz w:val="20"/>
                <w:szCs w:val="20"/>
              </w:rPr>
            </w:pPr>
            <w:r w:rsidRPr="00A02689">
              <w:rPr>
                <w:rFonts w:eastAsia="Times New Roman" w:cs="Arial"/>
                <w:b w:val="0"/>
                <w:color w:val="auto"/>
                <w:sz w:val="20"/>
                <w:szCs w:val="20"/>
              </w:rPr>
              <w:t>£m</w:t>
            </w:r>
          </w:p>
        </w:tc>
      </w:tr>
      <w:tr w:rsidR="004A563D" w:rsidRPr="0005794A"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none" w:sz="0" w:space="0" w:color="auto"/>
              <w:bottom w:val="none" w:sz="0" w:space="0" w:color="auto"/>
              <w:right w:val="none" w:sz="0" w:space="0" w:color="auto"/>
            </w:tcBorders>
          </w:tcPr>
          <w:p w:rsidR="004A563D" w:rsidRPr="00A02689" w:rsidRDefault="004A563D" w:rsidP="004A563D">
            <w:pPr>
              <w:autoSpaceDE w:val="0"/>
              <w:autoSpaceDN w:val="0"/>
              <w:adjustRightInd w:val="0"/>
              <w:spacing w:after="0" w:line="240" w:lineRule="auto"/>
              <w:rPr>
                <w:rFonts w:eastAsia="Times New Roman" w:cs="Arial"/>
                <w:color w:val="auto"/>
                <w:sz w:val="20"/>
                <w:szCs w:val="20"/>
              </w:rPr>
            </w:pPr>
            <w:r w:rsidRPr="00A02689">
              <w:rPr>
                <w:rFonts w:eastAsia="Times New Roman" w:cs="Arial"/>
                <w:color w:val="auto"/>
                <w:sz w:val="20"/>
                <w:szCs w:val="20"/>
              </w:rPr>
              <w:t>Adjustment to Discount Rate</w:t>
            </w:r>
          </w:p>
        </w:tc>
        <w:tc>
          <w:tcPr>
            <w:tcW w:w="1417" w:type="dxa"/>
            <w:tcBorders>
              <w:top w:val="none" w:sz="0" w:space="0" w:color="auto"/>
              <w:bottom w:val="none" w:sz="0" w:space="0" w:color="auto"/>
            </w:tcBorders>
          </w:tcPr>
          <w:p w:rsidR="004A563D" w:rsidRPr="00A02689" w:rsidRDefault="004A563D" w:rsidP="004A563D">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+0.1%</w:t>
            </w:r>
          </w:p>
        </w:tc>
        <w:tc>
          <w:tcPr>
            <w:tcW w:w="1418" w:type="dxa"/>
            <w:tcBorders>
              <w:top w:val="none" w:sz="0" w:space="0" w:color="auto"/>
              <w:bottom w:val="none" w:sz="0" w:space="0" w:color="auto"/>
            </w:tcBorders>
          </w:tcPr>
          <w:p w:rsidR="004A563D" w:rsidRPr="00A02689" w:rsidRDefault="004A563D" w:rsidP="004A563D">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0</w:t>
            </w:r>
            <w:r w:rsidR="00B81008" w:rsidRPr="00A02689">
              <w:rPr>
                <w:rFonts w:eastAsia="Times New Roman" w:cs="Arial"/>
                <w:color w:val="auto"/>
                <w:sz w:val="20"/>
                <w:szCs w:val="20"/>
              </w:rPr>
              <w:t>%</w:t>
            </w:r>
          </w:p>
        </w:tc>
        <w:tc>
          <w:tcPr>
            <w:tcW w:w="1337" w:type="dxa"/>
            <w:tcBorders>
              <w:top w:val="none" w:sz="0" w:space="0" w:color="auto"/>
              <w:bottom w:val="none" w:sz="0" w:space="0" w:color="auto"/>
            </w:tcBorders>
          </w:tcPr>
          <w:p w:rsidR="004A563D" w:rsidRPr="00A02689" w:rsidRDefault="004A563D" w:rsidP="004A563D">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(0.1%)</w:t>
            </w:r>
          </w:p>
        </w:tc>
      </w:tr>
      <w:tr w:rsidR="004A563D" w:rsidRPr="0005794A" w:rsidTr="004A563D">
        <w:tc>
          <w:tcPr>
            <w:cnfStyle w:val="001000000000" w:firstRow="0" w:lastRow="0" w:firstColumn="1" w:lastColumn="0" w:oddVBand="0" w:evenVBand="0" w:oddHBand="0" w:evenHBand="0" w:firstRowFirstColumn="0" w:firstRowLastColumn="0" w:lastRowFirstColumn="0" w:lastRowLastColumn="0"/>
            <w:tcW w:w="3895" w:type="dxa"/>
            <w:tcBorders>
              <w:right w:val="none" w:sz="0" w:space="0" w:color="auto"/>
            </w:tcBorders>
          </w:tcPr>
          <w:p w:rsidR="004A563D" w:rsidRPr="00A02689" w:rsidRDefault="004A563D" w:rsidP="004A563D">
            <w:pPr>
              <w:autoSpaceDE w:val="0"/>
              <w:autoSpaceDN w:val="0"/>
              <w:adjustRightInd w:val="0"/>
              <w:spacing w:after="0" w:line="240" w:lineRule="auto"/>
              <w:rPr>
                <w:rFonts w:eastAsia="Times New Roman" w:cs="Arial"/>
                <w:b w:val="0"/>
                <w:color w:val="auto"/>
                <w:sz w:val="20"/>
                <w:szCs w:val="20"/>
              </w:rPr>
            </w:pPr>
            <w:r w:rsidRPr="00A02689">
              <w:rPr>
                <w:rFonts w:eastAsia="Times New Roman" w:cs="Arial"/>
                <w:b w:val="0"/>
                <w:color w:val="auto"/>
                <w:sz w:val="20"/>
                <w:szCs w:val="20"/>
              </w:rPr>
              <w:t>Present Value of obligation</w:t>
            </w:r>
          </w:p>
        </w:tc>
        <w:tc>
          <w:tcPr>
            <w:tcW w:w="1417" w:type="dxa"/>
          </w:tcPr>
          <w:p w:rsidR="004A563D" w:rsidRPr="00A02689" w:rsidRDefault="005607AB"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57.7</w:t>
            </w:r>
          </w:p>
        </w:tc>
        <w:tc>
          <w:tcPr>
            <w:tcW w:w="1418" w:type="dxa"/>
          </w:tcPr>
          <w:p w:rsidR="004A563D" w:rsidRPr="00A02689" w:rsidRDefault="005607AB"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66.2</w:t>
            </w:r>
          </w:p>
        </w:tc>
        <w:tc>
          <w:tcPr>
            <w:tcW w:w="1337" w:type="dxa"/>
          </w:tcPr>
          <w:p w:rsidR="004A563D" w:rsidRPr="00A02689" w:rsidRDefault="005607AB"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74.9</w:t>
            </w:r>
          </w:p>
        </w:tc>
      </w:tr>
      <w:tr w:rsidR="004A563D" w:rsidRPr="0005794A"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none" w:sz="0" w:space="0" w:color="auto"/>
              <w:bottom w:val="none" w:sz="0" w:space="0" w:color="auto"/>
              <w:right w:val="none" w:sz="0" w:space="0" w:color="auto"/>
            </w:tcBorders>
          </w:tcPr>
          <w:p w:rsidR="004A563D" w:rsidRPr="00A02689" w:rsidRDefault="004A563D" w:rsidP="004A563D">
            <w:pPr>
              <w:autoSpaceDE w:val="0"/>
              <w:autoSpaceDN w:val="0"/>
              <w:adjustRightInd w:val="0"/>
              <w:spacing w:after="0" w:line="240" w:lineRule="auto"/>
              <w:rPr>
                <w:rFonts w:eastAsia="Times New Roman" w:cs="Arial"/>
                <w:b w:val="0"/>
                <w:color w:val="auto"/>
                <w:sz w:val="20"/>
                <w:szCs w:val="20"/>
              </w:rPr>
            </w:pPr>
            <w:r w:rsidRPr="00A02689">
              <w:rPr>
                <w:rFonts w:eastAsia="Times New Roman" w:cs="Arial"/>
                <w:b w:val="0"/>
                <w:color w:val="auto"/>
                <w:sz w:val="20"/>
                <w:szCs w:val="20"/>
              </w:rPr>
              <w:t>Projected Service Cost</w:t>
            </w:r>
          </w:p>
        </w:tc>
        <w:tc>
          <w:tcPr>
            <w:tcW w:w="1417" w:type="dxa"/>
            <w:tcBorders>
              <w:top w:val="none" w:sz="0" w:space="0" w:color="auto"/>
              <w:bottom w:val="none" w:sz="0" w:space="0" w:color="auto"/>
            </w:tcBorders>
          </w:tcPr>
          <w:p w:rsidR="004A563D" w:rsidRPr="00A02689" w:rsidRDefault="005607AB" w:rsidP="00A0268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w:t>
            </w:r>
            <w:r w:rsidR="00A02689" w:rsidRPr="00A02689">
              <w:rPr>
                <w:rFonts w:eastAsia="Times New Roman" w:cs="Arial"/>
                <w:color w:val="auto"/>
                <w:sz w:val="20"/>
                <w:szCs w:val="20"/>
              </w:rPr>
              <w:t>1.2</w:t>
            </w:r>
          </w:p>
        </w:tc>
        <w:tc>
          <w:tcPr>
            <w:tcW w:w="1418" w:type="dxa"/>
            <w:tcBorders>
              <w:top w:val="none" w:sz="0" w:space="0" w:color="auto"/>
              <w:bottom w:val="none" w:sz="0" w:space="0" w:color="auto"/>
            </w:tcBorders>
          </w:tcPr>
          <w:p w:rsidR="004A563D" w:rsidRPr="00A02689" w:rsidRDefault="005607AB" w:rsidP="005607A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w:t>
            </w:r>
            <w:r w:rsidR="00A02689" w:rsidRPr="00A02689">
              <w:rPr>
                <w:rFonts w:eastAsia="Times New Roman" w:cs="Arial"/>
                <w:color w:val="auto"/>
                <w:sz w:val="20"/>
                <w:szCs w:val="20"/>
              </w:rPr>
              <w:t>1.5</w:t>
            </w:r>
          </w:p>
        </w:tc>
        <w:tc>
          <w:tcPr>
            <w:tcW w:w="1337" w:type="dxa"/>
            <w:tcBorders>
              <w:top w:val="none" w:sz="0" w:space="0" w:color="auto"/>
              <w:bottom w:val="none" w:sz="0" w:space="0" w:color="auto"/>
            </w:tcBorders>
          </w:tcPr>
          <w:p w:rsidR="004A563D" w:rsidRPr="00A02689" w:rsidRDefault="00A02689" w:rsidP="005607A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11.8</w:t>
            </w:r>
          </w:p>
        </w:tc>
      </w:tr>
      <w:tr w:rsidR="004A563D" w:rsidRPr="0005794A" w:rsidTr="004A563D">
        <w:tc>
          <w:tcPr>
            <w:cnfStyle w:val="001000000000" w:firstRow="0" w:lastRow="0" w:firstColumn="1" w:lastColumn="0" w:oddVBand="0" w:evenVBand="0" w:oddHBand="0" w:evenHBand="0" w:firstRowFirstColumn="0" w:firstRowLastColumn="0" w:lastRowFirstColumn="0" w:lastRowLastColumn="0"/>
            <w:tcW w:w="3895" w:type="dxa"/>
            <w:tcBorders>
              <w:right w:val="none" w:sz="0" w:space="0" w:color="auto"/>
            </w:tcBorders>
          </w:tcPr>
          <w:p w:rsidR="004A563D" w:rsidRPr="0005794A" w:rsidRDefault="004A563D" w:rsidP="004A563D">
            <w:pPr>
              <w:autoSpaceDE w:val="0"/>
              <w:autoSpaceDN w:val="0"/>
              <w:adjustRightInd w:val="0"/>
              <w:spacing w:after="0" w:line="240" w:lineRule="auto"/>
              <w:rPr>
                <w:rFonts w:eastAsia="Times New Roman" w:cs="Arial"/>
                <w:b w:val="0"/>
                <w:color w:val="548DD4" w:themeColor="text2" w:themeTint="99"/>
                <w:sz w:val="20"/>
                <w:szCs w:val="20"/>
              </w:rPr>
            </w:pPr>
          </w:p>
        </w:tc>
        <w:tc>
          <w:tcPr>
            <w:tcW w:w="1417" w:type="dxa"/>
          </w:tcPr>
          <w:p w:rsidR="004A563D" w:rsidRPr="0005794A" w:rsidRDefault="004A563D" w:rsidP="004A563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48DD4" w:themeColor="text2" w:themeTint="99"/>
                <w:sz w:val="20"/>
                <w:szCs w:val="20"/>
              </w:rPr>
            </w:pPr>
          </w:p>
        </w:tc>
        <w:tc>
          <w:tcPr>
            <w:tcW w:w="1418" w:type="dxa"/>
          </w:tcPr>
          <w:p w:rsidR="004A563D" w:rsidRPr="0005794A" w:rsidRDefault="004A563D" w:rsidP="004A563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48DD4" w:themeColor="text2" w:themeTint="99"/>
                <w:sz w:val="20"/>
                <w:szCs w:val="20"/>
              </w:rPr>
            </w:pPr>
          </w:p>
        </w:tc>
        <w:tc>
          <w:tcPr>
            <w:tcW w:w="1337" w:type="dxa"/>
          </w:tcPr>
          <w:p w:rsidR="004A563D" w:rsidRPr="0005794A" w:rsidRDefault="004A563D" w:rsidP="004A563D">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48DD4" w:themeColor="text2" w:themeTint="99"/>
                <w:sz w:val="20"/>
                <w:szCs w:val="20"/>
              </w:rPr>
            </w:pPr>
          </w:p>
        </w:tc>
      </w:tr>
      <w:tr w:rsidR="00B81008" w:rsidRPr="0005794A"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none" w:sz="0" w:space="0" w:color="auto"/>
              <w:bottom w:val="none" w:sz="0" w:space="0" w:color="auto"/>
              <w:right w:val="none" w:sz="0" w:space="0" w:color="auto"/>
            </w:tcBorders>
          </w:tcPr>
          <w:p w:rsidR="00B81008" w:rsidRPr="00A02689" w:rsidRDefault="00B81008" w:rsidP="00B81008">
            <w:pPr>
              <w:autoSpaceDE w:val="0"/>
              <w:autoSpaceDN w:val="0"/>
              <w:adjustRightInd w:val="0"/>
              <w:spacing w:after="0" w:line="240" w:lineRule="auto"/>
              <w:rPr>
                <w:rFonts w:eastAsia="Times New Roman" w:cs="Arial"/>
                <w:color w:val="auto"/>
                <w:sz w:val="20"/>
                <w:szCs w:val="20"/>
              </w:rPr>
            </w:pPr>
            <w:r w:rsidRPr="00A02689">
              <w:rPr>
                <w:rFonts w:eastAsia="Times New Roman" w:cs="Arial"/>
                <w:color w:val="auto"/>
                <w:sz w:val="20"/>
                <w:szCs w:val="20"/>
              </w:rPr>
              <w:t>Adjustment to Long Term Salary increase</w:t>
            </w:r>
          </w:p>
        </w:tc>
        <w:tc>
          <w:tcPr>
            <w:tcW w:w="1417" w:type="dxa"/>
            <w:tcBorders>
              <w:top w:val="none" w:sz="0" w:space="0" w:color="auto"/>
              <w:bottom w:val="none" w:sz="0" w:space="0" w:color="auto"/>
            </w:tcBorders>
          </w:tcPr>
          <w:p w:rsidR="00B81008" w:rsidRPr="00A02689"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+0.1%</w:t>
            </w:r>
          </w:p>
        </w:tc>
        <w:tc>
          <w:tcPr>
            <w:tcW w:w="1418" w:type="dxa"/>
            <w:tcBorders>
              <w:top w:val="none" w:sz="0" w:space="0" w:color="auto"/>
              <w:bottom w:val="none" w:sz="0" w:space="0" w:color="auto"/>
            </w:tcBorders>
          </w:tcPr>
          <w:p w:rsidR="00B81008" w:rsidRPr="00A02689"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0%</w:t>
            </w:r>
          </w:p>
        </w:tc>
        <w:tc>
          <w:tcPr>
            <w:tcW w:w="1337" w:type="dxa"/>
            <w:tcBorders>
              <w:top w:val="none" w:sz="0" w:space="0" w:color="auto"/>
              <w:bottom w:val="none" w:sz="0" w:space="0" w:color="auto"/>
            </w:tcBorders>
          </w:tcPr>
          <w:p w:rsidR="00B81008" w:rsidRPr="00A02689"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(0.1%)</w:t>
            </w:r>
          </w:p>
        </w:tc>
      </w:tr>
      <w:tr w:rsidR="00B81008" w:rsidRPr="0005794A" w:rsidTr="004A563D">
        <w:tc>
          <w:tcPr>
            <w:cnfStyle w:val="001000000000" w:firstRow="0" w:lastRow="0" w:firstColumn="1" w:lastColumn="0" w:oddVBand="0" w:evenVBand="0" w:oddHBand="0" w:evenHBand="0" w:firstRowFirstColumn="0" w:firstRowLastColumn="0" w:lastRowFirstColumn="0" w:lastRowLastColumn="0"/>
            <w:tcW w:w="3895" w:type="dxa"/>
            <w:tcBorders>
              <w:right w:val="none" w:sz="0" w:space="0" w:color="auto"/>
            </w:tcBorders>
          </w:tcPr>
          <w:p w:rsidR="00B81008" w:rsidRPr="00A02689" w:rsidRDefault="00B81008" w:rsidP="00B81008">
            <w:pPr>
              <w:autoSpaceDE w:val="0"/>
              <w:autoSpaceDN w:val="0"/>
              <w:adjustRightInd w:val="0"/>
              <w:spacing w:after="0" w:line="240" w:lineRule="auto"/>
              <w:rPr>
                <w:rFonts w:eastAsia="Times New Roman" w:cs="Arial"/>
                <w:b w:val="0"/>
                <w:color w:val="auto"/>
                <w:sz w:val="20"/>
                <w:szCs w:val="20"/>
              </w:rPr>
            </w:pPr>
            <w:r w:rsidRPr="00A02689">
              <w:rPr>
                <w:rFonts w:eastAsia="Times New Roman" w:cs="Arial"/>
                <w:b w:val="0"/>
                <w:color w:val="auto"/>
                <w:sz w:val="20"/>
                <w:szCs w:val="20"/>
              </w:rPr>
              <w:t>Present Value of obligation</w:t>
            </w:r>
          </w:p>
        </w:tc>
        <w:tc>
          <w:tcPr>
            <w:tcW w:w="1417" w:type="dxa"/>
          </w:tcPr>
          <w:p w:rsidR="00B81008" w:rsidRPr="00A02689" w:rsidRDefault="000044C8"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66.9</w:t>
            </w:r>
          </w:p>
        </w:tc>
        <w:tc>
          <w:tcPr>
            <w:tcW w:w="1418" w:type="dxa"/>
          </w:tcPr>
          <w:p w:rsidR="00B81008" w:rsidRPr="00A02689" w:rsidRDefault="000044C8"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66.2</w:t>
            </w:r>
          </w:p>
        </w:tc>
        <w:tc>
          <w:tcPr>
            <w:tcW w:w="1337" w:type="dxa"/>
          </w:tcPr>
          <w:p w:rsidR="00B81008" w:rsidRPr="00A02689" w:rsidRDefault="000044C8"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65.6</w:t>
            </w:r>
          </w:p>
        </w:tc>
      </w:tr>
      <w:tr w:rsidR="00B81008" w:rsidRPr="0005794A"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none" w:sz="0" w:space="0" w:color="auto"/>
              <w:bottom w:val="none" w:sz="0" w:space="0" w:color="auto"/>
              <w:right w:val="none" w:sz="0" w:space="0" w:color="auto"/>
            </w:tcBorders>
          </w:tcPr>
          <w:p w:rsidR="00B81008" w:rsidRPr="00A02689" w:rsidRDefault="00B81008" w:rsidP="00B81008">
            <w:pPr>
              <w:autoSpaceDE w:val="0"/>
              <w:autoSpaceDN w:val="0"/>
              <w:adjustRightInd w:val="0"/>
              <w:spacing w:after="0" w:line="240" w:lineRule="auto"/>
              <w:rPr>
                <w:rFonts w:eastAsia="Times New Roman" w:cs="Arial"/>
                <w:b w:val="0"/>
                <w:color w:val="auto"/>
                <w:sz w:val="20"/>
                <w:szCs w:val="20"/>
              </w:rPr>
            </w:pPr>
            <w:r w:rsidRPr="00A02689">
              <w:rPr>
                <w:rFonts w:eastAsia="Times New Roman" w:cs="Arial"/>
                <w:b w:val="0"/>
                <w:color w:val="auto"/>
                <w:sz w:val="20"/>
                <w:szCs w:val="20"/>
              </w:rPr>
              <w:t>Projected Service Cost</w:t>
            </w:r>
          </w:p>
        </w:tc>
        <w:tc>
          <w:tcPr>
            <w:tcW w:w="1417" w:type="dxa"/>
            <w:tcBorders>
              <w:top w:val="none" w:sz="0" w:space="0" w:color="auto"/>
              <w:bottom w:val="none" w:sz="0" w:space="0" w:color="auto"/>
            </w:tcBorders>
          </w:tcPr>
          <w:p w:rsidR="00B81008" w:rsidRPr="00A02689" w:rsidRDefault="00A02689" w:rsidP="00E7618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11.5</w:t>
            </w:r>
          </w:p>
        </w:tc>
        <w:tc>
          <w:tcPr>
            <w:tcW w:w="1418" w:type="dxa"/>
            <w:tcBorders>
              <w:top w:val="none" w:sz="0" w:space="0" w:color="auto"/>
              <w:bottom w:val="none" w:sz="0" w:space="0" w:color="auto"/>
            </w:tcBorders>
          </w:tcPr>
          <w:p w:rsidR="00B81008" w:rsidRPr="00A02689" w:rsidRDefault="000044C8" w:rsidP="00A0268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11.</w:t>
            </w:r>
            <w:r w:rsidR="00A02689" w:rsidRPr="00A02689">
              <w:rPr>
                <w:rFonts w:eastAsia="Times New Roman" w:cs="Arial"/>
                <w:color w:val="auto"/>
                <w:sz w:val="20"/>
                <w:szCs w:val="20"/>
              </w:rPr>
              <w:t>5</w:t>
            </w:r>
          </w:p>
        </w:tc>
        <w:tc>
          <w:tcPr>
            <w:tcW w:w="1337" w:type="dxa"/>
            <w:tcBorders>
              <w:top w:val="none" w:sz="0" w:space="0" w:color="auto"/>
              <w:bottom w:val="none" w:sz="0" w:space="0" w:color="auto"/>
            </w:tcBorders>
          </w:tcPr>
          <w:p w:rsidR="00B81008" w:rsidRPr="00A02689" w:rsidRDefault="000044C8" w:rsidP="00A0268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11.</w:t>
            </w:r>
            <w:r w:rsidR="00A02689" w:rsidRPr="00A02689">
              <w:rPr>
                <w:rFonts w:eastAsia="Times New Roman" w:cs="Arial"/>
                <w:color w:val="auto"/>
                <w:sz w:val="20"/>
                <w:szCs w:val="20"/>
              </w:rPr>
              <w:t>5</w:t>
            </w:r>
          </w:p>
        </w:tc>
      </w:tr>
      <w:tr w:rsidR="00B81008" w:rsidRPr="0005794A" w:rsidTr="004A563D">
        <w:tc>
          <w:tcPr>
            <w:cnfStyle w:val="001000000000" w:firstRow="0" w:lastRow="0" w:firstColumn="1" w:lastColumn="0" w:oddVBand="0" w:evenVBand="0" w:oddHBand="0" w:evenHBand="0" w:firstRowFirstColumn="0" w:firstRowLastColumn="0" w:lastRowFirstColumn="0" w:lastRowLastColumn="0"/>
            <w:tcW w:w="3895" w:type="dxa"/>
            <w:tcBorders>
              <w:right w:val="none" w:sz="0" w:space="0" w:color="auto"/>
            </w:tcBorders>
          </w:tcPr>
          <w:p w:rsidR="00B81008" w:rsidRPr="0005794A" w:rsidRDefault="00B81008" w:rsidP="00B81008">
            <w:pPr>
              <w:autoSpaceDE w:val="0"/>
              <w:autoSpaceDN w:val="0"/>
              <w:adjustRightInd w:val="0"/>
              <w:spacing w:after="0" w:line="240" w:lineRule="auto"/>
              <w:rPr>
                <w:rFonts w:eastAsia="Times New Roman" w:cs="Arial"/>
                <w:b w:val="0"/>
                <w:color w:val="548DD4" w:themeColor="text2" w:themeTint="99"/>
                <w:sz w:val="20"/>
                <w:szCs w:val="20"/>
              </w:rPr>
            </w:pPr>
          </w:p>
        </w:tc>
        <w:tc>
          <w:tcPr>
            <w:tcW w:w="1417" w:type="dxa"/>
          </w:tcPr>
          <w:p w:rsidR="00B81008" w:rsidRPr="0005794A"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48DD4" w:themeColor="text2" w:themeTint="99"/>
                <w:sz w:val="20"/>
                <w:szCs w:val="20"/>
              </w:rPr>
            </w:pPr>
          </w:p>
        </w:tc>
        <w:tc>
          <w:tcPr>
            <w:tcW w:w="1418" w:type="dxa"/>
          </w:tcPr>
          <w:p w:rsidR="00B81008" w:rsidRPr="0005794A"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48DD4" w:themeColor="text2" w:themeTint="99"/>
                <w:sz w:val="20"/>
                <w:szCs w:val="20"/>
              </w:rPr>
            </w:pPr>
          </w:p>
        </w:tc>
        <w:tc>
          <w:tcPr>
            <w:tcW w:w="1337" w:type="dxa"/>
          </w:tcPr>
          <w:p w:rsidR="00B81008" w:rsidRPr="0005794A"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548DD4" w:themeColor="text2" w:themeTint="99"/>
                <w:sz w:val="20"/>
                <w:szCs w:val="20"/>
              </w:rPr>
            </w:pPr>
          </w:p>
        </w:tc>
      </w:tr>
      <w:tr w:rsidR="00B81008" w:rsidRPr="0005794A"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none" w:sz="0" w:space="0" w:color="auto"/>
              <w:bottom w:val="none" w:sz="0" w:space="0" w:color="auto"/>
              <w:right w:val="none" w:sz="0" w:space="0" w:color="auto"/>
            </w:tcBorders>
          </w:tcPr>
          <w:p w:rsidR="00B81008" w:rsidRPr="00A02689" w:rsidRDefault="00B81008" w:rsidP="00B81008">
            <w:pPr>
              <w:autoSpaceDE w:val="0"/>
              <w:autoSpaceDN w:val="0"/>
              <w:adjustRightInd w:val="0"/>
              <w:spacing w:after="0" w:line="240" w:lineRule="auto"/>
              <w:rPr>
                <w:rFonts w:eastAsia="Times New Roman" w:cs="Arial"/>
                <w:color w:val="auto"/>
                <w:sz w:val="20"/>
                <w:szCs w:val="20"/>
              </w:rPr>
            </w:pPr>
            <w:r w:rsidRPr="00A02689">
              <w:rPr>
                <w:rFonts w:eastAsia="Times New Roman" w:cs="Arial"/>
                <w:color w:val="auto"/>
                <w:sz w:val="20"/>
                <w:szCs w:val="20"/>
              </w:rPr>
              <w:t>Adjustment to Pension increases and deferred revaluation</w:t>
            </w:r>
          </w:p>
        </w:tc>
        <w:tc>
          <w:tcPr>
            <w:tcW w:w="1417" w:type="dxa"/>
            <w:tcBorders>
              <w:top w:val="none" w:sz="0" w:space="0" w:color="auto"/>
              <w:bottom w:val="none" w:sz="0" w:space="0" w:color="auto"/>
            </w:tcBorders>
          </w:tcPr>
          <w:p w:rsidR="00B81008" w:rsidRPr="00A02689"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+0.1%</w:t>
            </w:r>
          </w:p>
        </w:tc>
        <w:tc>
          <w:tcPr>
            <w:tcW w:w="1418" w:type="dxa"/>
            <w:tcBorders>
              <w:top w:val="none" w:sz="0" w:space="0" w:color="auto"/>
              <w:bottom w:val="none" w:sz="0" w:space="0" w:color="auto"/>
            </w:tcBorders>
          </w:tcPr>
          <w:p w:rsidR="00B81008" w:rsidRPr="00A02689"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0%</w:t>
            </w:r>
          </w:p>
        </w:tc>
        <w:tc>
          <w:tcPr>
            <w:tcW w:w="1337" w:type="dxa"/>
            <w:tcBorders>
              <w:top w:val="none" w:sz="0" w:space="0" w:color="auto"/>
              <w:bottom w:val="none" w:sz="0" w:space="0" w:color="auto"/>
            </w:tcBorders>
          </w:tcPr>
          <w:p w:rsidR="00B81008" w:rsidRPr="00A02689"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(0.1%)</w:t>
            </w:r>
          </w:p>
        </w:tc>
      </w:tr>
      <w:tr w:rsidR="00B81008" w:rsidRPr="0005794A" w:rsidTr="004A563D">
        <w:tc>
          <w:tcPr>
            <w:cnfStyle w:val="001000000000" w:firstRow="0" w:lastRow="0" w:firstColumn="1" w:lastColumn="0" w:oddVBand="0" w:evenVBand="0" w:oddHBand="0" w:evenHBand="0" w:firstRowFirstColumn="0" w:firstRowLastColumn="0" w:lastRowFirstColumn="0" w:lastRowLastColumn="0"/>
            <w:tcW w:w="3895" w:type="dxa"/>
            <w:tcBorders>
              <w:right w:val="none" w:sz="0" w:space="0" w:color="auto"/>
            </w:tcBorders>
          </w:tcPr>
          <w:p w:rsidR="00B81008" w:rsidRPr="00A02689" w:rsidRDefault="00B81008" w:rsidP="00B81008">
            <w:pPr>
              <w:autoSpaceDE w:val="0"/>
              <w:autoSpaceDN w:val="0"/>
              <w:adjustRightInd w:val="0"/>
              <w:spacing w:after="0" w:line="240" w:lineRule="auto"/>
              <w:rPr>
                <w:rFonts w:eastAsia="Times New Roman" w:cs="Arial"/>
                <w:b w:val="0"/>
                <w:color w:val="auto"/>
                <w:sz w:val="20"/>
                <w:szCs w:val="20"/>
              </w:rPr>
            </w:pPr>
            <w:r w:rsidRPr="00A02689">
              <w:rPr>
                <w:rFonts w:eastAsia="Times New Roman" w:cs="Arial"/>
                <w:b w:val="0"/>
                <w:color w:val="auto"/>
                <w:sz w:val="20"/>
                <w:szCs w:val="20"/>
              </w:rPr>
              <w:t>Present Value of obligation</w:t>
            </w:r>
          </w:p>
        </w:tc>
        <w:tc>
          <w:tcPr>
            <w:tcW w:w="1417" w:type="dxa"/>
          </w:tcPr>
          <w:p w:rsidR="00B81008" w:rsidRPr="00A02689" w:rsidRDefault="000044C8"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74.3</w:t>
            </w:r>
          </w:p>
        </w:tc>
        <w:tc>
          <w:tcPr>
            <w:tcW w:w="1418" w:type="dxa"/>
          </w:tcPr>
          <w:p w:rsidR="00B81008" w:rsidRPr="00A02689" w:rsidRDefault="000044C8"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66.2</w:t>
            </w:r>
          </w:p>
        </w:tc>
        <w:tc>
          <w:tcPr>
            <w:tcW w:w="1337" w:type="dxa"/>
          </w:tcPr>
          <w:p w:rsidR="00B81008" w:rsidRPr="00A02689" w:rsidRDefault="000044C8"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58.4</w:t>
            </w:r>
          </w:p>
        </w:tc>
      </w:tr>
      <w:tr w:rsidR="00B81008" w:rsidRPr="0005794A"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none" w:sz="0" w:space="0" w:color="auto"/>
              <w:bottom w:val="none" w:sz="0" w:space="0" w:color="auto"/>
              <w:right w:val="none" w:sz="0" w:space="0" w:color="auto"/>
            </w:tcBorders>
          </w:tcPr>
          <w:p w:rsidR="00B81008" w:rsidRPr="00A02689" w:rsidRDefault="00B81008" w:rsidP="00B81008">
            <w:pPr>
              <w:autoSpaceDE w:val="0"/>
              <w:autoSpaceDN w:val="0"/>
              <w:adjustRightInd w:val="0"/>
              <w:spacing w:after="0" w:line="240" w:lineRule="auto"/>
              <w:rPr>
                <w:rFonts w:eastAsia="Times New Roman" w:cs="Arial"/>
                <w:b w:val="0"/>
                <w:color w:val="auto"/>
                <w:sz w:val="20"/>
                <w:szCs w:val="20"/>
              </w:rPr>
            </w:pPr>
            <w:r w:rsidRPr="00A02689">
              <w:rPr>
                <w:rFonts w:eastAsia="Times New Roman" w:cs="Arial"/>
                <w:b w:val="0"/>
                <w:color w:val="auto"/>
                <w:sz w:val="20"/>
                <w:szCs w:val="20"/>
              </w:rPr>
              <w:t>Projected Service Cost</w:t>
            </w:r>
          </w:p>
        </w:tc>
        <w:tc>
          <w:tcPr>
            <w:tcW w:w="1417" w:type="dxa"/>
            <w:tcBorders>
              <w:top w:val="none" w:sz="0" w:space="0" w:color="auto"/>
              <w:bottom w:val="none" w:sz="0" w:space="0" w:color="auto"/>
            </w:tcBorders>
          </w:tcPr>
          <w:p w:rsidR="00B81008" w:rsidRPr="00A02689" w:rsidRDefault="00A02689" w:rsidP="00E7618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11.8</w:t>
            </w:r>
          </w:p>
        </w:tc>
        <w:tc>
          <w:tcPr>
            <w:tcW w:w="1418" w:type="dxa"/>
            <w:tcBorders>
              <w:top w:val="none" w:sz="0" w:space="0" w:color="auto"/>
              <w:bottom w:val="none" w:sz="0" w:space="0" w:color="auto"/>
            </w:tcBorders>
          </w:tcPr>
          <w:p w:rsidR="00B81008" w:rsidRPr="00A02689" w:rsidRDefault="000044C8" w:rsidP="00A0268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11.</w:t>
            </w:r>
            <w:r w:rsidR="00A02689" w:rsidRPr="00A02689">
              <w:rPr>
                <w:rFonts w:eastAsia="Times New Roman" w:cs="Arial"/>
                <w:color w:val="auto"/>
                <w:sz w:val="20"/>
                <w:szCs w:val="20"/>
              </w:rPr>
              <w:t>5</w:t>
            </w:r>
          </w:p>
        </w:tc>
        <w:tc>
          <w:tcPr>
            <w:tcW w:w="1337" w:type="dxa"/>
            <w:tcBorders>
              <w:top w:val="none" w:sz="0" w:space="0" w:color="auto"/>
              <w:bottom w:val="none" w:sz="0" w:space="0" w:color="auto"/>
            </w:tcBorders>
          </w:tcPr>
          <w:p w:rsidR="00B81008" w:rsidRPr="00A02689" w:rsidRDefault="000044C8" w:rsidP="00A0268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w:t>
            </w:r>
            <w:r w:rsidR="00A02689" w:rsidRPr="00A02689">
              <w:rPr>
                <w:rFonts w:eastAsia="Times New Roman" w:cs="Arial"/>
                <w:color w:val="auto"/>
                <w:sz w:val="20"/>
                <w:szCs w:val="20"/>
              </w:rPr>
              <w:t>1.2</w:t>
            </w:r>
          </w:p>
        </w:tc>
      </w:tr>
      <w:tr w:rsidR="00B81008" w:rsidRPr="0005794A" w:rsidTr="004A563D">
        <w:tc>
          <w:tcPr>
            <w:cnfStyle w:val="001000000000" w:firstRow="0" w:lastRow="0" w:firstColumn="1" w:lastColumn="0" w:oddVBand="0" w:evenVBand="0" w:oddHBand="0" w:evenHBand="0" w:firstRowFirstColumn="0" w:firstRowLastColumn="0" w:lastRowFirstColumn="0" w:lastRowLastColumn="0"/>
            <w:tcW w:w="3895" w:type="dxa"/>
            <w:tcBorders>
              <w:right w:val="none" w:sz="0" w:space="0" w:color="auto"/>
            </w:tcBorders>
          </w:tcPr>
          <w:p w:rsidR="00B81008" w:rsidRPr="00A02689" w:rsidRDefault="00B81008" w:rsidP="00B81008">
            <w:pPr>
              <w:autoSpaceDE w:val="0"/>
              <w:autoSpaceDN w:val="0"/>
              <w:adjustRightInd w:val="0"/>
              <w:spacing w:after="0" w:line="240" w:lineRule="auto"/>
              <w:rPr>
                <w:rFonts w:eastAsia="Times New Roman" w:cs="Arial"/>
                <w:b w:val="0"/>
                <w:color w:val="auto"/>
                <w:sz w:val="20"/>
                <w:szCs w:val="20"/>
              </w:rPr>
            </w:pPr>
          </w:p>
        </w:tc>
        <w:tc>
          <w:tcPr>
            <w:tcW w:w="1417" w:type="dxa"/>
          </w:tcPr>
          <w:p w:rsidR="00B81008" w:rsidRPr="00A02689"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c>
          <w:tcPr>
            <w:tcW w:w="1418" w:type="dxa"/>
          </w:tcPr>
          <w:p w:rsidR="00B81008" w:rsidRPr="00A02689"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c>
          <w:tcPr>
            <w:tcW w:w="1337" w:type="dxa"/>
          </w:tcPr>
          <w:p w:rsidR="00B81008" w:rsidRPr="00A02689" w:rsidRDefault="00B81008" w:rsidP="00B81008">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p>
        </w:tc>
      </w:tr>
      <w:tr w:rsidR="00B81008" w:rsidRPr="0005794A"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none" w:sz="0" w:space="0" w:color="auto"/>
              <w:bottom w:val="none" w:sz="0" w:space="0" w:color="auto"/>
              <w:right w:val="none" w:sz="0" w:space="0" w:color="auto"/>
            </w:tcBorders>
          </w:tcPr>
          <w:p w:rsidR="00B81008" w:rsidRPr="00A02689" w:rsidRDefault="00B81008" w:rsidP="005607AB">
            <w:pPr>
              <w:autoSpaceDE w:val="0"/>
              <w:autoSpaceDN w:val="0"/>
              <w:adjustRightInd w:val="0"/>
              <w:spacing w:after="0" w:line="240" w:lineRule="auto"/>
              <w:rPr>
                <w:rFonts w:eastAsia="Times New Roman" w:cs="Arial"/>
                <w:color w:val="auto"/>
                <w:sz w:val="20"/>
                <w:szCs w:val="20"/>
              </w:rPr>
            </w:pPr>
            <w:r w:rsidRPr="00A02689">
              <w:rPr>
                <w:rFonts w:eastAsia="Times New Roman" w:cs="Arial"/>
                <w:color w:val="auto"/>
                <w:sz w:val="20"/>
                <w:szCs w:val="20"/>
              </w:rPr>
              <w:t xml:space="preserve">Adjustment to </w:t>
            </w:r>
            <w:r w:rsidR="005607AB" w:rsidRPr="00A02689">
              <w:rPr>
                <w:rFonts w:eastAsia="Times New Roman" w:cs="Arial"/>
                <w:color w:val="auto"/>
                <w:sz w:val="20"/>
                <w:szCs w:val="20"/>
              </w:rPr>
              <w:t>Life Expectancy</w:t>
            </w:r>
            <w:r w:rsidRPr="00A02689">
              <w:rPr>
                <w:rFonts w:eastAsia="Times New Roman" w:cs="Arial"/>
                <w:color w:val="auto"/>
                <w:sz w:val="20"/>
                <w:szCs w:val="20"/>
              </w:rPr>
              <w:t xml:space="preserve"> Rating Assumption</w:t>
            </w:r>
          </w:p>
        </w:tc>
        <w:tc>
          <w:tcPr>
            <w:tcW w:w="1417" w:type="dxa"/>
            <w:tcBorders>
              <w:top w:val="none" w:sz="0" w:space="0" w:color="auto"/>
              <w:bottom w:val="none" w:sz="0" w:space="0" w:color="auto"/>
            </w:tcBorders>
          </w:tcPr>
          <w:p w:rsidR="00B81008" w:rsidRPr="00A02689"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 year</w:t>
            </w:r>
          </w:p>
        </w:tc>
        <w:tc>
          <w:tcPr>
            <w:tcW w:w="1418" w:type="dxa"/>
            <w:tcBorders>
              <w:top w:val="none" w:sz="0" w:space="0" w:color="auto"/>
              <w:bottom w:val="none" w:sz="0" w:space="0" w:color="auto"/>
            </w:tcBorders>
          </w:tcPr>
          <w:p w:rsidR="00B81008" w:rsidRPr="00A02689"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None</w:t>
            </w:r>
          </w:p>
        </w:tc>
        <w:tc>
          <w:tcPr>
            <w:tcW w:w="1337" w:type="dxa"/>
            <w:tcBorders>
              <w:top w:val="none" w:sz="0" w:space="0" w:color="auto"/>
              <w:bottom w:val="none" w:sz="0" w:space="0" w:color="auto"/>
            </w:tcBorders>
          </w:tcPr>
          <w:p w:rsidR="00B81008" w:rsidRPr="00A02689" w:rsidRDefault="00B81008" w:rsidP="00B8100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 year)</w:t>
            </w:r>
          </w:p>
        </w:tc>
      </w:tr>
      <w:tr w:rsidR="00B81008" w:rsidRPr="0005794A" w:rsidTr="004A563D">
        <w:tc>
          <w:tcPr>
            <w:cnfStyle w:val="001000000000" w:firstRow="0" w:lastRow="0" w:firstColumn="1" w:lastColumn="0" w:oddVBand="0" w:evenVBand="0" w:oddHBand="0" w:evenHBand="0" w:firstRowFirstColumn="0" w:firstRowLastColumn="0" w:lastRowFirstColumn="0" w:lastRowLastColumn="0"/>
            <w:tcW w:w="3895" w:type="dxa"/>
            <w:tcBorders>
              <w:right w:val="none" w:sz="0" w:space="0" w:color="auto"/>
            </w:tcBorders>
          </w:tcPr>
          <w:p w:rsidR="00B81008" w:rsidRPr="00A02689" w:rsidRDefault="00B81008" w:rsidP="00B81008">
            <w:pPr>
              <w:autoSpaceDE w:val="0"/>
              <w:autoSpaceDN w:val="0"/>
              <w:adjustRightInd w:val="0"/>
              <w:spacing w:after="0" w:line="240" w:lineRule="auto"/>
              <w:rPr>
                <w:rFonts w:eastAsia="Times New Roman" w:cs="Arial"/>
                <w:b w:val="0"/>
                <w:color w:val="auto"/>
                <w:sz w:val="20"/>
                <w:szCs w:val="20"/>
              </w:rPr>
            </w:pPr>
            <w:r w:rsidRPr="00A02689">
              <w:rPr>
                <w:rFonts w:eastAsia="Times New Roman" w:cs="Arial"/>
                <w:b w:val="0"/>
                <w:color w:val="auto"/>
                <w:sz w:val="20"/>
                <w:szCs w:val="20"/>
              </w:rPr>
              <w:t>Present Value of obligation</w:t>
            </w:r>
          </w:p>
        </w:tc>
        <w:tc>
          <w:tcPr>
            <w:tcW w:w="1417" w:type="dxa"/>
          </w:tcPr>
          <w:p w:rsidR="00B81008" w:rsidRPr="00A02689" w:rsidRDefault="00E7618A"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8</w:t>
            </w:r>
            <w:r w:rsidR="005607AB" w:rsidRPr="00A02689">
              <w:rPr>
                <w:rFonts w:eastAsia="Times New Roman" w:cs="Arial"/>
                <w:color w:val="auto"/>
                <w:sz w:val="20"/>
                <w:szCs w:val="20"/>
              </w:rPr>
              <w:t>4.</w:t>
            </w:r>
            <w:r w:rsidR="00A02689" w:rsidRPr="00A02689">
              <w:rPr>
                <w:rFonts w:eastAsia="Times New Roman" w:cs="Arial"/>
                <w:color w:val="auto"/>
                <w:sz w:val="20"/>
                <w:szCs w:val="20"/>
              </w:rPr>
              <w:t>3</w:t>
            </w:r>
          </w:p>
        </w:tc>
        <w:tc>
          <w:tcPr>
            <w:tcW w:w="1418" w:type="dxa"/>
          </w:tcPr>
          <w:p w:rsidR="00B81008" w:rsidRPr="00A02689" w:rsidRDefault="00A02689" w:rsidP="005607AB">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466.2</w:t>
            </w:r>
          </w:p>
        </w:tc>
        <w:tc>
          <w:tcPr>
            <w:tcW w:w="1337" w:type="dxa"/>
          </w:tcPr>
          <w:p w:rsidR="00B81008" w:rsidRPr="00A02689" w:rsidRDefault="005607AB" w:rsidP="00A0268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4</w:t>
            </w:r>
            <w:r w:rsidR="00A02689" w:rsidRPr="00A02689">
              <w:rPr>
                <w:rFonts w:eastAsia="Times New Roman" w:cs="Arial"/>
                <w:color w:val="auto"/>
                <w:sz w:val="20"/>
                <w:szCs w:val="20"/>
              </w:rPr>
              <w:t>48.9</w:t>
            </w:r>
          </w:p>
        </w:tc>
      </w:tr>
      <w:tr w:rsidR="00B81008" w:rsidRPr="0005794A" w:rsidTr="004A5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5" w:type="dxa"/>
            <w:tcBorders>
              <w:top w:val="none" w:sz="0" w:space="0" w:color="auto"/>
              <w:bottom w:val="none" w:sz="0" w:space="0" w:color="auto"/>
              <w:right w:val="none" w:sz="0" w:space="0" w:color="auto"/>
            </w:tcBorders>
          </w:tcPr>
          <w:p w:rsidR="00B81008" w:rsidRPr="00A02689" w:rsidRDefault="00B81008" w:rsidP="00B81008">
            <w:pPr>
              <w:autoSpaceDE w:val="0"/>
              <w:autoSpaceDN w:val="0"/>
              <w:adjustRightInd w:val="0"/>
              <w:spacing w:after="0" w:line="240" w:lineRule="auto"/>
              <w:rPr>
                <w:rFonts w:eastAsia="Times New Roman" w:cs="Arial"/>
                <w:b w:val="0"/>
                <w:color w:val="auto"/>
                <w:sz w:val="20"/>
                <w:szCs w:val="20"/>
              </w:rPr>
            </w:pPr>
            <w:r w:rsidRPr="00A02689">
              <w:rPr>
                <w:rFonts w:eastAsia="Times New Roman" w:cs="Arial"/>
                <w:b w:val="0"/>
                <w:color w:val="auto"/>
                <w:sz w:val="20"/>
                <w:szCs w:val="20"/>
              </w:rPr>
              <w:t>Projected Service Cost</w:t>
            </w:r>
          </w:p>
        </w:tc>
        <w:tc>
          <w:tcPr>
            <w:tcW w:w="1417" w:type="dxa"/>
            <w:tcBorders>
              <w:top w:val="none" w:sz="0" w:space="0" w:color="auto"/>
              <w:bottom w:val="none" w:sz="0" w:space="0" w:color="auto"/>
            </w:tcBorders>
          </w:tcPr>
          <w:p w:rsidR="00B81008" w:rsidRPr="00A02689" w:rsidRDefault="00A02689" w:rsidP="005607A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11.9</w:t>
            </w:r>
          </w:p>
        </w:tc>
        <w:tc>
          <w:tcPr>
            <w:tcW w:w="1418" w:type="dxa"/>
            <w:tcBorders>
              <w:top w:val="none" w:sz="0" w:space="0" w:color="auto"/>
              <w:bottom w:val="none" w:sz="0" w:space="0" w:color="auto"/>
            </w:tcBorders>
          </w:tcPr>
          <w:p w:rsidR="00B81008" w:rsidRPr="00A02689" w:rsidRDefault="00A02689" w:rsidP="005607A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11.5</w:t>
            </w:r>
          </w:p>
        </w:tc>
        <w:tc>
          <w:tcPr>
            <w:tcW w:w="1337" w:type="dxa"/>
            <w:tcBorders>
              <w:top w:val="none" w:sz="0" w:space="0" w:color="auto"/>
              <w:bottom w:val="none" w:sz="0" w:space="0" w:color="auto"/>
            </w:tcBorders>
          </w:tcPr>
          <w:p w:rsidR="00B81008" w:rsidRPr="00A02689" w:rsidRDefault="00A02689" w:rsidP="005607AB">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A02689">
              <w:rPr>
                <w:rFonts w:eastAsia="Times New Roman" w:cs="Arial"/>
                <w:color w:val="auto"/>
                <w:sz w:val="20"/>
                <w:szCs w:val="20"/>
              </w:rPr>
              <w:t>11.2</w:t>
            </w:r>
          </w:p>
        </w:tc>
      </w:tr>
    </w:tbl>
    <w:p w:rsidR="003D0CCA" w:rsidRDefault="003D0CCA" w:rsidP="004A563D">
      <w:pPr>
        <w:pStyle w:val="Subtitle"/>
        <w:ind w:left="567" w:hanging="567"/>
        <w:rPr>
          <w:b/>
          <w:color w:val="auto"/>
          <w:sz w:val="22"/>
          <w:szCs w:val="22"/>
        </w:rPr>
      </w:pPr>
    </w:p>
    <w:p w:rsidR="00E51139" w:rsidRPr="0003275F" w:rsidRDefault="006D5330" w:rsidP="004A563D">
      <w:pPr>
        <w:pStyle w:val="Subtitle"/>
        <w:ind w:left="567" w:hanging="567"/>
        <w:rPr>
          <w:b/>
          <w:color w:val="auto"/>
          <w:sz w:val="22"/>
          <w:szCs w:val="22"/>
        </w:rPr>
      </w:pPr>
      <w:r w:rsidRPr="0003275F">
        <w:rPr>
          <w:b/>
          <w:color w:val="auto"/>
          <w:sz w:val="22"/>
          <w:szCs w:val="22"/>
        </w:rPr>
        <w:t>41</w:t>
      </w:r>
      <w:r w:rsidR="004A563D" w:rsidRPr="0003275F">
        <w:rPr>
          <w:b/>
          <w:color w:val="auto"/>
          <w:sz w:val="22"/>
          <w:szCs w:val="22"/>
        </w:rPr>
        <w:t>.</w:t>
      </w:r>
      <w:r w:rsidR="00924F40" w:rsidRPr="0003275F">
        <w:rPr>
          <w:b/>
          <w:color w:val="auto"/>
          <w:sz w:val="22"/>
          <w:szCs w:val="22"/>
        </w:rPr>
        <w:t xml:space="preserve">    </w:t>
      </w:r>
      <w:r w:rsidR="00E51139" w:rsidRPr="0003275F">
        <w:rPr>
          <w:b/>
          <w:color w:val="auto"/>
          <w:sz w:val="22"/>
          <w:szCs w:val="22"/>
        </w:rPr>
        <w:t>Summary of Significant Accounting Policies</w:t>
      </w:r>
    </w:p>
    <w:p w:rsidR="000F29B9" w:rsidRPr="000F29B9" w:rsidRDefault="000F29B9" w:rsidP="000F29B9">
      <w:pPr>
        <w:spacing w:after="0" w:line="240" w:lineRule="auto"/>
        <w:ind w:left="567"/>
        <w:jc w:val="both"/>
        <w:rPr>
          <w:rFonts w:eastAsia="Times New Roman" w:cs="Arial"/>
          <w:color w:val="auto"/>
          <w:sz w:val="20"/>
          <w:szCs w:val="20"/>
          <w:lang w:eastAsia="en-GB"/>
        </w:rPr>
      </w:pPr>
      <w:r w:rsidRPr="000F29B9">
        <w:rPr>
          <w:rFonts w:eastAsia="Times New Roman" w:cs="Arial"/>
          <w:color w:val="auto"/>
          <w:sz w:val="20"/>
          <w:szCs w:val="20"/>
          <w:lang w:eastAsia="en-GB"/>
        </w:rPr>
        <w:t>The Accounts and Audit (England) Regulations 2015 require the Council to prepare a Statement of Accounts for each financial year in accordance with proper accounting practices. For 2017/18, these proper accounting practices principally comprise:</w:t>
      </w:r>
    </w:p>
    <w:p w:rsidR="000F29B9" w:rsidRPr="000F29B9" w:rsidRDefault="000F29B9" w:rsidP="000F29B9">
      <w:pPr>
        <w:spacing w:after="0" w:line="240" w:lineRule="auto"/>
        <w:jc w:val="both"/>
        <w:rPr>
          <w:rFonts w:eastAsia="Times New Roman" w:cs="Arial"/>
          <w:color w:val="auto"/>
          <w:sz w:val="20"/>
          <w:szCs w:val="20"/>
          <w:lang w:eastAsia="en-GB"/>
        </w:rPr>
      </w:pPr>
    </w:p>
    <w:p w:rsidR="000F29B9" w:rsidRPr="000F29B9" w:rsidRDefault="000F29B9" w:rsidP="003A432F">
      <w:pPr>
        <w:numPr>
          <w:ilvl w:val="0"/>
          <w:numId w:val="26"/>
        </w:numPr>
        <w:autoSpaceDE w:val="0"/>
        <w:autoSpaceDN w:val="0"/>
        <w:adjustRightInd w:val="0"/>
        <w:spacing w:after="8" w:line="240" w:lineRule="auto"/>
        <w:rPr>
          <w:rFonts w:eastAsia="Times New Roman" w:cs="Arial"/>
          <w:color w:val="auto"/>
          <w:sz w:val="20"/>
          <w:szCs w:val="20"/>
          <w:lang w:eastAsia="en-GB"/>
        </w:rPr>
      </w:pPr>
      <w:r w:rsidRPr="000F29B9">
        <w:rPr>
          <w:rFonts w:eastAsia="Times New Roman" w:cs="Arial"/>
          <w:color w:val="auto"/>
          <w:sz w:val="20"/>
          <w:szCs w:val="20"/>
          <w:lang w:eastAsia="en-GB"/>
        </w:rPr>
        <w:t xml:space="preserve">the Code of Practice on Local Authority Accounting in the United Kingdom 2017/18 (the Code) </w:t>
      </w:r>
    </w:p>
    <w:p w:rsidR="000F29B9" w:rsidRPr="000F29B9" w:rsidRDefault="000F29B9" w:rsidP="003A432F">
      <w:pPr>
        <w:numPr>
          <w:ilvl w:val="0"/>
          <w:numId w:val="26"/>
        </w:numPr>
        <w:autoSpaceDE w:val="0"/>
        <w:autoSpaceDN w:val="0"/>
        <w:adjustRightInd w:val="0"/>
        <w:spacing w:after="0" w:line="240" w:lineRule="auto"/>
        <w:rPr>
          <w:rFonts w:eastAsia="Times New Roman" w:cs="Arial"/>
          <w:color w:val="auto"/>
          <w:sz w:val="20"/>
          <w:szCs w:val="20"/>
          <w:lang w:eastAsia="en-GB"/>
        </w:rPr>
      </w:pPr>
      <w:r w:rsidRPr="000F29B9">
        <w:rPr>
          <w:rFonts w:eastAsia="Times New Roman" w:cs="Arial"/>
          <w:color w:val="auto"/>
          <w:sz w:val="20"/>
          <w:szCs w:val="20"/>
          <w:lang w:eastAsia="en-GB"/>
        </w:rPr>
        <w:t xml:space="preserve">the Local Authorities (Capital Finance and Accounting)(England) Regulations 2003 (SI 2003 No 3146, as amended) (the 2003 </w:t>
      </w:r>
      <w:proofErr w:type="spellStart"/>
      <w:r w:rsidRPr="000F29B9">
        <w:rPr>
          <w:rFonts w:eastAsia="Times New Roman" w:cs="Arial"/>
          <w:color w:val="auto"/>
          <w:sz w:val="20"/>
          <w:szCs w:val="20"/>
          <w:lang w:eastAsia="en-GB"/>
        </w:rPr>
        <w:t>Regs</w:t>
      </w:r>
      <w:proofErr w:type="spellEnd"/>
      <w:r w:rsidRPr="000F29B9">
        <w:rPr>
          <w:rFonts w:eastAsia="Times New Roman" w:cs="Arial"/>
          <w:color w:val="auto"/>
          <w:sz w:val="20"/>
          <w:szCs w:val="20"/>
          <w:lang w:eastAsia="en-GB"/>
        </w:rPr>
        <w:t xml:space="preserve">) </w:t>
      </w:r>
    </w:p>
    <w:p w:rsidR="009C15BF" w:rsidRPr="0005794A" w:rsidRDefault="009C15BF" w:rsidP="009C15BF">
      <w:pPr>
        <w:pStyle w:val="Default"/>
        <w:ind w:left="1866"/>
        <w:rPr>
          <w:rFonts w:ascii="Arial" w:hAnsi="Arial" w:cs="Arial"/>
          <w:color w:val="548DD4" w:themeColor="text2" w:themeTint="99"/>
          <w:sz w:val="20"/>
          <w:szCs w:val="20"/>
        </w:rPr>
      </w:pPr>
    </w:p>
    <w:p w:rsidR="00575AFD" w:rsidRPr="000F29B9" w:rsidRDefault="009C15BF" w:rsidP="000F29B9">
      <w:pPr>
        <w:pStyle w:val="BodyText"/>
        <w:ind w:left="567"/>
        <w:jc w:val="both"/>
        <w:rPr>
          <w:rFonts w:cs="Arial"/>
          <w:color w:val="auto"/>
          <w:sz w:val="20"/>
          <w:szCs w:val="20"/>
        </w:rPr>
      </w:pPr>
      <w:r w:rsidRPr="000F29B9">
        <w:rPr>
          <w:rFonts w:cs="Arial"/>
          <w:color w:val="auto"/>
          <w:sz w:val="20"/>
          <w:szCs w:val="20"/>
        </w:rPr>
        <w:t>T</w:t>
      </w:r>
      <w:r w:rsidR="00575AFD" w:rsidRPr="000F29B9">
        <w:rPr>
          <w:rFonts w:cs="Arial"/>
          <w:color w:val="auto"/>
          <w:sz w:val="20"/>
          <w:szCs w:val="20"/>
        </w:rPr>
        <w:t xml:space="preserve">hese accounts are prepared on a going concern basis, </w:t>
      </w:r>
      <w:proofErr w:type="spellStart"/>
      <w:r w:rsidR="00575AFD" w:rsidRPr="000F29B9">
        <w:rPr>
          <w:rFonts w:cs="Arial"/>
          <w:color w:val="auto"/>
          <w:sz w:val="20"/>
          <w:szCs w:val="20"/>
        </w:rPr>
        <w:t>i.e</w:t>
      </w:r>
      <w:proofErr w:type="spellEnd"/>
      <w:r w:rsidR="00575AFD" w:rsidRPr="000F29B9">
        <w:rPr>
          <w:rFonts w:cs="Arial"/>
          <w:color w:val="auto"/>
          <w:sz w:val="20"/>
          <w:szCs w:val="20"/>
        </w:rPr>
        <w:t xml:space="preserve"> the accounts are prepared on the assumption that the Council will continue in operational existence for the foreseeable future. </w:t>
      </w:r>
    </w:p>
    <w:p w:rsidR="00292A4B" w:rsidRPr="0003275F" w:rsidRDefault="006D5330" w:rsidP="008D0906">
      <w:pPr>
        <w:pStyle w:val="Heading1"/>
        <w:spacing w:line="240" w:lineRule="atLeast"/>
        <w:jc w:val="both"/>
        <w:rPr>
          <w:rFonts w:cs="Arial"/>
          <w:b/>
          <w:color w:val="auto"/>
          <w:sz w:val="20"/>
          <w:szCs w:val="20"/>
        </w:rPr>
      </w:pPr>
      <w:r w:rsidRPr="0003275F">
        <w:rPr>
          <w:rFonts w:cs="Arial"/>
          <w:b/>
          <w:color w:val="auto"/>
          <w:sz w:val="20"/>
          <w:szCs w:val="20"/>
        </w:rPr>
        <w:lastRenderedPageBreak/>
        <w:t>41</w:t>
      </w:r>
      <w:r w:rsidR="00630BE4" w:rsidRPr="0003275F">
        <w:rPr>
          <w:rFonts w:cs="Arial"/>
          <w:b/>
          <w:color w:val="auto"/>
          <w:sz w:val="20"/>
          <w:szCs w:val="20"/>
        </w:rPr>
        <w:t>.1</w:t>
      </w:r>
      <w:r w:rsidR="00EA2646" w:rsidRPr="0003275F">
        <w:rPr>
          <w:rFonts w:cs="Arial"/>
          <w:b/>
          <w:color w:val="auto"/>
          <w:sz w:val="20"/>
          <w:szCs w:val="20"/>
        </w:rPr>
        <w:t xml:space="preserve">    </w:t>
      </w:r>
      <w:r w:rsidR="00292A4B" w:rsidRPr="0003275F">
        <w:rPr>
          <w:rFonts w:cs="Arial"/>
          <w:b/>
          <w:color w:val="auto"/>
          <w:sz w:val="20"/>
          <w:szCs w:val="20"/>
        </w:rPr>
        <w:t>Accounting Policies</w:t>
      </w:r>
    </w:p>
    <w:p w:rsidR="00292A4B" w:rsidRPr="0003275F" w:rsidRDefault="00292A4B" w:rsidP="00292A4B">
      <w:pPr>
        <w:pStyle w:val="BodyTextIndent"/>
        <w:ind w:left="567"/>
        <w:jc w:val="both"/>
        <w:rPr>
          <w:rFonts w:cs="Arial"/>
          <w:color w:val="auto"/>
          <w:sz w:val="20"/>
          <w:szCs w:val="20"/>
        </w:rPr>
      </w:pPr>
      <w:r w:rsidRPr="0003275F">
        <w:rPr>
          <w:rFonts w:cs="Arial"/>
          <w:color w:val="auto"/>
          <w:sz w:val="20"/>
          <w:szCs w:val="20"/>
        </w:rPr>
        <w:t xml:space="preserve">Accounting policies are the principles, bases, conventions, rules and practices applied by an entity that specify how the effects of transactions and other events are reflected in the financial statements. These include estimation techniques that have been used in applying the policies. </w:t>
      </w:r>
    </w:p>
    <w:p w:rsidR="00292A4B" w:rsidRPr="0003275F" w:rsidRDefault="00292A4B" w:rsidP="00292A4B">
      <w:pPr>
        <w:pStyle w:val="BodyTextIndent"/>
        <w:ind w:left="567"/>
        <w:jc w:val="both"/>
        <w:rPr>
          <w:rFonts w:cs="Arial"/>
          <w:color w:val="auto"/>
          <w:sz w:val="20"/>
          <w:szCs w:val="20"/>
        </w:rPr>
      </w:pPr>
      <w:r w:rsidRPr="0003275F">
        <w:rPr>
          <w:rFonts w:cs="Arial"/>
          <w:color w:val="auto"/>
          <w:sz w:val="20"/>
          <w:szCs w:val="20"/>
        </w:rPr>
        <w:t xml:space="preserve">The accounting policies that have a </w:t>
      </w:r>
      <w:r w:rsidRPr="0003275F">
        <w:rPr>
          <w:rFonts w:cs="Arial"/>
          <w:color w:val="auto"/>
          <w:sz w:val="20"/>
          <w:szCs w:val="20"/>
          <w:u w:val="single"/>
        </w:rPr>
        <w:t>significant</w:t>
      </w:r>
      <w:r w:rsidRPr="0003275F">
        <w:rPr>
          <w:rFonts w:cs="Arial"/>
          <w:color w:val="auto"/>
          <w:sz w:val="20"/>
          <w:szCs w:val="20"/>
        </w:rPr>
        <w:t xml:space="preserve"> effect on the amounts recognised in the Council’s accounts are listed below. Within these polices the abbreviation “CIES” has been used for “Comprehensive Income and Expenditure Statement”.</w:t>
      </w:r>
    </w:p>
    <w:p w:rsidR="00292A4B" w:rsidRPr="0005794A" w:rsidRDefault="00292A4B" w:rsidP="00292A4B">
      <w:pPr>
        <w:spacing w:after="0" w:line="240" w:lineRule="auto"/>
        <w:ind w:left="567"/>
        <w:jc w:val="both"/>
        <w:rPr>
          <w:rFonts w:eastAsia="Times New Roman" w:cs="Arial"/>
          <w:color w:val="548DD4" w:themeColor="text2" w:themeTint="99"/>
          <w:sz w:val="20"/>
          <w:szCs w:val="20"/>
          <w:lang w:eastAsia="en-GB"/>
        </w:rPr>
      </w:pPr>
    </w:p>
    <w:p w:rsidR="00DC35D3" w:rsidRPr="0003275F" w:rsidRDefault="006D5330" w:rsidP="00DC35D3">
      <w:pPr>
        <w:spacing w:after="0" w:line="240" w:lineRule="auto"/>
        <w:jc w:val="both"/>
        <w:rPr>
          <w:rFonts w:eastAsia="Times New Roman" w:cs="Arial"/>
          <w:b/>
          <w:color w:val="auto"/>
          <w:sz w:val="20"/>
          <w:szCs w:val="20"/>
          <w:lang w:eastAsia="en-GB"/>
        </w:rPr>
      </w:pPr>
      <w:r w:rsidRPr="0003275F">
        <w:rPr>
          <w:rFonts w:eastAsia="Times New Roman" w:cs="Arial"/>
          <w:b/>
          <w:color w:val="auto"/>
          <w:sz w:val="20"/>
          <w:szCs w:val="20"/>
          <w:lang w:eastAsia="en-GB"/>
        </w:rPr>
        <w:t>41</w:t>
      </w:r>
      <w:r w:rsidR="00DC35D3" w:rsidRPr="0003275F">
        <w:rPr>
          <w:rFonts w:eastAsia="Times New Roman" w:cs="Arial"/>
          <w:b/>
          <w:color w:val="auto"/>
          <w:sz w:val="20"/>
          <w:szCs w:val="20"/>
          <w:lang w:eastAsia="en-GB"/>
        </w:rPr>
        <w:t>.2   Accruals of Income and Expenditure</w:t>
      </w:r>
    </w:p>
    <w:p w:rsidR="00DC35D3" w:rsidRPr="0003275F" w:rsidRDefault="00DC35D3" w:rsidP="00DC35D3">
      <w:pPr>
        <w:spacing w:after="0" w:line="240" w:lineRule="auto"/>
        <w:ind w:left="567"/>
        <w:jc w:val="both"/>
        <w:rPr>
          <w:rFonts w:eastAsia="Times New Roman" w:cs="Arial"/>
          <w:color w:val="auto"/>
          <w:sz w:val="20"/>
          <w:szCs w:val="20"/>
          <w:lang w:eastAsia="en-GB"/>
        </w:rPr>
      </w:pPr>
    </w:p>
    <w:p w:rsidR="00DC35D3" w:rsidRPr="003D0CCA" w:rsidRDefault="00317790" w:rsidP="00DC35D3">
      <w:pPr>
        <w:spacing w:after="0" w:line="240" w:lineRule="auto"/>
        <w:ind w:left="567"/>
        <w:jc w:val="both"/>
        <w:rPr>
          <w:rFonts w:eastAsia="Times New Roman" w:cs="Arial"/>
          <w:color w:val="auto"/>
          <w:sz w:val="20"/>
          <w:szCs w:val="20"/>
          <w:lang w:eastAsia="en-GB"/>
        </w:rPr>
      </w:pPr>
      <w:r w:rsidRPr="003D0CCA">
        <w:rPr>
          <w:rFonts w:eastAsia="Times New Roman" w:cs="Arial"/>
          <w:color w:val="auto"/>
          <w:sz w:val="20"/>
          <w:szCs w:val="20"/>
          <w:lang w:eastAsia="en-GB"/>
        </w:rPr>
        <w:t xml:space="preserve">The Statement of Accounts has been prepared using the accruals basis. </w:t>
      </w:r>
      <w:r w:rsidR="00DC35D3" w:rsidRPr="003D0CCA">
        <w:rPr>
          <w:rFonts w:eastAsia="Times New Roman" w:cs="Arial"/>
          <w:color w:val="auto"/>
          <w:sz w:val="20"/>
          <w:szCs w:val="20"/>
          <w:lang w:eastAsia="en-GB"/>
        </w:rPr>
        <w:t>Activity is accounted for in the year that it takes place, not simply when cash payments are made or received. Where the exact amount of the sum is unknown an estimate will be made based on historical knowledge of the type of transaction and the value of similar payments. An exception is where there are regular bills, such as utilities and staff travel payments where, if not material, no accruals have been made as over a period of time the number of payments per year will even out. In addition where the exact value of a transaction or a number of transactions is not yet known estimates of the amounts due/owed have been made. In particular:</w:t>
      </w:r>
    </w:p>
    <w:p w:rsidR="00DC35D3" w:rsidRPr="003D0CCA" w:rsidRDefault="00DC35D3" w:rsidP="00DC35D3">
      <w:pPr>
        <w:spacing w:after="0" w:line="240" w:lineRule="auto"/>
        <w:ind w:left="567"/>
        <w:jc w:val="both"/>
        <w:rPr>
          <w:rFonts w:eastAsia="Times New Roman" w:cs="Arial"/>
          <w:color w:val="auto"/>
          <w:sz w:val="20"/>
          <w:szCs w:val="20"/>
          <w:lang w:eastAsia="en-GB"/>
        </w:rPr>
      </w:pPr>
    </w:p>
    <w:p w:rsidR="00DC35D3" w:rsidRPr="003D0CCA" w:rsidRDefault="00DC35D3" w:rsidP="00DC35D3">
      <w:pPr>
        <w:spacing w:after="0" w:line="240" w:lineRule="auto"/>
        <w:ind w:left="567"/>
        <w:jc w:val="both"/>
        <w:rPr>
          <w:rFonts w:eastAsia="Times New Roman" w:cs="Arial"/>
          <w:color w:val="auto"/>
          <w:sz w:val="20"/>
          <w:szCs w:val="20"/>
          <w:lang w:eastAsia="en-GB"/>
        </w:rPr>
      </w:pPr>
      <w:r w:rsidRPr="003D0CCA">
        <w:rPr>
          <w:rFonts w:eastAsia="Times New Roman" w:cs="Arial"/>
          <w:color w:val="auto"/>
          <w:sz w:val="20"/>
          <w:szCs w:val="20"/>
          <w:lang w:eastAsia="en-GB"/>
        </w:rPr>
        <w:t>Revenue from the sale of goods is recognised when the Council transfers the significant risks and rewards of ownership to the purchaser and it is probable that economic benefits or service potential associated with the transaction will flow to the Council.</w:t>
      </w:r>
    </w:p>
    <w:p w:rsidR="00DC35D3" w:rsidRPr="003D0CCA" w:rsidRDefault="00DC35D3" w:rsidP="00DC35D3">
      <w:pPr>
        <w:spacing w:after="0" w:line="240" w:lineRule="auto"/>
        <w:ind w:left="567"/>
        <w:jc w:val="both"/>
        <w:rPr>
          <w:rFonts w:eastAsia="Times New Roman" w:cs="Arial"/>
          <w:color w:val="auto"/>
          <w:sz w:val="20"/>
          <w:szCs w:val="20"/>
          <w:lang w:eastAsia="en-GB"/>
        </w:rPr>
      </w:pPr>
    </w:p>
    <w:p w:rsidR="00DC35D3" w:rsidRPr="003D0CCA" w:rsidRDefault="00DC35D3" w:rsidP="00DC35D3">
      <w:pPr>
        <w:spacing w:after="0" w:line="240" w:lineRule="auto"/>
        <w:ind w:left="567"/>
        <w:jc w:val="both"/>
        <w:rPr>
          <w:rFonts w:eastAsia="Times New Roman" w:cs="Arial"/>
          <w:color w:val="auto"/>
          <w:sz w:val="20"/>
          <w:szCs w:val="20"/>
          <w:lang w:eastAsia="en-GB"/>
        </w:rPr>
      </w:pPr>
      <w:r w:rsidRPr="003D0CCA">
        <w:rPr>
          <w:rFonts w:eastAsia="Times New Roman" w:cs="Arial"/>
          <w:color w:val="auto"/>
          <w:sz w:val="20"/>
          <w:szCs w:val="20"/>
          <w:lang w:eastAsia="en-GB"/>
        </w:rPr>
        <w:t>Revenue from the provision of services is recognised when the Council can measure reliably the percentage of completion of the transaction and it is probable that economic benefits or service potential associated with the transaction will flow to the Council.</w:t>
      </w:r>
    </w:p>
    <w:p w:rsidR="00DC35D3" w:rsidRPr="003D0CCA" w:rsidRDefault="00DC35D3" w:rsidP="00DC35D3">
      <w:pPr>
        <w:spacing w:after="0" w:line="240" w:lineRule="auto"/>
        <w:ind w:left="567"/>
        <w:jc w:val="both"/>
        <w:rPr>
          <w:rFonts w:eastAsia="Times New Roman" w:cs="Arial"/>
          <w:color w:val="auto"/>
          <w:sz w:val="20"/>
          <w:szCs w:val="20"/>
          <w:lang w:eastAsia="en-GB"/>
        </w:rPr>
      </w:pPr>
    </w:p>
    <w:p w:rsidR="00DC35D3" w:rsidRPr="003D0CCA" w:rsidRDefault="00DC35D3" w:rsidP="00DC35D3">
      <w:pPr>
        <w:spacing w:after="0" w:line="240" w:lineRule="auto"/>
        <w:ind w:left="567"/>
        <w:jc w:val="both"/>
        <w:rPr>
          <w:rFonts w:eastAsia="Times New Roman" w:cs="Arial"/>
          <w:color w:val="auto"/>
          <w:sz w:val="20"/>
          <w:szCs w:val="20"/>
          <w:lang w:eastAsia="en-GB"/>
        </w:rPr>
      </w:pPr>
      <w:r w:rsidRPr="003D0CCA">
        <w:rPr>
          <w:rFonts w:eastAsia="Times New Roman" w:cs="Arial"/>
          <w:color w:val="auto"/>
          <w:sz w:val="20"/>
          <w:szCs w:val="20"/>
          <w:lang w:eastAsia="en-GB"/>
        </w:rPr>
        <w:t>Revenue relating to such things as council tax</w:t>
      </w:r>
      <w:r w:rsidR="003D0CCA">
        <w:rPr>
          <w:rFonts w:eastAsia="Times New Roman" w:cs="Arial"/>
          <w:color w:val="auto"/>
          <w:sz w:val="20"/>
          <w:szCs w:val="20"/>
          <w:lang w:eastAsia="en-GB"/>
        </w:rPr>
        <w:t xml:space="preserve"> and</w:t>
      </w:r>
      <w:r w:rsidRPr="003D0CCA">
        <w:rPr>
          <w:rFonts w:eastAsia="Times New Roman" w:cs="Arial"/>
          <w:color w:val="auto"/>
          <w:sz w:val="20"/>
          <w:szCs w:val="20"/>
          <w:lang w:eastAsia="en-GB"/>
        </w:rPr>
        <w:t xml:space="preserve"> </w:t>
      </w:r>
      <w:r w:rsidR="003D0CCA">
        <w:rPr>
          <w:rFonts w:eastAsia="Times New Roman" w:cs="Arial"/>
          <w:color w:val="auto"/>
          <w:sz w:val="20"/>
          <w:szCs w:val="20"/>
          <w:lang w:eastAsia="en-GB"/>
        </w:rPr>
        <w:t>NNDR</w:t>
      </w:r>
      <w:r w:rsidRPr="003D0CCA">
        <w:rPr>
          <w:rFonts w:eastAsia="Times New Roman" w:cs="Arial"/>
          <w:color w:val="auto"/>
          <w:sz w:val="20"/>
          <w:szCs w:val="20"/>
          <w:lang w:eastAsia="en-GB"/>
        </w:rPr>
        <w:t xml:space="preserve"> shall be measured at the full amount receivable (net of any impairment losses) as they are non-contractual, </w:t>
      </w:r>
      <w:proofErr w:type="spellStart"/>
      <w:r w:rsidRPr="003D0CCA">
        <w:rPr>
          <w:rFonts w:eastAsia="Times New Roman" w:cs="Arial"/>
          <w:color w:val="auto"/>
          <w:sz w:val="20"/>
          <w:szCs w:val="20"/>
          <w:lang w:eastAsia="en-GB"/>
        </w:rPr>
        <w:t>non exchange</w:t>
      </w:r>
      <w:proofErr w:type="spellEnd"/>
      <w:r w:rsidRPr="003D0CCA">
        <w:rPr>
          <w:rFonts w:eastAsia="Times New Roman" w:cs="Arial"/>
          <w:color w:val="auto"/>
          <w:sz w:val="20"/>
          <w:szCs w:val="20"/>
          <w:lang w:eastAsia="en-GB"/>
        </w:rPr>
        <w:t xml:space="preserve"> transactions and there can be no difference between the delivery and payment dates.</w:t>
      </w:r>
    </w:p>
    <w:p w:rsidR="00DC35D3" w:rsidRPr="003D0CCA" w:rsidRDefault="00DC35D3" w:rsidP="00DC35D3">
      <w:pPr>
        <w:spacing w:after="0" w:line="240" w:lineRule="auto"/>
        <w:ind w:left="567"/>
        <w:jc w:val="both"/>
        <w:rPr>
          <w:rFonts w:eastAsia="Times New Roman" w:cs="Arial"/>
          <w:color w:val="auto"/>
          <w:sz w:val="20"/>
          <w:szCs w:val="20"/>
          <w:lang w:eastAsia="en-GB"/>
        </w:rPr>
      </w:pPr>
    </w:p>
    <w:p w:rsidR="00DC35D3" w:rsidRPr="003D0CCA" w:rsidRDefault="00DC35D3" w:rsidP="00DC35D3">
      <w:pPr>
        <w:spacing w:after="0" w:line="240" w:lineRule="auto"/>
        <w:ind w:left="567"/>
        <w:jc w:val="both"/>
        <w:rPr>
          <w:rFonts w:eastAsia="Times New Roman" w:cs="Arial"/>
          <w:color w:val="auto"/>
          <w:sz w:val="20"/>
          <w:szCs w:val="20"/>
          <w:lang w:eastAsia="en-GB"/>
        </w:rPr>
      </w:pPr>
      <w:r w:rsidRPr="003D0CCA">
        <w:rPr>
          <w:rFonts w:eastAsia="Times New Roman" w:cs="Arial"/>
          <w:color w:val="auto"/>
          <w:sz w:val="20"/>
          <w:szCs w:val="20"/>
          <w:lang w:eastAsia="en-GB"/>
        </w:rPr>
        <w:t>Supplies are recorded as expenditure when they are consumed. Where appropriate there is a gap between the date supplies are received and their consumption they are carried as inventories on the Balance Sheet.</w:t>
      </w:r>
    </w:p>
    <w:p w:rsidR="00DC35D3" w:rsidRPr="003D0CCA" w:rsidRDefault="00DC35D3" w:rsidP="00DC35D3">
      <w:pPr>
        <w:spacing w:after="0" w:line="240" w:lineRule="auto"/>
        <w:ind w:left="567"/>
        <w:jc w:val="both"/>
        <w:rPr>
          <w:rFonts w:eastAsia="Times New Roman" w:cs="Arial"/>
          <w:color w:val="auto"/>
          <w:sz w:val="20"/>
          <w:szCs w:val="20"/>
          <w:lang w:eastAsia="en-GB"/>
        </w:rPr>
      </w:pPr>
    </w:p>
    <w:p w:rsidR="00DC35D3" w:rsidRPr="003D0CCA" w:rsidRDefault="00DC35D3" w:rsidP="00DC35D3">
      <w:pPr>
        <w:spacing w:after="0" w:line="240" w:lineRule="auto"/>
        <w:ind w:left="567"/>
        <w:jc w:val="both"/>
        <w:rPr>
          <w:rFonts w:eastAsia="Times New Roman" w:cs="Arial"/>
          <w:color w:val="auto"/>
          <w:sz w:val="20"/>
          <w:szCs w:val="20"/>
          <w:lang w:eastAsia="en-GB"/>
        </w:rPr>
      </w:pPr>
      <w:r w:rsidRPr="003D0CCA">
        <w:rPr>
          <w:rFonts w:eastAsia="Times New Roman" w:cs="Arial"/>
          <w:color w:val="auto"/>
          <w:sz w:val="20"/>
          <w:szCs w:val="20"/>
          <w:lang w:eastAsia="en-GB"/>
        </w:rPr>
        <w:t>Expenses in relation to services received (including services provided by employees) are recorded as expenditure when the services are received rather than when payments are made.</w:t>
      </w:r>
    </w:p>
    <w:p w:rsidR="00DC35D3" w:rsidRPr="003D0CCA" w:rsidRDefault="00DC35D3" w:rsidP="00DC35D3">
      <w:pPr>
        <w:spacing w:after="0" w:line="240" w:lineRule="auto"/>
        <w:ind w:left="567"/>
        <w:jc w:val="both"/>
        <w:rPr>
          <w:rFonts w:eastAsia="Times New Roman" w:cs="Arial"/>
          <w:color w:val="auto"/>
          <w:sz w:val="20"/>
          <w:szCs w:val="20"/>
          <w:lang w:eastAsia="en-GB"/>
        </w:rPr>
      </w:pPr>
    </w:p>
    <w:p w:rsidR="00DC35D3" w:rsidRPr="0003275F" w:rsidRDefault="00DC35D3" w:rsidP="00DC35D3">
      <w:pPr>
        <w:autoSpaceDE w:val="0"/>
        <w:autoSpaceDN w:val="0"/>
        <w:adjustRightInd w:val="0"/>
        <w:spacing w:after="0" w:line="240" w:lineRule="auto"/>
        <w:ind w:left="567"/>
        <w:rPr>
          <w:rFonts w:eastAsia="Times New Roman" w:cs="Arial"/>
          <w:color w:val="auto"/>
          <w:sz w:val="20"/>
          <w:szCs w:val="20"/>
        </w:rPr>
      </w:pPr>
      <w:r w:rsidRPr="003D0CCA">
        <w:rPr>
          <w:rFonts w:eastAsia="Times New Roman" w:cs="Arial"/>
          <w:color w:val="auto"/>
          <w:sz w:val="20"/>
          <w:szCs w:val="20"/>
          <w:lang w:eastAsia="en-GB"/>
        </w:rPr>
        <w:t>Interest receivable on investments and payable on borrowings, where material is accounted for respectively as income and expenditure on the basis of the effective interest rate for the relevant financial instrument rather than the cash flows fixed or determined by the contract</w:t>
      </w:r>
      <w:r w:rsidR="000846A2" w:rsidRPr="003D0CCA">
        <w:rPr>
          <w:rFonts w:eastAsia="Times New Roman" w:cs="Arial"/>
          <w:color w:val="auto"/>
          <w:sz w:val="20"/>
          <w:szCs w:val="20"/>
          <w:lang w:eastAsia="en-GB"/>
        </w:rPr>
        <w:t>.</w:t>
      </w:r>
    </w:p>
    <w:p w:rsidR="00DC35D3" w:rsidRPr="008D13D3" w:rsidRDefault="00DC35D3" w:rsidP="00292A4B">
      <w:pPr>
        <w:autoSpaceDE w:val="0"/>
        <w:autoSpaceDN w:val="0"/>
        <w:adjustRightInd w:val="0"/>
        <w:spacing w:after="0" w:line="240" w:lineRule="auto"/>
        <w:ind w:left="567"/>
        <w:rPr>
          <w:rFonts w:eastAsia="Times New Roman" w:cs="Arial"/>
          <w:color w:val="auto"/>
          <w:sz w:val="20"/>
          <w:szCs w:val="20"/>
        </w:rPr>
      </w:pPr>
    </w:p>
    <w:p w:rsidR="00DC35D3" w:rsidRPr="008D13D3" w:rsidRDefault="006D5330" w:rsidP="008D0906">
      <w:pPr>
        <w:autoSpaceDE w:val="0"/>
        <w:autoSpaceDN w:val="0"/>
        <w:adjustRightInd w:val="0"/>
        <w:spacing w:after="0" w:line="240" w:lineRule="auto"/>
        <w:outlineLvl w:val="0"/>
        <w:rPr>
          <w:rFonts w:eastAsia="Times New Roman" w:cs="Arial"/>
          <w:b/>
          <w:color w:val="auto"/>
          <w:sz w:val="20"/>
          <w:szCs w:val="20"/>
        </w:rPr>
      </w:pPr>
      <w:r w:rsidRPr="008D13D3">
        <w:rPr>
          <w:rFonts w:eastAsia="Times New Roman" w:cs="Arial"/>
          <w:b/>
          <w:color w:val="auto"/>
          <w:sz w:val="20"/>
          <w:szCs w:val="20"/>
        </w:rPr>
        <w:t>41</w:t>
      </w:r>
      <w:r w:rsidR="002460EF" w:rsidRPr="008D13D3">
        <w:rPr>
          <w:rFonts w:eastAsia="Times New Roman" w:cs="Arial"/>
          <w:b/>
          <w:color w:val="auto"/>
          <w:sz w:val="20"/>
          <w:szCs w:val="20"/>
        </w:rPr>
        <w:t>.3    Val</w:t>
      </w:r>
      <w:r w:rsidR="00DC35D3" w:rsidRPr="008D13D3">
        <w:rPr>
          <w:rFonts w:eastAsia="Times New Roman" w:cs="Arial"/>
          <w:b/>
          <w:color w:val="auto"/>
          <w:sz w:val="20"/>
          <w:szCs w:val="20"/>
        </w:rPr>
        <w:t>u</w:t>
      </w:r>
      <w:r w:rsidR="002460EF" w:rsidRPr="008D13D3">
        <w:rPr>
          <w:rFonts w:eastAsia="Times New Roman" w:cs="Arial"/>
          <w:b/>
          <w:color w:val="auto"/>
          <w:sz w:val="20"/>
          <w:szCs w:val="20"/>
        </w:rPr>
        <w:t>a</w:t>
      </w:r>
      <w:r w:rsidR="00DC35D3" w:rsidRPr="008D13D3">
        <w:rPr>
          <w:rFonts w:eastAsia="Times New Roman" w:cs="Arial"/>
          <w:b/>
          <w:color w:val="auto"/>
          <w:sz w:val="20"/>
          <w:szCs w:val="20"/>
        </w:rPr>
        <w:t>tions of Assets &amp; Liabilities</w:t>
      </w:r>
    </w:p>
    <w:p w:rsidR="00DC35D3" w:rsidRPr="008D13D3" w:rsidRDefault="00DC35D3" w:rsidP="00292A4B">
      <w:pPr>
        <w:autoSpaceDE w:val="0"/>
        <w:autoSpaceDN w:val="0"/>
        <w:adjustRightInd w:val="0"/>
        <w:spacing w:after="0" w:line="240" w:lineRule="auto"/>
        <w:ind w:left="567"/>
        <w:rPr>
          <w:rFonts w:eastAsia="Times New Roman" w:cs="Arial"/>
          <w:color w:val="auto"/>
          <w:sz w:val="20"/>
          <w:szCs w:val="20"/>
        </w:rPr>
      </w:pPr>
    </w:p>
    <w:p w:rsidR="00BA7A3A" w:rsidRPr="008D13D3" w:rsidRDefault="005615AC" w:rsidP="00775F03">
      <w:pPr>
        <w:autoSpaceDE w:val="0"/>
        <w:autoSpaceDN w:val="0"/>
        <w:adjustRightInd w:val="0"/>
        <w:spacing w:after="0" w:line="240" w:lineRule="auto"/>
        <w:ind w:left="567"/>
        <w:rPr>
          <w:rFonts w:eastAsia="Times New Roman" w:cs="Arial"/>
          <w:color w:val="auto"/>
          <w:sz w:val="20"/>
          <w:szCs w:val="20"/>
        </w:rPr>
      </w:pPr>
      <w:r>
        <w:rPr>
          <w:rFonts w:eastAsia="Times New Roman" w:cs="Arial"/>
          <w:color w:val="auto"/>
          <w:sz w:val="20"/>
          <w:szCs w:val="20"/>
        </w:rPr>
        <w:t xml:space="preserve">The historic cost convention is applied modified as appropriate where an asset or liability is required to be held at fair value. </w:t>
      </w:r>
      <w:r w:rsidR="00292A4B" w:rsidRPr="008D13D3">
        <w:rPr>
          <w:rFonts w:eastAsia="Times New Roman" w:cs="Arial"/>
          <w:color w:val="auto"/>
          <w:sz w:val="20"/>
          <w:szCs w:val="20"/>
        </w:rPr>
        <w:t>Where assets and liabilities are held at fair value or a disclosure note requires a fair value the following definition has been applied. Fair value is the price that would be received to sell an asset or paid to transfer a liability in an orderly transaction between market particip</w:t>
      </w:r>
      <w:r w:rsidR="00CA61F1" w:rsidRPr="008D13D3">
        <w:rPr>
          <w:rFonts w:eastAsia="Times New Roman" w:cs="Arial"/>
          <w:color w:val="auto"/>
          <w:sz w:val="20"/>
          <w:szCs w:val="20"/>
        </w:rPr>
        <w:t xml:space="preserve">ants at the measurement date. </w:t>
      </w:r>
    </w:p>
    <w:p w:rsidR="00292A4B" w:rsidRPr="008D13D3" w:rsidRDefault="00292A4B" w:rsidP="00775F03">
      <w:pPr>
        <w:autoSpaceDE w:val="0"/>
        <w:autoSpaceDN w:val="0"/>
        <w:adjustRightInd w:val="0"/>
        <w:spacing w:after="0" w:line="240" w:lineRule="auto"/>
        <w:ind w:left="567"/>
        <w:rPr>
          <w:rFonts w:eastAsia="Times New Roman" w:cs="Arial"/>
          <w:color w:val="auto"/>
          <w:sz w:val="20"/>
          <w:szCs w:val="20"/>
          <w:lang w:eastAsia="en-GB"/>
        </w:rPr>
      </w:pPr>
    </w:p>
    <w:p w:rsidR="00292A4B" w:rsidRPr="008D13D3" w:rsidRDefault="00292A4B" w:rsidP="00292A4B">
      <w:pPr>
        <w:spacing w:after="0" w:line="240" w:lineRule="auto"/>
        <w:jc w:val="both"/>
        <w:rPr>
          <w:bCs/>
          <w:color w:val="auto"/>
          <w:sz w:val="14"/>
          <w:szCs w:val="14"/>
          <w:highlight w:val="yellow"/>
        </w:rPr>
      </w:pPr>
    </w:p>
    <w:tbl>
      <w:tblPr>
        <w:tblStyle w:val="TableGrid"/>
        <w:tblW w:w="0" w:type="auto"/>
        <w:tblInd w:w="675" w:type="dxa"/>
        <w:tblLook w:val="04A0" w:firstRow="1" w:lastRow="0" w:firstColumn="1" w:lastColumn="0" w:noHBand="0" w:noVBand="1"/>
      </w:tblPr>
      <w:tblGrid>
        <w:gridCol w:w="2280"/>
        <w:gridCol w:w="6061"/>
      </w:tblGrid>
      <w:tr w:rsidR="00292A4B" w:rsidRPr="008D13D3" w:rsidTr="00F82E5E">
        <w:tc>
          <w:tcPr>
            <w:tcW w:w="2322" w:type="dxa"/>
          </w:tcPr>
          <w:p w:rsidR="00292A4B" w:rsidRPr="008D13D3" w:rsidRDefault="00292A4B" w:rsidP="00F82E5E">
            <w:pPr>
              <w:spacing w:before="60" w:after="60"/>
              <w:jc w:val="both"/>
              <w:rPr>
                <w:rFonts w:eastAsia="Times New Roman" w:cs="Arial"/>
                <w:b/>
                <w:color w:val="auto"/>
                <w:sz w:val="20"/>
                <w:szCs w:val="20"/>
                <w:lang w:eastAsia="en-GB"/>
              </w:rPr>
            </w:pPr>
            <w:r w:rsidRPr="008D13D3">
              <w:rPr>
                <w:rFonts w:eastAsia="Times New Roman" w:cs="Arial"/>
                <w:b/>
                <w:color w:val="auto"/>
                <w:sz w:val="20"/>
                <w:szCs w:val="20"/>
                <w:lang w:eastAsia="en-GB"/>
              </w:rPr>
              <w:t>Class of Assets</w:t>
            </w:r>
          </w:p>
        </w:tc>
        <w:tc>
          <w:tcPr>
            <w:tcW w:w="6245" w:type="dxa"/>
          </w:tcPr>
          <w:p w:rsidR="00292A4B" w:rsidRPr="008D13D3" w:rsidRDefault="00292A4B" w:rsidP="00F82E5E">
            <w:pPr>
              <w:spacing w:before="60" w:after="60"/>
              <w:jc w:val="both"/>
              <w:rPr>
                <w:rFonts w:eastAsia="Times New Roman" w:cs="Arial"/>
                <w:b/>
                <w:color w:val="auto"/>
                <w:sz w:val="20"/>
                <w:szCs w:val="20"/>
                <w:lang w:eastAsia="en-GB"/>
              </w:rPr>
            </w:pPr>
            <w:r w:rsidRPr="008D13D3">
              <w:rPr>
                <w:rFonts w:eastAsia="Times New Roman" w:cs="Arial"/>
                <w:b/>
                <w:color w:val="auto"/>
                <w:sz w:val="20"/>
                <w:szCs w:val="20"/>
                <w:lang w:eastAsia="en-GB"/>
              </w:rPr>
              <w:t>Valuation Basis</w:t>
            </w:r>
          </w:p>
        </w:tc>
      </w:tr>
      <w:tr w:rsidR="00292A4B" w:rsidRPr="008D13D3" w:rsidTr="00F82E5E">
        <w:tc>
          <w:tcPr>
            <w:tcW w:w="2322" w:type="dxa"/>
          </w:tcPr>
          <w:p w:rsidR="00292A4B" w:rsidRPr="008D13D3" w:rsidRDefault="00292A4B" w:rsidP="00F82E5E">
            <w:pPr>
              <w:spacing w:before="60" w:after="60"/>
              <w:jc w:val="both"/>
              <w:rPr>
                <w:rFonts w:eastAsia="Times New Roman" w:cs="Arial"/>
                <w:color w:val="auto"/>
                <w:sz w:val="20"/>
                <w:szCs w:val="20"/>
                <w:lang w:eastAsia="en-GB"/>
              </w:rPr>
            </w:pPr>
            <w:r w:rsidRPr="008D13D3">
              <w:rPr>
                <w:rFonts w:eastAsia="Times New Roman" w:cs="Arial"/>
                <w:color w:val="auto"/>
                <w:sz w:val="20"/>
                <w:szCs w:val="20"/>
                <w:lang w:eastAsia="en-GB"/>
              </w:rPr>
              <w:t>Property, Plant and Equipment: Other Land and Buildings</w:t>
            </w:r>
          </w:p>
        </w:tc>
        <w:tc>
          <w:tcPr>
            <w:tcW w:w="6245" w:type="dxa"/>
          </w:tcPr>
          <w:p w:rsidR="00BA7A3A" w:rsidRPr="00350F85" w:rsidRDefault="00BA7A3A" w:rsidP="00BA7A3A">
            <w:pPr>
              <w:spacing w:before="60" w:after="60"/>
              <w:jc w:val="both"/>
              <w:rPr>
                <w:rFonts w:eastAsia="Times New Roman" w:cs="Arial"/>
                <w:color w:val="auto"/>
                <w:sz w:val="20"/>
                <w:szCs w:val="20"/>
                <w:lang w:eastAsia="en-GB"/>
              </w:rPr>
            </w:pPr>
            <w:r w:rsidRPr="00350F85">
              <w:rPr>
                <w:rFonts w:eastAsia="Times New Roman" w:cs="Arial"/>
                <w:color w:val="auto"/>
                <w:sz w:val="20"/>
                <w:szCs w:val="20"/>
                <w:lang w:eastAsia="en-GB"/>
              </w:rPr>
              <w:t xml:space="preserve">Current Value, comprising existing use value </w:t>
            </w:r>
          </w:p>
          <w:p w:rsidR="00292A4B" w:rsidRPr="00350F85" w:rsidRDefault="00292A4B" w:rsidP="00F82E5E">
            <w:pPr>
              <w:pStyle w:val="Default"/>
              <w:jc w:val="both"/>
              <w:rPr>
                <w:rFonts w:cs="Arial"/>
                <w:color w:val="auto"/>
                <w:sz w:val="20"/>
                <w:szCs w:val="20"/>
              </w:rPr>
            </w:pPr>
            <w:r w:rsidRPr="00350F85">
              <w:rPr>
                <w:rFonts w:ascii="Arial" w:hAnsi="Arial" w:cs="Arial"/>
                <w:color w:val="auto"/>
                <w:sz w:val="20"/>
                <w:szCs w:val="20"/>
              </w:rPr>
              <w:t xml:space="preserve">Where prices for comparable properties are available in an active market, properties are valued at market value taking into account the existing use. Where no market exists or the property is </w:t>
            </w:r>
            <w:r w:rsidRPr="00350F85">
              <w:rPr>
                <w:rFonts w:ascii="Arial" w:hAnsi="Arial" w:cs="Arial"/>
                <w:color w:val="auto"/>
                <w:sz w:val="20"/>
                <w:szCs w:val="20"/>
              </w:rPr>
              <w:lastRenderedPageBreak/>
              <w:t xml:space="preserve">specialised, current value is measured at depreciated replacement cost. </w:t>
            </w:r>
          </w:p>
        </w:tc>
      </w:tr>
      <w:tr w:rsidR="00292A4B" w:rsidRPr="008D13D3" w:rsidTr="00F82E5E">
        <w:tc>
          <w:tcPr>
            <w:tcW w:w="2322" w:type="dxa"/>
          </w:tcPr>
          <w:p w:rsidR="00292A4B" w:rsidRPr="008D13D3" w:rsidRDefault="00292A4B" w:rsidP="00F82E5E">
            <w:pPr>
              <w:spacing w:before="60" w:after="60"/>
              <w:jc w:val="both"/>
              <w:rPr>
                <w:rFonts w:eastAsia="Times New Roman" w:cs="Arial"/>
                <w:color w:val="auto"/>
                <w:sz w:val="20"/>
                <w:szCs w:val="20"/>
                <w:lang w:eastAsia="en-GB"/>
              </w:rPr>
            </w:pPr>
            <w:r w:rsidRPr="008D13D3">
              <w:rPr>
                <w:rFonts w:eastAsia="Times New Roman" w:cs="Arial"/>
                <w:color w:val="auto"/>
                <w:sz w:val="20"/>
                <w:szCs w:val="20"/>
                <w:lang w:eastAsia="en-GB"/>
              </w:rPr>
              <w:lastRenderedPageBreak/>
              <w:t>Property, Plant and Equipment: Other Land and Buildings – Surplus Assets</w:t>
            </w:r>
          </w:p>
        </w:tc>
        <w:tc>
          <w:tcPr>
            <w:tcW w:w="6245" w:type="dxa"/>
          </w:tcPr>
          <w:p w:rsidR="00292A4B" w:rsidRPr="008D13D3" w:rsidRDefault="00292A4B" w:rsidP="00BA7A3A">
            <w:pPr>
              <w:spacing w:before="60" w:after="60"/>
              <w:jc w:val="both"/>
              <w:rPr>
                <w:rFonts w:eastAsia="Times New Roman" w:cs="Arial"/>
                <w:color w:val="auto"/>
                <w:sz w:val="20"/>
                <w:szCs w:val="20"/>
                <w:lang w:eastAsia="en-GB"/>
              </w:rPr>
            </w:pPr>
            <w:r w:rsidRPr="008D13D3">
              <w:rPr>
                <w:rFonts w:eastAsia="Times New Roman" w:cs="Arial"/>
                <w:color w:val="auto"/>
                <w:sz w:val="20"/>
                <w:szCs w:val="20"/>
                <w:lang w:eastAsia="en-GB"/>
              </w:rPr>
              <w:t xml:space="preserve">Fair value. </w:t>
            </w:r>
          </w:p>
        </w:tc>
      </w:tr>
      <w:tr w:rsidR="00292A4B" w:rsidRPr="008D13D3" w:rsidTr="00F82E5E">
        <w:tc>
          <w:tcPr>
            <w:tcW w:w="2322" w:type="dxa"/>
          </w:tcPr>
          <w:p w:rsidR="00292A4B" w:rsidRPr="008D13D3" w:rsidRDefault="00292A4B" w:rsidP="00F82E5E">
            <w:pPr>
              <w:spacing w:before="60" w:after="60"/>
              <w:jc w:val="both"/>
              <w:rPr>
                <w:rFonts w:eastAsia="Times New Roman" w:cs="Arial"/>
                <w:color w:val="auto"/>
                <w:sz w:val="20"/>
                <w:szCs w:val="20"/>
                <w:lang w:eastAsia="en-GB"/>
              </w:rPr>
            </w:pPr>
            <w:r w:rsidRPr="008D13D3">
              <w:rPr>
                <w:rFonts w:eastAsia="Times New Roman" w:cs="Arial"/>
                <w:color w:val="auto"/>
                <w:sz w:val="20"/>
                <w:szCs w:val="20"/>
                <w:lang w:eastAsia="en-GB"/>
              </w:rPr>
              <w:t>Heritage Assets</w:t>
            </w:r>
          </w:p>
        </w:tc>
        <w:tc>
          <w:tcPr>
            <w:tcW w:w="6245" w:type="dxa"/>
          </w:tcPr>
          <w:p w:rsidR="00292A4B" w:rsidRPr="008D13D3" w:rsidRDefault="00292A4B" w:rsidP="00492A30">
            <w:pPr>
              <w:spacing w:before="60" w:after="60"/>
              <w:jc w:val="both"/>
              <w:rPr>
                <w:rFonts w:eastAsia="Times New Roman" w:cs="Arial"/>
                <w:color w:val="auto"/>
                <w:sz w:val="20"/>
                <w:szCs w:val="20"/>
                <w:lang w:eastAsia="en-GB"/>
              </w:rPr>
            </w:pPr>
            <w:r w:rsidRPr="008D13D3">
              <w:rPr>
                <w:rFonts w:cs="Arial"/>
                <w:color w:val="auto"/>
                <w:sz w:val="20"/>
                <w:szCs w:val="20"/>
                <w:lang w:eastAsia="en-GB"/>
              </w:rPr>
              <w:t xml:space="preserve">Heritage assets (other than operational heritage assets) are measured at valuation in accordance with </w:t>
            </w:r>
            <w:r w:rsidR="00492A30" w:rsidRPr="008D13D3">
              <w:rPr>
                <w:rFonts w:cs="Arial"/>
                <w:color w:val="auto"/>
                <w:sz w:val="20"/>
                <w:szCs w:val="20"/>
                <w:lang w:eastAsia="en-GB"/>
              </w:rPr>
              <w:t>the Code</w:t>
            </w:r>
            <w:r w:rsidRPr="008D13D3">
              <w:rPr>
                <w:rFonts w:cs="Arial"/>
                <w:color w:val="auto"/>
                <w:sz w:val="20"/>
                <w:szCs w:val="20"/>
                <w:lang w:eastAsia="en-GB"/>
              </w:rPr>
              <w:t xml:space="preserve"> </w:t>
            </w:r>
            <w:r w:rsidR="007E33E1" w:rsidRPr="008D13D3">
              <w:rPr>
                <w:rFonts w:cs="Arial"/>
                <w:color w:val="auto"/>
                <w:sz w:val="20"/>
                <w:szCs w:val="20"/>
                <w:lang w:eastAsia="en-GB"/>
              </w:rPr>
              <w:t>i.e.</w:t>
            </w:r>
            <w:r w:rsidRPr="008D13D3">
              <w:rPr>
                <w:rFonts w:cs="Arial"/>
                <w:color w:val="auto"/>
                <w:sz w:val="20"/>
                <w:szCs w:val="20"/>
                <w:lang w:eastAsia="en-GB"/>
              </w:rPr>
              <w:t xml:space="preserve"> valuations may be made by any method that is appropriate and relevant such as insurance valuations</w:t>
            </w:r>
          </w:p>
        </w:tc>
      </w:tr>
      <w:tr w:rsidR="00292A4B" w:rsidRPr="008D13D3" w:rsidTr="00F82E5E">
        <w:tc>
          <w:tcPr>
            <w:tcW w:w="2322" w:type="dxa"/>
          </w:tcPr>
          <w:p w:rsidR="00292A4B" w:rsidRPr="008D13D3" w:rsidRDefault="00292A4B" w:rsidP="00F82E5E">
            <w:pPr>
              <w:spacing w:before="60" w:after="60"/>
              <w:jc w:val="both"/>
              <w:rPr>
                <w:rFonts w:eastAsia="Times New Roman" w:cs="Arial"/>
                <w:color w:val="auto"/>
                <w:sz w:val="20"/>
                <w:szCs w:val="20"/>
                <w:lang w:eastAsia="en-GB"/>
              </w:rPr>
            </w:pPr>
            <w:r w:rsidRPr="008D13D3">
              <w:rPr>
                <w:rFonts w:eastAsia="Times New Roman" w:cs="Arial"/>
                <w:color w:val="auto"/>
                <w:sz w:val="20"/>
                <w:szCs w:val="20"/>
                <w:lang w:eastAsia="en-GB"/>
              </w:rPr>
              <w:t>Investment Properties</w:t>
            </w:r>
          </w:p>
        </w:tc>
        <w:tc>
          <w:tcPr>
            <w:tcW w:w="6245" w:type="dxa"/>
          </w:tcPr>
          <w:p w:rsidR="00292A4B" w:rsidRPr="008D13D3" w:rsidRDefault="00292A4B" w:rsidP="00BA7A3A">
            <w:pPr>
              <w:spacing w:before="60" w:after="60"/>
              <w:jc w:val="both"/>
              <w:rPr>
                <w:rFonts w:eastAsia="Times New Roman" w:cs="Arial"/>
                <w:color w:val="auto"/>
                <w:sz w:val="20"/>
                <w:szCs w:val="20"/>
                <w:lang w:eastAsia="en-GB"/>
              </w:rPr>
            </w:pPr>
            <w:r w:rsidRPr="008D13D3">
              <w:rPr>
                <w:rFonts w:eastAsia="Times New Roman" w:cs="Arial"/>
                <w:color w:val="auto"/>
                <w:sz w:val="20"/>
                <w:szCs w:val="20"/>
                <w:lang w:eastAsia="en-GB"/>
              </w:rPr>
              <w:t xml:space="preserve">Fair value. </w:t>
            </w:r>
          </w:p>
        </w:tc>
      </w:tr>
      <w:tr w:rsidR="00292A4B" w:rsidRPr="008D13D3" w:rsidTr="00F82E5E">
        <w:tc>
          <w:tcPr>
            <w:tcW w:w="2322" w:type="dxa"/>
          </w:tcPr>
          <w:p w:rsidR="00292A4B" w:rsidRPr="008D13D3" w:rsidRDefault="00292A4B" w:rsidP="00F82E5E">
            <w:pPr>
              <w:spacing w:before="60" w:after="60"/>
              <w:jc w:val="both"/>
              <w:rPr>
                <w:rFonts w:eastAsia="Times New Roman" w:cs="Arial"/>
                <w:color w:val="auto"/>
                <w:sz w:val="20"/>
                <w:szCs w:val="20"/>
                <w:lang w:eastAsia="en-GB"/>
              </w:rPr>
            </w:pPr>
            <w:r w:rsidRPr="008D13D3">
              <w:rPr>
                <w:rFonts w:eastAsia="Times New Roman" w:cs="Arial"/>
                <w:color w:val="auto"/>
                <w:sz w:val="20"/>
                <w:szCs w:val="20"/>
                <w:lang w:eastAsia="en-GB"/>
              </w:rPr>
              <w:t>Financial Instruments – Available for Sale Assets</w:t>
            </w:r>
          </w:p>
        </w:tc>
        <w:tc>
          <w:tcPr>
            <w:tcW w:w="6245" w:type="dxa"/>
          </w:tcPr>
          <w:p w:rsidR="00292A4B" w:rsidRPr="008D13D3" w:rsidRDefault="00292A4B" w:rsidP="00F82E5E">
            <w:pPr>
              <w:pStyle w:val="Pa23"/>
              <w:spacing w:before="40"/>
              <w:jc w:val="both"/>
              <w:rPr>
                <w:rFonts w:ascii="Arial" w:eastAsia="Times New Roman" w:hAnsi="Arial" w:cs="Arial"/>
                <w:sz w:val="20"/>
                <w:szCs w:val="20"/>
                <w:lang w:eastAsia="en-GB"/>
              </w:rPr>
            </w:pPr>
            <w:r w:rsidRPr="008D13D3">
              <w:rPr>
                <w:rFonts w:ascii="Arial" w:eastAsia="Times New Roman" w:hAnsi="Arial" w:cs="Arial"/>
                <w:sz w:val="20"/>
                <w:szCs w:val="20"/>
                <w:lang w:eastAsia="en-GB"/>
              </w:rPr>
              <w:t>Fair values based on the following:</w:t>
            </w:r>
          </w:p>
          <w:p w:rsidR="00292A4B" w:rsidRPr="008D13D3" w:rsidRDefault="00292A4B" w:rsidP="003A432F">
            <w:pPr>
              <w:pStyle w:val="Pa23"/>
              <w:numPr>
                <w:ilvl w:val="0"/>
                <w:numId w:val="27"/>
              </w:numPr>
              <w:spacing w:before="40"/>
              <w:ind w:left="318" w:hanging="284"/>
              <w:jc w:val="both"/>
              <w:rPr>
                <w:rFonts w:ascii="Arial" w:eastAsia="Times New Roman" w:hAnsi="Arial" w:cs="Arial"/>
                <w:sz w:val="20"/>
                <w:szCs w:val="20"/>
                <w:lang w:eastAsia="en-GB"/>
              </w:rPr>
            </w:pPr>
            <w:r w:rsidRPr="008D13D3">
              <w:rPr>
                <w:rFonts w:ascii="Arial" w:eastAsia="Times New Roman" w:hAnsi="Arial" w:cs="Arial"/>
                <w:sz w:val="20"/>
                <w:szCs w:val="20"/>
                <w:lang w:eastAsia="en-GB"/>
              </w:rPr>
              <w:t>assets quoted on a market – the market price</w:t>
            </w:r>
          </w:p>
          <w:p w:rsidR="00292A4B" w:rsidRPr="008D13D3" w:rsidRDefault="00292A4B" w:rsidP="003A432F">
            <w:pPr>
              <w:pStyle w:val="Pa23"/>
              <w:numPr>
                <w:ilvl w:val="0"/>
                <w:numId w:val="27"/>
              </w:numPr>
              <w:spacing w:before="40"/>
              <w:ind w:left="318" w:hanging="284"/>
              <w:jc w:val="both"/>
              <w:rPr>
                <w:rFonts w:ascii="Arial" w:eastAsia="Times New Roman" w:hAnsi="Arial" w:cs="Arial"/>
                <w:sz w:val="20"/>
                <w:szCs w:val="20"/>
                <w:lang w:eastAsia="en-GB"/>
              </w:rPr>
            </w:pPr>
            <w:r w:rsidRPr="008D13D3">
              <w:rPr>
                <w:rFonts w:ascii="Arial" w:eastAsia="Times New Roman" w:hAnsi="Arial" w:cs="Arial"/>
                <w:sz w:val="20"/>
                <w:szCs w:val="20"/>
                <w:lang w:eastAsia="en-GB"/>
              </w:rPr>
              <w:t>assets without an active market – valuation techniques such as net equity of subsidiary</w:t>
            </w:r>
          </w:p>
        </w:tc>
      </w:tr>
      <w:tr w:rsidR="00292A4B" w:rsidRPr="008D13D3" w:rsidTr="00F82E5E">
        <w:tc>
          <w:tcPr>
            <w:tcW w:w="2322" w:type="dxa"/>
          </w:tcPr>
          <w:p w:rsidR="00292A4B" w:rsidRPr="008D13D3" w:rsidRDefault="00292A4B" w:rsidP="00F82E5E">
            <w:pPr>
              <w:spacing w:before="60" w:after="60"/>
              <w:jc w:val="both"/>
              <w:rPr>
                <w:rFonts w:eastAsia="Times New Roman" w:cs="Arial"/>
                <w:color w:val="auto"/>
                <w:sz w:val="20"/>
                <w:szCs w:val="20"/>
                <w:lang w:eastAsia="en-GB"/>
              </w:rPr>
            </w:pPr>
            <w:r w:rsidRPr="008D13D3">
              <w:rPr>
                <w:rFonts w:eastAsia="Times New Roman" w:cs="Arial"/>
                <w:color w:val="auto"/>
                <w:sz w:val="20"/>
                <w:szCs w:val="20"/>
                <w:lang w:eastAsia="en-GB"/>
              </w:rPr>
              <w:t>Pensions Assets</w:t>
            </w:r>
          </w:p>
        </w:tc>
        <w:tc>
          <w:tcPr>
            <w:tcW w:w="6245" w:type="dxa"/>
          </w:tcPr>
          <w:p w:rsidR="00292A4B" w:rsidRPr="008D13D3" w:rsidRDefault="00292A4B" w:rsidP="00F82E5E">
            <w:pPr>
              <w:jc w:val="both"/>
              <w:rPr>
                <w:rFonts w:eastAsia="Times New Roman" w:cs="Arial"/>
                <w:color w:val="auto"/>
                <w:sz w:val="20"/>
                <w:szCs w:val="20"/>
                <w:lang w:eastAsia="en-GB"/>
              </w:rPr>
            </w:pPr>
            <w:r w:rsidRPr="008D13D3">
              <w:rPr>
                <w:rFonts w:eastAsia="Times New Roman" w:cs="Arial"/>
                <w:color w:val="auto"/>
                <w:sz w:val="20"/>
                <w:szCs w:val="20"/>
                <w:lang w:eastAsia="en-GB"/>
              </w:rPr>
              <w:t>Fair values based on the following:</w:t>
            </w:r>
          </w:p>
          <w:p w:rsidR="00292A4B" w:rsidRPr="008D13D3" w:rsidRDefault="00292A4B" w:rsidP="003A432F">
            <w:pPr>
              <w:pStyle w:val="Pa23"/>
              <w:numPr>
                <w:ilvl w:val="0"/>
                <w:numId w:val="28"/>
              </w:numPr>
              <w:spacing w:before="40"/>
              <w:jc w:val="both"/>
              <w:rPr>
                <w:rFonts w:ascii="Arial" w:eastAsia="Times New Roman" w:hAnsi="Arial" w:cs="Arial"/>
                <w:sz w:val="20"/>
                <w:szCs w:val="20"/>
                <w:lang w:eastAsia="en-GB"/>
              </w:rPr>
            </w:pPr>
            <w:r w:rsidRPr="008D13D3">
              <w:rPr>
                <w:rFonts w:ascii="Arial" w:eastAsia="Times New Roman" w:hAnsi="Arial" w:cs="Arial"/>
                <w:sz w:val="20"/>
                <w:szCs w:val="20"/>
                <w:lang w:eastAsia="en-GB"/>
              </w:rPr>
              <w:t>quoted securities – current bid price</w:t>
            </w:r>
          </w:p>
          <w:p w:rsidR="00292A4B" w:rsidRPr="008D13D3" w:rsidRDefault="00292A4B" w:rsidP="003A432F">
            <w:pPr>
              <w:pStyle w:val="Pa23"/>
              <w:numPr>
                <w:ilvl w:val="0"/>
                <w:numId w:val="28"/>
              </w:numPr>
              <w:spacing w:before="40"/>
              <w:jc w:val="both"/>
              <w:rPr>
                <w:rFonts w:ascii="Arial" w:eastAsia="Times New Roman" w:hAnsi="Arial" w:cs="Arial"/>
                <w:sz w:val="20"/>
                <w:szCs w:val="20"/>
                <w:lang w:eastAsia="en-GB"/>
              </w:rPr>
            </w:pPr>
            <w:r w:rsidRPr="008D13D3">
              <w:rPr>
                <w:rFonts w:ascii="Arial" w:eastAsia="Times New Roman" w:hAnsi="Arial" w:cs="Arial"/>
                <w:sz w:val="20"/>
                <w:szCs w:val="20"/>
                <w:lang w:eastAsia="en-GB"/>
              </w:rPr>
              <w:t>unquoted securities – professional estimate</w:t>
            </w:r>
          </w:p>
          <w:p w:rsidR="00292A4B" w:rsidRPr="008D13D3" w:rsidRDefault="00292A4B" w:rsidP="003A432F">
            <w:pPr>
              <w:pStyle w:val="Pa23"/>
              <w:numPr>
                <w:ilvl w:val="0"/>
                <w:numId w:val="28"/>
              </w:numPr>
              <w:spacing w:before="40"/>
              <w:jc w:val="both"/>
              <w:rPr>
                <w:rFonts w:ascii="Arial" w:eastAsia="Times New Roman" w:hAnsi="Arial" w:cs="Arial"/>
                <w:sz w:val="20"/>
                <w:szCs w:val="20"/>
                <w:lang w:eastAsia="en-GB"/>
              </w:rPr>
            </w:pPr>
            <w:r w:rsidRPr="008D13D3">
              <w:rPr>
                <w:rFonts w:ascii="Arial" w:eastAsia="Times New Roman" w:hAnsi="Arial" w:cs="Arial"/>
                <w:sz w:val="20"/>
                <w:szCs w:val="20"/>
                <w:lang w:eastAsia="en-GB"/>
              </w:rPr>
              <w:t>unitised securities – current bid price</w:t>
            </w:r>
          </w:p>
          <w:p w:rsidR="00292A4B" w:rsidRPr="008D13D3" w:rsidRDefault="00292A4B" w:rsidP="003A432F">
            <w:pPr>
              <w:pStyle w:val="Pa23"/>
              <w:numPr>
                <w:ilvl w:val="0"/>
                <w:numId w:val="28"/>
              </w:numPr>
              <w:spacing w:before="40"/>
              <w:jc w:val="both"/>
              <w:rPr>
                <w:rFonts w:ascii="Arial" w:eastAsia="Times New Roman" w:hAnsi="Arial" w:cs="Arial"/>
                <w:sz w:val="20"/>
                <w:szCs w:val="20"/>
                <w:lang w:eastAsia="en-GB"/>
              </w:rPr>
            </w:pPr>
            <w:proofErr w:type="gramStart"/>
            <w:r w:rsidRPr="008D13D3">
              <w:rPr>
                <w:rFonts w:ascii="Arial" w:eastAsia="Times New Roman" w:hAnsi="Arial" w:cs="Arial"/>
                <w:sz w:val="20"/>
                <w:szCs w:val="20"/>
                <w:lang w:eastAsia="en-GB"/>
              </w:rPr>
              <w:t>property</w:t>
            </w:r>
            <w:proofErr w:type="gramEnd"/>
            <w:r w:rsidRPr="008D13D3">
              <w:rPr>
                <w:rFonts w:ascii="Arial" w:eastAsia="Times New Roman" w:hAnsi="Arial" w:cs="Arial"/>
                <w:sz w:val="20"/>
                <w:szCs w:val="20"/>
                <w:lang w:eastAsia="en-GB"/>
              </w:rPr>
              <w:t xml:space="preserve"> – market value.</w:t>
            </w:r>
          </w:p>
        </w:tc>
      </w:tr>
    </w:tbl>
    <w:p w:rsidR="00292A4B" w:rsidRPr="0005794A" w:rsidRDefault="00292A4B" w:rsidP="00292A4B">
      <w:pPr>
        <w:spacing w:after="0" w:line="240" w:lineRule="auto"/>
        <w:jc w:val="both"/>
        <w:rPr>
          <w:rFonts w:eastAsia="Times New Roman" w:cs="Arial"/>
          <w:color w:val="548DD4" w:themeColor="text2" w:themeTint="99"/>
          <w:sz w:val="20"/>
          <w:szCs w:val="20"/>
          <w:highlight w:val="yellow"/>
          <w:lang w:eastAsia="en-GB"/>
        </w:rPr>
      </w:pPr>
    </w:p>
    <w:p w:rsidR="008D13D3" w:rsidRPr="008D13D3" w:rsidRDefault="008D13D3" w:rsidP="008D13D3">
      <w:pPr>
        <w:spacing w:after="0" w:line="240" w:lineRule="auto"/>
        <w:ind w:left="567"/>
        <w:jc w:val="both"/>
        <w:rPr>
          <w:rFonts w:eastAsia="Times New Roman" w:cs="Arial"/>
          <w:color w:val="auto"/>
          <w:sz w:val="20"/>
          <w:szCs w:val="20"/>
          <w:lang w:eastAsia="en-GB"/>
        </w:rPr>
      </w:pPr>
      <w:r w:rsidRPr="008D13D3">
        <w:rPr>
          <w:rFonts w:eastAsia="Times New Roman" w:cs="Arial"/>
          <w:color w:val="auto"/>
          <w:sz w:val="20"/>
          <w:szCs w:val="20"/>
          <w:lang w:eastAsia="en-GB"/>
        </w:rPr>
        <w:t>Fair value *. The price that would be received to sell an asset or paid to transfer a liability in an orderly transaction between market participants at the measurement date.</w:t>
      </w:r>
    </w:p>
    <w:p w:rsidR="008D13D3" w:rsidRPr="008D13D3" w:rsidRDefault="008D13D3" w:rsidP="008D13D3">
      <w:pPr>
        <w:spacing w:after="0" w:line="240" w:lineRule="auto"/>
        <w:ind w:left="567"/>
        <w:jc w:val="both"/>
        <w:rPr>
          <w:rFonts w:eastAsia="Times New Roman" w:cs="Arial"/>
          <w:color w:val="auto"/>
          <w:sz w:val="20"/>
          <w:szCs w:val="20"/>
          <w:lang w:eastAsia="en-GB"/>
        </w:rPr>
      </w:pPr>
    </w:p>
    <w:p w:rsidR="00292A4B" w:rsidRPr="0005794A" w:rsidRDefault="008D13D3" w:rsidP="00292A4B">
      <w:pPr>
        <w:spacing w:after="0" w:line="240" w:lineRule="auto"/>
        <w:ind w:left="567"/>
        <w:jc w:val="both"/>
        <w:rPr>
          <w:rFonts w:eastAsia="Times New Roman" w:cs="Arial"/>
          <w:color w:val="548DD4" w:themeColor="text2" w:themeTint="99"/>
          <w:sz w:val="20"/>
          <w:szCs w:val="20"/>
          <w:highlight w:val="yellow"/>
          <w:lang w:eastAsia="en-GB"/>
        </w:rPr>
      </w:pPr>
      <w:r w:rsidRPr="008D13D3">
        <w:rPr>
          <w:rFonts w:eastAsia="Times New Roman" w:cs="Arial"/>
          <w:color w:val="auto"/>
          <w:sz w:val="20"/>
          <w:szCs w:val="20"/>
          <w:lang w:eastAsia="en-GB"/>
        </w:rPr>
        <w:t xml:space="preserve">For valuations at Fair Value the Council uses the IFRS13 “three levels” to assess the fair value as </w:t>
      </w:r>
      <w:r w:rsidR="005B3026">
        <w:rPr>
          <w:rFonts w:eastAsia="Times New Roman" w:cs="Arial"/>
          <w:color w:val="auto"/>
          <w:sz w:val="20"/>
          <w:szCs w:val="20"/>
          <w:lang w:eastAsia="en-GB"/>
        </w:rPr>
        <w:t xml:space="preserve">outlined </w:t>
      </w:r>
      <w:r w:rsidRPr="008D13D3">
        <w:rPr>
          <w:rFonts w:eastAsia="Times New Roman" w:cs="Arial"/>
          <w:color w:val="auto"/>
          <w:sz w:val="20"/>
          <w:szCs w:val="20"/>
          <w:lang w:eastAsia="en-GB"/>
        </w:rPr>
        <w:t>below.</w:t>
      </w:r>
    </w:p>
    <w:p w:rsidR="00292A4B" w:rsidRDefault="00292A4B" w:rsidP="00292A4B">
      <w:pPr>
        <w:spacing w:after="0" w:line="240" w:lineRule="auto"/>
        <w:ind w:left="567"/>
        <w:jc w:val="both"/>
        <w:rPr>
          <w:rFonts w:eastAsia="Times New Roman" w:cs="Arial"/>
          <w:color w:val="548DD4" w:themeColor="text2" w:themeTint="99"/>
          <w:sz w:val="20"/>
          <w:szCs w:val="20"/>
          <w:lang w:eastAsia="en-GB"/>
        </w:rPr>
      </w:pPr>
    </w:p>
    <w:tbl>
      <w:tblPr>
        <w:tblStyle w:val="ListTable3-Accent51"/>
        <w:tblW w:w="0" w:type="auto"/>
        <w:tblInd w:w="567" w:type="dxa"/>
        <w:tblLook w:val="04A0" w:firstRow="1" w:lastRow="0" w:firstColumn="1" w:lastColumn="0" w:noHBand="0" w:noVBand="1"/>
      </w:tblPr>
      <w:tblGrid>
        <w:gridCol w:w="1555"/>
        <w:gridCol w:w="2637"/>
        <w:gridCol w:w="4257"/>
      </w:tblGrid>
      <w:tr w:rsidR="005B3026" w:rsidTr="005B30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2" w:type="dxa"/>
            <w:gridSpan w:val="2"/>
          </w:tcPr>
          <w:p w:rsidR="005B3026" w:rsidRDefault="005B3026" w:rsidP="00292A4B">
            <w:pPr>
              <w:spacing w:after="0" w:line="240" w:lineRule="auto"/>
              <w:jc w:val="both"/>
              <w:rPr>
                <w:rFonts w:eastAsia="Times New Roman" w:cs="Arial"/>
                <w:color w:val="548DD4" w:themeColor="text2" w:themeTint="99"/>
                <w:sz w:val="20"/>
                <w:szCs w:val="20"/>
                <w:lang w:eastAsia="en-GB"/>
              </w:rPr>
            </w:pPr>
          </w:p>
        </w:tc>
        <w:tc>
          <w:tcPr>
            <w:tcW w:w="4257" w:type="dxa"/>
          </w:tcPr>
          <w:p w:rsidR="005B3026" w:rsidRDefault="005B3026" w:rsidP="00292A4B">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color w:val="548DD4" w:themeColor="text2" w:themeTint="99"/>
                <w:sz w:val="20"/>
                <w:szCs w:val="20"/>
                <w:lang w:eastAsia="en-GB"/>
              </w:rPr>
            </w:pPr>
          </w:p>
        </w:tc>
      </w:tr>
      <w:tr w:rsidR="005B3026" w:rsidTr="005B3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5B3026" w:rsidRPr="005B3026" w:rsidRDefault="005B3026" w:rsidP="005B3026">
            <w:pPr>
              <w:spacing w:after="0" w:line="240" w:lineRule="auto"/>
              <w:jc w:val="center"/>
              <w:rPr>
                <w:rFonts w:eastAsia="Times New Roman" w:cs="Arial"/>
                <w:color w:val="auto"/>
                <w:sz w:val="20"/>
                <w:szCs w:val="20"/>
                <w:lang w:eastAsia="en-GB"/>
              </w:rPr>
            </w:pPr>
          </w:p>
          <w:p w:rsidR="005B3026" w:rsidRPr="005B3026" w:rsidRDefault="005B3026" w:rsidP="005B3026">
            <w:pPr>
              <w:spacing w:after="0" w:line="240" w:lineRule="auto"/>
              <w:jc w:val="center"/>
              <w:rPr>
                <w:rFonts w:eastAsia="Times New Roman" w:cs="Arial"/>
                <w:color w:val="auto"/>
                <w:sz w:val="20"/>
                <w:szCs w:val="20"/>
                <w:lang w:eastAsia="en-GB"/>
              </w:rPr>
            </w:pPr>
            <w:r w:rsidRPr="005B3026">
              <w:rPr>
                <w:rFonts w:eastAsia="Times New Roman" w:cs="Arial"/>
                <w:color w:val="auto"/>
                <w:sz w:val="20"/>
                <w:szCs w:val="20"/>
                <w:lang w:eastAsia="en-GB"/>
              </w:rPr>
              <w:t>Level 1</w:t>
            </w:r>
          </w:p>
        </w:tc>
        <w:tc>
          <w:tcPr>
            <w:tcW w:w="6894" w:type="dxa"/>
            <w:gridSpan w:val="2"/>
          </w:tcPr>
          <w:p w:rsidR="005B3026" w:rsidRDefault="005B3026" w:rsidP="005B3026">
            <w:pPr>
              <w:pStyle w:val="NormalWeb"/>
              <w:spacing w:before="0" w:after="0"/>
              <w:cnfStyle w:val="000000100000" w:firstRow="0" w:lastRow="0" w:firstColumn="0" w:lastColumn="0" w:oddVBand="0" w:evenVBand="0" w:oddHBand="1" w:evenHBand="0" w:firstRowFirstColumn="0" w:firstRowLastColumn="0" w:lastRowFirstColumn="0" w:lastRowLastColumn="0"/>
              <w:rPr>
                <w:sz w:val="24"/>
                <w:szCs w:val="24"/>
              </w:rPr>
            </w:pPr>
            <w:r>
              <w:rPr>
                <w:rFonts w:asciiTheme="minorHAnsi" w:hAnsi="Calibri" w:cstheme="minorBidi"/>
                <w:color w:val="000000" w:themeColor="text1"/>
                <w:kern w:val="24"/>
              </w:rPr>
              <w:t>Quoted prices in active markets for identical assets/liabilities that the authority can access at the measurement date</w:t>
            </w:r>
          </w:p>
          <w:p w:rsidR="005B3026" w:rsidRDefault="005B3026" w:rsidP="00292A4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548DD4" w:themeColor="text2" w:themeTint="99"/>
                <w:sz w:val="20"/>
                <w:szCs w:val="20"/>
                <w:lang w:eastAsia="en-GB"/>
              </w:rPr>
            </w:pPr>
          </w:p>
        </w:tc>
      </w:tr>
      <w:tr w:rsidR="005B3026" w:rsidTr="005B3026">
        <w:tc>
          <w:tcPr>
            <w:cnfStyle w:val="001000000000" w:firstRow="0" w:lastRow="0" w:firstColumn="1" w:lastColumn="0" w:oddVBand="0" w:evenVBand="0" w:oddHBand="0" w:evenHBand="0" w:firstRowFirstColumn="0" w:firstRowLastColumn="0" w:lastRowFirstColumn="0" w:lastRowLastColumn="0"/>
            <w:tcW w:w="1555" w:type="dxa"/>
          </w:tcPr>
          <w:p w:rsidR="005B3026" w:rsidRPr="005B3026" w:rsidRDefault="005B3026" w:rsidP="005B3026">
            <w:pPr>
              <w:spacing w:after="0" w:line="240" w:lineRule="auto"/>
              <w:jc w:val="center"/>
              <w:rPr>
                <w:rFonts w:eastAsia="Times New Roman" w:cs="Arial"/>
                <w:color w:val="auto"/>
                <w:sz w:val="20"/>
                <w:szCs w:val="20"/>
                <w:lang w:eastAsia="en-GB"/>
              </w:rPr>
            </w:pPr>
          </w:p>
          <w:p w:rsidR="005B3026" w:rsidRPr="005B3026" w:rsidRDefault="005B3026" w:rsidP="005B3026">
            <w:pPr>
              <w:spacing w:after="0" w:line="240" w:lineRule="auto"/>
              <w:jc w:val="center"/>
              <w:rPr>
                <w:rFonts w:eastAsia="Times New Roman" w:cs="Arial"/>
                <w:color w:val="auto"/>
                <w:sz w:val="20"/>
                <w:szCs w:val="20"/>
                <w:lang w:eastAsia="en-GB"/>
              </w:rPr>
            </w:pPr>
            <w:r w:rsidRPr="005B3026">
              <w:rPr>
                <w:rFonts w:eastAsia="Times New Roman" w:cs="Arial"/>
                <w:color w:val="auto"/>
                <w:sz w:val="20"/>
                <w:szCs w:val="20"/>
                <w:lang w:eastAsia="en-GB"/>
              </w:rPr>
              <w:t>Level 2</w:t>
            </w:r>
          </w:p>
        </w:tc>
        <w:tc>
          <w:tcPr>
            <w:tcW w:w="6894" w:type="dxa"/>
            <w:gridSpan w:val="2"/>
          </w:tcPr>
          <w:p w:rsidR="005B3026" w:rsidRDefault="005B3026" w:rsidP="005B3026">
            <w:pPr>
              <w:pStyle w:val="NormalWeb"/>
              <w:spacing w:before="0" w:after="0"/>
              <w:cnfStyle w:val="000000000000" w:firstRow="0" w:lastRow="0" w:firstColumn="0" w:lastColumn="0" w:oddVBand="0" w:evenVBand="0" w:oddHBand="0" w:evenHBand="0" w:firstRowFirstColumn="0" w:firstRowLastColumn="0" w:lastRowFirstColumn="0" w:lastRowLastColumn="0"/>
              <w:rPr>
                <w:sz w:val="24"/>
                <w:szCs w:val="24"/>
              </w:rPr>
            </w:pPr>
            <w:r>
              <w:rPr>
                <w:rFonts w:asciiTheme="minorHAnsi" w:hAnsi="Calibri" w:cstheme="minorBidi"/>
                <w:color w:val="000000" w:themeColor="text1"/>
                <w:kern w:val="24"/>
              </w:rPr>
              <w:t>Inputs other than quoted prices that are observable for the asset or liability, either directly or indirectly (</w:t>
            </w:r>
            <w:proofErr w:type="spellStart"/>
            <w:r>
              <w:rPr>
                <w:rFonts w:asciiTheme="minorHAnsi" w:hAnsi="Calibri" w:cstheme="minorBidi"/>
                <w:color w:val="000000" w:themeColor="text1"/>
                <w:kern w:val="24"/>
              </w:rPr>
              <w:t>eg</w:t>
            </w:r>
            <w:proofErr w:type="spellEnd"/>
            <w:r>
              <w:rPr>
                <w:rFonts w:asciiTheme="minorHAnsi" w:hAnsi="Calibri" w:cstheme="minorBidi"/>
                <w:color w:val="000000" w:themeColor="text1"/>
                <w:kern w:val="24"/>
              </w:rPr>
              <w:t>, quoted prices for similar assets, interest rates and yield curves)</w:t>
            </w:r>
          </w:p>
          <w:p w:rsidR="005B3026" w:rsidRDefault="005B3026" w:rsidP="00292A4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548DD4" w:themeColor="text2" w:themeTint="99"/>
                <w:sz w:val="20"/>
                <w:szCs w:val="20"/>
                <w:lang w:eastAsia="en-GB"/>
              </w:rPr>
            </w:pPr>
          </w:p>
        </w:tc>
      </w:tr>
      <w:tr w:rsidR="005B3026" w:rsidTr="005B3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5B3026" w:rsidRPr="005B3026" w:rsidRDefault="005B3026" w:rsidP="005B3026">
            <w:pPr>
              <w:spacing w:after="0" w:line="240" w:lineRule="auto"/>
              <w:jc w:val="center"/>
              <w:rPr>
                <w:rFonts w:eastAsia="Times New Roman" w:cs="Arial"/>
                <w:color w:val="auto"/>
                <w:sz w:val="20"/>
                <w:szCs w:val="20"/>
                <w:lang w:eastAsia="en-GB"/>
              </w:rPr>
            </w:pPr>
          </w:p>
          <w:p w:rsidR="005B3026" w:rsidRPr="005B3026" w:rsidRDefault="005B3026" w:rsidP="005B3026">
            <w:pPr>
              <w:spacing w:after="0" w:line="240" w:lineRule="auto"/>
              <w:jc w:val="center"/>
              <w:rPr>
                <w:rFonts w:eastAsia="Times New Roman" w:cs="Arial"/>
                <w:color w:val="auto"/>
                <w:sz w:val="20"/>
                <w:szCs w:val="20"/>
                <w:lang w:eastAsia="en-GB"/>
              </w:rPr>
            </w:pPr>
            <w:r w:rsidRPr="005B3026">
              <w:rPr>
                <w:rFonts w:eastAsia="Times New Roman" w:cs="Arial"/>
                <w:color w:val="auto"/>
                <w:sz w:val="20"/>
                <w:szCs w:val="20"/>
                <w:lang w:eastAsia="en-GB"/>
              </w:rPr>
              <w:t>Level 3</w:t>
            </w:r>
          </w:p>
        </w:tc>
        <w:tc>
          <w:tcPr>
            <w:tcW w:w="6894" w:type="dxa"/>
            <w:gridSpan w:val="2"/>
          </w:tcPr>
          <w:p w:rsidR="005B3026" w:rsidRDefault="005B3026" w:rsidP="005B3026">
            <w:pPr>
              <w:pStyle w:val="NormalWeb"/>
              <w:spacing w:before="0" w:after="0"/>
              <w:cnfStyle w:val="000000100000" w:firstRow="0" w:lastRow="0" w:firstColumn="0" w:lastColumn="0" w:oddVBand="0" w:evenVBand="0" w:oddHBand="1" w:evenHBand="0" w:firstRowFirstColumn="0" w:firstRowLastColumn="0" w:lastRowFirstColumn="0" w:lastRowLastColumn="0"/>
              <w:rPr>
                <w:sz w:val="24"/>
                <w:szCs w:val="24"/>
              </w:rPr>
            </w:pPr>
            <w:r>
              <w:rPr>
                <w:rFonts w:asciiTheme="minorHAnsi" w:hAnsi="Calibri" w:cstheme="minorBidi"/>
                <w:color w:val="000000" w:themeColor="text1"/>
                <w:kern w:val="24"/>
              </w:rPr>
              <w:t>Unobservable inputs for the asset or liability (</w:t>
            </w:r>
            <w:proofErr w:type="spellStart"/>
            <w:r>
              <w:rPr>
                <w:rFonts w:asciiTheme="minorHAnsi" w:hAnsi="Calibri" w:cstheme="minorBidi"/>
                <w:color w:val="000000" w:themeColor="text1"/>
                <w:kern w:val="24"/>
              </w:rPr>
              <w:t>eg</w:t>
            </w:r>
            <w:proofErr w:type="spellEnd"/>
            <w:r>
              <w:rPr>
                <w:rFonts w:asciiTheme="minorHAnsi" w:hAnsi="Calibri" w:cstheme="minorBidi"/>
                <w:color w:val="000000" w:themeColor="text1"/>
                <w:kern w:val="24"/>
              </w:rPr>
              <w:t>, projected cash flows)</w:t>
            </w:r>
          </w:p>
          <w:p w:rsidR="005B3026" w:rsidRDefault="005B3026" w:rsidP="00292A4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548DD4" w:themeColor="text2" w:themeTint="99"/>
                <w:sz w:val="20"/>
                <w:szCs w:val="20"/>
                <w:lang w:eastAsia="en-GB"/>
              </w:rPr>
            </w:pPr>
          </w:p>
        </w:tc>
      </w:tr>
    </w:tbl>
    <w:p w:rsidR="005B3026" w:rsidRDefault="005B3026" w:rsidP="00292A4B">
      <w:pPr>
        <w:spacing w:after="0" w:line="240" w:lineRule="auto"/>
        <w:ind w:left="567"/>
        <w:jc w:val="both"/>
        <w:rPr>
          <w:rFonts w:eastAsia="Times New Roman" w:cs="Arial"/>
          <w:color w:val="548DD4" w:themeColor="text2" w:themeTint="99"/>
          <w:sz w:val="20"/>
          <w:szCs w:val="20"/>
          <w:lang w:eastAsia="en-GB"/>
        </w:rPr>
      </w:pPr>
    </w:p>
    <w:p w:rsidR="008D13D3" w:rsidRPr="008D13D3" w:rsidRDefault="008D13D3" w:rsidP="008D13D3">
      <w:pPr>
        <w:spacing w:after="0" w:line="240" w:lineRule="auto"/>
        <w:ind w:left="567"/>
        <w:jc w:val="both"/>
        <w:rPr>
          <w:rFonts w:eastAsia="Times New Roman" w:cs="Arial"/>
          <w:color w:val="auto"/>
          <w:sz w:val="20"/>
          <w:szCs w:val="20"/>
          <w:lang w:eastAsia="en-GB"/>
        </w:rPr>
      </w:pPr>
      <w:r w:rsidRPr="008D13D3">
        <w:rPr>
          <w:rFonts w:eastAsia="Times New Roman" w:cs="Arial"/>
          <w:color w:val="auto"/>
          <w:sz w:val="20"/>
          <w:szCs w:val="20"/>
          <w:lang w:eastAsia="en-GB"/>
        </w:rPr>
        <w:t xml:space="preserve">The Statement of Accounts has been adjusted to reflect events after 31 March 2018 and before the date the Statement was authorised for </w:t>
      </w:r>
      <w:r w:rsidRPr="005B3026">
        <w:rPr>
          <w:rFonts w:eastAsia="Times New Roman" w:cs="Arial"/>
          <w:color w:val="auto"/>
          <w:sz w:val="20"/>
          <w:szCs w:val="20"/>
          <w:lang w:eastAsia="en-GB"/>
        </w:rPr>
        <w:t>issue [2</w:t>
      </w:r>
      <w:r w:rsidR="005B3026" w:rsidRPr="005B3026">
        <w:rPr>
          <w:rFonts w:eastAsia="Times New Roman" w:cs="Arial"/>
          <w:color w:val="auto"/>
          <w:sz w:val="20"/>
          <w:szCs w:val="20"/>
          <w:lang w:eastAsia="en-GB"/>
        </w:rPr>
        <w:t>8</w:t>
      </w:r>
      <w:r w:rsidRPr="005B3026">
        <w:rPr>
          <w:rFonts w:eastAsia="Times New Roman" w:cs="Arial"/>
          <w:color w:val="auto"/>
          <w:sz w:val="20"/>
          <w:szCs w:val="20"/>
          <w:vertAlign w:val="superscript"/>
          <w:lang w:eastAsia="en-GB"/>
        </w:rPr>
        <w:t>th</w:t>
      </w:r>
      <w:r w:rsidRPr="005B3026">
        <w:rPr>
          <w:rFonts w:eastAsia="Times New Roman" w:cs="Arial"/>
          <w:color w:val="auto"/>
          <w:sz w:val="20"/>
          <w:szCs w:val="20"/>
          <w:lang w:eastAsia="en-GB"/>
        </w:rPr>
        <w:t xml:space="preserve"> May 2018] only</w:t>
      </w:r>
      <w:r w:rsidRPr="008D13D3">
        <w:rPr>
          <w:rFonts w:eastAsia="Times New Roman" w:cs="Arial"/>
          <w:color w:val="auto"/>
          <w:sz w:val="20"/>
          <w:szCs w:val="20"/>
          <w:lang w:eastAsia="en-GB"/>
        </w:rPr>
        <w:t xml:space="preserve"> where the events provide evidence of conditions that existed at 31 March.</w:t>
      </w:r>
    </w:p>
    <w:p w:rsidR="00292A4B" w:rsidRPr="0005794A" w:rsidRDefault="00292A4B" w:rsidP="00292A4B">
      <w:pPr>
        <w:spacing w:after="0" w:line="240" w:lineRule="auto"/>
        <w:ind w:left="567"/>
        <w:jc w:val="both"/>
        <w:rPr>
          <w:rFonts w:cs="Arial"/>
          <w:color w:val="548DD4" w:themeColor="text2" w:themeTint="99"/>
          <w:sz w:val="20"/>
          <w:szCs w:val="20"/>
          <w:highlight w:val="yellow"/>
        </w:rPr>
      </w:pPr>
    </w:p>
    <w:p w:rsidR="003A432F" w:rsidRPr="000A3927" w:rsidRDefault="003A432F" w:rsidP="00C2205A">
      <w:pPr>
        <w:pStyle w:val="ListParagraph"/>
        <w:numPr>
          <w:ilvl w:val="1"/>
          <w:numId w:val="38"/>
        </w:numPr>
        <w:spacing w:after="0" w:line="240" w:lineRule="auto"/>
        <w:jc w:val="both"/>
        <w:rPr>
          <w:rFonts w:eastAsia="Times New Roman" w:cs="Arial"/>
          <w:b/>
          <w:bCs/>
          <w:color w:val="auto"/>
          <w:sz w:val="20"/>
          <w:szCs w:val="20"/>
        </w:rPr>
      </w:pPr>
      <w:r w:rsidRPr="000A3927">
        <w:rPr>
          <w:rFonts w:eastAsia="Times New Roman" w:cs="Arial"/>
          <w:b/>
          <w:bCs/>
          <w:color w:val="auto"/>
          <w:sz w:val="20"/>
          <w:szCs w:val="20"/>
        </w:rPr>
        <w:t>Adjustments Between Accounting Basis and Funding Basis</w:t>
      </w:r>
    </w:p>
    <w:p w:rsidR="003A432F" w:rsidRPr="00B87520" w:rsidRDefault="003A432F" w:rsidP="003A432F">
      <w:pPr>
        <w:spacing w:after="0" w:line="240" w:lineRule="auto"/>
        <w:ind w:left="567"/>
        <w:jc w:val="both"/>
        <w:rPr>
          <w:b/>
          <w:bCs/>
          <w:color w:val="auto"/>
          <w:sz w:val="14"/>
          <w:szCs w:val="14"/>
        </w:rPr>
      </w:pPr>
    </w:p>
    <w:p w:rsidR="003A432F" w:rsidRDefault="003A432F" w:rsidP="003A432F">
      <w:pPr>
        <w:spacing w:after="0" w:line="240" w:lineRule="auto"/>
        <w:ind w:left="567"/>
        <w:jc w:val="both"/>
        <w:rPr>
          <w:rFonts w:eastAsia="Times New Roman" w:cs="Arial"/>
          <w:color w:val="auto"/>
          <w:sz w:val="20"/>
          <w:szCs w:val="20"/>
          <w:lang w:eastAsia="en-GB"/>
        </w:rPr>
      </w:pPr>
      <w:r w:rsidRPr="00B87520">
        <w:rPr>
          <w:rFonts w:eastAsia="Times New Roman" w:cs="Arial"/>
          <w:color w:val="auto"/>
          <w:sz w:val="20"/>
          <w:szCs w:val="20"/>
          <w:lang w:eastAsia="en-GB"/>
        </w:rPr>
        <w:t>The resources available to the Council in any financial year and the expenses that are charged against those resources are specified by statute (the Local Government Act 2003 and the 2003 Regulations).  Where the statutory provisions differ from the accruals basis used in the CIES, adjustments to the accounting treatment are made in the Movement in Reserves Statement so that usable reserves reflect the funding available at the year-end.  Unusable reserves are created to manage the timing differences between the accounting and funding bases.  The material adjustments are:</w:t>
      </w:r>
    </w:p>
    <w:tbl>
      <w:tblPr>
        <w:tblStyle w:val="TableGrid"/>
        <w:tblW w:w="0" w:type="auto"/>
        <w:tblInd w:w="675" w:type="dxa"/>
        <w:tblLook w:val="04A0" w:firstRow="1" w:lastRow="0" w:firstColumn="1" w:lastColumn="0" w:noHBand="0" w:noVBand="1"/>
      </w:tblPr>
      <w:tblGrid>
        <w:gridCol w:w="1505"/>
        <w:gridCol w:w="2974"/>
        <w:gridCol w:w="1953"/>
        <w:gridCol w:w="1513"/>
      </w:tblGrid>
      <w:tr w:rsidR="003A432F" w:rsidRPr="00A767DD" w:rsidTr="001C5B97">
        <w:trPr>
          <w:cantSplit/>
          <w:tblHeader/>
        </w:trPr>
        <w:tc>
          <w:tcPr>
            <w:tcW w:w="1505" w:type="dxa"/>
          </w:tcPr>
          <w:p w:rsidR="003A432F" w:rsidRPr="001D7FB5" w:rsidRDefault="003A432F" w:rsidP="001C5B97">
            <w:pPr>
              <w:spacing w:before="60" w:after="60"/>
              <w:jc w:val="both"/>
              <w:rPr>
                <w:rFonts w:eastAsia="Times New Roman" w:cs="Arial"/>
                <w:b/>
                <w:color w:val="auto"/>
                <w:sz w:val="20"/>
                <w:szCs w:val="20"/>
                <w:lang w:eastAsia="en-GB"/>
              </w:rPr>
            </w:pPr>
            <w:r w:rsidRPr="001D7FB5">
              <w:rPr>
                <w:rFonts w:eastAsia="Times New Roman" w:cs="Arial"/>
                <w:b/>
                <w:color w:val="auto"/>
                <w:sz w:val="20"/>
                <w:szCs w:val="20"/>
                <w:lang w:eastAsia="en-GB"/>
              </w:rPr>
              <w:lastRenderedPageBreak/>
              <w:t>Expense</w:t>
            </w:r>
          </w:p>
        </w:tc>
        <w:tc>
          <w:tcPr>
            <w:tcW w:w="2974" w:type="dxa"/>
          </w:tcPr>
          <w:p w:rsidR="003A432F" w:rsidRPr="001D7FB5" w:rsidRDefault="003A432F" w:rsidP="001C5B97">
            <w:pPr>
              <w:spacing w:before="60" w:after="60"/>
              <w:jc w:val="both"/>
              <w:rPr>
                <w:rFonts w:eastAsia="Times New Roman" w:cs="Arial"/>
                <w:b/>
                <w:color w:val="auto"/>
                <w:sz w:val="20"/>
                <w:szCs w:val="20"/>
                <w:lang w:eastAsia="en-GB"/>
              </w:rPr>
            </w:pPr>
            <w:r w:rsidRPr="001D7FB5">
              <w:rPr>
                <w:rFonts w:eastAsia="Times New Roman" w:cs="Arial"/>
                <w:b/>
                <w:color w:val="auto"/>
                <w:sz w:val="20"/>
                <w:szCs w:val="20"/>
                <w:lang w:eastAsia="en-GB"/>
              </w:rPr>
              <w:t>Accounting Basis in CIES</w:t>
            </w:r>
          </w:p>
        </w:tc>
        <w:tc>
          <w:tcPr>
            <w:tcW w:w="1953" w:type="dxa"/>
          </w:tcPr>
          <w:p w:rsidR="003A432F" w:rsidRPr="001D7FB5" w:rsidRDefault="003A432F" w:rsidP="001C5B97">
            <w:pPr>
              <w:spacing w:before="60" w:after="60"/>
              <w:jc w:val="both"/>
              <w:rPr>
                <w:rFonts w:eastAsia="Times New Roman" w:cs="Arial"/>
                <w:b/>
                <w:color w:val="auto"/>
                <w:sz w:val="20"/>
                <w:szCs w:val="20"/>
                <w:lang w:eastAsia="en-GB"/>
              </w:rPr>
            </w:pPr>
            <w:r w:rsidRPr="001D7FB5">
              <w:rPr>
                <w:rFonts w:eastAsia="Times New Roman" w:cs="Arial"/>
                <w:b/>
                <w:color w:val="auto"/>
                <w:sz w:val="20"/>
                <w:szCs w:val="20"/>
                <w:lang w:eastAsia="en-GB"/>
              </w:rPr>
              <w:t xml:space="preserve">Funding Basis in </w:t>
            </w:r>
            <w:proofErr w:type="spellStart"/>
            <w:r w:rsidRPr="001D7FB5">
              <w:rPr>
                <w:rFonts w:eastAsia="Times New Roman" w:cs="Arial"/>
                <w:b/>
                <w:color w:val="auto"/>
                <w:sz w:val="20"/>
                <w:szCs w:val="20"/>
                <w:lang w:eastAsia="en-GB"/>
              </w:rPr>
              <w:t>MiRS</w:t>
            </w:r>
            <w:proofErr w:type="spellEnd"/>
          </w:p>
        </w:tc>
        <w:tc>
          <w:tcPr>
            <w:tcW w:w="1513" w:type="dxa"/>
          </w:tcPr>
          <w:p w:rsidR="003A432F" w:rsidRPr="001D7FB5" w:rsidRDefault="003A432F" w:rsidP="001C5B97">
            <w:pPr>
              <w:spacing w:before="60" w:after="60"/>
              <w:jc w:val="both"/>
              <w:rPr>
                <w:rFonts w:eastAsia="Times New Roman" w:cs="Arial"/>
                <w:b/>
                <w:color w:val="auto"/>
                <w:sz w:val="20"/>
                <w:szCs w:val="20"/>
                <w:lang w:eastAsia="en-GB"/>
              </w:rPr>
            </w:pPr>
            <w:r w:rsidRPr="001D7FB5">
              <w:rPr>
                <w:rFonts w:eastAsia="Times New Roman" w:cs="Arial"/>
                <w:b/>
                <w:color w:val="auto"/>
                <w:sz w:val="20"/>
                <w:szCs w:val="20"/>
                <w:lang w:eastAsia="en-GB"/>
              </w:rPr>
              <w:t>Adjustment Account</w:t>
            </w:r>
          </w:p>
        </w:tc>
      </w:tr>
      <w:tr w:rsidR="003A432F" w:rsidRPr="00A767DD" w:rsidTr="001C5B97">
        <w:trPr>
          <w:cantSplit/>
          <w:tblHeader/>
        </w:trPr>
        <w:tc>
          <w:tcPr>
            <w:tcW w:w="1505"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Property, Plant and Equipment</w:t>
            </w:r>
          </w:p>
        </w:tc>
        <w:tc>
          <w:tcPr>
            <w:tcW w:w="2974"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Depreciation and revaluation/impairment losses</w:t>
            </w:r>
          </w:p>
        </w:tc>
        <w:tc>
          <w:tcPr>
            <w:tcW w:w="195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 xml:space="preserve">Revenue provision to cover historical cost determined in accordance with the 2003 </w:t>
            </w:r>
            <w:proofErr w:type="spellStart"/>
            <w:r w:rsidRPr="001D7FB5">
              <w:rPr>
                <w:rFonts w:eastAsia="Times New Roman" w:cs="Arial"/>
                <w:color w:val="auto"/>
                <w:sz w:val="20"/>
                <w:szCs w:val="20"/>
                <w:lang w:eastAsia="en-GB"/>
              </w:rPr>
              <w:t>Regs</w:t>
            </w:r>
            <w:proofErr w:type="spellEnd"/>
          </w:p>
        </w:tc>
        <w:tc>
          <w:tcPr>
            <w:tcW w:w="151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tc>
      </w:tr>
      <w:tr w:rsidR="003A432F" w:rsidRPr="00A767DD" w:rsidTr="001C5B97">
        <w:trPr>
          <w:cantSplit/>
          <w:tblHeader/>
        </w:trPr>
        <w:tc>
          <w:tcPr>
            <w:tcW w:w="1505"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Intangible Assets</w:t>
            </w:r>
          </w:p>
        </w:tc>
        <w:tc>
          <w:tcPr>
            <w:tcW w:w="2974"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Amortisation and impairment</w:t>
            </w:r>
          </w:p>
        </w:tc>
        <w:tc>
          <w:tcPr>
            <w:tcW w:w="195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 xml:space="preserve">Revenue provision to cover historical cost determined in accordance with the 2003 </w:t>
            </w:r>
            <w:proofErr w:type="spellStart"/>
            <w:r w:rsidRPr="001D7FB5">
              <w:rPr>
                <w:rFonts w:eastAsia="Times New Roman" w:cs="Arial"/>
                <w:color w:val="auto"/>
                <w:sz w:val="20"/>
                <w:szCs w:val="20"/>
                <w:lang w:eastAsia="en-GB"/>
              </w:rPr>
              <w:t>Regs</w:t>
            </w:r>
            <w:proofErr w:type="spellEnd"/>
          </w:p>
        </w:tc>
        <w:tc>
          <w:tcPr>
            <w:tcW w:w="151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tc>
      </w:tr>
      <w:tr w:rsidR="003A432F" w:rsidRPr="00A767DD" w:rsidTr="001C5B97">
        <w:trPr>
          <w:cantSplit/>
          <w:tblHeader/>
        </w:trPr>
        <w:tc>
          <w:tcPr>
            <w:tcW w:w="1505"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Heritage Assets</w:t>
            </w:r>
          </w:p>
        </w:tc>
        <w:tc>
          <w:tcPr>
            <w:tcW w:w="2974"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Impairment</w:t>
            </w:r>
          </w:p>
        </w:tc>
        <w:tc>
          <w:tcPr>
            <w:tcW w:w="195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 xml:space="preserve">Revenue provision to cover historical cost determined in accordance with the 2003 </w:t>
            </w:r>
            <w:proofErr w:type="spellStart"/>
            <w:r w:rsidRPr="001D7FB5">
              <w:rPr>
                <w:rFonts w:eastAsia="Times New Roman" w:cs="Arial"/>
                <w:color w:val="auto"/>
                <w:sz w:val="20"/>
                <w:szCs w:val="20"/>
                <w:lang w:eastAsia="en-GB"/>
              </w:rPr>
              <w:t>Regs</w:t>
            </w:r>
            <w:proofErr w:type="spellEnd"/>
          </w:p>
        </w:tc>
        <w:tc>
          <w:tcPr>
            <w:tcW w:w="151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tc>
      </w:tr>
      <w:tr w:rsidR="003A432F" w:rsidRPr="00A767DD" w:rsidTr="001C5B97">
        <w:trPr>
          <w:cantSplit/>
          <w:tblHeader/>
        </w:trPr>
        <w:tc>
          <w:tcPr>
            <w:tcW w:w="1505"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Investment Properties</w:t>
            </w:r>
          </w:p>
        </w:tc>
        <w:tc>
          <w:tcPr>
            <w:tcW w:w="2974"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Movements in fair value</w:t>
            </w:r>
          </w:p>
        </w:tc>
        <w:tc>
          <w:tcPr>
            <w:tcW w:w="195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 xml:space="preserve">Revenue provision to cover historical cost determined in accordance with the 2003 </w:t>
            </w:r>
            <w:proofErr w:type="spellStart"/>
            <w:r w:rsidRPr="001D7FB5">
              <w:rPr>
                <w:rFonts w:eastAsia="Times New Roman" w:cs="Arial"/>
                <w:color w:val="auto"/>
                <w:sz w:val="20"/>
                <w:szCs w:val="20"/>
                <w:lang w:eastAsia="en-GB"/>
              </w:rPr>
              <w:t>Regs</w:t>
            </w:r>
            <w:proofErr w:type="spellEnd"/>
          </w:p>
        </w:tc>
        <w:tc>
          <w:tcPr>
            <w:tcW w:w="151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p w:rsidR="003A432F" w:rsidRPr="001D7FB5" w:rsidRDefault="003A432F" w:rsidP="001C5B97">
            <w:pPr>
              <w:spacing w:before="60" w:after="60"/>
              <w:jc w:val="both"/>
              <w:rPr>
                <w:rFonts w:eastAsia="Times New Roman" w:cs="Arial"/>
                <w:color w:val="auto"/>
                <w:sz w:val="20"/>
                <w:szCs w:val="20"/>
                <w:lang w:eastAsia="en-GB"/>
              </w:rPr>
            </w:pPr>
          </w:p>
        </w:tc>
      </w:tr>
      <w:tr w:rsidR="003A432F" w:rsidRPr="00A767DD" w:rsidTr="001C5B97">
        <w:trPr>
          <w:cantSplit/>
          <w:tblHeader/>
        </w:trPr>
        <w:tc>
          <w:tcPr>
            <w:tcW w:w="1505"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Revenue Expenditure Funded from Capital under Statute</w:t>
            </w:r>
          </w:p>
        </w:tc>
        <w:tc>
          <w:tcPr>
            <w:tcW w:w="2974"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 xml:space="preserve">Expenditure incurred in </w:t>
            </w:r>
            <w:r>
              <w:rPr>
                <w:rFonts w:eastAsia="Times New Roman" w:cs="Arial"/>
                <w:color w:val="auto"/>
                <w:sz w:val="20"/>
                <w:szCs w:val="20"/>
                <w:lang w:eastAsia="en-GB"/>
              </w:rPr>
              <w:t>year</w:t>
            </w:r>
          </w:p>
        </w:tc>
        <w:tc>
          <w:tcPr>
            <w:tcW w:w="195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 xml:space="preserve">Revenue provision to cover historical cost determined in accordance with the 2003 </w:t>
            </w:r>
            <w:proofErr w:type="spellStart"/>
            <w:r w:rsidRPr="001D7FB5">
              <w:rPr>
                <w:rFonts w:eastAsia="Times New Roman" w:cs="Arial"/>
                <w:color w:val="auto"/>
                <w:sz w:val="20"/>
                <w:szCs w:val="20"/>
                <w:lang w:eastAsia="en-GB"/>
              </w:rPr>
              <w:t>Regs</w:t>
            </w:r>
            <w:proofErr w:type="spellEnd"/>
          </w:p>
        </w:tc>
        <w:tc>
          <w:tcPr>
            <w:tcW w:w="151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tc>
      </w:tr>
      <w:tr w:rsidR="003A432F" w:rsidRPr="00A767DD" w:rsidTr="001C5B97">
        <w:trPr>
          <w:cantSplit/>
          <w:tblHeader/>
        </w:trPr>
        <w:tc>
          <w:tcPr>
            <w:tcW w:w="1505" w:type="dxa"/>
          </w:tcPr>
          <w:p w:rsidR="003A432F" w:rsidRPr="001D7FB5" w:rsidRDefault="003A432F" w:rsidP="001C5B97">
            <w:pPr>
              <w:spacing w:before="60" w:after="60"/>
              <w:jc w:val="both"/>
              <w:rPr>
                <w:rFonts w:eastAsia="Times New Roman" w:cs="Arial"/>
                <w:color w:val="auto"/>
                <w:sz w:val="20"/>
                <w:szCs w:val="20"/>
                <w:lang w:eastAsia="en-GB"/>
              </w:rPr>
            </w:pPr>
            <w:r>
              <w:rPr>
                <w:rFonts w:eastAsia="Times New Roman" w:cs="Arial"/>
                <w:color w:val="auto"/>
                <w:sz w:val="20"/>
                <w:szCs w:val="20"/>
                <w:lang w:eastAsia="en-GB"/>
              </w:rPr>
              <w:t>Deferred Income on PFI contract</w:t>
            </w:r>
          </w:p>
        </w:tc>
        <w:tc>
          <w:tcPr>
            <w:tcW w:w="2974" w:type="dxa"/>
          </w:tcPr>
          <w:p w:rsidR="003A432F" w:rsidRPr="001D7FB5" w:rsidRDefault="003A432F" w:rsidP="001C5B97">
            <w:pPr>
              <w:spacing w:before="60" w:after="60"/>
              <w:jc w:val="both"/>
              <w:rPr>
                <w:rFonts w:eastAsia="Times New Roman" w:cs="Arial"/>
                <w:color w:val="auto"/>
                <w:sz w:val="20"/>
                <w:szCs w:val="20"/>
                <w:lang w:eastAsia="en-GB"/>
              </w:rPr>
            </w:pPr>
            <w:r>
              <w:rPr>
                <w:rFonts w:eastAsia="Times New Roman" w:cs="Arial"/>
                <w:color w:val="auto"/>
                <w:sz w:val="20"/>
                <w:szCs w:val="20"/>
                <w:lang w:eastAsia="en-GB"/>
              </w:rPr>
              <w:t>Third party Income in Energy From Waste Plant</w:t>
            </w:r>
          </w:p>
        </w:tc>
        <w:tc>
          <w:tcPr>
            <w:tcW w:w="1953" w:type="dxa"/>
          </w:tcPr>
          <w:p w:rsidR="003A432F" w:rsidRPr="001D7FB5" w:rsidRDefault="003A432F" w:rsidP="001C5B97">
            <w:pPr>
              <w:spacing w:before="60" w:after="60"/>
              <w:rPr>
                <w:rFonts w:eastAsia="Times New Roman" w:cs="Arial"/>
                <w:color w:val="auto"/>
                <w:sz w:val="20"/>
                <w:szCs w:val="20"/>
                <w:lang w:eastAsia="en-GB"/>
              </w:rPr>
            </w:pPr>
            <w:r>
              <w:rPr>
                <w:rFonts w:eastAsia="Times New Roman" w:cs="Arial"/>
                <w:color w:val="auto"/>
                <w:sz w:val="20"/>
                <w:szCs w:val="20"/>
                <w:lang w:eastAsia="en-GB"/>
              </w:rPr>
              <w:t>Non cash transaction</w:t>
            </w:r>
          </w:p>
        </w:tc>
        <w:tc>
          <w:tcPr>
            <w:tcW w:w="1513" w:type="dxa"/>
          </w:tcPr>
          <w:p w:rsidR="003A432F" w:rsidRPr="001D7FB5" w:rsidRDefault="003A432F" w:rsidP="001C5B97">
            <w:pPr>
              <w:spacing w:before="60" w:after="60"/>
              <w:jc w:val="both"/>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tc>
      </w:tr>
      <w:tr w:rsidR="003A432F" w:rsidRPr="00A767DD" w:rsidTr="001C5B97">
        <w:trPr>
          <w:cantSplit/>
          <w:tblHeader/>
        </w:trPr>
        <w:tc>
          <w:tcPr>
            <w:tcW w:w="1505" w:type="dxa"/>
          </w:tcPr>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t>Capital Grants and Contributions</w:t>
            </w:r>
          </w:p>
        </w:tc>
        <w:tc>
          <w:tcPr>
            <w:tcW w:w="2974" w:type="dxa"/>
          </w:tcPr>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t xml:space="preserve">Grants that became unconditional in </w:t>
            </w:r>
            <w:r>
              <w:rPr>
                <w:rFonts w:eastAsia="Times New Roman" w:cs="Arial"/>
                <w:color w:val="auto"/>
                <w:sz w:val="20"/>
                <w:szCs w:val="20"/>
                <w:lang w:eastAsia="en-GB"/>
              </w:rPr>
              <w:t>year</w:t>
            </w:r>
            <w:r w:rsidRPr="0041581C">
              <w:rPr>
                <w:rFonts w:eastAsia="Times New Roman" w:cs="Arial"/>
                <w:color w:val="auto"/>
                <w:sz w:val="20"/>
                <w:szCs w:val="20"/>
                <w:lang w:eastAsia="en-GB"/>
              </w:rPr>
              <w:t xml:space="preserve"> or were received in </w:t>
            </w:r>
            <w:r>
              <w:rPr>
                <w:rFonts w:eastAsia="Times New Roman" w:cs="Arial"/>
                <w:color w:val="auto"/>
                <w:sz w:val="20"/>
                <w:szCs w:val="20"/>
                <w:lang w:eastAsia="en-GB"/>
              </w:rPr>
              <w:t>year</w:t>
            </w:r>
            <w:r w:rsidRPr="0041581C">
              <w:rPr>
                <w:rFonts w:eastAsia="Times New Roman" w:cs="Arial"/>
                <w:color w:val="auto"/>
                <w:sz w:val="20"/>
                <w:szCs w:val="20"/>
                <w:lang w:eastAsia="en-GB"/>
              </w:rPr>
              <w:t xml:space="preserve"> without conditions</w:t>
            </w:r>
          </w:p>
        </w:tc>
        <w:tc>
          <w:tcPr>
            <w:tcW w:w="1953" w:type="dxa"/>
          </w:tcPr>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t>No credit</w:t>
            </w:r>
          </w:p>
        </w:tc>
        <w:tc>
          <w:tcPr>
            <w:tcW w:w="1513" w:type="dxa"/>
          </w:tcPr>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t>Capital Grants Unapplied Reserve (amounts unapplied at 31 March)</w:t>
            </w:r>
          </w:p>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t>Capital Adjustment Account (other amounts)</w:t>
            </w:r>
          </w:p>
        </w:tc>
      </w:tr>
      <w:tr w:rsidR="003A432F" w:rsidRPr="00A767DD" w:rsidTr="001C5B97">
        <w:trPr>
          <w:cantSplit/>
          <w:tblHeader/>
        </w:trPr>
        <w:tc>
          <w:tcPr>
            <w:tcW w:w="1505" w:type="dxa"/>
          </w:tcPr>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lastRenderedPageBreak/>
              <w:t>Non-Current Asset Disposals</w:t>
            </w:r>
          </w:p>
        </w:tc>
        <w:tc>
          <w:tcPr>
            <w:tcW w:w="2974" w:type="dxa"/>
          </w:tcPr>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t>Gain or loss based on sale proceeds less carrying amount of asset (net of costs of disposal)</w:t>
            </w:r>
          </w:p>
        </w:tc>
        <w:tc>
          <w:tcPr>
            <w:tcW w:w="1953" w:type="dxa"/>
          </w:tcPr>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t>No charge or credit</w:t>
            </w:r>
          </w:p>
        </w:tc>
        <w:tc>
          <w:tcPr>
            <w:tcW w:w="1513" w:type="dxa"/>
          </w:tcPr>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t>Capital Adjustment Account (carrying amount)</w:t>
            </w:r>
          </w:p>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t>Capital Receipts Reserve (sale proceeds and costs of disposal)</w:t>
            </w:r>
          </w:p>
          <w:p w:rsidR="003A432F" w:rsidRPr="0041581C" w:rsidRDefault="003A432F" w:rsidP="001C5B97">
            <w:pPr>
              <w:spacing w:before="60" w:after="60"/>
              <w:jc w:val="both"/>
              <w:rPr>
                <w:rFonts w:eastAsia="Times New Roman" w:cs="Arial"/>
                <w:color w:val="auto"/>
                <w:sz w:val="20"/>
                <w:szCs w:val="20"/>
                <w:lang w:eastAsia="en-GB"/>
              </w:rPr>
            </w:pPr>
            <w:r w:rsidRPr="0041581C">
              <w:rPr>
                <w:rFonts w:eastAsia="Times New Roman" w:cs="Arial"/>
                <w:color w:val="auto"/>
                <w:sz w:val="20"/>
                <w:szCs w:val="20"/>
                <w:lang w:eastAsia="en-GB"/>
              </w:rPr>
              <w:t>Deferred Capital Receipts Reserve (where sale proceeds have yet to be received)</w:t>
            </w:r>
          </w:p>
        </w:tc>
      </w:tr>
      <w:tr w:rsidR="003A432F" w:rsidRPr="00A767DD" w:rsidTr="001C5B97">
        <w:trPr>
          <w:cantSplit/>
          <w:tblHeader/>
        </w:trPr>
        <w:tc>
          <w:tcPr>
            <w:tcW w:w="1505" w:type="dxa"/>
          </w:tcPr>
          <w:p w:rsidR="003A432F" w:rsidRPr="005E731F" w:rsidRDefault="003A432F" w:rsidP="001C5B97">
            <w:pPr>
              <w:spacing w:before="60" w:after="60"/>
              <w:jc w:val="both"/>
              <w:rPr>
                <w:rFonts w:eastAsia="Times New Roman" w:cs="Arial"/>
                <w:color w:val="auto"/>
                <w:sz w:val="20"/>
                <w:szCs w:val="20"/>
                <w:lang w:eastAsia="en-GB"/>
              </w:rPr>
            </w:pPr>
            <w:r w:rsidRPr="005E731F">
              <w:rPr>
                <w:rFonts w:eastAsia="Times New Roman" w:cs="Arial"/>
                <w:color w:val="auto"/>
                <w:sz w:val="20"/>
                <w:szCs w:val="20"/>
                <w:lang w:eastAsia="en-GB"/>
              </w:rPr>
              <w:t>Pensions Costs</w:t>
            </w:r>
          </w:p>
        </w:tc>
        <w:tc>
          <w:tcPr>
            <w:tcW w:w="2974" w:type="dxa"/>
          </w:tcPr>
          <w:p w:rsidR="003A432F" w:rsidRPr="005E731F" w:rsidRDefault="003A432F" w:rsidP="005B3026">
            <w:pPr>
              <w:spacing w:before="60" w:after="60"/>
              <w:jc w:val="both"/>
              <w:rPr>
                <w:rFonts w:eastAsia="Times New Roman" w:cs="Arial"/>
                <w:color w:val="auto"/>
                <w:sz w:val="20"/>
                <w:szCs w:val="20"/>
                <w:lang w:eastAsia="en-GB"/>
              </w:rPr>
            </w:pPr>
            <w:r w:rsidRPr="005E731F">
              <w:rPr>
                <w:rFonts w:eastAsia="Times New Roman" w:cs="Arial"/>
                <w:color w:val="auto"/>
                <w:sz w:val="20"/>
                <w:szCs w:val="20"/>
                <w:lang w:eastAsia="en-GB"/>
              </w:rPr>
              <w:t xml:space="preserve">Movements in pensions assets and liabilities </w:t>
            </w:r>
          </w:p>
        </w:tc>
        <w:tc>
          <w:tcPr>
            <w:tcW w:w="1953" w:type="dxa"/>
          </w:tcPr>
          <w:p w:rsidR="003A432F" w:rsidRPr="005E731F" w:rsidRDefault="003A432F" w:rsidP="001C5B97">
            <w:pPr>
              <w:spacing w:before="60" w:after="60"/>
              <w:jc w:val="both"/>
              <w:rPr>
                <w:rFonts w:eastAsia="Times New Roman" w:cs="Arial"/>
                <w:color w:val="auto"/>
                <w:sz w:val="20"/>
                <w:szCs w:val="20"/>
                <w:lang w:eastAsia="en-GB"/>
              </w:rPr>
            </w:pPr>
            <w:r w:rsidRPr="005E731F">
              <w:rPr>
                <w:rFonts w:eastAsia="Times New Roman" w:cs="Arial"/>
                <w:color w:val="auto"/>
                <w:sz w:val="20"/>
                <w:szCs w:val="20"/>
                <w:lang w:eastAsia="en-GB"/>
              </w:rPr>
              <w:t xml:space="preserve">Employer’s pensions contributions payable and direct payments made by the Council to pension funds for </w:t>
            </w:r>
            <w:r>
              <w:rPr>
                <w:rFonts w:eastAsia="Times New Roman" w:cs="Arial"/>
                <w:color w:val="auto"/>
                <w:sz w:val="20"/>
                <w:szCs w:val="20"/>
                <w:lang w:eastAsia="en-GB"/>
              </w:rPr>
              <w:t>year</w:t>
            </w:r>
          </w:p>
        </w:tc>
        <w:tc>
          <w:tcPr>
            <w:tcW w:w="1513" w:type="dxa"/>
          </w:tcPr>
          <w:p w:rsidR="003A432F" w:rsidRPr="005E731F" w:rsidRDefault="003A432F" w:rsidP="001C5B97">
            <w:pPr>
              <w:spacing w:before="60" w:after="60"/>
              <w:jc w:val="both"/>
              <w:rPr>
                <w:rFonts w:eastAsia="Times New Roman" w:cs="Arial"/>
                <w:color w:val="auto"/>
                <w:sz w:val="20"/>
                <w:szCs w:val="20"/>
                <w:lang w:eastAsia="en-GB"/>
              </w:rPr>
            </w:pPr>
            <w:r w:rsidRPr="005E731F">
              <w:rPr>
                <w:rFonts w:eastAsia="Times New Roman" w:cs="Arial"/>
                <w:color w:val="auto"/>
                <w:sz w:val="20"/>
                <w:szCs w:val="20"/>
                <w:lang w:eastAsia="en-GB"/>
              </w:rPr>
              <w:t>Pensions Reserve</w:t>
            </w:r>
          </w:p>
        </w:tc>
      </w:tr>
      <w:tr w:rsidR="003A432F" w:rsidRPr="00A767DD" w:rsidTr="001C5B97">
        <w:trPr>
          <w:cantSplit/>
          <w:tblHeader/>
        </w:trPr>
        <w:tc>
          <w:tcPr>
            <w:tcW w:w="1505" w:type="dxa"/>
          </w:tcPr>
          <w:p w:rsidR="003A432F" w:rsidRPr="005E731F" w:rsidRDefault="003A432F" w:rsidP="001C5B97">
            <w:pPr>
              <w:spacing w:before="60" w:after="60"/>
              <w:jc w:val="both"/>
              <w:rPr>
                <w:rFonts w:eastAsia="Times New Roman" w:cs="Arial"/>
                <w:color w:val="auto"/>
                <w:sz w:val="20"/>
                <w:szCs w:val="20"/>
                <w:lang w:eastAsia="en-GB"/>
              </w:rPr>
            </w:pPr>
            <w:r w:rsidRPr="005E731F">
              <w:rPr>
                <w:rFonts w:eastAsia="Times New Roman" w:cs="Arial"/>
                <w:color w:val="auto"/>
                <w:sz w:val="20"/>
                <w:szCs w:val="20"/>
                <w:lang w:eastAsia="en-GB"/>
              </w:rPr>
              <w:t>Council Tax</w:t>
            </w:r>
          </w:p>
        </w:tc>
        <w:tc>
          <w:tcPr>
            <w:tcW w:w="2974" w:type="dxa"/>
          </w:tcPr>
          <w:p w:rsidR="003A432F" w:rsidRPr="005E731F" w:rsidRDefault="003A432F" w:rsidP="001C5B97">
            <w:pPr>
              <w:spacing w:before="60" w:after="60"/>
              <w:jc w:val="both"/>
              <w:rPr>
                <w:rFonts w:eastAsia="Times New Roman" w:cs="Arial"/>
                <w:color w:val="auto"/>
                <w:sz w:val="20"/>
                <w:szCs w:val="20"/>
                <w:lang w:eastAsia="en-GB"/>
              </w:rPr>
            </w:pPr>
            <w:r w:rsidRPr="005E731F">
              <w:rPr>
                <w:rFonts w:eastAsia="Times New Roman" w:cs="Arial"/>
                <w:color w:val="auto"/>
                <w:sz w:val="20"/>
                <w:szCs w:val="20"/>
                <w:lang w:eastAsia="en-GB"/>
              </w:rPr>
              <w:t xml:space="preserve">Accrued income from </w:t>
            </w:r>
            <w:r>
              <w:rPr>
                <w:rFonts w:eastAsia="Times New Roman" w:cs="Arial"/>
                <w:color w:val="auto"/>
                <w:sz w:val="20"/>
                <w:szCs w:val="20"/>
                <w:lang w:eastAsia="en-GB"/>
              </w:rPr>
              <w:t xml:space="preserve">in year </w:t>
            </w:r>
            <w:r w:rsidRPr="005E731F">
              <w:rPr>
                <w:rFonts w:eastAsia="Times New Roman" w:cs="Arial"/>
                <w:color w:val="auto"/>
                <w:sz w:val="20"/>
                <w:szCs w:val="20"/>
                <w:lang w:eastAsia="en-GB"/>
              </w:rPr>
              <w:t xml:space="preserve"> bills</w:t>
            </w:r>
          </w:p>
        </w:tc>
        <w:tc>
          <w:tcPr>
            <w:tcW w:w="1953" w:type="dxa"/>
          </w:tcPr>
          <w:p w:rsidR="003A432F" w:rsidRPr="005E731F" w:rsidRDefault="003A432F" w:rsidP="001C5B97">
            <w:pPr>
              <w:spacing w:before="60" w:after="60"/>
              <w:rPr>
                <w:rFonts w:eastAsia="Times New Roman" w:cs="Arial"/>
                <w:color w:val="auto"/>
                <w:sz w:val="20"/>
                <w:szCs w:val="20"/>
                <w:lang w:eastAsia="en-GB"/>
              </w:rPr>
            </w:pPr>
            <w:r w:rsidRPr="005E731F">
              <w:rPr>
                <w:rFonts w:eastAsia="Times New Roman" w:cs="Arial"/>
                <w:color w:val="auto"/>
                <w:sz w:val="20"/>
                <w:szCs w:val="20"/>
                <w:lang w:eastAsia="en-GB"/>
              </w:rPr>
              <w:t xml:space="preserve">Demand on the Collection Fund for </w:t>
            </w:r>
            <w:r>
              <w:rPr>
                <w:rFonts w:eastAsia="Times New Roman" w:cs="Arial"/>
                <w:color w:val="auto"/>
                <w:sz w:val="20"/>
                <w:szCs w:val="20"/>
                <w:lang w:eastAsia="en-GB"/>
              </w:rPr>
              <w:t>the year</w:t>
            </w:r>
            <w:r w:rsidRPr="005E731F">
              <w:rPr>
                <w:rFonts w:eastAsia="Times New Roman" w:cs="Arial"/>
                <w:color w:val="auto"/>
                <w:sz w:val="20"/>
                <w:szCs w:val="20"/>
                <w:lang w:eastAsia="en-GB"/>
              </w:rPr>
              <w:t xml:space="preserve"> plus  recovery of estimated deficit/share for </w:t>
            </w:r>
            <w:r>
              <w:rPr>
                <w:rFonts w:eastAsia="Times New Roman" w:cs="Arial"/>
                <w:color w:val="auto"/>
                <w:sz w:val="20"/>
                <w:szCs w:val="20"/>
                <w:lang w:eastAsia="en-GB"/>
              </w:rPr>
              <w:t>prior year</w:t>
            </w:r>
          </w:p>
        </w:tc>
        <w:tc>
          <w:tcPr>
            <w:tcW w:w="1513" w:type="dxa"/>
          </w:tcPr>
          <w:p w:rsidR="003A432F" w:rsidRPr="005E731F" w:rsidRDefault="003A432F" w:rsidP="001C5B97">
            <w:pPr>
              <w:spacing w:before="60" w:after="60"/>
              <w:jc w:val="both"/>
              <w:rPr>
                <w:rFonts w:eastAsia="Times New Roman" w:cs="Arial"/>
                <w:color w:val="auto"/>
                <w:sz w:val="20"/>
                <w:szCs w:val="20"/>
                <w:lang w:eastAsia="en-GB"/>
              </w:rPr>
            </w:pPr>
            <w:r w:rsidRPr="005E731F">
              <w:rPr>
                <w:rFonts w:eastAsia="Times New Roman" w:cs="Arial"/>
                <w:color w:val="auto"/>
                <w:sz w:val="20"/>
                <w:szCs w:val="20"/>
                <w:lang w:eastAsia="en-GB"/>
              </w:rPr>
              <w:t>Collection Fund Adjustment Account</w:t>
            </w:r>
          </w:p>
        </w:tc>
      </w:tr>
      <w:tr w:rsidR="003A432F" w:rsidRPr="00A767DD" w:rsidTr="001C5B97">
        <w:trPr>
          <w:cantSplit/>
          <w:tblHeader/>
        </w:trPr>
        <w:tc>
          <w:tcPr>
            <w:tcW w:w="1505" w:type="dxa"/>
          </w:tcPr>
          <w:p w:rsidR="003A432F" w:rsidRPr="00814484" w:rsidRDefault="003A432F" w:rsidP="001C5B97">
            <w:pPr>
              <w:spacing w:before="60" w:after="60"/>
              <w:jc w:val="both"/>
              <w:rPr>
                <w:rFonts w:eastAsia="Times New Roman" w:cs="Arial"/>
                <w:color w:val="auto"/>
                <w:sz w:val="20"/>
                <w:szCs w:val="20"/>
                <w:lang w:eastAsia="en-GB"/>
              </w:rPr>
            </w:pPr>
            <w:r w:rsidRPr="00814484">
              <w:rPr>
                <w:rFonts w:eastAsia="Times New Roman" w:cs="Arial"/>
                <w:color w:val="auto"/>
                <w:sz w:val="20"/>
                <w:szCs w:val="20"/>
                <w:lang w:eastAsia="en-GB"/>
              </w:rPr>
              <w:t>Business Rates</w:t>
            </w:r>
          </w:p>
        </w:tc>
        <w:tc>
          <w:tcPr>
            <w:tcW w:w="2974" w:type="dxa"/>
          </w:tcPr>
          <w:p w:rsidR="003A432F" w:rsidRPr="00814484" w:rsidRDefault="003A432F" w:rsidP="001C5B97">
            <w:pPr>
              <w:spacing w:before="60" w:after="60"/>
              <w:jc w:val="both"/>
              <w:rPr>
                <w:rFonts w:eastAsia="Times New Roman" w:cs="Arial"/>
                <w:color w:val="auto"/>
                <w:sz w:val="20"/>
                <w:szCs w:val="20"/>
                <w:lang w:eastAsia="en-GB"/>
              </w:rPr>
            </w:pPr>
            <w:r w:rsidRPr="00814484">
              <w:rPr>
                <w:rFonts w:eastAsia="Times New Roman" w:cs="Arial"/>
                <w:color w:val="auto"/>
                <w:sz w:val="20"/>
                <w:szCs w:val="20"/>
                <w:lang w:eastAsia="en-GB"/>
              </w:rPr>
              <w:t xml:space="preserve">Accrued income from </w:t>
            </w:r>
            <w:r>
              <w:rPr>
                <w:rFonts w:eastAsia="Times New Roman" w:cs="Arial"/>
                <w:color w:val="auto"/>
                <w:sz w:val="20"/>
                <w:szCs w:val="20"/>
                <w:lang w:eastAsia="en-GB"/>
              </w:rPr>
              <w:t xml:space="preserve">in year </w:t>
            </w:r>
            <w:r w:rsidRPr="00814484">
              <w:rPr>
                <w:rFonts w:eastAsia="Times New Roman" w:cs="Arial"/>
                <w:color w:val="auto"/>
                <w:sz w:val="20"/>
                <w:szCs w:val="20"/>
                <w:lang w:eastAsia="en-GB"/>
              </w:rPr>
              <w:t xml:space="preserve"> bills</w:t>
            </w:r>
          </w:p>
        </w:tc>
        <w:tc>
          <w:tcPr>
            <w:tcW w:w="1953" w:type="dxa"/>
          </w:tcPr>
          <w:p w:rsidR="003A432F" w:rsidRPr="00814484" w:rsidRDefault="003A432F" w:rsidP="001C5B97">
            <w:pPr>
              <w:pStyle w:val="Default"/>
              <w:rPr>
                <w:rFonts w:ascii="Arial" w:hAnsi="Arial" w:cs="Arial"/>
                <w:color w:val="auto"/>
                <w:sz w:val="20"/>
                <w:szCs w:val="20"/>
              </w:rPr>
            </w:pPr>
            <w:r w:rsidRPr="00814484">
              <w:rPr>
                <w:rFonts w:ascii="Arial" w:hAnsi="Arial" w:cs="Arial"/>
                <w:color w:val="auto"/>
                <w:sz w:val="20"/>
                <w:szCs w:val="20"/>
              </w:rPr>
              <w:t xml:space="preserve">Budgeted income receivable from the Collection Fund for </w:t>
            </w:r>
            <w:r>
              <w:rPr>
                <w:rFonts w:ascii="Arial" w:hAnsi="Arial" w:cs="Arial"/>
                <w:color w:val="auto"/>
                <w:sz w:val="20"/>
                <w:szCs w:val="20"/>
              </w:rPr>
              <w:t>the year</w:t>
            </w:r>
            <w:r w:rsidRPr="00814484">
              <w:rPr>
                <w:rFonts w:ascii="Arial" w:hAnsi="Arial" w:cs="Arial"/>
                <w:color w:val="auto"/>
                <w:sz w:val="20"/>
                <w:szCs w:val="20"/>
              </w:rPr>
              <w:t xml:space="preserve"> plus recovery of est</w:t>
            </w:r>
            <w:r>
              <w:rPr>
                <w:rFonts w:ascii="Arial" w:hAnsi="Arial" w:cs="Arial"/>
                <w:color w:val="auto"/>
                <w:sz w:val="20"/>
                <w:szCs w:val="20"/>
              </w:rPr>
              <w:t>imated deficit/share for prior year</w:t>
            </w:r>
            <w:r w:rsidRPr="00814484">
              <w:rPr>
                <w:rFonts w:ascii="Arial" w:hAnsi="Arial" w:cs="Arial"/>
                <w:color w:val="auto"/>
                <w:sz w:val="20"/>
                <w:szCs w:val="20"/>
              </w:rPr>
              <w:t xml:space="preserve"> </w:t>
            </w:r>
          </w:p>
          <w:p w:rsidR="003A432F" w:rsidRPr="00814484" w:rsidRDefault="003A432F" w:rsidP="001C5B97">
            <w:pPr>
              <w:spacing w:before="60" w:after="60"/>
              <w:jc w:val="both"/>
              <w:rPr>
                <w:rFonts w:eastAsia="Times New Roman" w:cs="Arial"/>
                <w:color w:val="auto"/>
                <w:sz w:val="20"/>
                <w:szCs w:val="20"/>
                <w:lang w:eastAsia="en-GB"/>
              </w:rPr>
            </w:pPr>
          </w:p>
        </w:tc>
        <w:tc>
          <w:tcPr>
            <w:tcW w:w="1513" w:type="dxa"/>
          </w:tcPr>
          <w:p w:rsidR="003A432F" w:rsidRPr="00814484" w:rsidRDefault="003A432F" w:rsidP="001C5B97">
            <w:pPr>
              <w:spacing w:before="60" w:after="60"/>
              <w:jc w:val="both"/>
              <w:rPr>
                <w:rFonts w:eastAsia="Times New Roman" w:cs="Arial"/>
                <w:color w:val="auto"/>
                <w:sz w:val="20"/>
                <w:szCs w:val="20"/>
                <w:lang w:eastAsia="en-GB"/>
              </w:rPr>
            </w:pPr>
            <w:r w:rsidRPr="00814484">
              <w:rPr>
                <w:rFonts w:eastAsia="Times New Roman" w:cs="Arial"/>
                <w:color w:val="auto"/>
                <w:sz w:val="20"/>
                <w:szCs w:val="20"/>
                <w:lang w:eastAsia="en-GB"/>
              </w:rPr>
              <w:t>Collection Fund Adjustment Account</w:t>
            </w:r>
          </w:p>
        </w:tc>
      </w:tr>
      <w:tr w:rsidR="003A432F" w:rsidRPr="00A767DD" w:rsidTr="001C5B97">
        <w:trPr>
          <w:cantSplit/>
          <w:tblHeader/>
        </w:trPr>
        <w:tc>
          <w:tcPr>
            <w:tcW w:w="1505" w:type="dxa"/>
          </w:tcPr>
          <w:p w:rsidR="003A432F" w:rsidRPr="00814484" w:rsidRDefault="003A432F" w:rsidP="001C5B97">
            <w:pPr>
              <w:spacing w:before="60" w:after="60"/>
              <w:jc w:val="both"/>
              <w:rPr>
                <w:rFonts w:eastAsia="Times New Roman" w:cs="Arial"/>
                <w:color w:val="auto"/>
                <w:sz w:val="20"/>
                <w:szCs w:val="20"/>
                <w:lang w:eastAsia="en-GB"/>
              </w:rPr>
            </w:pPr>
            <w:r w:rsidRPr="00814484">
              <w:rPr>
                <w:rFonts w:eastAsia="Times New Roman" w:cs="Arial"/>
                <w:color w:val="auto"/>
                <w:sz w:val="20"/>
                <w:szCs w:val="20"/>
                <w:lang w:eastAsia="en-GB"/>
              </w:rPr>
              <w:t>Untaken Leave entitlements</w:t>
            </w:r>
          </w:p>
        </w:tc>
        <w:tc>
          <w:tcPr>
            <w:tcW w:w="2974" w:type="dxa"/>
          </w:tcPr>
          <w:p w:rsidR="003A432F" w:rsidRPr="00814484" w:rsidRDefault="003A432F" w:rsidP="001C5B97">
            <w:pPr>
              <w:spacing w:before="60" w:after="60"/>
              <w:jc w:val="both"/>
              <w:rPr>
                <w:rFonts w:eastAsia="Times New Roman" w:cs="Arial"/>
                <w:color w:val="auto"/>
                <w:sz w:val="20"/>
                <w:szCs w:val="20"/>
                <w:lang w:eastAsia="en-GB"/>
              </w:rPr>
            </w:pPr>
            <w:r w:rsidRPr="00814484">
              <w:rPr>
                <w:rFonts w:eastAsia="Times New Roman" w:cs="Arial"/>
                <w:color w:val="auto"/>
                <w:sz w:val="20"/>
                <w:szCs w:val="20"/>
                <w:lang w:eastAsia="en-GB"/>
              </w:rPr>
              <w:t>Projected cost of untaken leave entitlements at</w:t>
            </w:r>
            <w:r>
              <w:rPr>
                <w:rFonts w:eastAsia="Times New Roman" w:cs="Arial"/>
                <w:color w:val="auto"/>
                <w:sz w:val="20"/>
                <w:szCs w:val="20"/>
                <w:lang w:eastAsia="en-GB"/>
              </w:rPr>
              <w:t xml:space="preserve"> 31 March.</w:t>
            </w:r>
          </w:p>
        </w:tc>
        <w:tc>
          <w:tcPr>
            <w:tcW w:w="1953" w:type="dxa"/>
          </w:tcPr>
          <w:p w:rsidR="003A432F" w:rsidRPr="00814484" w:rsidRDefault="003A432F" w:rsidP="001C5B97">
            <w:pPr>
              <w:spacing w:before="60" w:after="60"/>
              <w:jc w:val="both"/>
              <w:rPr>
                <w:rFonts w:eastAsia="Times New Roman" w:cs="Arial"/>
                <w:color w:val="auto"/>
                <w:sz w:val="20"/>
                <w:szCs w:val="20"/>
                <w:lang w:eastAsia="en-GB"/>
              </w:rPr>
            </w:pPr>
            <w:r w:rsidRPr="00814484">
              <w:rPr>
                <w:rFonts w:eastAsia="Times New Roman" w:cs="Arial"/>
                <w:color w:val="auto"/>
                <w:sz w:val="20"/>
                <w:szCs w:val="20"/>
                <w:lang w:eastAsia="en-GB"/>
              </w:rPr>
              <w:t>No charge</w:t>
            </w:r>
          </w:p>
        </w:tc>
        <w:tc>
          <w:tcPr>
            <w:tcW w:w="1513" w:type="dxa"/>
          </w:tcPr>
          <w:p w:rsidR="003A432F" w:rsidRPr="00814484" w:rsidRDefault="003A432F" w:rsidP="001C5B97">
            <w:pPr>
              <w:spacing w:before="60" w:after="60"/>
              <w:jc w:val="both"/>
              <w:rPr>
                <w:rFonts w:eastAsia="Times New Roman" w:cs="Arial"/>
                <w:color w:val="auto"/>
                <w:sz w:val="20"/>
                <w:szCs w:val="20"/>
                <w:lang w:eastAsia="en-GB"/>
              </w:rPr>
            </w:pPr>
            <w:r w:rsidRPr="00814484">
              <w:rPr>
                <w:rFonts w:eastAsia="Times New Roman" w:cs="Arial"/>
                <w:color w:val="auto"/>
                <w:sz w:val="20"/>
                <w:szCs w:val="20"/>
                <w:lang w:eastAsia="en-GB"/>
              </w:rPr>
              <w:t>Accumulated Absences Adjustment Account</w:t>
            </w:r>
          </w:p>
        </w:tc>
      </w:tr>
    </w:tbl>
    <w:p w:rsidR="003A432F" w:rsidRPr="00A767DD" w:rsidRDefault="003A432F" w:rsidP="003A432F">
      <w:pPr>
        <w:pStyle w:val="Heading1"/>
        <w:spacing w:line="240" w:lineRule="atLeast"/>
        <w:ind w:left="567"/>
        <w:jc w:val="both"/>
        <w:rPr>
          <w:rFonts w:cs="Arial"/>
          <w:b/>
          <w:color w:val="auto"/>
          <w:sz w:val="20"/>
          <w:szCs w:val="20"/>
          <w:highlight w:val="yellow"/>
        </w:rPr>
      </w:pPr>
    </w:p>
    <w:p w:rsidR="003A432F" w:rsidRPr="005B3026" w:rsidRDefault="000A3927" w:rsidP="000A3927">
      <w:pPr>
        <w:pStyle w:val="Heading1"/>
        <w:spacing w:line="240" w:lineRule="atLeast"/>
        <w:jc w:val="both"/>
        <w:rPr>
          <w:rFonts w:cs="Arial"/>
          <w:b/>
          <w:color w:val="auto"/>
          <w:sz w:val="20"/>
          <w:szCs w:val="20"/>
        </w:rPr>
      </w:pPr>
      <w:r w:rsidRPr="005B3026">
        <w:rPr>
          <w:rFonts w:cs="Arial"/>
          <w:b/>
          <w:color w:val="auto"/>
          <w:sz w:val="20"/>
          <w:szCs w:val="20"/>
        </w:rPr>
        <w:t>41.5</w:t>
      </w:r>
      <w:r w:rsidRPr="005B3026">
        <w:rPr>
          <w:rFonts w:cs="Arial"/>
          <w:b/>
          <w:color w:val="auto"/>
          <w:sz w:val="20"/>
          <w:szCs w:val="20"/>
        </w:rPr>
        <w:tab/>
      </w:r>
      <w:r w:rsidR="003A432F" w:rsidRPr="005B3026">
        <w:rPr>
          <w:rFonts w:cs="Arial"/>
          <w:b/>
          <w:color w:val="auto"/>
          <w:sz w:val="20"/>
          <w:szCs w:val="20"/>
        </w:rPr>
        <w:t xml:space="preserve">Prior period Adjustments and Changes in Accounting Policies and Estimates </w:t>
      </w:r>
    </w:p>
    <w:p w:rsidR="003A432F" w:rsidRPr="005B3026" w:rsidRDefault="003A432F" w:rsidP="003A432F">
      <w:pPr>
        <w:autoSpaceDE w:val="0"/>
        <w:autoSpaceDN w:val="0"/>
        <w:ind w:left="567"/>
        <w:jc w:val="both"/>
        <w:rPr>
          <w:rFonts w:cs="Arial"/>
          <w:color w:val="auto"/>
          <w:sz w:val="20"/>
          <w:szCs w:val="20"/>
          <w:lang w:eastAsia="en-GB"/>
        </w:rPr>
      </w:pPr>
      <w:r w:rsidRPr="005B3026">
        <w:rPr>
          <w:rFonts w:cs="Arial"/>
          <w:color w:val="auto"/>
          <w:sz w:val="20"/>
          <w:szCs w:val="20"/>
          <w:lang w:eastAsia="en-GB"/>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rsidR="003A432F" w:rsidRPr="00891877" w:rsidRDefault="003A432F" w:rsidP="003A432F">
      <w:pPr>
        <w:autoSpaceDE w:val="0"/>
        <w:autoSpaceDN w:val="0"/>
        <w:ind w:left="567"/>
        <w:jc w:val="both"/>
        <w:rPr>
          <w:rFonts w:cs="Arial"/>
          <w:color w:val="auto"/>
          <w:sz w:val="20"/>
          <w:szCs w:val="20"/>
          <w:lang w:eastAsia="en-GB"/>
        </w:rPr>
      </w:pPr>
      <w:r w:rsidRPr="005B3026">
        <w:rPr>
          <w:rFonts w:cs="Arial"/>
          <w:color w:val="auto"/>
          <w:sz w:val="20"/>
          <w:szCs w:val="20"/>
          <w:lang w:eastAsia="en-GB"/>
        </w:rPr>
        <w:lastRenderedPageBreak/>
        <w:t>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material, it is applied retrospectively (unless stated otherwise) by adjusting opening balances and comparative amounts for the prior period as if the new policy had always been applied.</w:t>
      </w:r>
      <w:r w:rsidRPr="00891877">
        <w:rPr>
          <w:rFonts w:cs="Arial"/>
          <w:color w:val="auto"/>
          <w:sz w:val="20"/>
          <w:szCs w:val="20"/>
          <w:lang w:eastAsia="en-GB"/>
        </w:rPr>
        <w:t xml:space="preserve"> </w:t>
      </w:r>
    </w:p>
    <w:p w:rsidR="003A432F" w:rsidRPr="00891877" w:rsidRDefault="000A3927" w:rsidP="000A3927">
      <w:pPr>
        <w:pStyle w:val="Heading1"/>
        <w:spacing w:line="240" w:lineRule="atLeast"/>
        <w:jc w:val="both"/>
        <w:rPr>
          <w:rFonts w:cs="Arial"/>
          <w:b/>
          <w:color w:val="auto"/>
          <w:sz w:val="20"/>
          <w:szCs w:val="20"/>
          <w:lang w:eastAsia="en-GB"/>
        </w:rPr>
      </w:pPr>
      <w:r>
        <w:rPr>
          <w:rFonts w:eastAsia="Arial" w:cs="Arial"/>
          <w:b/>
          <w:bCs w:val="0"/>
          <w:color w:val="auto"/>
          <w:sz w:val="20"/>
          <w:szCs w:val="20"/>
          <w:lang w:eastAsia="en-GB"/>
        </w:rPr>
        <w:t>14.6</w:t>
      </w:r>
      <w:r>
        <w:rPr>
          <w:rFonts w:eastAsia="Arial" w:cs="Arial"/>
          <w:b/>
          <w:bCs w:val="0"/>
          <w:color w:val="auto"/>
          <w:sz w:val="20"/>
          <w:szCs w:val="20"/>
          <w:lang w:eastAsia="en-GB"/>
        </w:rPr>
        <w:tab/>
      </w:r>
      <w:r w:rsidR="003A432F" w:rsidRPr="00891877">
        <w:rPr>
          <w:rFonts w:cs="Arial"/>
          <w:b/>
          <w:color w:val="auto"/>
          <w:sz w:val="20"/>
          <w:szCs w:val="20"/>
          <w:lang w:eastAsia="en-GB"/>
        </w:rPr>
        <w:t>Post-Employment Benefits</w:t>
      </w:r>
    </w:p>
    <w:p w:rsidR="003A432F" w:rsidRPr="00891877" w:rsidRDefault="003A432F" w:rsidP="003A432F">
      <w:pPr>
        <w:spacing w:after="0" w:line="240" w:lineRule="auto"/>
        <w:jc w:val="both"/>
        <w:rPr>
          <w:rFonts w:cs="Arial"/>
          <w:color w:val="auto"/>
          <w:sz w:val="20"/>
          <w:szCs w:val="20"/>
          <w:lang w:eastAsia="en-GB"/>
        </w:rPr>
      </w:pPr>
    </w:p>
    <w:p w:rsidR="003A432F" w:rsidRPr="00891877" w:rsidRDefault="003A432F" w:rsidP="003A432F">
      <w:pPr>
        <w:autoSpaceDE w:val="0"/>
        <w:autoSpaceDN w:val="0"/>
        <w:adjustRightInd w:val="0"/>
        <w:spacing w:after="0"/>
        <w:ind w:left="567"/>
        <w:jc w:val="both"/>
        <w:rPr>
          <w:rFonts w:cs="Arial"/>
          <w:color w:val="auto"/>
          <w:sz w:val="20"/>
          <w:szCs w:val="20"/>
          <w:lang w:eastAsia="en-GB"/>
        </w:rPr>
      </w:pPr>
      <w:r w:rsidRPr="00891877">
        <w:rPr>
          <w:rFonts w:cs="Arial"/>
          <w:color w:val="auto"/>
          <w:sz w:val="20"/>
          <w:szCs w:val="20"/>
          <w:lang w:eastAsia="en-GB"/>
        </w:rPr>
        <w:t xml:space="preserve">Employees of the Council are members of three separate pension schemes: </w:t>
      </w:r>
      <w:r w:rsidRPr="00891877">
        <w:rPr>
          <w:rFonts w:cs="Arial"/>
          <w:color w:val="auto"/>
          <w:sz w:val="20"/>
          <w:szCs w:val="20"/>
          <w:lang w:eastAsia="en-GB"/>
        </w:rPr>
        <w:br/>
      </w:r>
    </w:p>
    <w:p w:rsidR="003A432F" w:rsidRPr="00891877" w:rsidRDefault="003A432F" w:rsidP="003A432F">
      <w:pPr>
        <w:numPr>
          <w:ilvl w:val="0"/>
          <w:numId w:val="14"/>
        </w:numPr>
        <w:autoSpaceDE w:val="0"/>
        <w:autoSpaceDN w:val="0"/>
        <w:adjustRightInd w:val="0"/>
        <w:spacing w:after="0"/>
        <w:ind w:left="567" w:firstLine="0"/>
        <w:rPr>
          <w:rFonts w:cs="Arial"/>
          <w:color w:val="auto"/>
          <w:sz w:val="20"/>
          <w:szCs w:val="20"/>
          <w:lang w:eastAsia="en-GB"/>
        </w:rPr>
      </w:pPr>
      <w:r w:rsidRPr="00891877">
        <w:rPr>
          <w:rFonts w:cs="Arial"/>
          <w:color w:val="auto"/>
          <w:sz w:val="20"/>
          <w:szCs w:val="20"/>
          <w:lang w:eastAsia="en-GB"/>
        </w:rPr>
        <w:t>The Teachers' Pension Scheme, administered by Capita Teachers' Pensions on behalf of the Department for Education (</w:t>
      </w:r>
      <w:proofErr w:type="spellStart"/>
      <w:r w:rsidRPr="00891877">
        <w:rPr>
          <w:rFonts w:cs="Arial"/>
          <w:color w:val="auto"/>
          <w:sz w:val="20"/>
          <w:szCs w:val="20"/>
          <w:lang w:eastAsia="en-GB"/>
        </w:rPr>
        <w:t>DfE</w:t>
      </w:r>
      <w:proofErr w:type="spellEnd"/>
      <w:r w:rsidRPr="00891877">
        <w:rPr>
          <w:rFonts w:cs="Arial"/>
          <w:color w:val="auto"/>
          <w:sz w:val="20"/>
          <w:szCs w:val="20"/>
          <w:lang w:eastAsia="en-GB"/>
        </w:rPr>
        <w:t>).</w:t>
      </w:r>
      <w:r w:rsidRPr="00891877">
        <w:rPr>
          <w:rFonts w:cs="Arial"/>
          <w:color w:val="auto"/>
          <w:sz w:val="20"/>
          <w:szCs w:val="20"/>
          <w:lang w:eastAsia="en-GB"/>
        </w:rPr>
        <w:br/>
      </w:r>
    </w:p>
    <w:p w:rsidR="003A432F" w:rsidRPr="00891877" w:rsidRDefault="003A432F" w:rsidP="003A432F">
      <w:pPr>
        <w:numPr>
          <w:ilvl w:val="0"/>
          <w:numId w:val="14"/>
        </w:numPr>
        <w:autoSpaceDE w:val="0"/>
        <w:autoSpaceDN w:val="0"/>
        <w:adjustRightInd w:val="0"/>
        <w:spacing w:after="0"/>
        <w:ind w:left="567" w:firstLine="0"/>
        <w:jc w:val="both"/>
        <w:rPr>
          <w:rFonts w:cs="Arial"/>
          <w:color w:val="auto"/>
          <w:sz w:val="20"/>
          <w:szCs w:val="20"/>
          <w:lang w:eastAsia="en-GB"/>
        </w:rPr>
      </w:pPr>
      <w:r w:rsidRPr="00891877">
        <w:rPr>
          <w:rFonts w:cs="Arial"/>
          <w:color w:val="auto"/>
          <w:sz w:val="20"/>
          <w:szCs w:val="20"/>
          <w:lang w:eastAsia="en-GB"/>
        </w:rPr>
        <w:t>The NHS Pension Scheme, administered by NHS Pensions.</w:t>
      </w:r>
    </w:p>
    <w:p w:rsidR="003A432F" w:rsidRPr="00A767DD" w:rsidRDefault="003A432F" w:rsidP="003A432F">
      <w:pPr>
        <w:autoSpaceDE w:val="0"/>
        <w:autoSpaceDN w:val="0"/>
        <w:adjustRightInd w:val="0"/>
        <w:spacing w:after="0"/>
        <w:ind w:left="567"/>
        <w:jc w:val="both"/>
        <w:rPr>
          <w:rFonts w:cs="Arial"/>
          <w:color w:val="auto"/>
          <w:sz w:val="20"/>
          <w:szCs w:val="20"/>
          <w:highlight w:val="yellow"/>
          <w:lang w:eastAsia="en-GB"/>
        </w:rPr>
      </w:pPr>
    </w:p>
    <w:p w:rsidR="003A432F" w:rsidRPr="00891877" w:rsidRDefault="003A432F" w:rsidP="003A432F">
      <w:pPr>
        <w:numPr>
          <w:ilvl w:val="0"/>
          <w:numId w:val="14"/>
        </w:numPr>
        <w:autoSpaceDE w:val="0"/>
        <w:autoSpaceDN w:val="0"/>
        <w:adjustRightInd w:val="0"/>
        <w:spacing w:after="0"/>
        <w:ind w:left="567" w:firstLine="0"/>
        <w:jc w:val="both"/>
        <w:rPr>
          <w:rFonts w:cs="Arial"/>
          <w:color w:val="auto"/>
          <w:sz w:val="20"/>
          <w:szCs w:val="20"/>
          <w:lang w:eastAsia="en-GB"/>
        </w:rPr>
      </w:pPr>
      <w:r w:rsidRPr="00891877">
        <w:rPr>
          <w:rFonts w:cs="Arial"/>
          <w:color w:val="auto"/>
          <w:sz w:val="20"/>
          <w:szCs w:val="20"/>
          <w:lang w:eastAsia="en-GB"/>
        </w:rPr>
        <w:t>The Local Government Pensions Scheme, administered by Devon County Council.</w:t>
      </w:r>
    </w:p>
    <w:p w:rsidR="003A432F" w:rsidRDefault="003A432F" w:rsidP="003A432F">
      <w:pPr>
        <w:autoSpaceDE w:val="0"/>
        <w:autoSpaceDN w:val="0"/>
        <w:ind w:left="567"/>
        <w:jc w:val="both"/>
        <w:rPr>
          <w:rFonts w:cs="Arial"/>
          <w:color w:val="auto"/>
          <w:sz w:val="20"/>
          <w:szCs w:val="20"/>
          <w:lang w:eastAsia="en-GB"/>
        </w:rPr>
      </w:pPr>
    </w:p>
    <w:p w:rsidR="003A432F" w:rsidRPr="00891877" w:rsidRDefault="003A432F" w:rsidP="003A432F">
      <w:pPr>
        <w:autoSpaceDE w:val="0"/>
        <w:autoSpaceDN w:val="0"/>
        <w:ind w:left="567"/>
        <w:jc w:val="both"/>
        <w:rPr>
          <w:rFonts w:cs="Arial"/>
          <w:color w:val="auto"/>
          <w:sz w:val="20"/>
          <w:szCs w:val="20"/>
          <w:lang w:eastAsia="en-GB"/>
        </w:rPr>
      </w:pPr>
      <w:r w:rsidRPr="00891877">
        <w:rPr>
          <w:rFonts w:cs="Arial"/>
          <w:color w:val="auto"/>
          <w:sz w:val="20"/>
          <w:szCs w:val="20"/>
          <w:lang w:eastAsia="en-GB"/>
        </w:rPr>
        <w:t>All schemes provide defined benefits to members (retirement lump sums and pensions), earned as employees worked for the Council.</w:t>
      </w:r>
    </w:p>
    <w:p w:rsidR="003A432F" w:rsidRPr="00891877" w:rsidRDefault="003A432F" w:rsidP="003A432F">
      <w:pPr>
        <w:autoSpaceDE w:val="0"/>
        <w:autoSpaceDN w:val="0"/>
        <w:ind w:left="567"/>
        <w:jc w:val="both"/>
        <w:rPr>
          <w:rFonts w:cs="Arial"/>
          <w:color w:val="auto"/>
          <w:sz w:val="20"/>
          <w:szCs w:val="20"/>
          <w:lang w:eastAsia="en-GB"/>
        </w:rPr>
      </w:pPr>
      <w:r w:rsidRPr="00891877">
        <w:rPr>
          <w:rFonts w:cs="Arial"/>
          <w:color w:val="auto"/>
          <w:sz w:val="20"/>
          <w:szCs w:val="20"/>
          <w:lang w:eastAsia="en-GB"/>
        </w:rPr>
        <w:t>The Teacher’s and NHS Scheme provides defined benefits to members, however, the arrangements for the teachers' scheme and NHS pensions mean that liabilities for these benefits cannot ordinarily be identified specifically to the Council. The scheme is therefore accounted for as if it was a defined contribution scheme and no liability for future payments of benefits is recognised in the Balance Sheet. The relevant lines in the Comprehensive Income and Expenditure account are charged with the employer’s contributions in year.</w:t>
      </w:r>
    </w:p>
    <w:p w:rsidR="003A432F" w:rsidRPr="00891877" w:rsidRDefault="003A432F" w:rsidP="003A432F">
      <w:pPr>
        <w:spacing w:after="0" w:line="240" w:lineRule="auto"/>
        <w:ind w:firstLine="567"/>
        <w:jc w:val="both"/>
        <w:rPr>
          <w:rFonts w:cs="Arial"/>
          <w:color w:val="auto"/>
          <w:sz w:val="20"/>
          <w:szCs w:val="20"/>
          <w:lang w:eastAsia="en-GB"/>
        </w:rPr>
      </w:pPr>
      <w:r w:rsidRPr="00891877">
        <w:rPr>
          <w:rFonts w:cs="Arial"/>
          <w:color w:val="auto"/>
          <w:sz w:val="20"/>
          <w:szCs w:val="20"/>
          <w:lang w:eastAsia="en-GB"/>
        </w:rPr>
        <w:t>The Local Government Pension Scheme is accounted for as a defined benefits scheme:</w:t>
      </w:r>
    </w:p>
    <w:p w:rsidR="003A432F" w:rsidRPr="00891877" w:rsidRDefault="003A432F" w:rsidP="003A432F">
      <w:pPr>
        <w:spacing w:after="0" w:line="240" w:lineRule="auto"/>
        <w:jc w:val="both"/>
        <w:rPr>
          <w:rFonts w:cs="Arial"/>
          <w:color w:val="auto"/>
          <w:sz w:val="20"/>
          <w:szCs w:val="20"/>
          <w:lang w:eastAsia="en-GB"/>
        </w:rPr>
      </w:pPr>
    </w:p>
    <w:p w:rsidR="003A432F" w:rsidRPr="00891877" w:rsidRDefault="003A432F" w:rsidP="003A432F">
      <w:pPr>
        <w:numPr>
          <w:ilvl w:val="0"/>
          <w:numId w:val="26"/>
        </w:numPr>
        <w:autoSpaceDE w:val="0"/>
        <w:autoSpaceDN w:val="0"/>
        <w:adjustRightInd w:val="0"/>
        <w:spacing w:after="0" w:line="240" w:lineRule="auto"/>
        <w:ind w:left="709" w:hanging="142"/>
        <w:jc w:val="both"/>
        <w:rPr>
          <w:rFonts w:cs="Arial"/>
          <w:color w:val="auto"/>
          <w:sz w:val="20"/>
          <w:szCs w:val="20"/>
          <w:lang w:eastAsia="en-GB"/>
        </w:rPr>
      </w:pPr>
      <w:r w:rsidRPr="00891877">
        <w:rPr>
          <w:rFonts w:cs="Arial"/>
          <w:color w:val="auto"/>
          <w:sz w:val="20"/>
          <w:szCs w:val="20"/>
          <w:lang w:eastAsia="en-GB"/>
        </w:rPr>
        <w:t xml:space="preserve">the liabilities of the Devon County Council Pension Fund attributable to the Council are included in the Balance Sheet on an actuarial basis using the projected unit method- i.e. an assessment of the future payments that will be made in relation to retirement benefits earned to-date by employees, based on assumptions about mortality rates, employee turnover rates, </w:t>
      </w:r>
      <w:proofErr w:type="spellStart"/>
      <w:r w:rsidRPr="00891877">
        <w:rPr>
          <w:rFonts w:cs="Arial"/>
          <w:color w:val="auto"/>
          <w:sz w:val="20"/>
          <w:szCs w:val="20"/>
          <w:lang w:eastAsia="en-GB"/>
        </w:rPr>
        <w:t>etc</w:t>
      </w:r>
      <w:proofErr w:type="spellEnd"/>
      <w:r w:rsidRPr="00891877">
        <w:rPr>
          <w:rFonts w:cs="Arial"/>
          <w:color w:val="auto"/>
          <w:sz w:val="20"/>
          <w:szCs w:val="20"/>
          <w:lang w:eastAsia="en-GB"/>
        </w:rPr>
        <w:t xml:space="preserve">, and projections of projected earnings for current employees. </w:t>
      </w:r>
    </w:p>
    <w:p w:rsidR="003A432F" w:rsidRPr="00891877" w:rsidRDefault="003A432F" w:rsidP="003A432F">
      <w:pPr>
        <w:autoSpaceDE w:val="0"/>
        <w:autoSpaceDN w:val="0"/>
        <w:adjustRightInd w:val="0"/>
        <w:spacing w:after="0" w:line="240" w:lineRule="auto"/>
        <w:ind w:left="709"/>
        <w:jc w:val="both"/>
        <w:rPr>
          <w:rFonts w:cs="Arial"/>
          <w:color w:val="auto"/>
          <w:sz w:val="20"/>
          <w:szCs w:val="20"/>
          <w:lang w:eastAsia="en-GB"/>
        </w:rPr>
      </w:pPr>
    </w:p>
    <w:p w:rsidR="003A432F" w:rsidRPr="00891877" w:rsidRDefault="003A432F" w:rsidP="003A432F">
      <w:pPr>
        <w:numPr>
          <w:ilvl w:val="0"/>
          <w:numId w:val="26"/>
        </w:numPr>
        <w:autoSpaceDE w:val="0"/>
        <w:autoSpaceDN w:val="0"/>
        <w:adjustRightInd w:val="0"/>
        <w:spacing w:after="0" w:line="240" w:lineRule="auto"/>
        <w:ind w:left="709" w:hanging="142"/>
        <w:jc w:val="both"/>
        <w:rPr>
          <w:rFonts w:cs="Arial"/>
          <w:color w:val="auto"/>
          <w:sz w:val="20"/>
          <w:szCs w:val="20"/>
          <w:lang w:eastAsia="en-GB"/>
        </w:rPr>
      </w:pPr>
      <w:proofErr w:type="gramStart"/>
      <w:r w:rsidRPr="00891877">
        <w:rPr>
          <w:rFonts w:cs="Arial"/>
          <w:color w:val="auto"/>
          <w:sz w:val="20"/>
          <w:szCs w:val="20"/>
          <w:lang w:eastAsia="en-GB"/>
        </w:rPr>
        <w:t>liabilities</w:t>
      </w:r>
      <w:proofErr w:type="gramEnd"/>
      <w:r w:rsidRPr="00891877">
        <w:rPr>
          <w:rFonts w:cs="Arial"/>
          <w:color w:val="auto"/>
          <w:sz w:val="20"/>
          <w:szCs w:val="20"/>
          <w:lang w:eastAsia="en-GB"/>
        </w:rPr>
        <w:t xml:space="preserve"> are discounted to their value at current prices, using a discount rate based on the indicative rate of return on high quality corporate bond.</w:t>
      </w:r>
    </w:p>
    <w:p w:rsidR="003A432F" w:rsidRPr="00891877" w:rsidRDefault="003A432F" w:rsidP="003A432F">
      <w:pPr>
        <w:autoSpaceDE w:val="0"/>
        <w:autoSpaceDN w:val="0"/>
        <w:adjustRightInd w:val="0"/>
        <w:spacing w:after="0" w:line="240" w:lineRule="auto"/>
        <w:ind w:left="709"/>
        <w:jc w:val="both"/>
        <w:rPr>
          <w:rFonts w:cs="Arial"/>
          <w:color w:val="auto"/>
          <w:sz w:val="20"/>
          <w:szCs w:val="20"/>
          <w:lang w:eastAsia="en-GB"/>
        </w:rPr>
      </w:pPr>
    </w:p>
    <w:p w:rsidR="003A432F" w:rsidRPr="00891877" w:rsidRDefault="003A432F" w:rsidP="003A432F">
      <w:pPr>
        <w:pStyle w:val="ListParagraph"/>
        <w:numPr>
          <w:ilvl w:val="0"/>
          <w:numId w:val="26"/>
        </w:numPr>
        <w:spacing w:after="0" w:line="240" w:lineRule="auto"/>
        <w:ind w:left="709" w:hanging="142"/>
        <w:jc w:val="both"/>
        <w:rPr>
          <w:rFonts w:cs="Arial"/>
          <w:color w:val="auto"/>
          <w:sz w:val="20"/>
          <w:szCs w:val="20"/>
          <w:lang w:eastAsia="en-GB"/>
        </w:rPr>
      </w:pPr>
      <w:r w:rsidRPr="00891877">
        <w:rPr>
          <w:rFonts w:cs="Arial"/>
          <w:color w:val="auto"/>
          <w:sz w:val="20"/>
          <w:szCs w:val="20"/>
          <w:lang w:eastAsia="en-GB"/>
        </w:rPr>
        <w:t>the assets of Devon County Council Pension Fund attributable to the Council are included in the Balance Sheet at their fair value</w:t>
      </w:r>
    </w:p>
    <w:p w:rsidR="003A432F" w:rsidRPr="00891877" w:rsidRDefault="003A432F" w:rsidP="003A432F">
      <w:pPr>
        <w:spacing w:after="0" w:line="240" w:lineRule="auto"/>
        <w:jc w:val="both"/>
        <w:rPr>
          <w:rFonts w:cs="Arial"/>
          <w:color w:val="auto"/>
          <w:sz w:val="20"/>
          <w:szCs w:val="20"/>
          <w:lang w:eastAsia="en-GB"/>
        </w:rPr>
      </w:pPr>
    </w:p>
    <w:p w:rsidR="003A432F" w:rsidRPr="00891877" w:rsidRDefault="003A432F" w:rsidP="003A432F">
      <w:pPr>
        <w:spacing w:after="0" w:line="240" w:lineRule="auto"/>
        <w:ind w:firstLine="567"/>
        <w:jc w:val="both"/>
        <w:rPr>
          <w:rFonts w:cs="Arial"/>
          <w:color w:val="auto"/>
          <w:sz w:val="20"/>
          <w:szCs w:val="20"/>
          <w:lang w:eastAsia="en-GB"/>
        </w:rPr>
      </w:pPr>
      <w:r w:rsidRPr="00891877">
        <w:rPr>
          <w:rFonts w:cs="Arial"/>
          <w:color w:val="auto"/>
          <w:sz w:val="20"/>
          <w:szCs w:val="20"/>
          <w:lang w:eastAsia="en-GB"/>
        </w:rPr>
        <w:t xml:space="preserve">The change in the net </w:t>
      </w:r>
      <w:proofErr w:type="gramStart"/>
      <w:r w:rsidRPr="00891877">
        <w:rPr>
          <w:rFonts w:cs="Arial"/>
          <w:color w:val="auto"/>
          <w:sz w:val="20"/>
          <w:szCs w:val="20"/>
          <w:lang w:eastAsia="en-GB"/>
        </w:rPr>
        <w:t>pensions</w:t>
      </w:r>
      <w:proofErr w:type="gramEnd"/>
      <w:r w:rsidRPr="00891877">
        <w:rPr>
          <w:rFonts w:cs="Arial"/>
          <w:color w:val="auto"/>
          <w:sz w:val="20"/>
          <w:szCs w:val="20"/>
          <w:lang w:eastAsia="en-GB"/>
        </w:rPr>
        <w:t xml:space="preserve"> liability is analysed into the following components:</w:t>
      </w:r>
    </w:p>
    <w:p w:rsidR="003A432F" w:rsidRPr="00A767DD" w:rsidRDefault="003A432F" w:rsidP="003A432F">
      <w:pPr>
        <w:spacing w:after="0" w:line="240" w:lineRule="auto"/>
        <w:jc w:val="both"/>
        <w:rPr>
          <w:rFonts w:cs="Arial"/>
          <w:color w:val="auto"/>
          <w:sz w:val="20"/>
          <w:szCs w:val="20"/>
          <w:highlight w:val="yellow"/>
          <w:lang w:eastAsia="en-GB"/>
        </w:rPr>
      </w:pPr>
    </w:p>
    <w:p w:rsidR="003A432F" w:rsidRPr="00891877" w:rsidRDefault="003A432F" w:rsidP="003A432F">
      <w:pPr>
        <w:pStyle w:val="ListParagraph"/>
        <w:numPr>
          <w:ilvl w:val="0"/>
          <w:numId w:val="29"/>
        </w:numPr>
        <w:spacing w:after="0" w:line="240" w:lineRule="auto"/>
        <w:ind w:left="360" w:firstLine="207"/>
        <w:jc w:val="both"/>
        <w:rPr>
          <w:rFonts w:cs="Arial"/>
          <w:color w:val="auto"/>
          <w:sz w:val="20"/>
          <w:szCs w:val="20"/>
          <w:lang w:eastAsia="en-GB"/>
        </w:rPr>
      </w:pPr>
      <w:r w:rsidRPr="00891877">
        <w:rPr>
          <w:rFonts w:cs="Arial"/>
          <w:b/>
          <w:color w:val="auto"/>
          <w:sz w:val="20"/>
          <w:szCs w:val="20"/>
          <w:lang w:eastAsia="en-GB"/>
        </w:rPr>
        <w:t>Service cost</w:t>
      </w:r>
      <w:r w:rsidRPr="00891877">
        <w:rPr>
          <w:rFonts w:cs="Arial"/>
          <w:color w:val="auto"/>
          <w:sz w:val="20"/>
          <w:szCs w:val="20"/>
          <w:lang w:eastAsia="en-GB"/>
        </w:rPr>
        <w:t xml:space="preserve"> comprising:</w:t>
      </w:r>
    </w:p>
    <w:p w:rsidR="003A432F" w:rsidRPr="00891877" w:rsidRDefault="003A432F" w:rsidP="003A432F">
      <w:pPr>
        <w:pStyle w:val="ListParagraph"/>
        <w:spacing w:after="0" w:line="240" w:lineRule="auto"/>
        <w:ind w:left="567"/>
        <w:jc w:val="both"/>
        <w:rPr>
          <w:rFonts w:cs="Arial"/>
          <w:color w:val="auto"/>
          <w:sz w:val="20"/>
          <w:szCs w:val="20"/>
          <w:lang w:eastAsia="en-GB"/>
        </w:rPr>
      </w:pPr>
    </w:p>
    <w:p w:rsidR="003A432F" w:rsidRPr="00891877" w:rsidRDefault="003A432F" w:rsidP="003A432F">
      <w:pPr>
        <w:pStyle w:val="ListParagraph"/>
        <w:spacing w:after="0" w:line="240" w:lineRule="auto"/>
        <w:ind w:left="709"/>
        <w:jc w:val="both"/>
        <w:rPr>
          <w:rFonts w:cs="Arial"/>
          <w:color w:val="auto"/>
          <w:sz w:val="20"/>
          <w:szCs w:val="20"/>
          <w:lang w:eastAsia="en-GB"/>
        </w:rPr>
      </w:pPr>
      <w:r w:rsidRPr="00891877">
        <w:rPr>
          <w:rFonts w:cs="Arial"/>
          <w:color w:val="auto"/>
          <w:sz w:val="20"/>
          <w:szCs w:val="20"/>
          <w:lang w:eastAsia="en-GB"/>
        </w:rPr>
        <w:t>Current service cost – allocated in the CIES to the services for which the employees worked</w:t>
      </w:r>
    </w:p>
    <w:p w:rsidR="003A432F" w:rsidRPr="00891877" w:rsidRDefault="003A432F" w:rsidP="003A432F">
      <w:pPr>
        <w:autoSpaceDE w:val="0"/>
        <w:autoSpaceDN w:val="0"/>
        <w:adjustRightInd w:val="0"/>
        <w:spacing w:after="0"/>
        <w:ind w:left="720"/>
        <w:jc w:val="both"/>
        <w:rPr>
          <w:rFonts w:cs="Arial"/>
          <w:color w:val="auto"/>
          <w:sz w:val="20"/>
          <w:szCs w:val="20"/>
          <w:lang w:eastAsia="en-GB"/>
        </w:rPr>
      </w:pPr>
    </w:p>
    <w:p w:rsidR="003A432F" w:rsidRPr="00891877" w:rsidRDefault="003A432F" w:rsidP="003A432F">
      <w:pPr>
        <w:autoSpaceDE w:val="0"/>
        <w:autoSpaceDN w:val="0"/>
        <w:adjustRightInd w:val="0"/>
        <w:spacing w:after="0"/>
        <w:ind w:left="720"/>
        <w:jc w:val="both"/>
        <w:rPr>
          <w:rFonts w:cs="Arial"/>
          <w:color w:val="auto"/>
          <w:sz w:val="20"/>
          <w:szCs w:val="20"/>
          <w:lang w:eastAsia="en-GB"/>
        </w:rPr>
      </w:pPr>
      <w:r w:rsidRPr="00891877">
        <w:rPr>
          <w:rFonts w:cs="Arial"/>
          <w:color w:val="auto"/>
          <w:sz w:val="20"/>
          <w:szCs w:val="20"/>
          <w:lang w:eastAsia="en-GB"/>
        </w:rPr>
        <w:t>Past service cost - the increase in liabilities arising from current year decisions whose effect relates to years of service earned in earlier years. Includes gains or losses on settlements and curtailments - the result of actions to relieve the Council of liabilities or events that reduce the expected future service or accrual of benefits of employees such as the transfer of staff to an alternative supplier: Debited/Credited to the Surplus or Deficit on the Provision of Services in the CIES as part of Non Distributed Costs.</w:t>
      </w:r>
    </w:p>
    <w:p w:rsidR="003A432F" w:rsidRPr="00891877" w:rsidRDefault="003A432F" w:rsidP="003A432F">
      <w:pPr>
        <w:autoSpaceDE w:val="0"/>
        <w:autoSpaceDN w:val="0"/>
        <w:adjustRightInd w:val="0"/>
        <w:spacing w:after="0"/>
        <w:ind w:left="709"/>
        <w:jc w:val="both"/>
        <w:rPr>
          <w:rFonts w:cs="Arial"/>
          <w:color w:val="auto"/>
          <w:sz w:val="20"/>
          <w:szCs w:val="20"/>
          <w:lang w:eastAsia="en-GB"/>
        </w:rPr>
      </w:pPr>
    </w:p>
    <w:p w:rsidR="003A432F" w:rsidRPr="00891877" w:rsidRDefault="003A432F" w:rsidP="003A432F">
      <w:pPr>
        <w:autoSpaceDE w:val="0"/>
        <w:autoSpaceDN w:val="0"/>
        <w:adjustRightInd w:val="0"/>
        <w:spacing w:after="0"/>
        <w:ind w:left="709"/>
        <w:jc w:val="both"/>
        <w:rPr>
          <w:rFonts w:cs="Arial"/>
          <w:color w:val="auto"/>
          <w:sz w:val="20"/>
          <w:szCs w:val="20"/>
          <w:lang w:eastAsia="en-GB"/>
        </w:rPr>
      </w:pPr>
      <w:r w:rsidRPr="00891877">
        <w:rPr>
          <w:rFonts w:cs="Arial"/>
          <w:color w:val="auto"/>
          <w:sz w:val="20"/>
          <w:szCs w:val="20"/>
          <w:lang w:eastAsia="en-GB"/>
        </w:rPr>
        <w:lastRenderedPageBreak/>
        <w:t>Net Interest on the net pension liability - the expected net increase in the present value of liabilities during the year as they move one year closer to being paid offset by the expected return on assets - the annual investment return on the fund assets attributable to the Council, based on an average of the expected long-term return - debited to the Financing and Investment Income and Expenditure line in the CIES.</w:t>
      </w:r>
    </w:p>
    <w:p w:rsidR="003A432F" w:rsidRPr="00891877" w:rsidRDefault="003A432F" w:rsidP="003A432F">
      <w:pPr>
        <w:autoSpaceDE w:val="0"/>
        <w:autoSpaceDN w:val="0"/>
        <w:adjustRightInd w:val="0"/>
        <w:spacing w:after="0"/>
        <w:ind w:left="709"/>
        <w:jc w:val="both"/>
        <w:rPr>
          <w:rFonts w:cs="Arial"/>
          <w:color w:val="auto"/>
          <w:sz w:val="20"/>
          <w:szCs w:val="20"/>
          <w:lang w:eastAsia="en-GB"/>
        </w:rPr>
      </w:pPr>
    </w:p>
    <w:p w:rsidR="003A432F" w:rsidRPr="00891877" w:rsidRDefault="003A432F" w:rsidP="003A432F">
      <w:pPr>
        <w:autoSpaceDE w:val="0"/>
        <w:autoSpaceDN w:val="0"/>
        <w:adjustRightInd w:val="0"/>
        <w:spacing w:after="0"/>
        <w:ind w:left="709"/>
        <w:jc w:val="both"/>
        <w:rPr>
          <w:rFonts w:cs="Arial"/>
          <w:color w:val="auto"/>
          <w:sz w:val="20"/>
          <w:szCs w:val="20"/>
          <w:lang w:eastAsia="en-GB"/>
        </w:rPr>
      </w:pPr>
      <w:r w:rsidRPr="00891877">
        <w:rPr>
          <w:rFonts w:cs="Arial"/>
          <w:color w:val="auto"/>
          <w:sz w:val="20"/>
          <w:szCs w:val="20"/>
          <w:lang w:eastAsia="en-GB"/>
        </w:rPr>
        <w:t xml:space="preserve">Administration Costs – debited to the Provision of Services in the CIES as part of </w:t>
      </w:r>
      <w:r>
        <w:rPr>
          <w:rFonts w:cs="Arial"/>
          <w:color w:val="auto"/>
          <w:sz w:val="20"/>
          <w:szCs w:val="20"/>
          <w:lang w:eastAsia="en-GB"/>
        </w:rPr>
        <w:t>Corporate Costs.</w:t>
      </w:r>
      <w:r w:rsidRPr="00891877">
        <w:rPr>
          <w:rFonts w:cs="Arial"/>
          <w:color w:val="auto"/>
          <w:sz w:val="20"/>
          <w:szCs w:val="20"/>
          <w:lang w:eastAsia="en-GB"/>
        </w:rPr>
        <w:t xml:space="preserve"> </w:t>
      </w:r>
    </w:p>
    <w:p w:rsidR="003A432F" w:rsidRPr="00891877" w:rsidRDefault="003A432F" w:rsidP="003A432F">
      <w:pPr>
        <w:autoSpaceDE w:val="0"/>
        <w:autoSpaceDN w:val="0"/>
        <w:adjustRightInd w:val="0"/>
        <w:spacing w:after="0"/>
        <w:ind w:left="709"/>
        <w:jc w:val="both"/>
        <w:rPr>
          <w:rFonts w:cs="Arial"/>
          <w:color w:val="auto"/>
          <w:sz w:val="20"/>
          <w:szCs w:val="20"/>
          <w:lang w:eastAsia="en-GB"/>
        </w:rPr>
      </w:pPr>
    </w:p>
    <w:p w:rsidR="003A432F" w:rsidRPr="00891877" w:rsidRDefault="003A432F" w:rsidP="003A432F">
      <w:pPr>
        <w:pStyle w:val="ListParagraph"/>
        <w:numPr>
          <w:ilvl w:val="0"/>
          <w:numId w:val="29"/>
        </w:numPr>
        <w:spacing w:after="0" w:line="240" w:lineRule="auto"/>
        <w:ind w:left="360" w:firstLine="207"/>
        <w:jc w:val="both"/>
        <w:rPr>
          <w:rFonts w:cs="Arial"/>
          <w:color w:val="auto"/>
          <w:sz w:val="20"/>
          <w:szCs w:val="20"/>
          <w:lang w:eastAsia="en-GB"/>
        </w:rPr>
      </w:pPr>
      <w:proofErr w:type="spellStart"/>
      <w:r w:rsidRPr="00891877">
        <w:rPr>
          <w:rFonts w:cs="Arial"/>
          <w:b/>
          <w:color w:val="auto"/>
          <w:sz w:val="20"/>
          <w:szCs w:val="20"/>
          <w:lang w:eastAsia="en-GB"/>
        </w:rPr>
        <w:t>Remeasurements</w:t>
      </w:r>
      <w:proofErr w:type="spellEnd"/>
      <w:r w:rsidRPr="00891877">
        <w:rPr>
          <w:rFonts w:cs="Arial"/>
          <w:color w:val="auto"/>
          <w:sz w:val="20"/>
          <w:szCs w:val="20"/>
          <w:lang w:eastAsia="en-GB"/>
        </w:rPr>
        <w:t xml:space="preserve"> comprising:</w:t>
      </w:r>
    </w:p>
    <w:p w:rsidR="003A432F" w:rsidRPr="00891877" w:rsidRDefault="003A432F" w:rsidP="003A432F">
      <w:pPr>
        <w:pStyle w:val="ListParagraph"/>
        <w:spacing w:after="0" w:line="240" w:lineRule="auto"/>
        <w:ind w:left="567"/>
        <w:jc w:val="both"/>
        <w:rPr>
          <w:rFonts w:cs="Arial"/>
          <w:color w:val="auto"/>
          <w:sz w:val="20"/>
          <w:szCs w:val="20"/>
          <w:lang w:eastAsia="en-GB"/>
        </w:rPr>
      </w:pPr>
    </w:p>
    <w:p w:rsidR="003A432F" w:rsidRPr="00891877" w:rsidRDefault="003A432F" w:rsidP="003A432F">
      <w:pPr>
        <w:autoSpaceDE w:val="0"/>
        <w:autoSpaceDN w:val="0"/>
        <w:adjustRightInd w:val="0"/>
        <w:spacing w:after="0"/>
        <w:ind w:left="567"/>
        <w:jc w:val="both"/>
        <w:rPr>
          <w:rFonts w:cs="Arial"/>
          <w:color w:val="auto"/>
          <w:sz w:val="20"/>
          <w:szCs w:val="20"/>
          <w:lang w:eastAsia="en-GB"/>
        </w:rPr>
      </w:pPr>
      <w:r w:rsidRPr="00891877">
        <w:rPr>
          <w:rFonts w:cs="Arial"/>
          <w:color w:val="auto"/>
          <w:sz w:val="20"/>
          <w:szCs w:val="20"/>
          <w:lang w:eastAsia="en-GB"/>
        </w:rPr>
        <w:t>Return on Plan Assets – this excluding amounts included in net interest on the net defined benefit liability. Any movement in year is an adjustment to the Pensions Reserve as Other Comprehensive Income and Expenditure.</w:t>
      </w:r>
    </w:p>
    <w:p w:rsidR="003A432F" w:rsidRPr="00891877" w:rsidRDefault="003A432F" w:rsidP="003A432F">
      <w:pPr>
        <w:autoSpaceDE w:val="0"/>
        <w:autoSpaceDN w:val="0"/>
        <w:adjustRightInd w:val="0"/>
        <w:spacing w:after="0"/>
        <w:ind w:left="567"/>
        <w:jc w:val="both"/>
        <w:rPr>
          <w:rFonts w:cs="Arial"/>
          <w:color w:val="auto"/>
          <w:sz w:val="20"/>
          <w:szCs w:val="20"/>
          <w:lang w:eastAsia="en-GB"/>
        </w:rPr>
      </w:pPr>
    </w:p>
    <w:p w:rsidR="003A432F" w:rsidRPr="00891877" w:rsidRDefault="003A432F" w:rsidP="003A432F">
      <w:pPr>
        <w:autoSpaceDE w:val="0"/>
        <w:autoSpaceDN w:val="0"/>
        <w:adjustRightInd w:val="0"/>
        <w:spacing w:after="0"/>
        <w:ind w:left="567"/>
        <w:jc w:val="both"/>
        <w:rPr>
          <w:rFonts w:cs="Arial"/>
          <w:color w:val="auto"/>
          <w:sz w:val="20"/>
          <w:szCs w:val="20"/>
          <w:lang w:eastAsia="en-GB"/>
        </w:rPr>
      </w:pPr>
      <w:r w:rsidRPr="00891877">
        <w:rPr>
          <w:rFonts w:cs="Arial"/>
          <w:color w:val="auto"/>
          <w:sz w:val="20"/>
          <w:szCs w:val="20"/>
          <w:lang w:eastAsia="en-GB"/>
        </w:rPr>
        <w:t>Actuarial gains and losses - changes in the net pensions liability that arise because events have not coincided with assumptions made at the last actuarial valuation or because the actuaries have updated their assumptions – any movement in year is an adjustment to the Pensions Reserve as Other Comprehensive Income and Expenditure.</w:t>
      </w:r>
    </w:p>
    <w:p w:rsidR="003A432F" w:rsidRPr="00A767DD" w:rsidRDefault="003A432F" w:rsidP="003A432F">
      <w:pPr>
        <w:autoSpaceDE w:val="0"/>
        <w:autoSpaceDN w:val="0"/>
        <w:adjustRightInd w:val="0"/>
        <w:spacing w:after="0"/>
        <w:ind w:left="567"/>
        <w:jc w:val="both"/>
        <w:rPr>
          <w:rFonts w:cs="Arial"/>
          <w:color w:val="auto"/>
          <w:sz w:val="20"/>
          <w:szCs w:val="20"/>
          <w:highlight w:val="yellow"/>
          <w:lang w:eastAsia="en-GB"/>
        </w:rPr>
      </w:pPr>
    </w:p>
    <w:p w:rsidR="003A432F" w:rsidRPr="00891877" w:rsidRDefault="003A432F" w:rsidP="003A432F">
      <w:pPr>
        <w:autoSpaceDE w:val="0"/>
        <w:autoSpaceDN w:val="0"/>
        <w:adjustRightInd w:val="0"/>
        <w:spacing w:after="0"/>
        <w:ind w:left="567"/>
        <w:jc w:val="both"/>
        <w:rPr>
          <w:rFonts w:cs="Arial"/>
          <w:b/>
          <w:color w:val="auto"/>
          <w:sz w:val="20"/>
          <w:szCs w:val="20"/>
          <w:lang w:eastAsia="en-GB"/>
        </w:rPr>
      </w:pPr>
      <w:r w:rsidRPr="00891877">
        <w:rPr>
          <w:rFonts w:cs="Arial"/>
          <w:b/>
          <w:color w:val="auto"/>
          <w:sz w:val="20"/>
          <w:szCs w:val="20"/>
          <w:lang w:eastAsia="en-GB"/>
        </w:rPr>
        <w:t>Payments to Fund:</w:t>
      </w:r>
    </w:p>
    <w:p w:rsidR="003A432F" w:rsidRPr="00891877" w:rsidRDefault="003A432F" w:rsidP="003A432F">
      <w:pPr>
        <w:autoSpaceDE w:val="0"/>
        <w:autoSpaceDN w:val="0"/>
        <w:adjustRightInd w:val="0"/>
        <w:spacing w:after="0"/>
        <w:ind w:left="567"/>
        <w:jc w:val="both"/>
        <w:rPr>
          <w:rFonts w:cs="Arial"/>
          <w:color w:val="auto"/>
          <w:sz w:val="20"/>
          <w:szCs w:val="20"/>
          <w:lang w:eastAsia="en-GB"/>
        </w:rPr>
      </w:pPr>
    </w:p>
    <w:p w:rsidR="003A432F" w:rsidRPr="00891877" w:rsidRDefault="003A432F" w:rsidP="003A432F">
      <w:pPr>
        <w:autoSpaceDE w:val="0"/>
        <w:autoSpaceDN w:val="0"/>
        <w:adjustRightInd w:val="0"/>
        <w:spacing w:after="0"/>
        <w:ind w:left="567"/>
        <w:jc w:val="both"/>
        <w:rPr>
          <w:rFonts w:cs="Arial"/>
          <w:color w:val="auto"/>
          <w:sz w:val="20"/>
          <w:szCs w:val="20"/>
          <w:lang w:eastAsia="en-GB"/>
        </w:rPr>
      </w:pPr>
      <w:r w:rsidRPr="00891877">
        <w:rPr>
          <w:rFonts w:cs="Arial"/>
          <w:color w:val="auto"/>
          <w:sz w:val="20"/>
          <w:szCs w:val="20"/>
          <w:lang w:eastAsia="en-GB"/>
        </w:rPr>
        <w:t>Contributions paid to the Devon County Council Local Government Pension Scheme - cash paid as employer's contributions to the pension fund in settlement of liabilities are not accounted for as an expense in the CIES.</w:t>
      </w:r>
    </w:p>
    <w:p w:rsidR="003A432F" w:rsidRPr="00891877" w:rsidRDefault="003A432F" w:rsidP="003A432F">
      <w:pPr>
        <w:pStyle w:val="ListParagraph"/>
        <w:spacing w:after="0" w:line="240" w:lineRule="auto"/>
        <w:ind w:left="567"/>
        <w:jc w:val="both"/>
        <w:rPr>
          <w:rFonts w:cs="Arial"/>
          <w:color w:val="auto"/>
          <w:sz w:val="20"/>
          <w:szCs w:val="20"/>
          <w:lang w:eastAsia="en-GB"/>
        </w:rPr>
      </w:pPr>
    </w:p>
    <w:p w:rsidR="003A432F" w:rsidRPr="00347A5B" w:rsidRDefault="003A432F" w:rsidP="003A432F">
      <w:pPr>
        <w:autoSpaceDE w:val="0"/>
        <w:autoSpaceDN w:val="0"/>
        <w:ind w:left="567"/>
        <w:jc w:val="both"/>
        <w:rPr>
          <w:rFonts w:cs="Arial"/>
          <w:b/>
          <w:color w:val="auto"/>
          <w:sz w:val="20"/>
          <w:szCs w:val="20"/>
          <w:lang w:eastAsia="en-GB"/>
        </w:rPr>
      </w:pPr>
      <w:r w:rsidRPr="00347A5B">
        <w:rPr>
          <w:rFonts w:cs="Arial"/>
          <w:b/>
          <w:color w:val="auto"/>
          <w:sz w:val="20"/>
          <w:szCs w:val="20"/>
          <w:lang w:eastAsia="en-GB"/>
        </w:rPr>
        <w:t>Termination Benefits</w:t>
      </w:r>
    </w:p>
    <w:p w:rsidR="003A432F" w:rsidRPr="00DB7A38" w:rsidRDefault="003A432F" w:rsidP="003A432F">
      <w:pPr>
        <w:spacing w:after="0" w:line="240" w:lineRule="auto"/>
        <w:ind w:left="567"/>
        <w:jc w:val="both"/>
        <w:rPr>
          <w:rFonts w:cs="Arial"/>
          <w:color w:val="auto"/>
          <w:sz w:val="20"/>
          <w:szCs w:val="20"/>
          <w:lang w:eastAsia="en-GB"/>
        </w:rPr>
      </w:pPr>
      <w:r w:rsidRPr="00347A5B">
        <w:rPr>
          <w:rFonts w:cs="Arial"/>
          <w:color w:val="auto"/>
          <w:sz w:val="20"/>
          <w:szCs w:val="20"/>
          <w:lang w:eastAsia="en-GB"/>
        </w:rPr>
        <w:t>Termination benefits are charged on an accruals basis or as a provision to the appropriate service (or to the Non Distributed Costs line in the CIES where they relate to pensions enhancements) at the earlier of when the Council can no longer withdraw the offer of those benefits or when the Council recognises costs for a restructuring.</w:t>
      </w:r>
    </w:p>
    <w:p w:rsidR="003A432F" w:rsidRPr="00DB7A38" w:rsidRDefault="003A432F" w:rsidP="003A432F">
      <w:pPr>
        <w:spacing w:after="0" w:line="240" w:lineRule="auto"/>
        <w:ind w:left="567"/>
        <w:jc w:val="both"/>
        <w:rPr>
          <w:rFonts w:cs="Arial"/>
          <w:color w:val="auto"/>
          <w:sz w:val="20"/>
          <w:szCs w:val="20"/>
          <w:lang w:eastAsia="en-GB"/>
        </w:rPr>
      </w:pPr>
    </w:p>
    <w:p w:rsidR="003A432F" w:rsidRPr="00DB7A38" w:rsidRDefault="003A432F" w:rsidP="003A432F">
      <w:pPr>
        <w:pStyle w:val="BodyTextFirstIndent"/>
        <w:ind w:left="567" w:firstLine="0"/>
        <w:jc w:val="both"/>
        <w:rPr>
          <w:b/>
          <w:color w:val="auto"/>
          <w:sz w:val="20"/>
          <w:szCs w:val="20"/>
          <w:lang w:eastAsia="en-GB"/>
        </w:rPr>
      </w:pPr>
      <w:r w:rsidRPr="00DB7A38">
        <w:rPr>
          <w:b/>
          <w:color w:val="auto"/>
          <w:sz w:val="20"/>
          <w:szCs w:val="20"/>
          <w:lang w:eastAsia="en-GB"/>
        </w:rPr>
        <w:t>Local Government Reorganisation</w:t>
      </w:r>
    </w:p>
    <w:p w:rsidR="003A432F" w:rsidRPr="00DB7A38" w:rsidRDefault="003A432F" w:rsidP="003A432F">
      <w:pPr>
        <w:pStyle w:val="BodyTextFirstIndent"/>
        <w:ind w:left="567" w:firstLine="0"/>
        <w:jc w:val="both"/>
        <w:rPr>
          <w:rFonts w:cs="Arial"/>
          <w:color w:val="auto"/>
          <w:sz w:val="20"/>
          <w:szCs w:val="20"/>
          <w:lang w:eastAsia="en-GB"/>
        </w:rPr>
      </w:pPr>
      <w:r w:rsidRPr="00DB7A38">
        <w:rPr>
          <w:color w:val="auto"/>
          <w:sz w:val="20"/>
          <w:szCs w:val="20"/>
        </w:rPr>
        <w:t>Torbay Council in 1998 agreed to fund a tax base share of Devon County’s enhanced pension payments (unfunded benefits). A liability, based on IAS19 actuarial information provided to Devon County Council has been recognised with the corresponding balance held in the Pension Reserve. The movement in the IAS19 liability each year is recognised in Cost of Services and reversed in the Movement in Reserves statement</w:t>
      </w:r>
      <w:r w:rsidRPr="00DB7A38">
        <w:rPr>
          <w:rFonts w:cs="Arial"/>
          <w:color w:val="auto"/>
          <w:sz w:val="20"/>
          <w:szCs w:val="20"/>
          <w:lang w:eastAsia="en-GB"/>
        </w:rPr>
        <w:t>. The payments in year to Devon County Council are recognised in the Cost of Services.</w:t>
      </w:r>
    </w:p>
    <w:p w:rsidR="003A432F" w:rsidRPr="00D25011" w:rsidRDefault="000A3927" w:rsidP="000A3927">
      <w:pPr>
        <w:pStyle w:val="Heading1"/>
        <w:spacing w:line="240" w:lineRule="atLeast"/>
        <w:jc w:val="both"/>
        <w:rPr>
          <w:rFonts w:cs="Arial"/>
          <w:b/>
          <w:color w:val="auto"/>
          <w:sz w:val="20"/>
          <w:szCs w:val="20"/>
        </w:rPr>
      </w:pPr>
      <w:r>
        <w:rPr>
          <w:rFonts w:cs="Arial"/>
          <w:b/>
          <w:color w:val="auto"/>
          <w:sz w:val="20"/>
          <w:szCs w:val="20"/>
        </w:rPr>
        <w:t>41.7</w:t>
      </w:r>
      <w:r>
        <w:rPr>
          <w:rFonts w:cs="Arial"/>
          <w:b/>
          <w:color w:val="auto"/>
          <w:sz w:val="20"/>
          <w:szCs w:val="20"/>
        </w:rPr>
        <w:tab/>
      </w:r>
      <w:r w:rsidR="003A432F" w:rsidRPr="00D25011">
        <w:rPr>
          <w:rFonts w:cs="Arial"/>
          <w:b/>
          <w:color w:val="auto"/>
          <w:sz w:val="20"/>
          <w:szCs w:val="20"/>
        </w:rPr>
        <w:t xml:space="preserve">Financial Instruments </w:t>
      </w:r>
    </w:p>
    <w:p w:rsidR="003A432F" w:rsidRPr="00D25011" w:rsidRDefault="003A432F" w:rsidP="003A432F">
      <w:pPr>
        <w:spacing w:after="0" w:line="240" w:lineRule="auto"/>
        <w:ind w:left="567"/>
        <w:jc w:val="both"/>
        <w:rPr>
          <w:rFonts w:eastAsia="Times New Roman" w:cs="Arial"/>
          <w:color w:val="auto"/>
          <w:sz w:val="20"/>
          <w:szCs w:val="20"/>
        </w:rPr>
      </w:pPr>
      <w:r w:rsidRPr="00D25011">
        <w:rPr>
          <w:rFonts w:eastAsia="Times New Roman" w:cs="Arial"/>
          <w:color w:val="auto"/>
          <w:sz w:val="20"/>
          <w:szCs w:val="20"/>
        </w:rPr>
        <w:t>Financial instruments are recognised on the Balance Sheet when the Council becomes a party to their contractual provisions and are initially measured at fair value.</w:t>
      </w:r>
    </w:p>
    <w:p w:rsidR="003A432F" w:rsidRPr="00D25011" w:rsidRDefault="003A432F" w:rsidP="003A432F">
      <w:pPr>
        <w:spacing w:after="0" w:line="240" w:lineRule="auto"/>
        <w:jc w:val="both"/>
        <w:rPr>
          <w:rFonts w:eastAsia="Times New Roman" w:cs="Arial"/>
          <w:color w:val="auto"/>
          <w:sz w:val="20"/>
          <w:szCs w:val="20"/>
        </w:rPr>
      </w:pPr>
    </w:p>
    <w:p w:rsidR="003A432F" w:rsidRPr="00D25011" w:rsidRDefault="003A432F" w:rsidP="003A432F">
      <w:pPr>
        <w:autoSpaceDE w:val="0"/>
        <w:autoSpaceDN w:val="0"/>
        <w:ind w:left="567"/>
        <w:jc w:val="both"/>
        <w:rPr>
          <w:rFonts w:cs="Arial"/>
          <w:color w:val="auto"/>
          <w:sz w:val="20"/>
          <w:szCs w:val="20"/>
          <w:lang w:val="en-US"/>
        </w:rPr>
      </w:pPr>
      <w:r w:rsidRPr="00D25011">
        <w:rPr>
          <w:rFonts w:eastAsia="Times New Roman" w:cs="Arial"/>
          <w:color w:val="auto"/>
          <w:sz w:val="20"/>
          <w:szCs w:val="20"/>
        </w:rPr>
        <w:t xml:space="preserve">Borrowings and investments are (generally) carried at their amortised cost. Annual debits and credits to the Financing and Investment Income and Expenditure line in the CIES for interest payable and receivable are based on the carrying amount of the instrument, multiplied by its effective rate of interest. </w:t>
      </w:r>
      <w:r w:rsidRPr="00D25011">
        <w:rPr>
          <w:rFonts w:cs="Arial"/>
          <w:color w:val="auto"/>
          <w:sz w:val="20"/>
          <w:szCs w:val="20"/>
          <w:lang w:eastAsia="en-GB"/>
        </w:rPr>
        <w:t xml:space="preserve">The effective interest rate is the rate that exactly discounts estimated future cash payments over the life of the instrument to the amount at which it was originally recognised. </w:t>
      </w:r>
      <w:r w:rsidRPr="00D25011">
        <w:rPr>
          <w:rFonts w:eastAsia="Times New Roman" w:cs="Arial"/>
          <w:color w:val="auto"/>
          <w:sz w:val="20"/>
          <w:szCs w:val="20"/>
        </w:rPr>
        <w:t>For [most of] the instruments that the Council holds, this means that the amount presented in the Balance Sheet is the outstanding principal repayable or receivable (plus accrued interest); and interest debited/credited to the CIES is the amount payable for the year according to the instrument agreement.</w:t>
      </w:r>
      <w:r w:rsidRPr="00D25011">
        <w:rPr>
          <w:rFonts w:cs="Arial"/>
          <w:color w:val="auto"/>
          <w:sz w:val="20"/>
          <w:szCs w:val="20"/>
          <w:lang w:eastAsia="en-GB"/>
        </w:rPr>
        <w:t xml:space="preserve"> </w:t>
      </w:r>
      <w:r w:rsidRPr="00D25011">
        <w:rPr>
          <w:rFonts w:cs="Arial"/>
          <w:color w:val="auto"/>
          <w:sz w:val="20"/>
          <w:szCs w:val="20"/>
          <w:lang w:val="en-US"/>
        </w:rPr>
        <w:t>The interest owed/due is shown on the balance sheet as short or long term depending on the timing of the expected cash flow of the interest payment.</w:t>
      </w:r>
    </w:p>
    <w:p w:rsidR="003A432F" w:rsidRPr="0039437C" w:rsidRDefault="003A432F" w:rsidP="003A432F">
      <w:pPr>
        <w:autoSpaceDE w:val="0"/>
        <w:autoSpaceDN w:val="0"/>
        <w:ind w:left="567"/>
        <w:jc w:val="both"/>
        <w:rPr>
          <w:rFonts w:eastAsia="Times New Roman" w:cs="Arial"/>
          <w:color w:val="auto"/>
          <w:sz w:val="20"/>
          <w:szCs w:val="20"/>
        </w:rPr>
      </w:pPr>
      <w:r w:rsidRPr="0039437C">
        <w:rPr>
          <w:rFonts w:eastAsia="Times New Roman" w:cs="Arial"/>
          <w:color w:val="auto"/>
          <w:sz w:val="20"/>
          <w:szCs w:val="20"/>
        </w:rPr>
        <w:lastRenderedPageBreak/>
        <w:t xml:space="preserve">The Council has invested in a property fund (CCLA) where under regulation the investment does not need to be accounted as capital expenditure. The Council </w:t>
      </w:r>
      <w:r>
        <w:rPr>
          <w:rFonts w:eastAsia="Times New Roman" w:cs="Arial"/>
          <w:color w:val="auto"/>
          <w:sz w:val="20"/>
          <w:szCs w:val="20"/>
        </w:rPr>
        <w:t xml:space="preserve">has classified this investment as an available for sale asset with any changes in value recognised in the Available for Sale Reserve </w:t>
      </w:r>
      <w:r w:rsidRPr="0039437C">
        <w:rPr>
          <w:rFonts w:eastAsia="Times New Roman" w:cs="Arial"/>
          <w:color w:val="auto"/>
          <w:sz w:val="20"/>
          <w:szCs w:val="20"/>
        </w:rPr>
        <w:t>and has recognised any</w:t>
      </w:r>
      <w:r>
        <w:rPr>
          <w:rFonts w:eastAsia="Times New Roman" w:cs="Arial"/>
          <w:color w:val="auto"/>
          <w:sz w:val="20"/>
          <w:szCs w:val="20"/>
        </w:rPr>
        <w:t xml:space="preserve"> dividends </w:t>
      </w:r>
      <w:r w:rsidRPr="0039437C">
        <w:rPr>
          <w:rFonts w:eastAsia="Times New Roman" w:cs="Arial"/>
          <w:color w:val="auto"/>
          <w:sz w:val="20"/>
          <w:szCs w:val="20"/>
        </w:rPr>
        <w:t xml:space="preserve">in year as part of its investment income. </w:t>
      </w:r>
    </w:p>
    <w:p w:rsidR="003A432F" w:rsidRPr="002341C1" w:rsidRDefault="003A432F" w:rsidP="003A432F">
      <w:pPr>
        <w:spacing w:before="100" w:beforeAutospacing="1" w:after="100" w:afterAutospacing="1"/>
        <w:ind w:left="567"/>
        <w:jc w:val="both"/>
        <w:rPr>
          <w:rFonts w:cs="Arial"/>
          <w:b/>
          <w:bCs/>
          <w:color w:val="auto"/>
          <w:sz w:val="20"/>
          <w:szCs w:val="20"/>
          <w:lang w:val="en-US"/>
        </w:rPr>
      </w:pPr>
      <w:r w:rsidRPr="002341C1">
        <w:rPr>
          <w:rFonts w:cs="Arial"/>
          <w:b/>
          <w:bCs/>
          <w:color w:val="auto"/>
          <w:sz w:val="20"/>
          <w:szCs w:val="20"/>
          <w:lang w:val="en-US"/>
        </w:rPr>
        <w:t>Assets carried at Fair Value through Profit and Loss</w:t>
      </w:r>
    </w:p>
    <w:p w:rsidR="003A432F" w:rsidRPr="002341C1" w:rsidRDefault="003A432F" w:rsidP="003A432F">
      <w:pPr>
        <w:spacing w:before="100" w:beforeAutospacing="1" w:after="100" w:afterAutospacing="1"/>
        <w:ind w:left="567"/>
        <w:jc w:val="both"/>
        <w:rPr>
          <w:rFonts w:cs="Arial"/>
          <w:bCs/>
          <w:color w:val="auto"/>
          <w:sz w:val="20"/>
          <w:szCs w:val="20"/>
          <w:lang w:val="en-US"/>
        </w:rPr>
      </w:pPr>
      <w:r w:rsidRPr="002341C1">
        <w:rPr>
          <w:rFonts w:cs="Arial"/>
          <w:bCs/>
          <w:color w:val="auto"/>
          <w:sz w:val="20"/>
          <w:szCs w:val="20"/>
          <w:lang w:val="en-US"/>
        </w:rPr>
        <w:t xml:space="preserve">The Council’s holding with its </w:t>
      </w:r>
      <w:r>
        <w:rPr>
          <w:rFonts w:cs="Arial"/>
          <w:bCs/>
          <w:color w:val="auto"/>
          <w:sz w:val="20"/>
          <w:szCs w:val="20"/>
          <w:lang w:val="en-US"/>
        </w:rPr>
        <w:t xml:space="preserve">sterling liquidity </w:t>
      </w:r>
      <w:r w:rsidRPr="002341C1">
        <w:rPr>
          <w:rFonts w:cs="Arial"/>
          <w:bCs/>
          <w:color w:val="auto"/>
          <w:sz w:val="20"/>
          <w:szCs w:val="20"/>
          <w:lang w:val="en-US"/>
        </w:rPr>
        <w:t xml:space="preserve">fund has been designated as a Financial Asset at Fair Value through Profit and Loss. The definition is met as the Council’s holding is part of a portfolio of identified financial instruments that are managed together and for which there is evidence of a recent pattern of short-term profit making as the </w:t>
      </w:r>
      <w:r>
        <w:rPr>
          <w:rFonts w:cs="Arial"/>
          <w:bCs/>
          <w:color w:val="auto"/>
          <w:sz w:val="20"/>
          <w:szCs w:val="20"/>
          <w:lang w:val="en-US"/>
        </w:rPr>
        <w:t>f</w:t>
      </w:r>
      <w:r w:rsidRPr="002341C1">
        <w:rPr>
          <w:rFonts w:cs="Arial"/>
          <w:bCs/>
          <w:color w:val="auto"/>
          <w:sz w:val="20"/>
          <w:szCs w:val="20"/>
          <w:lang w:val="en-US"/>
        </w:rPr>
        <w:t>und</w:t>
      </w:r>
      <w:r>
        <w:rPr>
          <w:rFonts w:cs="Arial"/>
          <w:bCs/>
          <w:color w:val="auto"/>
          <w:sz w:val="20"/>
          <w:szCs w:val="20"/>
          <w:lang w:val="en-US"/>
        </w:rPr>
        <w:t>’s</w:t>
      </w:r>
      <w:r w:rsidRPr="002341C1">
        <w:rPr>
          <w:rFonts w:cs="Arial"/>
          <w:bCs/>
          <w:color w:val="auto"/>
          <w:sz w:val="20"/>
          <w:szCs w:val="20"/>
          <w:lang w:val="en-US"/>
        </w:rPr>
        <w:t xml:space="preserve"> </w:t>
      </w:r>
      <w:r>
        <w:rPr>
          <w:rFonts w:cs="Arial"/>
          <w:bCs/>
          <w:color w:val="auto"/>
          <w:sz w:val="20"/>
          <w:szCs w:val="20"/>
          <w:lang w:val="en-US"/>
        </w:rPr>
        <w:t>m</w:t>
      </w:r>
      <w:r w:rsidRPr="002341C1">
        <w:rPr>
          <w:rFonts w:cs="Arial"/>
          <w:bCs/>
          <w:color w:val="auto"/>
          <w:sz w:val="20"/>
          <w:szCs w:val="20"/>
          <w:lang w:val="en-US"/>
        </w:rPr>
        <w:t>an</w:t>
      </w:r>
      <w:r>
        <w:rPr>
          <w:rFonts w:cs="Arial"/>
          <w:bCs/>
          <w:color w:val="auto"/>
          <w:sz w:val="20"/>
          <w:szCs w:val="20"/>
          <w:lang w:val="en-US"/>
        </w:rPr>
        <w:t>a</w:t>
      </w:r>
      <w:r w:rsidRPr="002341C1">
        <w:rPr>
          <w:rFonts w:cs="Arial"/>
          <w:bCs/>
          <w:color w:val="auto"/>
          <w:sz w:val="20"/>
          <w:szCs w:val="20"/>
          <w:lang w:val="en-US"/>
        </w:rPr>
        <w:t>ger is a set a benchmark target to achieve for each year.</w:t>
      </w:r>
    </w:p>
    <w:p w:rsidR="003A432F" w:rsidRPr="002341C1" w:rsidRDefault="003A432F" w:rsidP="003A432F">
      <w:pPr>
        <w:spacing w:before="100" w:beforeAutospacing="1" w:after="100" w:afterAutospacing="1"/>
        <w:ind w:left="567"/>
        <w:jc w:val="both"/>
        <w:rPr>
          <w:rFonts w:cs="Arial"/>
          <w:bCs/>
          <w:color w:val="auto"/>
          <w:sz w:val="20"/>
          <w:szCs w:val="20"/>
          <w:lang w:val="en-US"/>
        </w:rPr>
      </w:pPr>
      <w:r w:rsidRPr="002341C1">
        <w:rPr>
          <w:rFonts w:cs="Arial"/>
          <w:bCs/>
          <w:color w:val="auto"/>
          <w:sz w:val="20"/>
          <w:szCs w:val="20"/>
          <w:lang w:val="en-US"/>
        </w:rPr>
        <w:t xml:space="preserve">Any changes in the fair value of the asset are reflected in the carrying value of the asset and the changes in year </w:t>
      </w:r>
      <w:r w:rsidRPr="002341C1">
        <w:rPr>
          <w:rFonts w:cs="Arial"/>
          <w:color w:val="auto"/>
          <w:sz w:val="20"/>
          <w:szCs w:val="20"/>
          <w:lang w:eastAsia="en-GB"/>
        </w:rPr>
        <w:t>credited or debited to the Financing and Investment Income and Expenditure line in the CIES.</w:t>
      </w:r>
      <w:r w:rsidRPr="002341C1">
        <w:rPr>
          <w:rFonts w:cs="Arial"/>
          <w:bCs/>
          <w:color w:val="auto"/>
          <w:sz w:val="20"/>
          <w:szCs w:val="20"/>
          <w:lang w:val="en-US"/>
        </w:rPr>
        <w:t xml:space="preserve"> </w:t>
      </w:r>
    </w:p>
    <w:p w:rsidR="003A432F" w:rsidRPr="00655B85" w:rsidRDefault="000A3927" w:rsidP="000A3927">
      <w:pPr>
        <w:pStyle w:val="Heading1"/>
        <w:spacing w:line="240" w:lineRule="atLeast"/>
        <w:jc w:val="both"/>
        <w:rPr>
          <w:rFonts w:cs="Arial"/>
          <w:b/>
          <w:color w:val="auto"/>
          <w:sz w:val="20"/>
          <w:szCs w:val="20"/>
        </w:rPr>
      </w:pPr>
      <w:r>
        <w:rPr>
          <w:rFonts w:cs="Arial"/>
          <w:b/>
          <w:color w:val="auto"/>
          <w:sz w:val="20"/>
          <w:szCs w:val="20"/>
        </w:rPr>
        <w:t>41.8</w:t>
      </w:r>
      <w:r>
        <w:rPr>
          <w:rFonts w:cs="Arial"/>
          <w:b/>
          <w:color w:val="auto"/>
          <w:sz w:val="20"/>
          <w:szCs w:val="20"/>
        </w:rPr>
        <w:tab/>
      </w:r>
      <w:r w:rsidR="003A432F" w:rsidRPr="00655B85">
        <w:rPr>
          <w:rFonts w:cs="Arial"/>
          <w:b/>
          <w:color w:val="auto"/>
          <w:sz w:val="20"/>
          <w:szCs w:val="20"/>
        </w:rPr>
        <w:t>Government Grants and Contributions</w:t>
      </w:r>
    </w:p>
    <w:p w:rsidR="003A432F" w:rsidRPr="00655B85" w:rsidRDefault="003A432F" w:rsidP="003A432F">
      <w:pPr>
        <w:spacing w:after="0" w:line="240" w:lineRule="auto"/>
        <w:ind w:left="567"/>
        <w:jc w:val="both"/>
        <w:rPr>
          <w:rFonts w:cs="Arial"/>
          <w:color w:val="auto"/>
          <w:sz w:val="20"/>
          <w:szCs w:val="20"/>
          <w:lang w:eastAsia="en-GB"/>
        </w:rPr>
      </w:pPr>
      <w:r w:rsidRPr="00655B85">
        <w:rPr>
          <w:rFonts w:cs="Arial"/>
          <w:color w:val="auto"/>
          <w:sz w:val="20"/>
          <w:szCs w:val="20"/>
          <w:lang w:eastAsia="en-GB"/>
        </w:rPr>
        <w:t>Whether paid on account, by instalments or in arrears, government grants and third party contributions such as developers’ contributions under section 106 agreements</w:t>
      </w:r>
      <w:r>
        <w:rPr>
          <w:rFonts w:cs="Arial"/>
          <w:color w:val="auto"/>
          <w:sz w:val="20"/>
          <w:szCs w:val="20"/>
          <w:lang w:eastAsia="en-GB"/>
        </w:rPr>
        <w:t xml:space="preserve"> or Community Infrastructure Levy (CIL)</w:t>
      </w:r>
      <w:r w:rsidRPr="00655B85">
        <w:rPr>
          <w:rFonts w:cs="Arial"/>
          <w:color w:val="auto"/>
          <w:sz w:val="20"/>
          <w:szCs w:val="20"/>
          <w:lang w:eastAsia="en-GB"/>
        </w:rPr>
        <w:t>, and donations (if any) are recognised as due to the Council when there is reasonable assurance that:</w:t>
      </w:r>
    </w:p>
    <w:p w:rsidR="003A432F" w:rsidRPr="00655B85" w:rsidRDefault="003A432F" w:rsidP="003A432F">
      <w:pPr>
        <w:spacing w:after="0" w:line="240" w:lineRule="auto"/>
        <w:jc w:val="both"/>
        <w:rPr>
          <w:rFonts w:cs="Arial"/>
          <w:color w:val="auto"/>
          <w:sz w:val="20"/>
          <w:szCs w:val="20"/>
          <w:lang w:eastAsia="en-GB"/>
        </w:rPr>
      </w:pPr>
    </w:p>
    <w:p w:rsidR="003A432F" w:rsidRPr="00655B85" w:rsidRDefault="003A432F" w:rsidP="003A432F">
      <w:pPr>
        <w:pStyle w:val="ListParagraph"/>
        <w:numPr>
          <w:ilvl w:val="1"/>
          <w:numId w:val="29"/>
        </w:numPr>
        <w:spacing w:after="0" w:line="240" w:lineRule="auto"/>
        <w:jc w:val="both"/>
        <w:rPr>
          <w:rFonts w:cs="Arial"/>
          <w:color w:val="auto"/>
          <w:sz w:val="20"/>
          <w:szCs w:val="20"/>
          <w:lang w:eastAsia="en-GB"/>
        </w:rPr>
      </w:pPr>
      <w:r w:rsidRPr="00655B85">
        <w:rPr>
          <w:rFonts w:cs="Arial"/>
          <w:color w:val="auto"/>
          <w:sz w:val="20"/>
          <w:szCs w:val="20"/>
          <w:lang w:eastAsia="en-GB"/>
        </w:rPr>
        <w:t>the Council will comply with any conditions attached to the payments, and</w:t>
      </w:r>
    </w:p>
    <w:p w:rsidR="003A432F" w:rsidRPr="00655B85" w:rsidRDefault="003A432F" w:rsidP="003A432F">
      <w:pPr>
        <w:pStyle w:val="ListParagraph"/>
        <w:numPr>
          <w:ilvl w:val="1"/>
          <w:numId w:val="29"/>
        </w:numPr>
        <w:spacing w:after="0" w:line="240" w:lineRule="auto"/>
        <w:jc w:val="both"/>
        <w:rPr>
          <w:rFonts w:cs="Arial"/>
          <w:color w:val="auto"/>
          <w:sz w:val="20"/>
          <w:szCs w:val="20"/>
          <w:lang w:eastAsia="en-GB"/>
        </w:rPr>
      </w:pPr>
      <w:r w:rsidRPr="00655B85">
        <w:rPr>
          <w:rFonts w:cs="Arial"/>
          <w:color w:val="auto"/>
          <w:sz w:val="20"/>
          <w:szCs w:val="20"/>
          <w:lang w:eastAsia="en-GB"/>
        </w:rPr>
        <w:t>the grants or contributions will be received</w:t>
      </w:r>
    </w:p>
    <w:p w:rsidR="003A432F" w:rsidRPr="00655B85" w:rsidRDefault="003A432F" w:rsidP="003A432F">
      <w:pPr>
        <w:spacing w:after="0" w:line="240" w:lineRule="auto"/>
        <w:jc w:val="both"/>
        <w:rPr>
          <w:rFonts w:cs="Arial"/>
          <w:color w:val="auto"/>
          <w:sz w:val="20"/>
          <w:szCs w:val="20"/>
          <w:lang w:eastAsia="en-GB"/>
        </w:rPr>
      </w:pPr>
    </w:p>
    <w:p w:rsidR="003A432F" w:rsidRPr="00655B85" w:rsidRDefault="003A432F" w:rsidP="003A432F">
      <w:pPr>
        <w:spacing w:after="0" w:line="240" w:lineRule="auto"/>
        <w:ind w:left="567"/>
        <w:jc w:val="both"/>
        <w:rPr>
          <w:rFonts w:cs="Arial"/>
          <w:color w:val="auto"/>
          <w:sz w:val="20"/>
          <w:szCs w:val="20"/>
          <w:lang w:eastAsia="en-GB"/>
        </w:rPr>
      </w:pPr>
      <w:r w:rsidRPr="00655B85">
        <w:rPr>
          <w:rFonts w:cs="Arial"/>
          <w:color w:val="auto"/>
          <w:sz w:val="20"/>
          <w:szCs w:val="20"/>
          <w:lang w:eastAsia="en-GB"/>
        </w:rPr>
        <w:t xml:space="preserve">Amounts recognised as due to the Council are not credited to the CIES until the Council has satisfied any conditions attached to the grant or contribution that would require repayment if not met. </w:t>
      </w:r>
    </w:p>
    <w:p w:rsidR="003A432F" w:rsidRPr="00655B85" w:rsidRDefault="003A432F" w:rsidP="003A432F">
      <w:pPr>
        <w:spacing w:after="0" w:line="240" w:lineRule="auto"/>
        <w:ind w:left="567"/>
        <w:jc w:val="both"/>
        <w:rPr>
          <w:rFonts w:cs="Arial"/>
          <w:color w:val="auto"/>
          <w:sz w:val="20"/>
          <w:szCs w:val="20"/>
          <w:lang w:eastAsia="en-GB"/>
        </w:rPr>
      </w:pPr>
    </w:p>
    <w:p w:rsidR="003A432F" w:rsidRPr="00655B85" w:rsidRDefault="003A432F" w:rsidP="003A432F">
      <w:pPr>
        <w:spacing w:after="0" w:line="240" w:lineRule="auto"/>
        <w:ind w:left="567"/>
        <w:jc w:val="both"/>
        <w:rPr>
          <w:rFonts w:cs="Arial"/>
          <w:color w:val="auto"/>
          <w:sz w:val="20"/>
          <w:szCs w:val="20"/>
        </w:rPr>
      </w:pPr>
      <w:r w:rsidRPr="00655B85">
        <w:rPr>
          <w:rFonts w:cs="Arial"/>
          <w:color w:val="auto"/>
          <w:sz w:val="20"/>
          <w:szCs w:val="20"/>
          <w:lang w:eastAsia="en-GB"/>
        </w:rPr>
        <w:t>The grant or contribution is credited to the relevant service line (attributable revenue grants and contributions) or Taxation and Non-specific Grant Income and Expenditure (non-</w:t>
      </w:r>
      <w:proofErr w:type="spellStart"/>
      <w:r w:rsidRPr="00655B85">
        <w:rPr>
          <w:rFonts w:cs="Arial"/>
          <w:color w:val="auto"/>
          <w:sz w:val="20"/>
          <w:szCs w:val="20"/>
          <w:lang w:eastAsia="en-GB"/>
        </w:rPr>
        <w:t>ringfenced</w:t>
      </w:r>
      <w:proofErr w:type="spellEnd"/>
      <w:r w:rsidRPr="00655B85">
        <w:rPr>
          <w:rFonts w:cs="Arial"/>
          <w:color w:val="auto"/>
          <w:sz w:val="20"/>
          <w:szCs w:val="20"/>
          <w:lang w:eastAsia="en-GB"/>
        </w:rPr>
        <w:t xml:space="preserve"> revenue grants and all capital grants) in the CIES. </w:t>
      </w:r>
      <w:r w:rsidRPr="00655B85">
        <w:rPr>
          <w:rFonts w:cs="Arial"/>
          <w:color w:val="auto"/>
          <w:sz w:val="20"/>
          <w:szCs w:val="20"/>
        </w:rPr>
        <w:t xml:space="preserve">The recognition of grants and contributions is on an accruals basis. Developer contributions under S106 </w:t>
      </w:r>
      <w:r>
        <w:rPr>
          <w:rFonts w:cs="Arial"/>
          <w:color w:val="auto"/>
          <w:sz w:val="20"/>
          <w:szCs w:val="20"/>
        </w:rPr>
        <w:t xml:space="preserve">or CIL </w:t>
      </w:r>
      <w:r w:rsidRPr="00655B85">
        <w:rPr>
          <w:rFonts w:cs="Arial"/>
          <w:color w:val="auto"/>
          <w:sz w:val="20"/>
          <w:szCs w:val="20"/>
        </w:rPr>
        <w:t>agreements are presumed to have conditions unless clear evidence to the contrary that would require repayment if not met and are recognised as a receipt in advance.</w:t>
      </w:r>
    </w:p>
    <w:p w:rsidR="003A432F" w:rsidRPr="00A767DD" w:rsidRDefault="003A432F" w:rsidP="003A432F">
      <w:pPr>
        <w:spacing w:after="0" w:line="240" w:lineRule="auto"/>
        <w:ind w:left="567"/>
        <w:jc w:val="both"/>
        <w:rPr>
          <w:rFonts w:cs="Arial"/>
          <w:color w:val="auto"/>
          <w:sz w:val="20"/>
          <w:szCs w:val="20"/>
          <w:highlight w:val="yellow"/>
        </w:rPr>
      </w:pPr>
    </w:p>
    <w:p w:rsidR="003A432F" w:rsidRPr="00521AEB" w:rsidRDefault="000A3927" w:rsidP="000A3927">
      <w:pPr>
        <w:pStyle w:val="Heading1"/>
        <w:spacing w:line="240" w:lineRule="atLeast"/>
        <w:jc w:val="both"/>
        <w:rPr>
          <w:rFonts w:cs="Arial"/>
          <w:b/>
          <w:color w:val="auto"/>
          <w:sz w:val="20"/>
          <w:szCs w:val="20"/>
        </w:rPr>
      </w:pPr>
      <w:r>
        <w:rPr>
          <w:rFonts w:cs="Arial"/>
          <w:b/>
          <w:color w:val="auto"/>
          <w:sz w:val="20"/>
          <w:szCs w:val="20"/>
        </w:rPr>
        <w:t>41.</w:t>
      </w:r>
      <w:r w:rsidR="009D54C9">
        <w:rPr>
          <w:rFonts w:cs="Arial"/>
          <w:b/>
          <w:color w:val="auto"/>
          <w:sz w:val="20"/>
          <w:szCs w:val="20"/>
        </w:rPr>
        <w:t>9</w:t>
      </w:r>
      <w:r>
        <w:rPr>
          <w:rFonts w:cs="Arial"/>
          <w:b/>
          <w:color w:val="auto"/>
          <w:sz w:val="20"/>
          <w:szCs w:val="20"/>
        </w:rPr>
        <w:tab/>
      </w:r>
      <w:r w:rsidR="003A432F" w:rsidRPr="00521AEB">
        <w:rPr>
          <w:rFonts w:cs="Arial"/>
          <w:b/>
          <w:color w:val="auto"/>
          <w:sz w:val="20"/>
          <w:szCs w:val="20"/>
        </w:rPr>
        <w:t>Heritage Assets</w:t>
      </w:r>
    </w:p>
    <w:p w:rsidR="003A432F" w:rsidRPr="00521AEB" w:rsidRDefault="003A432F" w:rsidP="003A432F">
      <w:pPr>
        <w:autoSpaceDE w:val="0"/>
        <w:autoSpaceDN w:val="0"/>
        <w:adjustRightInd w:val="0"/>
        <w:spacing w:before="100" w:after="100" w:line="240" w:lineRule="auto"/>
        <w:ind w:left="567"/>
        <w:jc w:val="both"/>
        <w:rPr>
          <w:rFonts w:cs="Arial"/>
          <w:color w:val="auto"/>
          <w:sz w:val="20"/>
          <w:szCs w:val="20"/>
          <w:lang w:eastAsia="en-GB"/>
        </w:rPr>
      </w:pPr>
      <w:r w:rsidRPr="00521AEB">
        <w:rPr>
          <w:rFonts w:cs="Arial"/>
          <w:color w:val="auto"/>
          <w:sz w:val="20"/>
          <w:szCs w:val="20"/>
          <w:lang w:eastAsia="en-GB"/>
        </w:rPr>
        <w:t xml:space="preserve">Subject to a de </w:t>
      </w:r>
      <w:proofErr w:type="spellStart"/>
      <w:r w:rsidRPr="00521AEB">
        <w:rPr>
          <w:rFonts w:cs="Arial"/>
          <w:color w:val="auto"/>
          <w:sz w:val="20"/>
          <w:szCs w:val="20"/>
          <w:lang w:eastAsia="en-GB"/>
        </w:rPr>
        <w:t>minimis</w:t>
      </w:r>
      <w:proofErr w:type="spellEnd"/>
      <w:r w:rsidRPr="00521AEB">
        <w:rPr>
          <w:rFonts w:cs="Arial"/>
          <w:color w:val="auto"/>
          <w:sz w:val="20"/>
          <w:szCs w:val="20"/>
          <w:lang w:eastAsia="en-GB"/>
        </w:rPr>
        <w:t xml:space="preserve"> of £50,000, expenditure on, or the value of donated heritage asserts, are capitalised where the Council has information on the cost or value of the heritage asset. Within one location a number of articles have been grouped into a single collection which is accounted for as an individual Heritage asset.</w:t>
      </w:r>
    </w:p>
    <w:p w:rsidR="00AE79CA" w:rsidRDefault="00AE79CA" w:rsidP="003A432F">
      <w:pPr>
        <w:pStyle w:val="Heading1"/>
        <w:spacing w:line="240" w:lineRule="atLeast"/>
        <w:ind w:left="567"/>
        <w:jc w:val="both"/>
        <w:rPr>
          <w:rFonts w:cs="Arial"/>
          <w:b/>
          <w:color w:val="auto"/>
          <w:sz w:val="20"/>
          <w:szCs w:val="20"/>
        </w:rPr>
      </w:pPr>
    </w:p>
    <w:p w:rsidR="003A432F" w:rsidRPr="00CE346D" w:rsidRDefault="000A3927" w:rsidP="000A3927">
      <w:pPr>
        <w:pStyle w:val="Heading1"/>
        <w:spacing w:line="240" w:lineRule="atLeast"/>
        <w:jc w:val="both"/>
        <w:rPr>
          <w:rFonts w:cs="Arial"/>
          <w:b/>
          <w:color w:val="auto"/>
          <w:sz w:val="20"/>
          <w:szCs w:val="20"/>
        </w:rPr>
      </w:pPr>
      <w:r>
        <w:rPr>
          <w:rFonts w:cs="Arial"/>
          <w:b/>
          <w:color w:val="auto"/>
          <w:sz w:val="20"/>
          <w:szCs w:val="20"/>
        </w:rPr>
        <w:t>41.1</w:t>
      </w:r>
      <w:r w:rsidR="009D54C9">
        <w:rPr>
          <w:rFonts w:cs="Arial"/>
          <w:b/>
          <w:color w:val="auto"/>
          <w:sz w:val="20"/>
          <w:szCs w:val="20"/>
        </w:rPr>
        <w:t>0</w:t>
      </w:r>
      <w:r>
        <w:rPr>
          <w:rFonts w:cs="Arial"/>
          <w:b/>
          <w:color w:val="auto"/>
          <w:sz w:val="20"/>
          <w:szCs w:val="20"/>
        </w:rPr>
        <w:tab/>
      </w:r>
      <w:r w:rsidR="003A432F" w:rsidRPr="00CE346D">
        <w:rPr>
          <w:rFonts w:cs="Arial"/>
          <w:b/>
          <w:color w:val="auto"/>
          <w:sz w:val="20"/>
          <w:szCs w:val="20"/>
        </w:rPr>
        <w:t>Interests in Companies and other Entities</w:t>
      </w:r>
    </w:p>
    <w:p w:rsidR="003A432F" w:rsidRPr="00CE346D" w:rsidRDefault="003A432F" w:rsidP="003A432F">
      <w:pPr>
        <w:autoSpaceDE w:val="0"/>
        <w:autoSpaceDN w:val="0"/>
        <w:ind w:left="567"/>
        <w:jc w:val="both"/>
        <w:rPr>
          <w:rFonts w:cs="Arial"/>
          <w:color w:val="auto"/>
          <w:sz w:val="20"/>
          <w:szCs w:val="20"/>
          <w:lang w:eastAsia="en-GB"/>
        </w:rPr>
      </w:pPr>
      <w:r w:rsidRPr="00CE346D">
        <w:rPr>
          <w:rFonts w:cs="Arial"/>
          <w:color w:val="auto"/>
          <w:sz w:val="20"/>
          <w:szCs w:val="20"/>
          <w:lang w:eastAsia="en-GB"/>
        </w:rPr>
        <w:t xml:space="preserve">The Council has material interests in companies and other entities that have the nature of subsidiaries and associates. In the Council's own single-entity accounts, the interests in companies and other entities are recorded as financial assets at cost or fair value.  </w:t>
      </w:r>
      <w:r>
        <w:rPr>
          <w:rFonts w:cs="Arial"/>
          <w:color w:val="auto"/>
          <w:sz w:val="20"/>
          <w:szCs w:val="20"/>
          <w:lang w:eastAsia="en-GB"/>
        </w:rPr>
        <w:t xml:space="preserve">In the year </w:t>
      </w:r>
      <w:r w:rsidRPr="00CE346D">
        <w:rPr>
          <w:rFonts w:cs="Arial"/>
          <w:color w:val="auto"/>
          <w:sz w:val="20"/>
          <w:szCs w:val="20"/>
          <w:lang w:eastAsia="en-GB"/>
        </w:rPr>
        <w:t>the value of the Council’s interests in these companies, after consolidation of inter group balances, is not considered to be sufficiently material to require the production of group accounts for the Council.</w:t>
      </w:r>
    </w:p>
    <w:p w:rsidR="003A432F" w:rsidRPr="00D143A5" w:rsidRDefault="003A432F" w:rsidP="003A432F">
      <w:pPr>
        <w:spacing w:before="100" w:beforeAutospacing="1" w:after="100" w:afterAutospacing="1"/>
        <w:ind w:left="567"/>
        <w:jc w:val="both"/>
        <w:rPr>
          <w:color w:val="auto"/>
          <w:sz w:val="20"/>
          <w:szCs w:val="20"/>
        </w:rPr>
      </w:pPr>
      <w:r w:rsidRPr="00D143A5">
        <w:rPr>
          <w:color w:val="auto"/>
          <w:sz w:val="20"/>
          <w:szCs w:val="20"/>
        </w:rPr>
        <w:t xml:space="preserve">Where the purpose of the subsidiary is primarily to provide services on behalf of the council, the initial and subsequent recognition of the Council's investment in its subsidiaries is at the nominal value of the shares held, unless the loss falls below the nominal value of the shares when </w:t>
      </w:r>
      <w:r w:rsidRPr="00D143A5">
        <w:rPr>
          <w:color w:val="auto"/>
          <w:sz w:val="20"/>
          <w:szCs w:val="20"/>
        </w:rPr>
        <w:lastRenderedPageBreak/>
        <w:t>impairment will be recognised. Where a subsidiary company has its own subsidiary companies the investment will continue to be at the nominal value of the shares held.</w:t>
      </w:r>
    </w:p>
    <w:p w:rsidR="003A432F" w:rsidRPr="00CE346D" w:rsidRDefault="003A432F" w:rsidP="003A432F">
      <w:pPr>
        <w:autoSpaceDE w:val="0"/>
        <w:autoSpaceDN w:val="0"/>
        <w:ind w:left="567"/>
        <w:jc w:val="both"/>
        <w:rPr>
          <w:rFonts w:cs="Arial"/>
          <w:color w:val="auto"/>
          <w:sz w:val="20"/>
          <w:szCs w:val="20"/>
          <w:u w:val="single"/>
          <w:lang w:eastAsia="en-GB"/>
        </w:rPr>
      </w:pPr>
      <w:r w:rsidRPr="00CE346D">
        <w:rPr>
          <w:rFonts w:cs="Arial"/>
          <w:color w:val="auto"/>
          <w:sz w:val="20"/>
          <w:szCs w:val="20"/>
          <w:lang w:eastAsia="en-GB"/>
        </w:rPr>
        <w:t xml:space="preserve">The Council recognises the value of its other interests in companies, such as associates, at cost. </w:t>
      </w:r>
    </w:p>
    <w:p w:rsidR="003A432F" w:rsidRPr="000B2560" w:rsidRDefault="003A432F" w:rsidP="003A432F">
      <w:pPr>
        <w:pStyle w:val="BodyTextIndent"/>
        <w:ind w:left="567"/>
        <w:jc w:val="both"/>
        <w:rPr>
          <w:rFonts w:cs="Arial"/>
          <w:b/>
          <w:color w:val="auto"/>
          <w:sz w:val="20"/>
          <w:szCs w:val="20"/>
        </w:rPr>
      </w:pPr>
      <w:r w:rsidRPr="000B2560">
        <w:rPr>
          <w:rFonts w:cs="Arial"/>
          <w:b/>
          <w:color w:val="auto"/>
          <w:sz w:val="20"/>
          <w:szCs w:val="20"/>
        </w:rPr>
        <w:t>Other Entities</w:t>
      </w:r>
    </w:p>
    <w:p w:rsidR="003A432F" w:rsidRPr="000B2560" w:rsidRDefault="003A432F" w:rsidP="003A432F">
      <w:pPr>
        <w:pStyle w:val="BodyTextIndent"/>
        <w:ind w:left="567"/>
        <w:jc w:val="both"/>
        <w:rPr>
          <w:rFonts w:cs="Arial"/>
          <w:b/>
          <w:color w:val="auto"/>
          <w:sz w:val="20"/>
          <w:szCs w:val="20"/>
        </w:rPr>
      </w:pPr>
      <w:r w:rsidRPr="000B2560">
        <w:rPr>
          <w:rFonts w:cs="Arial"/>
          <w:b/>
          <w:color w:val="auto"/>
          <w:sz w:val="20"/>
          <w:szCs w:val="20"/>
        </w:rPr>
        <w:t xml:space="preserve">Torbay and South Devon </w:t>
      </w:r>
      <w:r>
        <w:rPr>
          <w:rFonts w:cs="Arial"/>
          <w:b/>
          <w:color w:val="auto"/>
          <w:sz w:val="20"/>
          <w:szCs w:val="20"/>
        </w:rPr>
        <w:t>Foundation Trust</w:t>
      </w:r>
    </w:p>
    <w:p w:rsidR="003A432F" w:rsidRPr="000B2560" w:rsidRDefault="003A432F" w:rsidP="003A432F">
      <w:pPr>
        <w:pStyle w:val="BodyTextIndent"/>
        <w:ind w:left="567"/>
        <w:jc w:val="both"/>
        <w:rPr>
          <w:rFonts w:cs="Arial"/>
          <w:color w:val="auto"/>
          <w:sz w:val="20"/>
          <w:szCs w:val="20"/>
        </w:rPr>
      </w:pPr>
      <w:r w:rsidRPr="000B2560">
        <w:rPr>
          <w:rFonts w:cs="Arial"/>
          <w:color w:val="auto"/>
          <w:sz w:val="20"/>
          <w:szCs w:val="20"/>
        </w:rPr>
        <w:t>The Council entered a “partnership agreement” with Torbay Care Trust (formerly Torbay Primary Care Trust) on the 1</w:t>
      </w:r>
      <w:r w:rsidRPr="000B2560">
        <w:rPr>
          <w:rFonts w:cs="Arial"/>
          <w:color w:val="auto"/>
          <w:sz w:val="20"/>
          <w:szCs w:val="20"/>
          <w:vertAlign w:val="superscript"/>
        </w:rPr>
        <w:t>st</w:t>
      </w:r>
      <w:r w:rsidRPr="000B2560">
        <w:rPr>
          <w:rFonts w:cs="Arial"/>
          <w:color w:val="auto"/>
          <w:sz w:val="20"/>
          <w:szCs w:val="20"/>
        </w:rPr>
        <w:t xml:space="preserve"> December 2005.  From April 2013 the Care Trust was split into a Clinical Commissioning Group (CCG) and the Torbay and South Devon Health and Care NHS Trust with the Council’s agreement continuing with the latter. Subsequently from October 2015 The Torbay and South Devon Foundation Trust “acquired” the NHS Trust with the Council’s agreement now with the Foundation Trust. As part of this new arrangement the Council has entered into a risk share agreement with the Foundation Trust and Torbay and South Devon Clinical Commissioning Group where the Council’s risk is 9% of the total financial position of the Foundation Trust. The Trust are accounting for the partnership on the basis that the Council is funding the Trust to undertake delegated activities. The Trust will account for income and expenditure on the Adult Social Care functions in the appropriate service category and will account for the funding received for the Council as “providing” income. The Council will show the funding paid to the Trust for providing the delegated functions within its Income and Expenditure Account.</w:t>
      </w:r>
    </w:p>
    <w:p w:rsidR="003A432F" w:rsidRPr="001A2E4B" w:rsidRDefault="003A432F" w:rsidP="003A432F">
      <w:pPr>
        <w:autoSpaceDE w:val="0"/>
        <w:autoSpaceDN w:val="0"/>
        <w:ind w:left="567"/>
        <w:jc w:val="both"/>
        <w:rPr>
          <w:rFonts w:cs="Arial"/>
          <w:b/>
          <w:bCs/>
          <w:color w:val="auto"/>
          <w:sz w:val="20"/>
          <w:szCs w:val="20"/>
          <w:lang w:eastAsia="en-GB"/>
        </w:rPr>
      </w:pPr>
      <w:r w:rsidRPr="001A2E4B">
        <w:rPr>
          <w:rFonts w:cs="Arial"/>
          <w:b/>
          <w:bCs/>
          <w:color w:val="auto"/>
          <w:sz w:val="20"/>
          <w:szCs w:val="20"/>
          <w:lang w:eastAsia="en-GB"/>
        </w:rPr>
        <w:t>Better Care Fund</w:t>
      </w:r>
    </w:p>
    <w:p w:rsidR="003A432F" w:rsidRDefault="003A432F" w:rsidP="003A432F">
      <w:pPr>
        <w:autoSpaceDE w:val="0"/>
        <w:autoSpaceDN w:val="0"/>
        <w:ind w:left="567"/>
        <w:jc w:val="both"/>
        <w:rPr>
          <w:rFonts w:cs="Arial"/>
          <w:bCs/>
          <w:color w:val="auto"/>
          <w:sz w:val="20"/>
          <w:szCs w:val="20"/>
          <w:lang w:eastAsia="en-GB"/>
        </w:rPr>
      </w:pPr>
      <w:r w:rsidRPr="001A2E4B">
        <w:rPr>
          <w:rFonts w:cs="Arial"/>
          <w:bCs/>
          <w:color w:val="auto"/>
          <w:sz w:val="20"/>
          <w:szCs w:val="20"/>
          <w:lang w:eastAsia="en-GB"/>
        </w:rPr>
        <w:t>From April 2015 Torbay Council with the Torbay and South Devon Clinical Commissioning</w:t>
      </w:r>
      <w:r>
        <w:rPr>
          <w:rFonts w:cs="Arial"/>
          <w:bCs/>
          <w:color w:val="auto"/>
          <w:sz w:val="20"/>
          <w:szCs w:val="20"/>
          <w:lang w:eastAsia="en-GB"/>
        </w:rPr>
        <w:t xml:space="preserve"> Group (CCG) jointly received funding as part of the Better Care Fund initiative. The majority of the Better Care Fund is a managed by </w:t>
      </w:r>
      <w:proofErr w:type="gramStart"/>
      <w:r>
        <w:rPr>
          <w:rFonts w:cs="Arial"/>
          <w:bCs/>
          <w:color w:val="auto"/>
          <w:sz w:val="20"/>
          <w:szCs w:val="20"/>
          <w:lang w:eastAsia="en-GB"/>
        </w:rPr>
        <w:t>a</w:t>
      </w:r>
      <w:proofErr w:type="gramEnd"/>
      <w:r>
        <w:rPr>
          <w:rFonts w:cs="Arial"/>
          <w:bCs/>
          <w:color w:val="auto"/>
          <w:sz w:val="20"/>
          <w:szCs w:val="20"/>
          <w:lang w:eastAsia="en-GB"/>
        </w:rPr>
        <w:t xml:space="preserve"> s75 pooled budget with the CCG as host – capital funding is excluded. The control of the expenditure in the pooled budget is jointly controlled between the two bodies with any under/overspends shared equally between the two partners. Expenditure and income associated with the pooled budget are accounted for in line with contributions from the two partners in year which are assumed to be the relevant “share”. </w:t>
      </w:r>
    </w:p>
    <w:p w:rsidR="003A432F" w:rsidRDefault="003A432F" w:rsidP="003A432F">
      <w:pPr>
        <w:pStyle w:val="BodyTextIndent"/>
        <w:ind w:left="567"/>
        <w:jc w:val="both"/>
        <w:rPr>
          <w:rFonts w:cs="Arial"/>
          <w:color w:val="auto"/>
          <w:sz w:val="20"/>
          <w:szCs w:val="20"/>
        </w:rPr>
      </w:pPr>
      <w:r w:rsidRPr="001A2E4B">
        <w:rPr>
          <w:rFonts w:cs="Arial"/>
          <w:color w:val="auto"/>
          <w:sz w:val="20"/>
          <w:szCs w:val="20"/>
        </w:rPr>
        <w:t xml:space="preserve">The Council receives </w:t>
      </w:r>
      <w:r>
        <w:rPr>
          <w:rFonts w:cs="Arial"/>
          <w:color w:val="auto"/>
          <w:sz w:val="20"/>
          <w:szCs w:val="20"/>
        </w:rPr>
        <w:t>the former “</w:t>
      </w:r>
      <w:r w:rsidRPr="001A2E4B">
        <w:rPr>
          <w:rFonts w:cs="Arial"/>
          <w:color w:val="auto"/>
          <w:sz w:val="20"/>
          <w:szCs w:val="20"/>
        </w:rPr>
        <w:t>S256</w:t>
      </w:r>
      <w:r>
        <w:rPr>
          <w:rFonts w:cs="Arial"/>
          <w:color w:val="auto"/>
          <w:sz w:val="20"/>
          <w:szCs w:val="20"/>
        </w:rPr>
        <w:t>”</w:t>
      </w:r>
      <w:r w:rsidRPr="001A2E4B">
        <w:rPr>
          <w:rFonts w:cs="Arial"/>
          <w:color w:val="auto"/>
          <w:sz w:val="20"/>
          <w:szCs w:val="20"/>
        </w:rPr>
        <w:t xml:space="preserve"> fund</w:t>
      </w:r>
      <w:r>
        <w:rPr>
          <w:rFonts w:cs="Arial"/>
          <w:color w:val="auto"/>
          <w:sz w:val="20"/>
          <w:szCs w:val="20"/>
        </w:rPr>
        <w:t xml:space="preserve"> allocation</w:t>
      </w:r>
      <w:r w:rsidRPr="001A2E4B">
        <w:rPr>
          <w:rFonts w:cs="Arial"/>
          <w:color w:val="auto"/>
          <w:sz w:val="20"/>
          <w:szCs w:val="20"/>
        </w:rPr>
        <w:t xml:space="preserve"> from the </w:t>
      </w:r>
      <w:r>
        <w:rPr>
          <w:rFonts w:cs="Arial"/>
          <w:color w:val="auto"/>
          <w:sz w:val="20"/>
          <w:szCs w:val="20"/>
        </w:rPr>
        <w:t xml:space="preserve">Better Care Fund </w:t>
      </w:r>
      <w:r w:rsidRPr="001A2E4B">
        <w:rPr>
          <w:rFonts w:cs="Arial"/>
          <w:color w:val="auto"/>
          <w:sz w:val="20"/>
          <w:szCs w:val="20"/>
        </w:rPr>
        <w:t xml:space="preserve">to be used to support social care. This has been treated as income </w:t>
      </w:r>
      <w:r>
        <w:rPr>
          <w:rFonts w:cs="Arial"/>
          <w:color w:val="auto"/>
          <w:sz w:val="20"/>
          <w:szCs w:val="20"/>
        </w:rPr>
        <w:t xml:space="preserve">and expenditure </w:t>
      </w:r>
      <w:r w:rsidRPr="001A2E4B">
        <w:rPr>
          <w:rFonts w:cs="Arial"/>
          <w:color w:val="auto"/>
          <w:sz w:val="20"/>
          <w:szCs w:val="20"/>
        </w:rPr>
        <w:t>in the Cost of Services.</w:t>
      </w:r>
    </w:p>
    <w:p w:rsidR="003A432F" w:rsidRPr="00A704E5" w:rsidRDefault="003A432F" w:rsidP="003A432F">
      <w:pPr>
        <w:pStyle w:val="BodyTextIndent"/>
        <w:ind w:left="567"/>
        <w:jc w:val="both"/>
        <w:rPr>
          <w:rFonts w:cs="Arial"/>
          <w:color w:val="auto"/>
          <w:sz w:val="20"/>
          <w:szCs w:val="20"/>
        </w:rPr>
      </w:pPr>
      <w:r>
        <w:rPr>
          <w:rFonts w:cs="Arial"/>
          <w:color w:val="auto"/>
          <w:sz w:val="20"/>
          <w:szCs w:val="20"/>
        </w:rPr>
        <w:t>T</w:t>
      </w:r>
      <w:r w:rsidRPr="00A704E5">
        <w:rPr>
          <w:rFonts w:cs="Arial"/>
          <w:color w:val="auto"/>
          <w:sz w:val="20"/>
          <w:szCs w:val="20"/>
        </w:rPr>
        <w:t>he Council receive</w:t>
      </w:r>
      <w:r>
        <w:rPr>
          <w:rFonts w:cs="Arial"/>
          <w:color w:val="auto"/>
          <w:sz w:val="20"/>
          <w:szCs w:val="20"/>
        </w:rPr>
        <w:t>s</w:t>
      </w:r>
      <w:r w:rsidRPr="00A704E5">
        <w:rPr>
          <w:rFonts w:cs="Arial"/>
          <w:color w:val="auto"/>
          <w:sz w:val="20"/>
          <w:szCs w:val="20"/>
        </w:rPr>
        <w:t xml:space="preserve"> funding for adult social care from the Improved Better Care Fund. Although the funding is reported and monitored as part of the Better Care Fund with the CCG, the IBCF funding is </w:t>
      </w:r>
      <w:r>
        <w:rPr>
          <w:rFonts w:cs="Arial"/>
          <w:color w:val="auto"/>
          <w:sz w:val="20"/>
          <w:szCs w:val="20"/>
        </w:rPr>
        <w:t xml:space="preserve">excluded from the </w:t>
      </w:r>
      <w:r w:rsidRPr="00A704E5">
        <w:rPr>
          <w:rFonts w:cs="Arial"/>
          <w:color w:val="auto"/>
          <w:sz w:val="20"/>
          <w:szCs w:val="20"/>
        </w:rPr>
        <w:t xml:space="preserve">s75 </w:t>
      </w:r>
      <w:r>
        <w:rPr>
          <w:rFonts w:cs="Arial"/>
          <w:color w:val="auto"/>
          <w:sz w:val="20"/>
          <w:szCs w:val="20"/>
        </w:rPr>
        <w:t>pooled budget.</w:t>
      </w:r>
    </w:p>
    <w:p w:rsidR="003A432F" w:rsidRPr="002D3E2A" w:rsidRDefault="003A432F" w:rsidP="00AE79CA">
      <w:pPr>
        <w:pStyle w:val="Heading1"/>
        <w:spacing w:line="240" w:lineRule="atLeast"/>
        <w:ind w:left="567"/>
        <w:jc w:val="both"/>
        <w:rPr>
          <w:rFonts w:cs="Arial"/>
          <w:b/>
          <w:color w:val="auto"/>
          <w:sz w:val="20"/>
          <w:szCs w:val="20"/>
        </w:rPr>
      </w:pPr>
      <w:r>
        <w:rPr>
          <w:rFonts w:cs="Arial"/>
          <w:b/>
          <w:color w:val="auto"/>
          <w:sz w:val="20"/>
          <w:szCs w:val="20"/>
        </w:rPr>
        <w:t>Investment Properties</w:t>
      </w:r>
    </w:p>
    <w:p w:rsidR="003A432F" w:rsidRDefault="003A432F" w:rsidP="003A432F">
      <w:pPr>
        <w:autoSpaceDE w:val="0"/>
        <w:autoSpaceDN w:val="0"/>
        <w:ind w:left="567"/>
        <w:jc w:val="both"/>
        <w:rPr>
          <w:rFonts w:eastAsia="Times New Roman" w:cs="Arial"/>
          <w:color w:val="auto"/>
          <w:sz w:val="20"/>
          <w:szCs w:val="20"/>
          <w:lang w:eastAsia="en-GB"/>
        </w:rPr>
      </w:pPr>
      <w:r w:rsidRPr="002D3E2A">
        <w:rPr>
          <w:rFonts w:cs="Arial"/>
          <w:color w:val="auto"/>
          <w:sz w:val="20"/>
          <w:szCs w:val="20"/>
          <w:lang w:eastAsia="en-GB"/>
        </w:rPr>
        <w:t xml:space="preserve">Investment properties are those that are </w:t>
      </w:r>
      <w:r>
        <w:rPr>
          <w:rFonts w:cs="Arial"/>
          <w:color w:val="auto"/>
          <w:sz w:val="20"/>
          <w:szCs w:val="20"/>
          <w:lang w:eastAsia="en-GB"/>
        </w:rPr>
        <w:t>held</w:t>
      </w:r>
      <w:r w:rsidRPr="002D3E2A">
        <w:rPr>
          <w:rFonts w:cs="Arial"/>
          <w:color w:val="auto"/>
          <w:sz w:val="20"/>
          <w:szCs w:val="20"/>
          <w:lang w:eastAsia="en-GB"/>
        </w:rPr>
        <w:t xml:space="preserve"> solely to earn rentals and/or for capital appreciation. Investment properties are measured initially at cost and subsequently on an annual at fair value.</w:t>
      </w:r>
      <w:r w:rsidRPr="002D3E2A">
        <w:rPr>
          <w:rFonts w:eastAsia="Times New Roman" w:cs="Arial"/>
          <w:color w:val="auto"/>
          <w:sz w:val="20"/>
          <w:szCs w:val="20"/>
          <w:lang w:eastAsia="en-GB"/>
        </w:rPr>
        <w:t xml:space="preserve"> </w:t>
      </w:r>
    </w:p>
    <w:p w:rsidR="003A432F" w:rsidRPr="00AA594F" w:rsidRDefault="003A432F" w:rsidP="003A432F">
      <w:pPr>
        <w:autoSpaceDE w:val="0"/>
        <w:autoSpaceDN w:val="0"/>
        <w:ind w:left="567"/>
        <w:jc w:val="both"/>
        <w:rPr>
          <w:rFonts w:cs="Arial"/>
          <w:i/>
          <w:color w:val="auto"/>
          <w:sz w:val="20"/>
          <w:szCs w:val="20"/>
          <w:lang w:eastAsia="en-GB"/>
        </w:rPr>
      </w:pPr>
      <w:r>
        <w:rPr>
          <w:rFonts w:eastAsia="Times New Roman" w:cs="Arial"/>
          <w:color w:val="auto"/>
          <w:sz w:val="20"/>
          <w:szCs w:val="20"/>
          <w:lang w:eastAsia="en-GB"/>
        </w:rPr>
        <w:t xml:space="preserve">Investment </w:t>
      </w:r>
      <w:r w:rsidRPr="00624396">
        <w:rPr>
          <w:rFonts w:eastAsia="Times New Roman" w:cs="Arial"/>
          <w:color w:val="auto"/>
          <w:sz w:val="20"/>
          <w:szCs w:val="20"/>
          <w:lang w:eastAsia="en-GB"/>
        </w:rPr>
        <w:t>p</w:t>
      </w:r>
      <w:r w:rsidRPr="00624396">
        <w:rPr>
          <w:rFonts w:cs="Arial"/>
          <w:color w:val="auto"/>
          <w:sz w:val="20"/>
          <w:szCs w:val="20"/>
          <w:lang w:eastAsia="en-GB"/>
        </w:rPr>
        <w:t>roperties are not depreciated. Gains and losses on revaluation are posted to the Financing and Investment Income and Expenditure line in the CIES. The same treatment is applied to gains and losses on disposal.</w:t>
      </w:r>
      <w:r w:rsidRPr="00624396">
        <w:rPr>
          <w:rFonts w:cs="Arial"/>
          <w:color w:val="auto"/>
        </w:rPr>
        <w:t xml:space="preserve"> </w:t>
      </w:r>
      <w:r w:rsidRPr="00624396">
        <w:rPr>
          <w:rFonts w:cs="Arial"/>
          <w:color w:val="auto"/>
          <w:sz w:val="20"/>
          <w:szCs w:val="20"/>
        </w:rPr>
        <w:t>Any net increase in value prior to the asset being classified as an investment property is held and ‘frozen’ in the Revaluation Reserve until the asset is disposed or reclassified.</w:t>
      </w:r>
    </w:p>
    <w:p w:rsidR="003A432F" w:rsidRPr="008D2470" w:rsidRDefault="000A3927" w:rsidP="000A3927">
      <w:pPr>
        <w:pStyle w:val="Heading1"/>
        <w:spacing w:line="240" w:lineRule="atLeast"/>
        <w:jc w:val="both"/>
        <w:rPr>
          <w:rFonts w:cs="Arial"/>
          <w:b/>
          <w:color w:val="auto"/>
          <w:sz w:val="20"/>
          <w:szCs w:val="20"/>
        </w:rPr>
      </w:pPr>
      <w:r>
        <w:rPr>
          <w:rFonts w:cs="Arial"/>
          <w:b/>
          <w:color w:val="auto"/>
          <w:sz w:val="20"/>
          <w:szCs w:val="20"/>
        </w:rPr>
        <w:t>41.1</w:t>
      </w:r>
      <w:r w:rsidR="009D54C9">
        <w:rPr>
          <w:rFonts w:cs="Arial"/>
          <w:b/>
          <w:color w:val="auto"/>
          <w:sz w:val="20"/>
          <w:szCs w:val="20"/>
        </w:rPr>
        <w:t>1</w:t>
      </w:r>
      <w:r>
        <w:rPr>
          <w:rFonts w:cs="Arial"/>
          <w:b/>
          <w:color w:val="auto"/>
          <w:sz w:val="20"/>
          <w:szCs w:val="20"/>
        </w:rPr>
        <w:tab/>
      </w:r>
      <w:r w:rsidR="003A432F" w:rsidRPr="008D2470">
        <w:rPr>
          <w:rFonts w:cs="Arial"/>
          <w:b/>
          <w:color w:val="auto"/>
          <w:sz w:val="20"/>
          <w:szCs w:val="20"/>
        </w:rPr>
        <w:t xml:space="preserve"> Leases </w:t>
      </w:r>
    </w:p>
    <w:p w:rsidR="003A432F" w:rsidRPr="008D2470" w:rsidRDefault="003A432F" w:rsidP="003A432F">
      <w:pPr>
        <w:spacing w:after="0" w:line="240" w:lineRule="auto"/>
        <w:jc w:val="both"/>
        <w:rPr>
          <w:color w:val="auto"/>
          <w:sz w:val="14"/>
          <w:szCs w:val="14"/>
        </w:rPr>
      </w:pPr>
    </w:p>
    <w:p w:rsidR="003A432F" w:rsidRPr="008D2470" w:rsidRDefault="003A432F" w:rsidP="003A432F">
      <w:pPr>
        <w:pStyle w:val="BodyTextIndent"/>
        <w:ind w:left="567"/>
        <w:jc w:val="both"/>
        <w:rPr>
          <w:rFonts w:cs="Arial"/>
          <w:bCs/>
          <w:color w:val="auto"/>
          <w:sz w:val="20"/>
          <w:szCs w:val="20"/>
          <w:lang w:eastAsia="en-GB"/>
        </w:rPr>
      </w:pPr>
      <w:r w:rsidRPr="008D2470">
        <w:rPr>
          <w:rFonts w:cs="Arial"/>
          <w:color w:val="auto"/>
          <w:sz w:val="20"/>
          <w:szCs w:val="20"/>
        </w:rPr>
        <w:t xml:space="preserve">The Council’s leases relate mainly to property where the Council both leases in and leases out property. </w:t>
      </w:r>
      <w:r w:rsidRPr="008D2470">
        <w:rPr>
          <w:rFonts w:cs="Arial"/>
          <w:color w:val="auto"/>
          <w:sz w:val="20"/>
          <w:szCs w:val="20"/>
          <w:lang w:eastAsia="en-GB"/>
        </w:rPr>
        <w:t>The Council has considered all its leases for possible classification as finance or operating leases. The Council presumes a lease to be an operating lease unless there is evidence to the contrary and it is material to the accounts that a lease is classified as a finance lease.</w:t>
      </w:r>
    </w:p>
    <w:p w:rsidR="003A432F" w:rsidRPr="008D2470" w:rsidRDefault="003A432F" w:rsidP="003A432F">
      <w:pPr>
        <w:spacing w:after="0" w:line="240" w:lineRule="auto"/>
        <w:ind w:left="567"/>
        <w:jc w:val="both"/>
        <w:rPr>
          <w:rFonts w:cs="Arial"/>
          <w:bCs/>
          <w:color w:val="auto"/>
          <w:sz w:val="20"/>
          <w:szCs w:val="20"/>
          <w:lang w:eastAsia="en-GB"/>
        </w:rPr>
      </w:pPr>
      <w:r w:rsidRPr="008D2470">
        <w:rPr>
          <w:rFonts w:cs="Arial"/>
          <w:bCs/>
          <w:color w:val="auto"/>
          <w:sz w:val="20"/>
          <w:szCs w:val="20"/>
          <w:lang w:eastAsia="en-GB"/>
        </w:rPr>
        <w:lastRenderedPageBreak/>
        <w:t>Leases are classified as finance leases where the terms of the lease transfer substantially all the risks and rewards incidental to ownership of the property, plant or equipment from the lessor to the lessee. All other leases are classified as operating leases.</w:t>
      </w:r>
    </w:p>
    <w:p w:rsidR="003A432F" w:rsidRPr="00A767DD" w:rsidRDefault="003A432F" w:rsidP="003A432F">
      <w:pPr>
        <w:spacing w:after="0" w:line="240" w:lineRule="auto"/>
        <w:jc w:val="both"/>
        <w:rPr>
          <w:rFonts w:cs="Arial"/>
          <w:bCs/>
          <w:color w:val="auto"/>
          <w:sz w:val="20"/>
          <w:szCs w:val="20"/>
          <w:highlight w:val="yellow"/>
          <w:lang w:eastAsia="en-GB"/>
        </w:rPr>
      </w:pPr>
    </w:p>
    <w:p w:rsidR="003A432F" w:rsidRPr="008D2470" w:rsidRDefault="003A432F" w:rsidP="003A432F">
      <w:pPr>
        <w:autoSpaceDE w:val="0"/>
        <w:autoSpaceDN w:val="0"/>
        <w:ind w:left="567"/>
        <w:jc w:val="both"/>
        <w:rPr>
          <w:rFonts w:cs="Arial"/>
          <w:bCs/>
          <w:color w:val="auto"/>
          <w:sz w:val="20"/>
          <w:szCs w:val="20"/>
          <w:lang w:eastAsia="en-GB"/>
        </w:rPr>
      </w:pPr>
      <w:r w:rsidRPr="008D2470">
        <w:rPr>
          <w:rFonts w:cs="Arial"/>
          <w:bCs/>
          <w:color w:val="auto"/>
          <w:sz w:val="20"/>
          <w:szCs w:val="20"/>
          <w:lang w:eastAsia="en-GB"/>
        </w:rPr>
        <w:t xml:space="preserve">Where a lease covers both land and buildings, the land and buildings elements are considered separately for classification. </w:t>
      </w:r>
      <w:r w:rsidRPr="008D2470">
        <w:rPr>
          <w:rFonts w:cs="Arial"/>
          <w:color w:val="auto"/>
          <w:sz w:val="20"/>
          <w:szCs w:val="20"/>
          <w:lang w:eastAsia="en-GB"/>
        </w:rPr>
        <w:t>The land element is now assessed by reference to the prevailing land value in the locality of the asset.  Over the five year rolling programme of valuations all land will be valued on this basis. Previously the land value was assumed to be 20% of the total value of the asset unless there was evidence to the contrary.</w:t>
      </w:r>
    </w:p>
    <w:p w:rsidR="003A432F" w:rsidRPr="00A767DD" w:rsidRDefault="003A432F" w:rsidP="003A432F">
      <w:pPr>
        <w:spacing w:after="0" w:line="240" w:lineRule="auto"/>
        <w:jc w:val="both"/>
        <w:rPr>
          <w:rFonts w:cs="Arial"/>
          <w:bCs/>
          <w:color w:val="auto"/>
          <w:sz w:val="20"/>
          <w:szCs w:val="20"/>
          <w:highlight w:val="yellow"/>
          <w:lang w:eastAsia="en-GB"/>
        </w:rPr>
      </w:pPr>
    </w:p>
    <w:p w:rsidR="003A432F" w:rsidRPr="009319F1" w:rsidRDefault="003A432F" w:rsidP="003A432F">
      <w:pPr>
        <w:spacing w:after="0" w:line="240" w:lineRule="auto"/>
        <w:ind w:left="567"/>
        <w:jc w:val="both"/>
        <w:rPr>
          <w:rFonts w:cs="Arial"/>
          <w:bCs/>
          <w:color w:val="auto"/>
          <w:sz w:val="20"/>
          <w:szCs w:val="20"/>
          <w:lang w:eastAsia="en-GB"/>
        </w:rPr>
      </w:pPr>
      <w:r w:rsidRPr="009319F1">
        <w:rPr>
          <w:rFonts w:cs="Arial"/>
          <w:b/>
          <w:bCs/>
          <w:color w:val="auto"/>
          <w:sz w:val="20"/>
          <w:szCs w:val="20"/>
          <w:lang w:eastAsia="en-GB"/>
        </w:rPr>
        <w:t>As Lessee:</w:t>
      </w:r>
      <w:r w:rsidRPr="009319F1">
        <w:rPr>
          <w:rFonts w:cs="Arial"/>
          <w:bCs/>
          <w:color w:val="auto"/>
          <w:sz w:val="20"/>
          <w:szCs w:val="20"/>
          <w:lang w:eastAsia="en-GB"/>
        </w:rPr>
        <w:t xml:space="preserve"> Rentals paid by the Council under operating leases are charged to the CIES as an expense of the services benefitting from use of the leased property, plant or equipment. Charges are made, if material, on a straight-line basis over the life of the lease, even if this does not match the pattern of payments.</w:t>
      </w:r>
    </w:p>
    <w:p w:rsidR="003A432F" w:rsidRPr="009319F1" w:rsidRDefault="003A432F" w:rsidP="003A432F">
      <w:pPr>
        <w:spacing w:after="0" w:line="240" w:lineRule="auto"/>
        <w:jc w:val="both"/>
        <w:rPr>
          <w:rFonts w:cs="Arial"/>
          <w:bCs/>
          <w:color w:val="auto"/>
          <w:sz w:val="20"/>
          <w:szCs w:val="20"/>
          <w:lang w:eastAsia="en-GB"/>
        </w:rPr>
      </w:pPr>
    </w:p>
    <w:p w:rsidR="003A432F" w:rsidRPr="009319F1" w:rsidRDefault="003A432F" w:rsidP="003A432F">
      <w:pPr>
        <w:spacing w:after="0" w:line="240" w:lineRule="auto"/>
        <w:ind w:left="567"/>
        <w:jc w:val="both"/>
        <w:rPr>
          <w:rFonts w:cs="Arial"/>
          <w:bCs/>
          <w:color w:val="auto"/>
          <w:sz w:val="20"/>
          <w:szCs w:val="20"/>
          <w:lang w:eastAsia="en-GB"/>
        </w:rPr>
      </w:pPr>
      <w:r w:rsidRPr="009319F1">
        <w:rPr>
          <w:rFonts w:cs="Arial"/>
          <w:bCs/>
          <w:color w:val="auto"/>
          <w:sz w:val="20"/>
          <w:szCs w:val="20"/>
          <w:lang w:eastAsia="en-GB"/>
        </w:rPr>
        <w:t>Where the Council grants a finance lease over a property or an item of plant or equipment, the relevant asset is written out of the Balance Sheet as a disposal, with the gain/loss attributable to the difference between the carrying amount of the asset and the Council’s net investment in the lease being credited/debited to the Other Operating Expenditure line in the CIES. The net investment in the lease is recognised as a lease asset in the Balance Sheet, net of any premium paid.  Lease rentals receivable are apportioned between:</w:t>
      </w:r>
    </w:p>
    <w:p w:rsidR="003A432F" w:rsidRPr="009319F1" w:rsidRDefault="003A432F" w:rsidP="003A432F">
      <w:pPr>
        <w:spacing w:after="0" w:line="240" w:lineRule="auto"/>
        <w:jc w:val="both"/>
        <w:rPr>
          <w:rFonts w:cs="Arial"/>
          <w:bCs/>
          <w:color w:val="auto"/>
          <w:sz w:val="20"/>
          <w:szCs w:val="20"/>
          <w:lang w:eastAsia="en-GB"/>
        </w:rPr>
      </w:pPr>
    </w:p>
    <w:p w:rsidR="003A432F" w:rsidRPr="009319F1" w:rsidRDefault="003A432F" w:rsidP="003A432F">
      <w:pPr>
        <w:pStyle w:val="ListParagraph"/>
        <w:numPr>
          <w:ilvl w:val="0"/>
          <w:numId w:val="29"/>
        </w:numPr>
        <w:spacing w:after="0" w:line="240" w:lineRule="auto"/>
        <w:ind w:left="360" w:firstLine="207"/>
        <w:jc w:val="both"/>
        <w:rPr>
          <w:rFonts w:cs="Arial"/>
          <w:bCs/>
          <w:color w:val="auto"/>
          <w:sz w:val="20"/>
          <w:szCs w:val="20"/>
          <w:lang w:eastAsia="en-GB"/>
        </w:rPr>
      </w:pPr>
      <w:r w:rsidRPr="009319F1">
        <w:rPr>
          <w:rFonts w:cs="Arial"/>
          <w:bCs/>
          <w:color w:val="auto"/>
          <w:sz w:val="20"/>
          <w:szCs w:val="20"/>
          <w:lang w:eastAsia="en-GB"/>
        </w:rPr>
        <w:t>a credit for the disposal of the interest in the property – applied to write down the lease asset</w:t>
      </w:r>
    </w:p>
    <w:p w:rsidR="003A432F" w:rsidRPr="009319F1" w:rsidRDefault="003A432F" w:rsidP="003A432F">
      <w:pPr>
        <w:pStyle w:val="ListParagraph"/>
        <w:numPr>
          <w:ilvl w:val="0"/>
          <w:numId w:val="29"/>
        </w:numPr>
        <w:spacing w:after="0" w:line="240" w:lineRule="auto"/>
        <w:ind w:left="709" w:hanging="142"/>
        <w:jc w:val="both"/>
        <w:rPr>
          <w:rFonts w:cs="Arial"/>
          <w:bCs/>
          <w:color w:val="auto"/>
          <w:sz w:val="20"/>
          <w:szCs w:val="20"/>
          <w:lang w:eastAsia="en-GB"/>
        </w:rPr>
      </w:pPr>
      <w:proofErr w:type="gramStart"/>
      <w:r w:rsidRPr="009319F1">
        <w:rPr>
          <w:rFonts w:cs="Arial"/>
          <w:bCs/>
          <w:color w:val="auto"/>
          <w:sz w:val="20"/>
          <w:szCs w:val="20"/>
          <w:lang w:eastAsia="en-GB"/>
        </w:rPr>
        <w:t>finance</w:t>
      </w:r>
      <w:proofErr w:type="gramEnd"/>
      <w:r w:rsidRPr="009319F1">
        <w:rPr>
          <w:rFonts w:cs="Arial"/>
          <w:bCs/>
          <w:color w:val="auto"/>
          <w:sz w:val="20"/>
          <w:szCs w:val="20"/>
          <w:lang w:eastAsia="en-GB"/>
        </w:rPr>
        <w:t xml:space="preserve"> income (credited to the Financing and Investment Income and Expenditure line in the CIES).</w:t>
      </w:r>
    </w:p>
    <w:p w:rsidR="003A432F" w:rsidRPr="00A767DD" w:rsidRDefault="003A432F" w:rsidP="003A432F">
      <w:pPr>
        <w:spacing w:after="0" w:line="240" w:lineRule="auto"/>
        <w:jc w:val="both"/>
        <w:rPr>
          <w:rFonts w:cs="Arial"/>
          <w:bCs/>
          <w:color w:val="auto"/>
          <w:sz w:val="20"/>
          <w:szCs w:val="20"/>
          <w:highlight w:val="yellow"/>
          <w:lang w:eastAsia="en-GB"/>
        </w:rPr>
      </w:pPr>
    </w:p>
    <w:p w:rsidR="003A432F" w:rsidRPr="008D2470" w:rsidRDefault="003A432F" w:rsidP="003A432F">
      <w:pPr>
        <w:spacing w:after="0" w:line="240" w:lineRule="auto"/>
        <w:ind w:left="567"/>
        <w:jc w:val="both"/>
        <w:rPr>
          <w:rFonts w:cs="Arial"/>
          <w:bCs/>
          <w:color w:val="auto"/>
          <w:sz w:val="20"/>
          <w:szCs w:val="20"/>
          <w:lang w:eastAsia="en-GB"/>
        </w:rPr>
      </w:pPr>
      <w:r w:rsidRPr="008D2470">
        <w:rPr>
          <w:rFonts w:cs="Arial"/>
          <w:b/>
          <w:bCs/>
          <w:color w:val="auto"/>
          <w:sz w:val="20"/>
          <w:szCs w:val="20"/>
          <w:lang w:eastAsia="en-GB"/>
        </w:rPr>
        <w:t>As Lessor</w:t>
      </w:r>
      <w:r w:rsidRPr="008D2470">
        <w:rPr>
          <w:rFonts w:cs="Arial"/>
          <w:bCs/>
          <w:color w:val="auto"/>
          <w:sz w:val="20"/>
          <w:szCs w:val="20"/>
          <w:lang w:eastAsia="en-GB"/>
        </w:rPr>
        <w:t>: Where the Council grants an operating lease over a property or an item of plant or equipment, the asset is retained in the Balance Sheet. Rental income is credited to the Other Operating Expenditure line in the CIES. Credits are made, if material, on a straight-line basis over the life of the lease, even if this does not match the pattern of payments.</w:t>
      </w:r>
    </w:p>
    <w:p w:rsidR="003A432F" w:rsidRPr="008D2470" w:rsidRDefault="003A432F" w:rsidP="003A432F">
      <w:pPr>
        <w:spacing w:after="0" w:line="240" w:lineRule="auto"/>
        <w:jc w:val="both"/>
        <w:rPr>
          <w:rFonts w:cs="Arial"/>
          <w:bCs/>
          <w:color w:val="auto"/>
          <w:sz w:val="20"/>
          <w:szCs w:val="20"/>
          <w:lang w:eastAsia="en-GB"/>
        </w:rPr>
      </w:pPr>
    </w:p>
    <w:p w:rsidR="003A432F" w:rsidRPr="005A174A" w:rsidRDefault="000A3927" w:rsidP="000A3927">
      <w:pPr>
        <w:pStyle w:val="Heading1"/>
        <w:spacing w:line="240" w:lineRule="atLeast"/>
        <w:jc w:val="both"/>
        <w:rPr>
          <w:rFonts w:cs="Arial"/>
          <w:b/>
          <w:color w:val="auto"/>
          <w:sz w:val="20"/>
          <w:szCs w:val="20"/>
        </w:rPr>
      </w:pPr>
      <w:r>
        <w:rPr>
          <w:rFonts w:cs="Arial"/>
          <w:b/>
          <w:color w:val="auto"/>
          <w:sz w:val="20"/>
          <w:szCs w:val="20"/>
        </w:rPr>
        <w:t>41.1</w:t>
      </w:r>
      <w:r w:rsidR="009D54C9">
        <w:rPr>
          <w:rFonts w:cs="Arial"/>
          <w:b/>
          <w:color w:val="auto"/>
          <w:sz w:val="20"/>
          <w:szCs w:val="20"/>
        </w:rPr>
        <w:t>2</w:t>
      </w:r>
      <w:r>
        <w:rPr>
          <w:rFonts w:cs="Arial"/>
          <w:b/>
          <w:color w:val="auto"/>
          <w:sz w:val="20"/>
          <w:szCs w:val="20"/>
        </w:rPr>
        <w:tab/>
      </w:r>
      <w:r w:rsidR="003A432F" w:rsidRPr="005A174A">
        <w:rPr>
          <w:rFonts w:cs="Arial"/>
          <w:b/>
          <w:color w:val="auto"/>
          <w:sz w:val="20"/>
          <w:szCs w:val="20"/>
        </w:rPr>
        <w:t xml:space="preserve">Property, Plant and Equipment </w:t>
      </w:r>
    </w:p>
    <w:p w:rsidR="003A432F" w:rsidRPr="005A174A" w:rsidRDefault="003A432F" w:rsidP="003A432F">
      <w:pPr>
        <w:spacing w:after="0" w:line="240" w:lineRule="auto"/>
        <w:ind w:left="567"/>
        <w:jc w:val="both"/>
        <w:rPr>
          <w:rFonts w:eastAsia="Times New Roman" w:cs="Arial"/>
          <w:color w:val="auto"/>
          <w:sz w:val="20"/>
          <w:szCs w:val="20"/>
        </w:rPr>
      </w:pPr>
      <w:r w:rsidRPr="005A174A">
        <w:rPr>
          <w:rFonts w:eastAsia="Times New Roman" w:cs="Arial"/>
          <w:color w:val="auto"/>
          <w:sz w:val="20"/>
          <w:szCs w:val="20"/>
        </w:rPr>
        <w:t>Expenditure on the acquisition, creation or enhancement of Property, Plant and Equipment is capitalised on an accruals basis, provided that it is probable that the future economic benefits or service potential associated with the item will flow to the Council and the cost of the item can be measured reliably. Expenditure that maintains but does not add to an asset’s potential to deliver future economic benefits or service potential (i.e. repairs and maintenance) is charged as an expense when it is incurred.</w:t>
      </w:r>
    </w:p>
    <w:p w:rsidR="003A432F" w:rsidRPr="005A174A" w:rsidRDefault="003A432F" w:rsidP="003A432F">
      <w:pPr>
        <w:spacing w:after="0" w:line="240" w:lineRule="auto"/>
        <w:ind w:left="567"/>
        <w:jc w:val="both"/>
        <w:rPr>
          <w:rFonts w:eastAsia="Times New Roman" w:cs="Arial"/>
          <w:color w:val="auto"/>
          <w:sz w:val="20"/>
          <w:szCs w:val="20"/>
        </w:rPr>
      </w:pPr>
    </w:p>
    <w:p w:rsidR="003A432F" w:rsidRPr="005A174A" w:rsidRDefault="003A432F" w:rsidP="003A432F">
      <w:pPr>
        <w:pStyle w:val="BodyTextIndent"/>
        <w:ind w:left="567"/>
        <w:jc w:val="both"/>
        <w:rPr>
          <w:rFonts w:cs="Arial"/>
          <w:color w:val="auto"/>
          <w:sz w:val="20"/>
          <w:szCs w:val="20"/>
        </w:rPr>
      </w:pPr>
      <w:r w:rsidRPr="005A174A">
        <w:rPr>
          <w:rFonts w:cs="Arial"/>
          <w:color w:val="auto"/>
          <w:sz w:val="20"/>
          <w:szCs w:val="20"/>
        </w:rPr>
        <w:t>A general de-</w:t>
      </w:r>
      <w:proofErr w:type="spellStart"/>
      <w:r w:rsidRPr="005A174A">
        <w:rPr>
          <w:rFonts w:cs="Arial"/>
          <w:color w:val="auto"/>
          <w:sz w:val="20"/>
          <w:szCs w:val="20"/>
        </w:rPr>
        <w:t>minimis</w:t>
      </w:r>
      <w:proofErr w:type="spellEnd"/>
      <w:r w:rsidRPr="005A174A">
        <w:rPr>
          <w:rFonts w:cs="Arial"/>
          <w:color w:val="auto"/>
          <w:sz w:val="20"/>
          <w:szCs w:val="20"/>
        </w:rPr>
        <w:t xml:space="preserve"> limit of £25,000 is applied to recognition of expenditure on </w:t>
      </w:r>
      <w:r w:rsidRPr="005A174A">
        <w:rPr>
          <w:rFonts w:cs="Arial"/>
          <w:color w:val="auto"/>
          <w:sz w:val="20"/>
          <w:szCs w:val="20"/>
          <w:lang w:eastAsia="en-GB"/>
        </w:rPr>
        <w:t>Property, Plant and Equipment</w:t>
      </w:r>
      <w:r w:rsidRPr="005A174A">
        <w:rPr>
          <w:rFonts w:cs="Arial"/>
          <w:color w:val="auto"/>
          <w:sz w:val="20"/>
          <w:szCs w:val="20"/>
        </w:rPr>
        <w:t>. Exceptions to the de-</w:t>
      </w:r>
      <w:proofErr w:type="spellStart"/>
      <w:r w:rsidRPr="005A174A">
        <w:rPr>
          <w:rFonts w:cs="Arial"/>
          <w:color w:val="auto"/>
          <w:sz w:val="20"/>
          <w:szCs w:val="20"/>
        </w:rPr>
        <w:t>minimis</w:t>
      </w:r>
      <w:proofErr w:type="spellEnd"/>
      <w:r w:rsidRPr="005A174A">
        <w:rPr>
          <w:rFonts w:cs="Arial"/>
          <w:color w:val="auto"/>
          <w:sz w:val="20"/>
          <w:szCs w:val="20"/>
        </w:rPr>
        <w:t xml:space="preserve"> limit are made for projects or individual purchases under £25,000 where there are specific service requirements to do so e.g. school minor improvement works which are funded under Special Government Initiatives and fleet vehicle purchases.</w:t>
      </w:r>
    </w:p>
    <w:p w:rsidR="003A432F" w:rsidRPr="005A174A" w:rsidRDefault="003A432F" w:rsidP="003A432F">
      <w:pPr>
        <w:spacing w:after="0" w:line="240" w:lineRule="auto"/>
        <w:ind w:firstLine="567"/>
        <w:jc w:val="both"/>
        <w:rPr>
          <w:rFonts w:eastAsia="Times New Roman" w:cs="Arial"/>
          <w:color w:val="auto"/>
          <w:sz w:val="20"/>
          <w:szCs w:val="20"/>
        </w:rPr>
      </w:pPr>
      <w:r w:rsidRPr="005A174A">
        <w:rPr>
          <w:rFonts w:eastAsia="Times New Roman" w:cs="Arial"/>
          <w:color w:val="auto"/>
          <w:sz w:val="20"/>
          <w:szCs w:val="20"/>
        </w:rPr>
        <w:t>Assets are initially measured at cost, comprising:</w:t>
      </w:r>
    </w:p>
    <w:p w:rsidR="003A432F" w:rsidRPr="00A767DD" w:rsidRDefault="003A432F" w:rsidP="003A432F">
      <w:pPr>
        <w:spacing w:after="0" w:line="240" w:lineRule="auto"/>
        <w:jc w:val="both"/>
        <w:rPr>
          <w:rFonts w:eastAsia="Times New Roman" w:cs="Arial"/>
          <w:color w:val="auto"/>
          <w:sz w:val="20"/>
          <w:szCs w:val="20"/>
          <w:highlight w:val="yellow"/>
        </w:rPr>
      </w:pPr>
    </w:p>
    <w:p w:rsidR="003A432F" w:rsidRPr="005A174A" w:rsidRDefault="003A432F" w:rsidP="003A432F">
      <w:pPr>
        <w:pStyle w:val="ListParagraph"/>
        <w:numPr>
          <w:ilvl w:val="0"/>
          <w:numId w:val="29"/>
        </w:numPr>
        <w:spacing w:after="0" w:line="240" w:lineRule="auto"/>
        <w:ind w:left="360" w:firstLine="207"/>
        <w:jc w:val="both"/>
        <w:rPr>
          <w:rFonts w:eastAsia="Times New Roman" w:cs="Arial"/>
          <w:color w:val="auto"/>
          <w:sz w:val="20"/>
          <w:szCs w:val="20"/>
        </w:rPr>
      </w:pPr>
      <w:r w:rsidRPr="005A174A">
        <w:rPr>
          <w:rFonts w:eastAsia="Times New Roman" w:cs="Arial"/>
          <w:color w:val="auto"/>
          <w:sz w:val="20"/>
          <w:szCs w:val="20"/>
        </w:rPr>
        <w:t>the purchase price</w:t>
      </w:r>
    </w:p>
    <w:p w:rsidR="003A432F" w:rsidRPr="005A174A" w:rsidRDefault="003A432F" w:rsidP="003A432F">
      <w:pPr>
        <w:pStyle w:val="ListParagraph"/>
        <w:numPr>
          <w:ilvl w:val="0"/>
          <w:numId w:val="29"/>
        </w:numPr>
        <w:spacing w:after="0" w:line="240" w:lineRule="auto"/>
        <w:ind w:left="709" w:hanging="142"/>
        <w:jc w:val="both"/>
        <w:rPr>
          <w:rFonts w:eastAsia="Times New Roman" w:cs="Arial"/>
          <w:color w:val="auto"/>
          <w:sz w:val="20"/>
          <w:szCs w:val="20"/>
        </w:rPr>
      </w:pPr>
      <w:r w:rsidRPr="005A174A">
        <w:rPr>
          <w:rFonts w:eastAsia="Times New Roman" w:cs="Arial"/>
          <w:color w:val="auto"/>
          <w:sz w:val="20"/>
          <w:szCs w:val="20"/>
        </w:rPr>
        <w:t>any costs attributable to bringing the asset to the location and condition necessary for it to be capable of operating in the manner intended by management</w:t>
      </w:r>
    </w:p>
    <w:p w:rsidR="003A432F" w:rsidRPr="005A174A" w:rsidRDefault="003A432F" w:rsidP="003A432F">
      <w:pPr>
        <w:spacing w:after="0" w:line="240" w:lineRule="auto"/>
        <w:jc w:val="both"/>
        <w:rPr>
          <w:rFonts w:eastAsia="Times New Roman" w:cs="Arial"/>
          <w:color w:val="auto"/>
          <w:sz w:val="20"/>
          <w:szCs w:val="20"/>
        </w:rPr>
      </w:pPr>
    </w:p>
    <w:p w:rsidR="003A432F" w:rsidRPr="005A174A" w:rsidRDefault="003A432F" w:rsidP="003A432F">
      <w:pPr>
        <w:pStyle w:val="BodyTextIndent"/>
        <w:ind w:left="567"/>
        <w:jc w:val="both"/>
        <w:rPr>
          <w:rFonts w:cs="Arial"/>
          <w:color w:val="auto"/>
          <w:sz w:val="20"/>
          <w:szCs w:val="20"/>
        </w:rPr>
      </w:pPr>
      <w:r w:rsidRPr="005A174A">
        <w:rPr>
          <w:rFonts w:cs="Arial"/>
          <w:color w:val="auto"/>
          <w:sz w:val="20"/>
          <w:szCs w:val="20"/>
        </w:rPr>
        <w:t>Capital expenditure is not recognised until 31</w:t>
      </w:r>
      <w:r w:rsidRPr="005A174A">
        <w:rPr>
          <w:rFonts w:cs="Arial"/>
          <w:color w:val="auto"/>
          <w:sz w:val="20"/>
          <w:szCs w:val="20"/>
          <w:vertAlign w:val="superscript"/>
        </w:rPr>
        <w:t>st</w:t>
      </w:r>
      <w:r w:rsidRPr="005A174A">
        <w:rPr>
          <w:rFonts w:cs="Arial"/>
          <w:color w:val="auto"/>
          <w:sz w:val="20"/>
          <w:szCs w:val="20"/>
        </w:rPr>
        <w:t xml:space="preserve"> March therefore no depreciation is charged in year of acquisition or enhancement.  Where capital expenditure has occurred the expenditure in year is deemed to have increased the current value of the asset by a “pound for pound” amount. </w:t>
      </w:r>
    </w:p>
    <w:p w:rsidR="003A432F" w:rsidRPr="005A174A" w:rsidRDefault="003A432F" w:rsidP="003A432F">
      <w:pPr>
        <w:pStyle w:val="BodyTextIndent"/>
        <w:ind w:left="567"/>
        <w:jc w:val="both"/>
        <w:rPr>
          <w:rFonts w:cs="Arial"/>
          <w:color w:val="auto"/>
          <w:sz w:val="20"/>
          <w:szCs w:val="20"/>
        </w:rPr>
      </w:pPr>
      <w:r w:rsidRPr="005A174A">
        <w:rPr>
          <w:rFonts w:cs="Arial"/>
          <w:color w:val="auto"/>
          <w:sz w:val="20"/>
          <w:szCs w:val="20"/>
        </w:rPr>
        <w:t xml:space="preserve">Where, if capital expenditure is assessed as not adding value to the asset, the corresponding value will be written off as impairment.  </w:t>
      </w:r>
    </w:p>
    <w:p w:rsidR="003A432F" w:rsidRPr="005A174A" w:rsidRDefault="003A432F" w:rsidP="003A432F">
      <w:pPr>
        <w:pStyle w:val="BodyText"/>
        <w:ind w:left="567"/>
        <w:jc w:val="both"/>
        <w:rPr>
          <w:rFonts w:eastAsia="Times New Roman" w:cs="Arial"/>
          <w:color w:val="auto"/>
          <w:sz w:val="20"/>
          <w:szCs w:val="20"/>
        </w:rPr>
      </w:pPr>
      <w:r w:rsidRPr="005A174A">
        <w:rPr>
          <w:rFonts w:eastAsia="Times New Roman" w:cs="Arial"/>
          <w:color w:val="auto"/>
          <w:sz w:val="20"/>
          <w:szCs w:val="20"/>
        </w:rPr>
        <w:lastRenderedPageBreak/>
        <w:t xml:space="preserve">Certain categories of Property, Plant and Equipment are measured subsequently at current value – see policy 1 for details.  </w:t>
      </w:r>
    </w:p>
    <w:p w:rsidR="003A432F" w:rsidRDefault="003A432F" w:rsidP="003A432F">
      <w:pPr>
        <w:autoSpaceDE w:val="0"/>
        <w:autoSpaceDN w:val="0"/>
        <w:adjustRightInd w:val="0"/>
        <w:spacing w:after="0" w:line="240" w:lineRule="auto"/>
        <w:ind w:left="567"/>
        <w:jc w:val="both"/>
        <w:rPr>
          <w:rFonts w:eastAsia="Times New Roman" w:cs="Arial"/>
          <w:color w:val="auto"/>
          <w:sz w:val="20"/>
          <w:szCs w:val="20"/>
        </w:rPr>
      </w:pPr>
      <w:r w:rsidRPr="005A174A">
        <w:rPr>
          <w:rFonts w:eastAsia="Times New Roman" w:cs="Arial"/>
          <w:color w:val="auto"/>
          <w:sz w:val="20"/>
          <w:szCs w:val="20"/>
        </w:rPr>
        <w:t xml:space="preserve">Where prices for comparable properties are available in an active market, properties are valued at market value taking into account the existing use. Where no market exists or the property is specialised, current value is measured at depreciated replacement cost. </w:t>
      </w:r>
    </w:p>
    <w:p w:rsidR="003A432F" w:rsidRPr="005A174A" w:rsidRDefault="003A432F" w:rsidP="003A432F">
      <w:pPr>
        <w:autoSpaceDE w:val="0"/>
        <w:autoSpaceDN w:val="0"/>
        <w:adjustRightInd w:val="0"/>
        <w:spacing w:after="0" w:line="240" w:lineRule="auto"/>
        <w:ind w:left="567"/>
        <w:jc w:val="both"/>
        <w:rPr>
          <w:rFonts w:eastAsia="Times New Roman" w:cs="Arial"/>
          <w:color w:val="auto"/>
          <w:sz w:val="20"/>
          <w:szCs w:val="20"/>
        </w:rPr>
      </w:pPr>
    </w:p>
    <w:p w:rsidR="003A432F" w:rsidRDefault="003A432F" w:rsidP="003A432F">
      <w:pPr>
        <w:pStyle w:val="BodyText"/>
        <w:ind w:left="567"/>
        <w:jc w:val="both"/>
        <w:rPr>
          <w:rFonts w:eastAsia="Times New Roman" w:cs="Arial"/>
          <w:color w:val="auto"/>
          <w:sz w:val="20"/>
          <w:szCs w:val="20"/>
        </w:rPr>
      </w:pPr>
      <w:r>
        <w:rPr>
          <w:rFonts w:eastAsia="Times New Roman" w:cs="Arial"/>
          <w:color w:val="auto"/>
          <w:sz w:val="20"/>
          <w:szCs w:val="20"/>
        </w:rPr>
        <w:t xml:space="preserve">Certain categories of PPE are measured subsequently at current value (such as surplus assets). </w:t>
      </w:r>
      <w:r w:rsidRPr="005A174A">
        <w:rPr>
          <w:rFonts w:eastAsia="Times New Roman" w:cs="Arial"/>
          <w:color w:val="auto"/>
          <w:sz w:val="20"/>
          <w:szCs w:val="20"/>
        </w:rPr>
        <w:t xml:space="preserve">Assets included in the Balance Sheet at current value are revalued sufficiently regularly to ensure that their carrying amount is not materially different from their current value at the year-end, but as a minimum every five years. </w:t>
      </w:r>
      <w:r>
        <w:rPr>
          <w:rFonts w:eastAsia="Times New Roman" w:cs="Arial"/>
          <w:color w:val="auto"/>
          <w:sz w:val="20"/>
          <w:szCs w:val="20"/>
        </w:rPr>
        <w:t>Increases in valuations are matched by credits to the Revaluation Reserve to recognise unrealised gains.</w:t>
      </w:r>
    </w:p>
    <w:p w:rsidR="003A432F" w:rsidRPr="005A174A" w:rsidRDefault="003A432F" w:rsidP="003A432F">
      <w:pPr>
        <w:pStyle w:val="BodyText"/>
        <w:ind w:left="567"/>
        <w:jc w:val="both"/>
        <w:rPr>
          <w:rFonts w:eastAsia="Times New Roman" w:cs="Arial"/>
          <w:color w:val="auto"/>
          <w:sz w:val="20"/>
          <w:szCs w:val="20"/>
        </w:rPr>
      </w:pPr>
      <w:r w:rsidRPr="005A174A">
        <w:rPr>
          <w:rFonts w:eastAsia="Times New Roman" w:cs="Arial"/>
          <w:color w:val="auto"/>
          <w:sz w:val="20"/>
          <w:szCs w:val="20"/>
        </w:rPr>
        <w:t>In general within the rolling programme where an asset’s gross value is a value under £25,000 this asset value will be recorded at nil.</w:t>
      </w:r>
      <w:r w:rsidRPr="005A174A">
        <w:rPr>
          <w:rFonts w:cs="Arial"/>
          <w:color w:val="auto"/>
          <w:sz w:val="20"/>
          <w:szCs w:val="20"/>
        </w:rPr>
        <w:t xml:space="preserve"> All asset valuations are carried out in accordance with the Statements of Asset Valuation Practices and Guidance notes published by RICS and CIPFA. The management of property valuations is undertaken by Paul Palmer M.R.I.C.S. who is an employee of Torbay Development Agency. All planned revaluations in a financial year will be as at 1</w:t>
      </w:r>
      <w:r w:rsidRPr="005A174A">
        <w:rPr>
          <w:rFonts w:cs="Arial"/>
          <w:color w:val="auto"/>
          <w:sz w:val="20"/>
          <w:szCs w:val="20"/>
          <w:vertAlign w:val="superscript"/>
        </w:rPr>
        <w:t>st</w:t>
      </w:r>
      <w:r w:rsidRPr="005A174A">
        <w:rPr>
          <w:rFonts w:cs="Arial"/>
          <w:color w:val="auto"/>
          <w:sz w:val="20"/>
          <w:szCs w:val="20"/>
        </w:rPr>
        <w:t xml:space="preserve"> April of that year which results in depreciation for a year being calculated on the revalued amount. The only exception would be if the total depreciation charge for the year would be materially incorrect. </w:t>
      </w:r>
      <w:r w:rsidRPr="005A174A">
        <w:rPr>
          <w:rFonts w:eastAsia="Times New Roman" w:cs="Arial"/>
          <w:color w:val="auto"/>
          <w:sz w:val="20"/>
          <w:szCs w:val="20"/>
        </w:rPr>
        <w:t xml:space="preserve"> Increases in valuations are matched by credits to the Revaluation Reserve to recognise unrealised gains.</w:t>
      </w:r>
    </w:p>
    <w:p w:rsidR="003A432F" w:rsidRPr="005A174A" w:rsidRDefault="003A432F" w:rsidP="003A432F">
      <w:pPr>
        <w:pStyle w:val="BodyText"/>
        <w:ind w:left="567"/>
        <w:jc w:val="both"/>
        <w:rPr>
          <w:rFonts w:cs="Arial"/>
          <w:color w:val="auto"/>
          <w:sz w:val="20"/>
          <w:szCs w:val="20"/>
          <w:lang w:eastAsia="en-GB"/>
        </w:rPr>
      </w:pPr>
      <w:r w:rsidRPr="005A174A">
        <w:rPr>
          <w:rFonts w:cs="Arial"/>
          <w:color w:val="auto"/>
          <w:sz w:val="20"/>
          <w:szCs w:val="20"/>
          <w:lang w:eastAsia="en-GB"/>
        </w:rPr>
        <w:t>Exceptionally, gains might be credited to the CIES where they arise from the reversal of a loss previously charged to a service.</w:t>
      </w:r>
    </w:p>
    <w:p w:rsidR="003A432F" w:rsidRPr="005A174A" w:rsidRDefault="003A432F" w:rsidP="003A432F">
      <w:pPr>
        <w:autoSpaceDE w:val="0"/>
        <w:autoSpaceDN w:val="0"/>
        <w:ind w:left="567"/>
        <w:jc w:val="both"/>
        <w:rPr>
          <w:rFonts w:eastAsia="Times New Roman" w:cs="Arial"/>
          <w:color w:val="auto"/>
          <w:sz w:val="20"/>
          <w:szCs w:val="20"/>
        </w:rPr>
      </w:pPr>
      <w:r w:rsidRPr="005A174A">
        <w:rPr>
          <w:rFonts w:eastAsia="Times New Roman" w:cs="Arial"/>
          <w:color w:val="auto"/>
          <w:sz w:val="20"/>
          <w:szCs w:val="20"/>
        </w:rPr>
        <w:t>Where decreases in value are identified, they are accounted for by:</w:t>
      </w:r>
    </w:p>
    <w:p w:rsidR="003A432F" w:rsidRPr="005A174A" w:rsidRDefault="003A432F" w:rsidP="003A432F">
      <w:pPr>
        <w:pStyle w:val="ListParagraph"/>
        <w:numPr>
          <w:ilvl w:val="0"/>
          <w:numId w:val="29"/>
        </w:numPr>
        <w:spacing w:after="0" w:line="240" w:lineRule="auto"/>
        <w:ind w:left="709" w:hanging="142"/>
        <w:jc w:val="both"/>
        <w:rPr>
          <w:rFonts w:eastAsia="Times New Roman" w:cs="Arial"/>
          <w:color w:val="auto"/>
          <w:sz w:val="20"/>
          <w:szCs w:val="20"/>
        </w:rPr>
      </w:pPr>
      <w:r w:rsidRPr="005A174A">
        <w:rPr>
          <w:rFonts w:eastAsia="Times New Roman" w:cs="Arial"/>
          <w:color w:val="auto"/>
          <w:sz w:val="20"/>
          <w:szCs w:val="20"/>
        </w:rPr>
        <w:t>where there is a balance of revaluation gains for the asset in the Revaluation Reserve, the carrying amount of the asset is written down against that balance (up to the amount of the accumulated gains)</w:t>
      </w:r>
    </w:p>
    <w:p w:rsidR="003A432F" w:rsidRPr="005A174A" w:rsidRDefault="003A432F" w:rsidP="003A432F">
      <w:pPr>
        <w:pStyle w:val="ListParagraph"/>
        <w:numPr>
          <w:ilvl w:val="0"/>
          <w:numId w:val="29"/>
        </w:numPr>
        <w:spacing w:after="0" w:line="240" w:lineRule="auto"/>
        <w:ind w:left="709" w:hanging="142"/>
        <w:jc w:val="both"/>
        <w:rPr>
          <w:rFonts w:eastAsia="Times New Roman" w:cs="Arial"/>
          <w:color w:val="auto"/>
          <w:sz w:val="20"/>
          <w:szCs w:val="20"/>
        </w:rPr>
      </w:pPr>
      <w:proofErr w:type="gramStart"/>
      <w:r w:rsidRPr="005A174A">
        <w:rPr>
          <w:rFonts w:eastAsia="Times New Roman" w:cs="Arial"/>
          <w:color w:val="auto"/>
          <w:sz w:val="20"/>
          <w:szCs w:val="20"/>
        </w:rPr>
        <w:t>where</w:t>
      </w:r>
      <w:proofErr w:type="gramEnd"/>
      <w:r w:rsidRPr="005A174A">
        <w:rPr>
          <w:rFonts w:eastAsia="Times New Roman" w:cs="Arial"/>
          <w:color w:val="auto"/>
          <w:sz w:val="20"/>
          <w:szCs w:val="20"/>
        </w:rPr>
        <w:t xml:space="preserve"> there is no balance in the Revaluation Reserve or an insufficient balance, the carrying amount of the asset is written down against the relevant service line(s) in the CIES.</w:t>
      </w:r>
    </w:p>
    <w:p w:rsidR="003A432F" w:rsidRPr="005A174A" w:rsidRDefault="003A432F" w:rsidP="003A432F">
      <w:pPr>
        <w:spacing w:after="0" w:line="240" w:lineRule="auto"/>
        <w:jc w:val="both"/>
        <w:rPr>
          <w:rFonts w:eastAsia="Times New Roman" w:cs="Arial"/>
          <w:color w:val="auto"/>
          <w:sz w:val="20"/>
          <w:szCs w:val="20"/>
        </w:rPr>
      </w:pPr>
    </w:p>
    <w:p w:rsidR="003A432F" w:rsidRPr="005A174A" w:rsidRDefault="003A432F" w:rsidP="003A432F">
      <w:pPr>
        <w:spacing w:after="0" w:line="240" w:lineRule="auto"/>
        <w:ind w:left="567"/>
        <w:jc w:val="both"/>
        <w:rPr>
          <w:rFonts w:eastAsia="Times New Roman" w:cs="Arial"/>
          <w:color w:val="auto"/>
          <w:sz w:val="20"/>
          <w:szCs w:val="20"/>
        </w:rPr>
      </w:pPr>
      <w:r w:rsidRPr="005A174A">
        <w:rPr>
          <w:rFonts w:eastAsia="Times New Roman" w:cs="Arial"/>
          <w:color w:val="auto"/>
          <w:sz w:val="20"/>
          <w:szCs w:val="20"/>
        </w:rPr>
        <w:t>The Revaluation Reserve contains revaluation gains recognised since 1 April 2007 only, the date of its formal implementation. Gains arising before that date have been consolidated into the Capital Adjustment Account.</w:t>
      </w:r>
    </w:p>
    <w:p w:rsidR="003A432F" w:rsidRPr="005A174A" w:rsidRDefault="003A432F" w:rsidP="003A432F">
      <w:pPr>
        <w:spacing w:after="0" w:line="240" w:lineRule="auto"/>
        <w:jc w:val="both"/>
        <w:rPr>
          <w:rFonts w:eastAsia="Times New Roman" w:cs="Arial"/>
          <w:color w:val="auto"/>
          <w:sz w:val="20"/>
          <w:szCs w:val="20"/>
        </w:rPr>
      </w:pPr>
    </w:p>
    <w:p w:rsidR="003A432F" w:rsidRPr="00E9228D" w:rsidRDefault="003A432F" w:rsidP="003A432F">
      <w:pPr>
        <w:spacing w:after="0" w:line="240" w:lineRule="auto"/>
        <w:ind w:left="567"/>
        <w:jc w:val="both"/>
        <w:rPr>
          <w:rFonts w:eastAsia="Times New Roman" w:cs="Arial"/>
          <w:color w:val="auto"/>
          <w:sz w:val="20"/>
          <w:szCs w:val="20"/>
        </w:rPr>
      </w:pPr>
      <w:r w:rsidRPr="005A174A">
        <w:rPr>
          <w:rFonts w:eastAsia="Times New Roman" w:cs="Arial"/>
          <w:color w:val="auto"/>
          <w:sz w:val="20"/>
          <w:szCs w:val="20"/>
        </w:rPr>
        <w:t xml:space="preserve">Assets are assessed at each year-end as to whether there is any indication that items may be impaired. Where indications exist and any possible differences are estimated to be material, the </w:t>
      </w:r>
      <w:r w:rsidRPr="00E9228D">
        <w:rPr>
          <w:rFonts w:eastAsia="Times New Roman" w:cs="Arial"/>
          <w:color w:val="auto"/>
          <w:sz w:val="20"/>
          <w:szCs w:val="20"/>
        </w:rPr>
        <w:t>recoverable amount of the asset is estimated and, where this is less than the carrying amount of the asset, an impairment loss is recognised for the shortfall.  Where impairment losses are identified, they are accounted for in the same way as revaluation losses.</w:t>
      </w:r>
    </w:p>
    <w:p w:rsidR="003A432F" w:rsidRPr="00E9228D" w:rsidRDefault="003A432F" w:rsidP="003A432F">
      <w:pPr>
        <w:spacing w:after="0" w:line="240" w:lineRule="auto"/>
        <w:jc w:val="both"/>
        <w:rPr>
          <w:rFonts w:eastAsia="Times New Roman" w:cs="Arial"/>
          <w:color w:val="auto"/>
          <w:sz w:val="20"/>
          <w:szCs w:val="20"/>
        </w:rPr>
      </w:pPr>
    </w:p>
    <w:p w:rsidR="003A432F" w:rsidRPr="00E9228D" w:rsidRDefault="003A432F" w:rsidP="003A432F">
      <w:pPr>
        <w:pStyle w:val="BodyTextIndent"/>
        <w:ind w:left="567"/>
        <w:jc w:val="both"/>
        <w:rPr>
          <w:rFonts w:cs="Arial"/>
          <w:color w:val="auto"/>
          <w:sz w:val="20"/>
          <w:szCs w:val="20"/>
        </w:rPr>
      </w:pPr>
      <w:r w:rsidRPr="00E9228D">
        <w:rPr>
          <w:rFonts w:cs="Arial"/>
          <w:color w:val="auto"/>
          <w:sz w:val="20"/>
          <w:szCs w:val="20"/>
          <w:lang w:eastAsia="en-GB"/>
        </w:rPr>
        <w:t xml:space="preserve">Depreciation is provided for on all Property, Plant and Equipment assets by the systematic allocation of their depreciable amounts over their useful lives </w:t>
      </w:r>
      <w:r w:rsidRPr="00E9228D">
        <w:rPr>
          <w:rFonts w:cs="Arial"/>
          <w:color w:val="auto"/>
          <w:sz w:val="20"/>
          <w:szCs w:val="20"/>
        </w:rPr>
        <w:t xml:space="preserve">as estimated by the Council’s </w:t>
      </w:r>
      <w:proofErr w:type="spellStart"/>
      <w:r w:rsidRPr="00E9228D">
        <w:rPr>
          <w:rFonts w:cs="Arial"/>
          <w:color w:val="auto"/>
          <w:sz w:val="20"/>
          <w:szCs w:val="20"/>
        </w:rPr>
        <w:t>valuer</w:t>
      </w:r>
      <w:proofErr w:type="spellEnd"/>
      <w:r w:rsidRPr="00E9228D">
        <w:rPr>
          <w:rFonts w:cs="Arial"/>
          <w:color w:val="auto"/>
          <w:sz w:val="20"/>
          <w:szCs w:val="20"/>
        </w:rPr>
        <w:t>, making an allowance for any residual value. Annual depreciation is calculated based upon the Balance Sheet value for each asset as at 1</w:t>
      </w:r>
      <w:r w:rsidRPr="00E9228D">
        <w:rPr>
          <w:rFonts w:cs="Arial"/>
          <w:color w:val="auto"/>
          <w:sz w:val="20"/>
          <w:szCs w:val="20"/>
          <w:vertAlign w:val="superscript"/>
        </w:rPr>
        <w:t>st</w:t>
      </w:r>
      <w:r w:rsidRPr="00E9228D">
        <w:rPr>
          <w:rFonts w:cs="Arial"/>
          <w:color w:val="auto"/>
          <w:sz w:val="20"/>
          <w:szCs w:val="20"/>
        </w:rPr>
        <w:t xml:space="preserve"> April for that year which will include any revaluations in year.</w:t>
      </w:r>
    </w:p>
    <w:p w:rsidR="003A432F" w:rsidRDefault="003A432F" w:rsidP="003A432F">
      <w:pPr>
        <w:spacing w:after="0" w:line="240" w:lineRule="auto"/>
        <w:ind w:left="567"/>
        <w:jc w:val="both"/>
        <w:rPr>
          <w:rFonts w:eastAsia="Times New Roman" w:cs="Arial"/>
          <w:color w:val="auto"/>
          <w:sz w:val="20"/>
          <w:szCs w:val="20"/>
        </w:rPr>
      </w:pPr>
      <w:r w:rsidRPr="00E9228D">
        <w:rPr>
          <w:rFonts w:eastAsia="Times New Roman" w:cs="Arial"/>
          <w:color w:val="auto"/>
          <w:sz w:val="20"/>
          <w:szCs w:val="20"/>
        </w:rPr>
        <w:t>An exception is made for assets without a determinable finite useful life (i.e. freehold land and certain Community Assets) and assets that are not yet available for use (i.e. assets under construction).</w:t>
      </w:r>
    </w:p>
    <w:p w:rsidR="00F57E2F" w:rsidRDefault="00F57E2F" w:rsidP="003A432F">
      <w:pPr>
        <w:spacing w:after="0" w:line="240" w:lineRule="auto"/>
        <w:ind w:left="567"/>
        <w:jc w:val="both"/>
        <w:rPr>
          <w:rFonts w:eastAsia="Times New Roman" w:cs="Arial"/>
          <w:color w:val="auto"/>
          <w:sz w:val="20"/>
          <w:szCs w:val="20"/>
        </w:rPr>
      </w:pPr>
    </w:p>
    <w:p w:rsidR="00F57E2F" w:rsidRDefault="00F57E2F" w:rsidP="003A432F">
      <w:pPr>
        <w:spacing w:after="0" w:line="240" w:lineRule="auto"/>
        <w:ind w:left="567"/>
        <w:jc w:val="both"/>
        <w:rPr>
          <w:rFonts w:eastAsia="Times New Roman" w:cs="Arial"/>
          <w:color w:val="auto"/>
          <w:sz w:val="20"/>
          <w:szCs w:val="20"/>
        </w:rPr>
      </w:pPr>
    </w:p>
    <w:p w:rsidR="00F57E2F" w:rsidRDefault="00F57E2F" w:rsidP="003A432F">
      <w:pPr>
        <w:spacing w:after="0" w:line="240" w:lineRule="auto"/>
        <w:ind w:left="567"/>
        <w:jc w:val="both"/>
        <w:rPr>
          <w:rFonts w:eastAsia="Times New Roman" w:cs="Arial"/>
          <w:color w:val="auto"/>
          <w:sz w:val="20"/>
          <w:szCs w:val="20"/>
        </w:rPr>
      </w:pPr>
    </w:p>
    <w:p w:rsidR="00F57E2F" w:rsidRPr="00E9228D" w:rsidRDefault="00F57E2F" w:rsidP="003A432F">
      <w:pPr>
        <w:spacing w:after="0" w:line="240" w:lineRule="auto"/>
        <w:ind w:left="567"/>
        <w:jc w:val="both"/>
        <w:rPr>
          <w:rFonts w:eastAsia="Times New Roman" w:cs="Arial"/>
          <w:color w:val="auto"/>
          <w:sz w:val="20"/>
          <w:szCs w:val="20"/>
        </w:rPr>
      </w:pPr>
    </w:p>
    <w:p w:rsidR="003A432F" w:rsidRPr="00E9228D" w:rsidRDefault="003A432F" w:rsidP="003A432F">
      <w:pPr>
        <w:spacing w:after="0" w:line="240" w:lineRule="auto"/>
        <w:jc w:val="both"/>
        <w:rPr>
          <w:rFonts w:eastAsia="Times New Roman" w:cs="Arial"/>
          <w:color w:val="auto"/>
          <w:sz w:val="20"/>
          <w:szCs w:val="20"/>
        </w:rPr>
      </w:pPr>
    </w:p>
    <w:p w:rsidR="003A432F" w:rsidRDefault="003A432F" w:rsidP="003A432F">
      <w:pPr>
        <w:autoSpaceDE w:val="0"/>
        <w:autoSpaceDN w:val="0"/>
        <w:ind w:firstLine="405"/>
        <w:jc w:val="both"/>
        <w:rPr>
          <w:sz w:val="22"/>
          <w:szCs w:val="22"/>
        </w:rPr>
      </w:pPr>
      <w:r>
        <w:lastRenderedPageBreak/>
        <w:t>The valuation of land is determined by one of the following:-</w:t>
      </w:r>
    </w:p>
    <w:p w:rsidR="003A432F" w:rsidRPr="00B24F14" w:rsidRDefault="003A432F" w:rsidP="003A432F">
      <w:pPr>
        <w:pStyle w:val="ListParagraph"/>
        <w:numPr>
          <w:ilvl w:val="0"/>
          <w:numId w:val="31"/>
        </w:numPr>
        <w:autoSpaceDE w:val="0"/>
        <w:autoSpaceDN w:val="0"/>
        <w:spacing w:after="0" w:line="240" w:lineRule="auto"/>
        <w:contextualSpacing w:val="0"/>
        <w:jc w:val="both"/>
        <w:rPr>
          <w:color w:val="auto"/>
        </w:rPr>
      </w:pPr>
      <w:proofErr w:type="gramStart"/>
      <w:r w:rsidRPr="00B24F14">
        <w:rPr>
          <w:color w:val="auto"/>
        </w:rPr>
        <w:t>where</w:t>
      </w:r>
      <w:proofErr w:type="gramEnd"/>
      <w:r w:rsidRPr="00B24F14">
        <w:rPr>
          <w:color w:val="auto"/>
        </w:rPr>
        <w:t xml:space="preserve"> the asset being valued includes a building, the land value is assumed to be 30% of the value of the asset, or a percentage as adjusted by the </w:t>
      </w:r>
      <w:proofErr w:type="spellStart"/>
      <w:r w:rsidRPr="00B24F14">
        <w:rPr>
          <w:color w:val="auto"/>
        </w:rPr>
        <w:t>Valuer</w:t>
      </w:r>
      <w:proofErr w:type="spellEnd"/>
      <w:r w:rsidRPr="00B24F14">
        <w:rPr>
          <w:color w:val="auto"/>
        </w:rPr>
        <w:t xml:space="preserve"> if they feel a different percentage is appropriate.</w:t>
      </w:r>
    </w:p>
    <w:p w:rsidR="003A432F" w:rsidRPr="00B24F14" w:rsidRDefault="003A432F" w:rsidP="003A432F">
      <w:pPr>
        <w:pStyle w:val="ListParagraph"/>
        <w:autoSpaceDE w:val="0"/>
        <w:autoSpaceDN w:val="0"/>
        <w:spacing w:after="0" w:line="240" w:lineRule="auto"/>
        <w:ind w:left="765"/>
        <w:contextualSpacing w:val="0"/>
        <w:jc w:val="both"/>
        <w:rPr>
          <w:color w:val="auto"/>
        </w:rPr>
      </w:pPr>
    </w:p>
    <w:p w:rsidR="003A432F" w:rsidRPr="00B24F14" w:rsidRDefault="003A432F" w:rsidP="003A432F">
      <w:pPr>
        <w:pStyle w:val="ListParagraph"/>
        <w:numPr>
          <w:ilvl w:val="0"/>
          <w:numId w:val="31"/>
        </w:numPr>
        <w:autoSpaceDE w:val="0"/>
        <w:autoSpaceDN w:val="0"/>
        <w:spacing w:after="0" w:line="240" w:lineRule="auto"/>
        <w:contextualSpacing w:val="0"/>
        <w:jc w:val="both"/>
        <w:rPr>
          <w:color w:val="auto"/>
        </w:rPr>
      </w:pPr>
      <w:r w:rsidRPr="00B24F14">
        <w:rPr>
          <w:color w:val="auto"/>
        </w:rPr>
        <w:t>where there is no building, the prevailing land value in the locality of the asset taking into account its use, is used</w:t>
      </w:r>
    </w:p>
    <w:p w:rsidR="003A432F" w:rsidRDefault="003A432F" w:rsidP="003A432F">
      <w:pPr>
        <w:autoSpaceDE w:val="0"/>
        <w:autoSpaceDN w:val="0"/>
        <w:ind w:firstLine="405"/>
        <w:jc w:val="both"/>
      </w:pPr>
    </w:p>
    <w:p w:rsidR="003A432F" w:rsidRDefault="003A432F" w:rsidP="003A432F">
      <w:pPr>
        <w:autoSpaceDE w:val="0"/>
        <w:autoSpaceDN w:val="0"/>
        <w:ind w:left="405" w:firstLine="162"/>
        <w:jc w:val="both"/>
        <w:rPr>
          <w:color w:val="auto"/>
        </w:rPr>
      </w:pPr>
      <w:r>
        <w:t xml:space="preserve">Over the five year rolling programme of valuations all land will be valued on the </w:t>
      </w:r>
      <w:proofErr w:type="gramStart"/>
      <w:r>
        <w:t xml:space="preserve">above </w:t>
      </w:r>
      <w:r w:rsidR="00357ABD">
        <w:t xml:space="preserve"> </w:t>
      </w:r>
      <w:r>
        <w:t>basis</w:t>
      </w:r>
      <w:proofErr w:type="gramEnd"/>
      <w:r>
        <w:t>.</w:t>
      </w:r>
    </w:p>
    <w:p w:rsidR="003A432F" w:rsidRPr="00E9228D" w:rsidRDefault="003A432F" w:rsidP="003A432F">
      <w:pPr>
        <w:autoSpaceDE w:val="0"/>
        <w:autoSpaceDN w:val="0"/>
        <w:ind w:left="567"/>
        <w:jc w:val="both"/>
        <w:rPr>
          <w:rFonts w:cs="Arial"/>
          <w:color w:val="auto"/>
          <w:sz w:val="20"/>
          <w:szCs w:val="20"/>
          <w:lang w:eastAsia="en-GB"/>
        </w:rPr>
      </w:pPr>
      <w:r w:rsidRPr="00E9228D">
        <w:rPr>
          <w:rFonts w:cs="Arial"/>
          <w:color w:val="auto"/>
          <w:sz w:val="20"/>
          <w:szCs w:val="20"/>
          <w:lang w:eastAsia="en-GB"/>
        </w:rPr>
        <w:t xml:space="preserve">When it becomes probable that the carrying amount of an asset will be recovered principally through a sale transaction rather than through its continuing use, it is reclassified as an Asset Held for Sale. </w:t>
      </w:r>
    </w:p>
    <w:p w:rsidR="003A432F" w:rsidRPr="00CE300E" w:rsidRDefault="003A432F" w:rsidP="003A432F">
      <w:pPr>
        <w:spacing w:after="0" w:line="240" w:lineRule="auto"/>
        <w:ind w:left="567"/>
        <w:jc w:val="both"/>
        <w:rPr>
          <w:rFonts w:eastAsia="Times New Roman" w:cs="Arial"/>
          <w:color w:val="auto"/>
          <w:sz w:val="20"/>
          <w:szCs w:val="20"/>
        </w:rPr>
      </w:pPr>
      <w:r w:rsidRPr="00CE300E">
        <w:rPr>
          <w:rFonts w:eastAsia="Times New Roman" w:cs="Arial"/>
          <w:color w:val="auto"/>
          <w:sz w:val="20"/>
          <w:szCs w:val="20"/>
        </w:rPr>
        <w:t>When an asset is disposed of or decommissioned, the carrying amount of the asset in the Balance Sheet (whether Property, Plant and Equipment or Assets Held for Sale) is written off to the Other Operating Expenditure line in the CIES against any receipts arising from the disposal as a gain or loss on disposal.</w:t>
      </w:r>
    </w:p>
    <w:p w:rsidR="003A432F" w:rsidRPr="00CE300E" w:rsidRDefault="003A432F" w:rsidP="003A432F">
      <w:pPr>
        <w:spacing w:after="0" w:line="240" w:lineRule="auto"/>
        <w:ind w:left="567"/>
        <w:jc w:val="both"/>
        <w:rPr>
          <w:rFonts w:eastAsia="Times New Roman" w:cs="Arial"/>
          <w:color w:val="auto"/>
          <w:sz w:val="20"/>
          <w:szCs w:val="20"/>
        </w:rPr>
      </w:pPr>
    </w:p>
    <w:p w:rsidR="003A432F" w:rsidRPr="008E7E29" w:rsidRDefault="003A432F" w:rsidP="003A432F">
      <w:pPr>
        <w:ind w:left="525"/>
        <w:jc w:val="both"/>
        <w:rPr>
          <w:rFonts w:eastAsia="Times New Roman" w:cs="Arial"/>
          <w:b/>
          <w:color w:val="auto"/>
          <w:sz w:val="20"/>
          <w:szCs w:val="20"/>
        </w:rPr>
      </w:pPr>
      <w:r w:rsidRPr="008E7E29">
        <w:rPr>
          <w:rFonts w:eastAsia="Times New Roman" w:cs="Arial"/>
          <w:b/>
          <w:color w:val="auto"/>
          <w:sz w:val="20"/>
          <w:szCs w:val="20"/>
        </w:rPr>
        <w:t>Schools Recognition</w:t>
      </w:r>
    </w:p>
    <w:p w:rsidR="003A432F" w:rsidRPr="008E7E29" w:rsidRDefault="003A432F" w:rsidP="003A432F">
      <w:pPr>
        <w:ind w:left="525"/>
        <w:jc w:val="both"/>
        <w:rPr>
          <w:rFonts w:eastAsia="Times New Roman" w:cs="Arial"/>
          <w:color w:val="auto"/>
          <w:sz w:val="20"/>
          <w:szCs w:val="20"/>
        </w:rPr>
      </w:pPr>
      <w:r w:rsidRPr="008E7E29">
        <w:rPr>
          <w:rFonts w:eastAsia="Times New Roman" w:cs="Arial"/>
          <w:color w:val="auto"/>
          <w:sz w:val="20"/>
          <w:szCs w:val="20"/>
        </w:rPr>
        <w:t>The Council’s recognition (or otherwise) of the different types of school assets are as follows:</w:t>
      </w:r>
    </w:p>
    <w:tbl>
      <w:tblPr>
        <w:tblStyle w:val="TableGrid"/>
        <w:tblW w:w="0" w:type="auto"/>
        <w:tblInd w:w="675" w:type="dxa"/>
        <w:tblLook w:val="04A0" w:firstRow="1" w:lastRow="0" w:firstColumn="1" w:lastColumn="0" w:noHBand="0" w:noVBand="1"/>
      </w:tblPr>
      <w:tblGrid>
        <w:gridCol w:w="2075"/>
        <w:gridCol w:w="2052"/>
        <w:gridCol w:w="2135"/>
        <w:gridCol w:w="2079"/>
      </w:tblGrid>
      <w:tr w:rsidR="003A432F" w:rsidRPr="008E7E29" w:rsidTr="001C5B97">
        <w:tc>
          <w:tcPr>
            <w:tcW w:w="2127" w:type="dxa"/>
          </w:tcPr>
          <w:p w:rsidR="003A432F" w:rsidRPr="008E7E29" w:rsidRDefault="003A432F" w:rsidP="001C5B97">
            <w:pPr>
              <w:jc w:val="both"/>
              <w:rPr>
                <w:rFonts w:eastAsia="Times New Roman" w:cs="Arial"/>
                <w:b/>
                <w:color w:val="auto"/>
                <w:sz w:val="20"/>
                <w:szCs w:val="20"/>
              </w:rPr>
            </w:pPr>
            <w:r w:rsidRPr="008E7E29">
              <w:rPr>
                <w:rFonts w:eastAsia="Times New Roman" w:cs="Arial"/>
                <w:b/>
                <w:color w:val="auto"/>
                <w:sz w:val="20"/>
                <w:szCs w:val="20"/>
              </w:rPr>
              <w:t>Schools Type</w:t>
            </w:r>
          </w:p>
        </w:tc>
        <w:tc>
          <w:tcPr>
            <w:tcW w:w="2121" w:type="dxa"/>
          </w:tcPr>
          <w:p w:rsidR="003A432F" w:rsidRPr="008E7E29" w:rsidRDefault="003A432F" w:rsidP="001C5B97">
            <w:pPr>
              <w:jc w:val="both"/>
              <w:rPr>
                <w:rFonts w:eastAsia="Times New Roman" w:cs="Arial"/>
                <w:b/>
                <w:color w:val="auto"/>
                <w:sz w:val="20"/>
                <w:szCs w:val="20"/>
              </w:rPr>
            </w:pPr>
            <w:r w:rsidRPr="008E7E29">
              <w:rPr>
                <w:rFonts w:eastAsia="Times New Roman" w:cs="Arial"/>
                <w:b/>
                <w:color w:val="auto"/>
                <w:sz w:val="20"/>
                <w:szCs w:val="20"/>
              </w:rPr>
              <w:t>Land</w:t>
            </w:r>
          </w:p>
        </w:tc>
        <w:tc>
          <w:tcPr>
            <w:tcW w:w="2196" w:type="dxa"/>
          </w:tcPr>
          <w:p w:rsidR="003A432F" w:rsidRPr="008E7E29" w:rsidRDefault="003A432F" w:rsidP="001C5B97">
            <w:pPr>
              <w:jc w:val="both"/>
              <w:rPr>
                <w:rFonts w:eastAsia="Times New Roman" w:cs="Arial"/>
                <w:b/>
                <w:color w:val="auto"/>
                <w:sz w:val="20"/>
                <w:szCs w:val="20"/>
              </w:rPr>
            </w:pPr>
            <w:r w:rsidRPr="008E7E29">
              <w:rPr>
                <w:rFonts w:eastAsia="Times New Roman" w:cs="Arial"/>
                <w:b/>
                <w:color w:val="auto"/>
                <w:sz w:val="20"/>
                <w:szCs w:val="20"/>
              </w:rPr>
              <w:t>Buildings</w:t>
            </w:r>
          </w:p>
        </w:tc>
        <w:tc>
          <w:tcPr>
            <w:tcW w:w="2123" w:type="dxa"/>
          </w:tcPr>
          <w:p w:rsidR="003A432F" w:rsidRPr="008E7E29" w:rsidRDefault="003A432F" w:rsidP="001C5B97">
            <w:pPr>
              <w:jc w:val="both"/>
              <w:rPr>
                <w:rFonts w:eastAsia="Times New Roman" w:cs="Arial"/>
                <w:b/>
                <w:color w:val="auto"/>
                <w:sz w:val="20"/>
                <w:szCs w:val="20"/>
              </w:rPr>
            </w:pPr>
            <w:r w:rsidRPr="008E7E29">
              <w:rPr>
                <w:rFonts w:eastAsia="Times New Roman" w:cs="Arial"/>
                <w:b/>
                <w:color w:val="auto"/>
                <w:sz w:val="20"/>
                <w:szCs w:val="20"/>
              </w:rPr>
              <w:t>Test</w:t>
            </w:r>
          </w:p>
        </w:tc>
      </w:tr>
      <w:tr w:rsidR="003A432F" w:rsidRPr="008E7E29" w:rsidTr="001C5B97">
        <w:tc>
          <w:tcPr>
            <w:tcW w:w="2127"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Community</w:t>
            </w:r>
          </w:p>
        </w:tc>
        <w:tc>
          <w:tcPr>
            <w:tcW w:w="2121"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On balance sheet</w:t>
            </w:r>
          </w:p>
        </w:tc>
        <w:tc>
          <w:tcPr>
            <w:tcW w:w="2196"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On balance sheet</w:t>
            </w:r>
          </w:p>
        </w:tc>
        <w:tc>
          <w:tcPr>
            <w:tcW w:w="2123"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Council Control</w:t>
            </w:r>
          </w:p>
        </w:tc>
      </w:tr>
      <w:tr w:rsidR="003A432F" w:rsidRPr="008E7E29" w:rsidTr="001C5B97">
        <w:tc>
          <w:tcPr>
            <w:tcW w:w="2127"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Academy</w:t>
            </w:r>
          </w:p>
        </w:tc>
        <w:tc>
          <w:tcPr>
            <w:tcW w:w="2121" w:type="dxa"/>
          </w:tcPr>
          <w:p w:rsidR="003A432F" w:rsidRPr="008E7E29" w:rsidRDefault="003A432F" w:rsidP="001C5B97">
            <w:pPr>
              <w:jc w:val="both"/>
              <w:rPr>
                <w:color w:val="auto"/>
              </w:rPr>
            </w:pPr>
            <w:r w:rsidRPr="008E7E29">
              <w:rPr>
                <w:rFonts w:eastAsia="Times New Roman" w:cs="Arial"/>
                <w:color w:val="auto"/>
                <w:sz w:val="20"/>
                <w:szCs w:val="20"/>
              </w:rPr>
              <w:t>Off balance sheet</w:t>
            </w:r>
          </w:p>
        </w:tc>
        <w:tc>
          <w:tcPr>
            <w:tcW w:w="2196" w:type="dxa"/>
          </w:tcPr>
          <w:p w:rsidR="003A432F" w:rsidRPr="008E7E29" w:rsidRDefault="003A432F" w:rsidP="001C5B97">
            <w:pPr>
              <w:jc w:val="both"/>
              <w:rPr>
                <w:color w:val="auto"/>
              </w:rPr>
            </w:pPr>
            <w:r w:rsidRPr="008E7E29">
              <w:rPr>
                <w:rFonts w:eastAsia="Times New Roman" w:cs="Arial"/>
                <w:color w:val="auto"/>
                <w:sz w:val="20"/>
                <w:szCs w:val="20"/>
              </w:rPr>
              <w:t>Off balance sheet</w:t>
            </w:r>
          </w:p>
        </w:tc>
        <w:tc>
          <w:tcPr>
            <w:tcW w:w="2123"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Academy freehold of long lease</w:t>
            </w:r>
          </w:p>
        </w:tc>
      </w:tr>
      <w:tr w:rsidR="003A432F" w:rsidRPr="008E7E29" w:rsidTr="001C5B97">
        <w:tc>
          <w:tcPr>
            <w:tcW w:w="2127"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 xml:space="preserve">Foundation </w:t>
            </w:r>
          </w:p>
        </w:tc>
        <w:tc>
          <w:tcPr>
            <w:tcW w:w="2121" w:type="dxa"/>
          </w:tcPr>
          <w:p w:rsidR="003A432F" w:rsidRPr="008E7E29" w:rsidRDefault="003A432F" w:rsidP="001C5B97">
            <w:pPr>
              <w:jc w:val="both"/>
              <w:rPr>
                <w:color w:val="auto"/>
              </w:rPr>
            </w:pPr>
            <w:r w:rsidRPr="008E7E29">
              <w:rPr>
                <w:rFonts w:eastAsia="Times New Roman" w:cs="Arial"/>
                <w:color w:val="auto"/>
                <w:sz w:val="20"/>
                <w:szCs w:val="20"/>
              </w:rPr>
              <w:t>On balance sheet</w:t>
            </w:r>
          </w:p>
        </w:tc>
        <w:tc>
          <w:tcPr>
            <w:tcW w:w="2196" w:type="dxa"/>
          </w:tcPr>
          <w:p w:rsidR="003A432F" w:rsidRPr="008E7E29" w:rsidRDefault="003A432F" w:rsidP="001C5B97">
            <w:pPr>
              <w:jc w:val="both"/>
              <w:rPr>
                <w:color w:val="auto"/>
              </w:rPr>
            </w:pPr>
            <w:r w:rsidRPr="008E7E29">
              <w:rPr>
                <w:rFonts w:eastAsia="Times New Roman" w:cs="Arial"/>
                <w:color w:val="auto"/>
                <w:sz w:val="20"/>
                <w:szCs w:val="20"/>
              </w:rPr>
              <w:t>On balance sheet</w:t>
            </w:r>
          </w:p>
        </w:tc>
        <w:tc>
          <w:tcPr>
            <w:tcW w:w="2123"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IFRS10 – subsidiary</w:t>
            </w:r>
          </w:p>
        </w:tc>
      </w:tr>
      <w:tr w:rsidR="003A432F" w:rsidRPr="008E7E29" w:rsidTr="001C5B97">
        <w:tc>
          <w:tcPr>
            <w:tcW w:w="2127"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Voluntary Aided</w:t>
            </w:r>
          </w:p>
        </w:tc>
        <w:tc>
          <w:tcPr>
            <w:tcW w:w="2121"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Off balance sheet</w:t>
            </w:r>
          </w:p>
        </w:tc>
        <w:tc>
          <w:tcPr>
            <w:tcW w:w="2196"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On balance sheet</w:t>
            </w:r>
          </w:p>
        </w:tc>
        <w:tc>
          <w:tcPr>
            <w:tcW w:w="2123" w:type="dxa"/>
          </w:tcPr>
          <w:p w:rsidR="003A432F" w:rsidRPr="008E7E29" w:rsidRDefault="003A432F" w:rsidP="001C5B97">
            <w:pPr>
              <w:rPr>
                <w:rFonts w:eastAsia="Times New Roman" w:cs="Arial"/>
                <w:color w:val="auto"/>
                <w:sz w:val="20"/>
                <w:szCs w:val="20"/>
              </w:rPr>
            </w:pPr>
            <w:r w:rsidRPr="008E7E29">
              <w:rPr>
                <w:rFonts w:eastAsia="Times New Roman" w:cs="Arial"/>
                <w:color w:val="auto"/>
                <w:sz w:val="20"/>
                <w:szCs w:val="20"/>
              </w:rPr>
              <w:t>Substance of arrangement</w:t>
            </w:r>
          </w:p>
        </w:tc>
      </w:tr>
      <w:tr w:rsidR="003A432F" w:rsidRPr="008E7E29" w:rsidTr="001C5B97">
        <w:tc>
          <w:tcPr>
            <w:tcW w:w="2127"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Voluntary Controlled</w:t>
            </w:r>
          </w:p>
        </w:tc>
        <w:tc>
          <w:tcPr>
            <w:tcW w:w="2121"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Off balance sheet</w:t>
            </w:r>
          </w:p>
        </w:tc>
        <w:tc>
          <w:tcPr>
            <w:tcW w:w="2196"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On balance sheet</w:t>
            </w:r>
          </w:p>
        </w:tc>
        <w:tc>
          <w:tcPr>
            <w:tcW w:w="2123" w:type="dxa"/>
          </w:tcPr>
          <w:p w:rsidR="003A432F" w:rsidRPr="008E7E29" w:rsidRDefault="003A432F" w:rsidP="001C5B97">
            <w:pPr>
              <w:rPr>
                <w:rFonts w:eastAsia="Times New Roman" w:cs="Arial"/>
                <w:color w:val="auto"/>
                <w:sz w:val="20"/>
                <w:szCs w:val="20"/>
              </w:rPr>
            </w:pPr>
            <w:r w:rsidRPr="008E7E29">
              <w:rPr>
                <w:rFonts w:eastAsia="Times New Roman" w:cs="Arial"/>
                <w:color w:val="auto"/>
                <w:sz w:val="20"/>
                <w:szCs w:val="20"/>
              </w:rPr>
              <w:t>Substance of arrangement</w:t>
            </w:r>
          </w:p>
        </w:tc>
      </w:tr>
      <w:tr w:rsidR="003A432F" w:rsidRPr="00A767DD" w:rsidTr="001C5B97">
        <w:tc>
          <w:tcPr>
            <w:tcW w:w="2127"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Playing Fields</w:t>
            </w:r>
          </w:p>
        </w:tc>
        <w:tc>
          <w:tcPr>
            <w:tcW w:w="2121"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On balance sheet</w:t>
            </w:r>
          </w:p>
        </w:tc>
        <w:tc>
          <w:tcPr>
            <w:tcW w:w="2196"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n/a</w:t>
            </w:r>
          </w:p>
        </w:tc>
        <w:tc>
          <w:tcPr>
            <w:tcW w:w="2123" w:type="dxa"/>
          </w:tcPr>
          <w:p w:rsidR="003A432F" w:rsidRPr="008E7E29" w:rsidRDefault="003A432F" w:rsidP="001C5B97">
            <w:pPr>
              <w:jc w:val="both"/>
              <w:rPr>
                <w:rFonts w:eastAsia="Times New Roman" w:cs="Arial"/>
                <w:color w:val="auto"/>
                <w:sz w:val="20"/>
                <w:szCs w:val="20"/>
              </w:rPr>
            </w:pPr>
            <w:r w:rsidRPr="008E7E29">
              <w:rPr>
                <w:rFonts w:eastAsia="Times New Roman" w:cs="Arial"/>
                <w:color w:val="auto"/>
                <w:sz w:val="20"/>
                <w:szCs w:val="20"/>
              </w:rPr>
              <w:t>Council Control</w:t>
            </w:r>
          </w:p>
        </w:tc>
      </w:tr>
    </w:tbl>
    <w:p w:rsidR="003A432F" w:rsidRPr="00A767DD" w:rsidRDefault="003A432F" w:rsidP="003A432F">
      <w:pPr>
        <w:pStyle w:val="BodyTextIndent"/>
        <w:ind w:left="525"/>
        <w:jc w:val="both"/>
        <w:rPr>
          <w:rFonts w:cs="Arial"/>
          <w:i/>
          <w:color w:val="auto"/>
          <w:sz w:val="20"/>
          <w:szCs w:val="20"/>
          <w:highlight w:val="yellow"/>
        </w:rPr>
      </w:pPr>
    </w:p>
    <w:p w:rsidR="003A432F" w:rsidRPr="008E7E29" w:rsidRDefault="003A432F" w:rsidP="003A432F">
      <w:pPr>
        <w:pStyle w:val="BodyTextIndent"/>
        <w:ind w:left="525"/>
        <w:jc w:val="both"/>
        <w:rPr>
          <w:rFonts w:cs="Arial"/>
          <w:color w:val="auto"/>
          <w:sz w:val="20"/>
          <w:szCs w:val="20"/>
        </w:rPr>
      </w:pPr>
      <w:r w:rsidRPr="008E7E29">
        <w:rPr>
          <w:rFonts w:cs="Arial"/>
          <w:i/>
          <w:color w:val="auto"/>
          <w:sz w:val="20"/>
          <w:szCs w:val="20"/>
        </w:rPr>
        <w:tab/>
      </w:r>
      <w:r w:rsidRPr="008E7E29">
        <w:rPr>
          <w:rFonts w:cs="Arial"/>
          <w:color w:val="auto"/>
          <w:sz w:val="20"/>
          <w:szCs w:val="20"/>
        </w:rPr>
        <w:t>Voluntary Aided Schools and Voluntary Controlled Schools:</w:t>
      </w:r>
    </w:p>
    <w:p w:rsidR="003A432F" w:rsidRPr="0063179D" w:rsidRDefault="003A432F" w:rsidP="003A432F">
      <w:pPr>
        <w:pStyle w:val="BodyTextIndent"/>
        <w:ind w:left="525"/>
        <w:jc w:val="both"/>
        <w:rPr>
          <w:rFonts w:cs="Arial"/>
          <w:color w:val="auto"/>
          <w:sz w:val="20"/>
          <w:szCs w:val="20"/>
        </w:rPr>
      </w:pPr>
      <w:r w:rsidRPr="008E7E29">
        <w:rPr>
          <w:rFonts w:cs="Arial"/>
          <w:color w:val="auto"/>
          <w:sz w:val="20"/>
          <w:szCs w:val="20"/>
        </w:rPr>
        <w:t xml:space="preserve">The land and buildings are owned by dioceses. Under IFRS10 maintained schools, including Voluntary Controlled and Voluntary Aided, meet the definition of entities controlled by the Council. Therefore all assets and liabilities of the school are recognised on the Council’s balance sheet. In the absence of any lease arrangements between the diocese and governing body and based on the substance of the arrangement the assets have been recognised on the Council’s balance sheet. The substance of the arrangement is that the asset has been used for </w:t>
      </w:r>
      <w:r w:rsidRPr="0063179D">
        <w:rPr>
          <w:rFonts w:cs="Arial"/>
          <w:color w:val="auto"/>
          <w:sz w:val="20"/>
          <w:szCs w:val="20"/>
        </w:rPr>
        <w:t>school purposes for a number of years and at year end there is no expectation that the diocese will exercise its rights to take back the assets. In addition the Council is funding the school and the governing body are controlling the use of the asset as a school and are maintaining and insuring the assets.</w:t>
      </w:r>
    </w:p>
    <w:p w:rsidR="003A432F" w:rsidRPr="0063179D" w:rsidRDefault="003A432F" w:rsidP="003A432F">
      <w:pPr>
        <w:pStyle w:val="BodyTextIndent"/>
        <w:ind w:left="525"/>
        <w:jc w:val="both"/>
        <w:rPr>
          <w:rFonts w:cs="Arial"/>
          <w:color w:val="auto"/>
          <w:sz w:val="20"/>
          <w:szCs w:val="20"/>
        </w:rPr>
      </w:pPr>
      <w:r w:rsidRPr="0063179D">
        <w:rPr>
          <w:rFonts w:cs="Arial"/>
          <w:color w:val="auto"/>
          <w:sz w:val="20"/>
          <w:szCs w:val="20"/>
        </w:rPr>
        <w:t>Land owned by a diocese and used for school purposes, in the absence of lease arrangement or statutory transfer, has not been recognised as a Council asset due to the infinite life of land.</w:t>
      </w:r>
    </w:p>
    <w:p w:rsidR="003A432F" w:rsidRPr="00C1756D" w:rsidRDefault="000A3927" w:rsidP="000A3927">
      <w:pPr>
        <w:pStyle w:val="Heading1"/>
        <w:spacing w:line="240" w:lineRule="atLeast"/>
        <w:jc w:val="both"/>
        <w:rPr>
          <w:rFonts w:cs="Arial"/>
          <w:b/>
          <w:color w:val="auto"/>
          <w:sz w:val="20"/>
          <w:szCs w:val="20"/>
        </w:rPr>
      </w:pPr>
      <w:r>
        <w:rPr>
          <w:rFonts w:cs="Arial"/>
          <w:b/>
          <w:color w:val="auto"/>
          <w:sz w:val="20"/>
          <w:szCs w:val="20"/>
        </w:rPr>
        <w:lastRenderedPageBreak/>
        <w:t>41.1</w:t>
      </w:r>
      <w:r w:rsidR="009D54C9">
        <w:rPr>
          <w:rFonts w:cs="Arial"/>
          <w:b/>
          <w:color w:val="auto"/>
          <w:sz w:val="20"/>
          <w:szCs w:val="20"/>
        </w:rPr>
        <w:t>3</w:t>
      </w:r>
      <w:r>
        <w:rPr>
          <w:rFonts w:cs="Arial"/>
          <w:b/>
          <w:color w:val="auto"/>
          <w:sz w:val="20"/>
          <w:szCs w:val="20"/>
        </w:rPr>
        <w:tab/>
      </w:r>
      <w:r w:rsidR="003A432F" w:rsidRPr="00C1756D">
        <w:rPr>
          <w:rFonts w:cs="Arial"/>
          <w:b/>
          <w:color w:val="auto"/>
          <w:sz w:val="20"/>
          <w:szCs w:val="20"/>
        </w:rPr>
        <w:t xml:space="preserve">Service Concessions - Private Finance Initiative (PFI) </w:t>
      </w:r>
    </w:p>
    <w:p w:rsidR="003A432F" w:rsidRPr="00C1756D" w:rsidRDefault="003A432F" w:rsidP="003A432F">
      <w:pPr>
        <w:spacing w:after="0" w:line="240" w:lineRule="auto"/>
        <w:ind w:left="567"/>
        <w:jc w:val="both"/>
        <w:rPr>
          <w:rFonts w:cs="Arial"/>
          <w:color w:val="auto"/>
          <w:sz w:val="20"/>
          <w:szCs w:val="20"/>
          <w:lang w:eastAsia="en-GB"/>
        </w:rPr>
      </w:pPr>
      <w:r>
        <w:rPr>
          <w:rFonts w:cs="Arial"/>
          <w:color w:val="auto"/>
          <w:sz w:val="20"/>
          <w:szCs w:val="20"/>
          <w:lang w:eastAsia="en-GB"/>
        </w:rPr>
        <w:t>As</w:t>
      </w:r>
      <w:r w:rsidRPr="00C1756D">
        <w:rPr>
          <w:rFonts w:cs="Arial"/>
          <w:color w:val="auto"/>
          <w:sz w:val="20"/>
          <w:szCs w:val="20"/>
          <w:lang w:eastAsia="en-GB"/>
        </w:rPr>
        <w:t xml:space="preserve"> the Council is deemed to control the services that are provided under its PFI contracts, and as ownership of the property, plant and equipment will pass to the Council at the end of the contracts for no additional charge; the assets used are recognised on the Balance Sheet as part of Property, Plant and Equipment.</w:t>
      </w:r>
    </w:p>
    <w:p w:rsidR="003A432F" w:rsidRPr="00C1756D" w:rsidRDefault="003A432F" w:rsidP="003A432F">
      <w:pPr>
        <w:spacing w:after="0" w:line="240" w:lineRule="auto"/>
        <w:jc w:val="both"/>
        <w:rPr>
          <w:rFonts w:cs="Arial"/>
          <w:color w:val="auto"/>
          <w:sz w:val="20"/>
          <w:szCs w:val="20"/>
          <w:lang w:eastAsia="en-GB"/>
        </w:rPr>
      </w:pPr>
    </w:p>
    <w:p w:rsidR="003A432F" w:rsidRPr="00C1756D" w:rsidRDefault="003A432F" w:rsidP="003A432F">
      <w:pPr>
        <w:spacing w:after="0" w:line="240" w:lineRule="auto"/>
        <w:ind w:left="567"/>
        <w:jc w:val="both"/>
        <w:rPr>
          <w:rFonts w:cs="Arial"/>
          <w:color w:val="auto"/>
          <w:sz w:val="20"/>
          <w:szCs w:val="20"/>
          <w:lang w:eastAsia="en-GB"/>
        </w:rPr>
      </w:pPr>
      <w:r w:rsidRPr="00C1756D">
        <w:rPr>
          <w:rFonts w:cs="Arial"/>
          <w:color w:val="auto"/>
          <w:sz w:val="20"/>
          <w:szCs w:val="20"/>
          <w:lang w:eastAsia="en-GB"/>
        </w:rPr>
        <w:t>The original recognition of these assets at current value was balanced by the recognition of a liability for amounts due to the scheme operator to pay for the capital investment.</w:t>
      </w:r>
    </w:p>
    <w:p w:rsidR="003A432F" w:rsidRPr="00C1756D" w:rsidRDefault="003A432F" w:rsidP="003A432F">
      <w:pPr>
        <w:spacing w:after="0" w:line="240" w:lineRule="auto"/>
        <w:jc w:val="both"/>
        <w:rPr>
          <w:rFonts w:cs="Arial"/>
          <w:color w:val="auto"/>
          <w:sz w:val="20"/>
          <w:szCs w:val="20"/>
          <w:lang w:eastAsia="en-GB"/>
        </w:rPr>
      </w:pPr>
    </w:p>
    <w:p w:rsidR="003A432F" w:rsidRPr="00C1756D" w:rsidRDefault="003A432F" w:rsidP="003A432F">
      <w:pPr>
        <w:spacing w:after="0" w:line="240" w:lineRule="auto"/>
        <w:ind w:firstLine="567"/>
        <w:jc w:val="both"/>
        <w:rPr>
          <w:rFonts w:cs="Arial"/>
          <w:color w:val="auto"/>
          <w:sz w:val="20"/>
          <w:szCs w:val="20"/>
          <w:lang w:eastAsia="en-GB"/>
        </w:rPr>
      </w:pPr>
      <w:r w:rsidRPr="00C1756D">
        <w:rPr>
          <w:rFonts w:cs="Arial"/>
          <w:color w:val="auto"/>
          <w:sz w:val="20"/>
          <w:szCs w:val="20"/>
          <w:lang w:eastAsia="en-GB"/>
        </w:rPr>
        <w:t>The amounts payable to the PFI operators each year are analysed into three elements:</w:t>
      </w:r>
    </w:p>
    <w:p w:rsidR="003A432F" w:rsidRPr="00C1756D" w:rsidRDefault="003A432F" w:rsidP="003A432F">
      <w:pPr>
        <w:pStyle w:val="ListParagraph"/>
        <w:spacing w:after="0" w:line="240" w:lineRule="auto"/>
        <w:ind w:left="1440"/>
        <w:jc w:val="both"/>
        <w:rPr>
          <w:rFonts w:cs="Arial"/>
          <w:color w:val="auto"/>
          <w:sz w:val="20"/>
          <w:szCs w:val="20"/>
          <w:lang w:eastAsia="en-GB"/>
        </w:rPr>
      </w:pPr>
    </w:p>
    <w:p w:rsidR="003A432F" w:rsidRPr="00C1756D" w:rsidRDefault="003A432F" w:rsidP="003A432F">
      <w:pPr>
        <w:numPr>
          <w:ilvl w:val="0"/>
          <w:numId w:val="15"/>
        </w:numPr>
        <w:autoSpaceDE w:val="0"/>
        <w:autoSpaceDN w:val="0"/>
        <w:adjustRightInd w:val="0"/>
        <w:spacing w:after="0"/>
        <w:ind w:left="567" w:firstLine="0"/>
        <w:jc w:val="both"/>
        <w:rPr>
          <w:rFonts w:cs="Arial"/>
          <w:color w:val="auto"/>
          <w:sz w:val="20"/>
          <w:szCs w:val="20"/>
          <w:lang w:eastAsia="en-GB"/>
        </w:rPr>
      </w:pPr>
      <w:proofErr w:type="gramStart"/>
      <w:r>
        <w:rPr>
          <w:rFonts w:cs="Arial"/>
          <w:color w:val="auto"/>
          <w:sz w:val="20"/>
          <w:szCs w:val="20"/>
          <w:lang w:eastAsia="en-GB"/>
        </w:rPr>
        <w:t>fair</w:t>
      </w:r>
      <w:proofErr w:type="gramEnd"/>
      <w:r w:rsidRPr="00C1756D">
        <w:rPr>
          <w:rFonts w:cs="Arial"/>
          <w:color w:val="auto"/>
          <w:sz w:val="20"/>
          <w:szCs w:val="20"/>
          <w:lang w:eastAsia="en-GB"/>
        </w:rPr>
        <w:t xml:space="preserve"> value of the services received during the year - debited to the relevant service in the CIES.</w:t>
      </w:r>
    </w:p>
    <w:p w:rsidR="003A432F" w:rsidRDefault="003A432F" w:rsidP="003A432F">
      <w:pPr>
        <w:numPr>
          <w:ilvl w:val="0"/>
          <w:numId w:val="15"/>
        </w:numPr>
        <w:autoSpaceDE w:val="0"/>
        <w:autoSpaceDN w:val="0"/>
        <w:adjustRightInd w:val="0"/>
        <w:spacing w:after="0"/>
        <w:ind w:left="567" w:firstLine="0"/>
        <w:jc w:val="both"/>
        <w:rPr>
          <w:rFonts w:cs="Arial"/>
          <w:color w:val="auto"/>
          <w:sz w:val="20"/>
          <w:szCs w:val="20"/>
        </w:rPr>
      </w:pPr>
      <w:proofErr w:type="gramStart"/>
      <w:r w:rsidRPr="00C1756D">
        <w:rPr>
          <w:rFonts w:cs="Arial"/>
          <w:color w:val="auto"/>
          <w:sz w:val="20"/>
          <w:szCs w:val="20"/>
          <w:lang w:eastAsia="en-GB"/>
        </w:rPr>
        <w:t>finance</w:t>
      </w:r>
      <w:proofErr w:type="gramEnd"/>
      <w:r w:rsidRPr="00C1756D">
        <w:rPr>
          <w:rFonts w:cs="Arial"/>
          <w:color w:val="auto"/>
          <w:sz w:val="20"/>
          <w:szCs w:val="20"/>
          <w:lang w:eastAsia="en-GB"/>
        </w:rPr>
        <w:t xml:space="preserve"> cost - an interest charge on the outstanding Balance Sheet liability, debited to the Financing and Investment Income and Expenditure line in the CIES. </w:t>
      </w:r>
    </w:p>
    <w:p w:rsidR="003A432F" w:rsidRPr="008E2A2A" w:rsidRDefault="003A432F" w:rsidP="003A432F">
      <w:pPr>
        <w:numPr>
          <w:ilvl w:val="0"/>
          <w:numId w:val="15"/>
        </w:numPr>
        <w:autoSpaceDE w:val="0"/>
        <w:autoSpaceDN w:val="0"/>
        <w:adjustRightInd w:val="0"/>
        <w:spacing w:after="0"/>
        <w:ind w:left="567" w:firstLine="0"/>
        <w:jc w:val="both"/>
        <w:rPr>
          <w:rFonts w:cs="Arial"/>
          <w:i/>
          <w:color w:val="auto"/>
          <w:sz w:val="20"/>
          <w:szCs w:val="20"/>
          <w:lang w:eastAsia="en-GB"/>
        </w:rPr>
      </w:pPr>
      <w:proofErr w:type="gramStart"/>
      <w:r w:rsidRPr="00C1756D">
        <w:rPr>
          <w:rFonts w:cs="Arial"/>
          <w:color w:val="auto"/>
          <w:sz w:val="20"/>
          <w:szCs w:val="20"/>
          <w:lang w:eastAsia="en-GB"/>
        </w:rPr>
        <w:t>payment</w:t>
      </w:r>
      <w:proofErr w:type="gramEnd"/>
      <w:r w:rsidRPr="00C1756D">
        <w:rPr>
          <w:rFonts w:cs="Arial"/>
          <w:color w:val="auto"/>
          <w:sz w:val="20"/>
          <w:szCs w:val="20"/>
          <w:lang w:eastAsia="en-GB"/>
        </w:rPr>
        <w:t xml:space="preserve"> towards liability - applied to write down the Balance Sheet liability towards the PFI operator.</w:t>
      </w:r>
      <w:r w:rsidRPr="00C1756D">
        <w:rPr>
          <w:rFonts w:cs="Arial"/>
          <w:color w:val="auto"/>
          <w:sz w:val="20"/>
          <w:szCs w:val="20"/>
        </w:rPr>
        <w:t xml:space="preserve"> In addition the Council makes an annual revenue provision to the Capital Adjustment Account that is equal to the annual reduction in the liability to the contractor and correspondingly reduces the Council’s Capital Financing Requirement. </w:t>
      </w:r>
    </w:p>
    <w:p w:rsidR="003A432F" w:rsidRDefault="003A432F" w:rsidP="003A432F">
      <w:pPr>
        <w:autoSpaceDE w:val="0"/>
        <w:autoSpaceDN w:val="0"/>
        <w:adjustRightInd w:val="0"/>
        <w:spacing w:after="0"/>
        <w:ind w:left="567"/>
        <w:jc w:val="both"/>
        <w:rPr>
          <w:rFonts w:cs="Arial"/>
          <w:color w:val="auto"/>
          <w:sz w:val="20"/>
          <w:szCs w:val="20"/>
        </w:rPr>
      </w:pPr>
    </w:p>
    <w:p w:rsidR="003A432F" w:rsidRDefault="003A432F" w:rsidP="003A432F">
      <w:pPr>
        <w:autoSpaceDE w:val="0"/>
        <w:autoSpaceDN w:val="0"/>
        <w:adjustRightInd w:val="0"/>
        <w:spacing w:after="0"/>
        <w:ind w:left="567"/>
        <w:jc w:val="both"/>
        <w:rPr>
          <w:rFonts w:cs="Arial"/>
          <w:color w:val="auto"/>
          <w:sz w:val="20"/>
          <w:szCs w:val="20"/>
        </w:rPr>
      </w:pPr>
      <w:r>
        <w:rPr>
          <w:rFonts w:cs="Arial"/>
          <w:color w:val="auto"/>
          <w:sz w:val="20"/>
          <w:szCs w:val="20"/>
        </w:rPr>
        <w:t>For the Energy From waste scheme there are two additional elements.</w:t>
      </w:r>
    </w:p>
    <w:p w:rsidR="003A432F" w:rsidRPr="00C1756D" w:rsidRDefault="003A432F" w:rsidP="003A432F">
      <w:pPr>
        <w:autoSpaceDE w:val="0"/>
        <w:autoSpaceDN w:val="0"/>
        <w:adjustRightInd w:val="0"/>
        <w:spacing w:after="0"/>
        <w:ind w:left="567"/>
        <w:jc w:val="both"/>
        <w:rPr>
          <w:rFonts w:cs="Arial"/>
          <w:i/>
          <w:color w:val="auto"/>
          <w:sz w:val="20"/>
          <w:szCs w:val="20"/>
          <w:lang w:eastAsia="en-GB"/>
        </w:rPr>
      </w:pPr>
    </w:p>
    <w:p w:rsidR="003A432F" w:rsidRPr="00C1756D" w:rsidRDefault="003A432F" w:rsidP="003A432F">
      <w:pPr>
        <w:numPr>
          <w:ilvl w:val="0"/>
          <w:numId w:val="15"/>
        </w:numPr>
        <w:autoSpaceDE w:val="0"/>
        <w:autoSpaceDN w:val="0"/>
        <w:adjustRightInd w:val="0"/>
        <w:spacing w:after="0"/>
        <w:ind w:left="567" w:firstLine="0"/>
        <w:jc w:val="both"/>
        <w:rPr>
          <w:rFonts w:cs="Arial"/>
          <w:color w:val="auto"/>
          <w:sz w:val="20"/>
          <w:szCs w:val="20"/>
          <w:lang w:eastAsia="en-GB"/>
        </w:rPr>
      </w:pPr>
      <w:proofErr w:type="gramStart"/>
      <w:r>
        <w:rPr>
          <w:rFonts w:cs="Arial"/>
          <w:color w:val="auto"/>
          <w:sz w:val="20"/>
          <w:szCs w:val="20"/>
          <w:lang w:eastAsia="en-GB"/>
        </w:rPr>
        <w:t>deferred</w:t>
      </w:r>
      <w:proofErr w:type="gramEnd"/>
      <w:r>
        <w:rPr>
          <w:rFonts w:cs="Arial"/>
          <w:color w:val="auto"/>
          <w:sz w:val="20"/>
          <w:szCs w:val="20"/>
          <w:lang w:eastAsia="en-GB"/>
        </w:rPr>
        <w:t xml:space="preserve"> credit from the write down of the long term liability for the expected third party income </w:t>
      </w:r>
      <w:r w:rsidRPr="00C1756D">
        <w:rPr>
          <w:rFonts w:cs="Arial"/>
          <w:color w:val="auto"/>
          <w:sz w:val="20"/>
          <w:szCs w:val="20"/>
          <w:lang w:eastAsia="en-GB"/>
        </w:rPr>
        <w:t xml:space="preserve"> received during the year - </w:t>
      </w:r>
      <w:r>
        <w:rPr>
          <w:rFonts w:cs="Arial"/>
          <w:color w:val="auto"/>
          <w:sz w:val="20"/>
          <w:szCs w:val="20"/>
          <w:lang w:eastAsia="en-GB"/>
        </w:rPr>
        <w:t>cr</w:t>
      </w:r>
      <w:r w:rsidRPr="00C1756D">
        <w:rPr>
          <w:rFonts w:cs="Arial"/>
          <w:color w:val="auto"/>
          <w:sz w:val="20"/>
          <w:szCs w:val="20"/>
          <w:lang w:eastAsia="en-GB"/>
        </w:rPr>
        <w:t>edited to the relevant service in the CIES</w:t>
      </w:r>
      <w:r>
        <w:rPr>
          <w:rFonts w:cs="Arial"/>
          <w:color w:val="auto"/>
          <w:sz w:val="20"/>
          <w:szCs w:val="20"/>
          <w:lang w:eastAsia="en-GB"/>
        </w:rPr>
        <w:t>, with a reversal in the MIRS to the Capital Adjustment Account.</w:t>
      </w:r>
    </w:p>
    <w:p w:rsidR="003A432F" w:rsidRPr="00C1756D" w:rsidRDefault="003A432F" w:rsidP="003A432F">
      <w:pPr>
        <w:numPr>
          <w:ilvl w:val="0"/>
          <w:numId w:val="15"/>
        </w:numPr>
        <w:autoSpaceDE w:val="0"/>
        <w:autoSpaceDN w:val="0"/>
        <w:adjustRightInd w:val="0"/>
        <w:spacing w:after="0"/>
        <w:ind w:left="567" w:firstLine="0"/>
        <w:jc w:val="both"/>
        <w:rPr>
          <w:rFonts w:cs="Arial"/>
          <w:color w:val="auto"/>
          <w:sz w:val="20"/>
          <w:szCs w:val="20"/>
        </w:rPr>
      </w:pPr>
      <w:proofErr w:type="gramStart"/>
      <w:r>
        <w:rPr>
          <w:rFonts w:cs="Arial"/>
          <w:color w:val="auto"/>
          <w:sz w:val="20"/>
          <w:szCs w:val="20"/>
          <w:lang w:eastAsia="en-GB"/>
        </w:rPr>
        <w:t>contingent</w:t>
      </w:r>
      <w:proofErr w:type="gramEnd"/>
      <w:r>
        <w:rPr>
          <w:rFonts w:cs="Arial"/>
          <w:color w:val="auto"/>
          <w:sz w:val="20"/>
          <w:szCs w:val="20"/>
          <w:lang w:eastAsia="en-GB"/>
        </w:rPr>
        <w:t xml:space="preserve"> rent</w:t>
      </w:r>
      <w:r w:rsidRPr="00C1756D">
        <w:rPr>
          <w:rFonts w:cs="Arial"/>
          <w:color w:val="auto"/>
          <w:sz w:val="20"/>
          <w:szCs w:val="20"/>
          <w:lang w:eastAsia="en-GB"/>
        </w:rPr>
        <w:t xml:space="preserve"> - a</w:t>
      </w:r>
      <w:r>
        <w:rPr>
          <w:rFonts w:cs="Arial"/>
          <w:color w:val="auto"/>
          <w:sz w:val="20"/>
          <w:szCs w:val="20"/>
          <w:lang w:eastAsia="en-GB"/>
        </w:rPr>
        <w:t xml:space="preserve"> reduction to the finance costs in year due to the impact of third party income on the total costs to the council.</w:t>
      </w:r>
    </w:p>
    <w:p w:rsidR="003A432F" w:rsidRPr="00C1756D" w:rsidRDefault="003A432F" w:rsidP="003A432F">
      <w:pPr>
        <w:autoSpaceDE w:val="0"/>
        <w:autoSpaceDN w:val="0"/>
        <w:adjustRightInd w:val="0"/>
        <w:spacing w:after="0"/>
        <w:jc w:val="both"/>
        <w:rPr>
          <w:rFonts w:cs="Arial"/>
          <w:color w:val="auto"/>
          <w:sz w:val="20"/>
          <w:szCs w:val="20"/>
        </w:rPr>
      </w:pPr>
    </w:p>
    <w:p w:rsidR="003A432F" w:rsidRDefault="003A432F" w:rsidP="003A432F">
      <w:pPr>
        <w:pStyle w:val="BodyTextIndent"/>
        <w:ind w:left="567"/>
        <w:jc w:val="both"/>
        <w:rPr>
          <w:rFonts w:cs="Arial"/>
          <w:color w:val="auto"/>
          <w:sz w:val="20"/>
          <w:szCs w:val="20"/>
        </w:rPr>
      </w:pPr>
      <w:r w:rsidRPr="00C1756D">
        <w:rPr>
          <w:rFonts w:cs="Arial"/>
          <w:color w:val="auto"/>
          <w:sz w:val="20"/>
          <w:szCs w:val="20"/>
        </w:rPr>
        <w:t xml:space="preserve">Any lifecycle costs incurred by the contractor are assumed to be revenue in nature in maintaining the existing value of the asset. </w:t>
      </w:r>
    </w:p>
    <w:p w:rsidR="003A432F" w:rsidRDefault="003A432F" w:rsidP="003A432F">
      <w:pPr>
        <w:pStyle w:val="BodyTextIndent"/>
        <w:ind w:left="567"/>
        <w:jc w:val="both"/>
        <w:rPr>
          <w:rFonts w:cs="Arial"/>
          <w:color w:val="auto"/>
          <w:sz w:val="20"/>
          <w:szCs w:val="20"/>
        </w:rPr>
      </w:pPr>
      <w:r w:rsidRPr="00C1756D">
        <w:rPr>
          <w:rFonts w:cs="Arial"/>
          <w:color w:val="auto"/>
          <w:sz w:val="20"/>
          <w:szCs w:val="20"/>
        </w:rPr>
        <w:t xml:space="preserve">Any variations of a capital nature requested and funded by the school are treated as capital expenditure and capital resources outside the PFI contract. </w:t>
      </w:r>
    </w:p>
    <w:p w:rsidR="003A432F" w:rsidRPr="003A53F9" w:rsidRDefault="000A3927" w:rsidP="000A3927">
      <w:pPr>
        <w:pStyle w:val="Heading1"/>
        <w:spacing w:line="240" w:lineRule="atLeast"/>
        <w:jc w:val="both"/>
        <w:rPr>
          <w:rFonts w:cs="Arial"/>
          <w:b/>
          <w:color w:val="auto"/>
          <w:sz w:val="20"/>
          <w:szCs w:val="20"/>
        </w:rPr>
      </w:pPr>
      <w:r>
        <w:rPr>
          <w:rFonts w:cs="Arial"/>
          <w:b/>
          <w:color w:val="auto"/>
          <w:sz w:val="20"/>
          <w:szCs w:val="20"/>
        </w:rPr>
        <w:t>41.1</w:t>
      </w:r>
      <w:r w:rsidR="009D54C9">
        <w:rPr>
          <w:rFonts w:cs="Arial"/>
          <w:b/>
          <w:color w:val="auto"/>
          <w:sz w:val="20"/>
          <w:szCs w:val="20"/>
        </w:rPr>
        <w:t>4</w:t>
      </w:r>
      <w:r>
        <w:rPr>
          <w:rFonts w:cs="Arial"/>
          <w:b/>
          <w:color w:val="auto"/>
          <w:sz w:val="20"/>
          <w:szCs w:val="20"/>
        </w:rPr>
        <w:tab/>
      </w:r>
      <w:r w:rsidR="003A432F" w:rsidRPr="003A53F9">
        <w:rPr>
          <w:rFonts w:cs="Arial"/>
          <w:b/>
          <w:color w:val="auto"/>
          <w:sz w:val="20"/>
          <w:szCs w:val="20"/>
        </w:rPr>
        <w:t xml:space="preserve"> Provisions</w:t>
      </w:r>
    </w:p>
    <w:p w:rsidR="003A432F" w:rsidRPr="003A53F9" w:rsidRDefault="003A432F" w:rsidP="003A432F">
      <w:pPr>
        <w:spacing w:after="0" w:line="240" w:lineRule="auto"/>
        <w:ind w:left="567"/>
        <w:jc w:val="both"/>
        <w:rPr>
          <w:rFonts w:cs="Arial"/>
          <w:color w:val="auto"/>
          <w:sz w:val="20"/>
          <w:szCs w:val="20"/>
          <w:lang w:eastAsia="en-GB"/>
        </w:rPr>
      </w:pPr>
      <w:r w:rsidRPr="003A53F9">
        <w:rPr>
          <w:rFonts w:cs="Arial"/>
          <w:color w:val="auto"/>
          <w:sz w:val="20"/>
          <w:szCs w:val="20"/>
          <w:lang w:eastAsia="en-GB"/>
        </w:rPr>
        <w:t>Provisions are charged as an expense to the appropriate service line in the CIES where an event has taken place that gives the Council a legal or constructive obligation that probably requires settlement by a transfer of economic benefits or service potential, and a reliable estimate can be made of the amount of the obligation.  Provisions are charged as the best estimate at the balance sheet date of the expenditure required to settle the obligation, taking into account relevant risks and uncertainties.</w:t>
      </w:r>
    </w:p>
    <w:p w:rsidR="003A432F" w:rsidRPr="003A53F9" w:rsidRDefault="003A432F" w:rsidP="003A432F">
      <w:pPr>
        <w:spacing w:after="0" w:line="240" w:lineRule="auto"/>
        <w:ind w:left="567"/>
        <w:jc w:val="both"/>
        <w:rPr>
          <w:rFonts w:cs="Arial"/>
          <w:color w:val="auto"/>
          <w:sz w:val="20"/>
          <w:szCs w:val="20"/>
          <w:lang w:eastAsia="en-GB"/>
        </w:rPr>
      </w:pPr>
    </w:p>
    <w:p w:rsidR="003A432F" w:rsidRDefault="003A432F" w:rsidP="003A432F">
      <w:pPr>
        <w:autoSpaceDE w:val="0"/>
        <w:autoSpaceDN w:val="0"/>
        <w:ind w:left="567"/>
        <w:jc w:val="both"/>
        <w:rPr>
          <w:rFonts w:cs="Arial"/>
          <w:color w:val="auto"/>
          <w:sz w:val="20"/>
          <w:szCs w:val="20"/>
          <w:lang w:eastAsia="en-GB"/>
        </w:rPr>
      </w:pPr>
      <w:r w:rsidRPr="003A53F9">
        <w:rPr>
          <w:rFonts w:cs="Arial"/>
          <w:color w:val="auto"/>
          <w:sz w:val="20"/>
          <w:szCs w:val="20"/>
          <w:lang w:eastAsia="en-GB"/>
        </w:rPr>
        <w:t>The Council is required to provide for the cost of any backdated NNDR refunds arising from appeals submitted to the Valuation Office that are successful</w:t>
      </w:r>
      <w:r>
        <w:rPr>
          <w:rFonts w:cs="Arial"/>
          <w:color w:val="auto"/>
          <w:sz w:val="20"/>
          <w:szCs w:val="20"/>
          <w:lang w:eastAsia="en-GB"/>
        </w:rPr>
        <w:t xml:space="preserve">. </w:t>
      </w:r>
      <w:r w:rsidRPr="003A53F9">
        <w:rPr>
          <w:rFonts w:cs="Arial"/>
          <w:color w:val="auto"/>
          <w:sz w:val="20"/>
          <w:szCs w:val="20"/>
          <w:lang w:eastAsia="en-GB"/>
        </w:rPr>
        <w:t xml:space="preserve">The Council’s balance sheet only reflects the Council’s 49% share of the provision. </w:t>
      </w:r>
    </w:p>
    <w:p w:rsidR="003A432F" w:rsidRDefault="003A432F" w:rsidP="003A432F">
      <w:pPr>
        <w:autoSpaceDE w:val="0"/>
        <w:autoSpaceDN w:val="0"/>
        <w:ind w:left="567"/>
        <w:jc w:val="both"/>
        <w:rPr>
          <w:rFonts w:cs="Arial"/>
          <w:color w:val="auto"/>
          <w:sz w:val="20"/>
          <w:szCs w:val="20"/>
          <w:lang w:eastAsia="en-GB"/>
        </w:rPr>
      </w:pPr>
      <w:r w:rsidRPr="003A53F9">
        <w:rPr>
          <w:rFonts w:cs="Arial"/>
          <w:color w:val="auto"/>
          <w:sz w:val="20"/>
          <w:szCs w:val="20"/>
          <w:lang w:eastAsia="en-GB"/>
        </w:rPr>
        <w:t>The Council has estimated the impact of appeals submitted by 31</w:t>
      </w:r>
      <w:r w:rsidRPr="003A53F9">
        <w:rPr>
          <w:rFonts w:cs="Arial"/>
          <w:color w:val="auto"/>
          <w:sz w:val="20"/>
          <w:szCs w:val="20"/>
          <w:vertAlign w:val="superscript"/>
          <w:lang w:eastAsia="en-GB"/>
        </w:rPr>
        <w:t>st</w:t>
      </w:r>
      <w:r w:rsidRPr="003A53F9">
        <w:rPr>
          <w:rFonts w:cs="Arial"/>
          <w:color w:val="auto"/>
          <w:sz w:val="20"/>
          <w:szCs w:val="20"/>
          <w:lang w:eastAsia="en-GB"/>
        </w:rPr>
        <w:t xml:space="preserve"> March </w:t>
      </w:r>
      <w:r>
        <w:rPr>
          <w:rFonts w:cs="Arial"/>
          <w:color w:val="auto"/>
          <w:sz w:val="20"/>
          <w:szCs w:val="20"/>
          <w:lang w:eastAsia="en-GB"/>
        </w:rPr>
        <w:t xml:space="preserve">2017 </w:t>
      </w:r>
      <w:r w:rsidRPr="003A53F9">
        <w:rPr>
          <w:rFonts w:cs="Arial"/>
          <w:color w:val="auto"/>
          <w:sz w:val="20"/>
          <w:szCs w:val="20"/>
          <w:lang w:eastAsia="en-GB"/>
        </w:rPr>
        <w:t>using historic information; however for appeals that could be submitted after 31</w:t>
      </w:r>
      <w:r w:rsidRPr="003A53F9">
        <w:rPr>
          <w:rFonts w:cs="Arial"/>
          <w:color w:val="auto"/>
          <w:sz w:val="20"/>
          <w:szCs w:val="20"/>
          <w:vertAlign w:val="superscript"/>
          <w:lang w:eastAsia="en-GB"/>
        </w:rPr>
        <w:t>st</w:t>
      </w:r>
      <w:r w:rsidRPr="003A53F9">
        <w:rPr>
          <w:rFonts w:cs="Arial"/>
          <w:color w:val="auto"/>
          <w:sz w:val="20"/>
          <w:szCs w:val="20"/>
          <w:lang w:eastAsia="en-GB"/>
        </w:rPr>
        <w:t xml:space="preserve"> March </w:t>
      </w:r>
      <w:r>
        <w:rPr>
          <w:rFonts w:cs="Arial"/>
          <w:color w:val="auto"/>
          <w:sz w:val="20"/>
          <w:szCs w:val="20"/>
          <w:lang w:eastAsia="en-GB"/>
        </w:rPr>
        <w:t xml:space="preserve">2017 (after the national 2017 Revaluation) there </w:t>
      </w:r>
      <w:r w:rsidRPr="003A53F9">
        <w:rPr>
          <w:rFonts w:cs="Arial"/>
          <w:color w:val="auto"/>
          <w:sz w:val="20"/>
          <w:szCs w:val="20"/>
          <w:lang w:eastAsia="en-GB"/>
        </w:rPr>
        <w:t xml:space="preserve">is </w:t>
      </w:r>
      <w:r>
        <w:rPr>
          <w:rFonts w:cs="Arial"/>
          <w:color w:val="auto"/>
          <w:sz w:val="20"/>
          <w:szCs w:val="20"/>
          <w:lang w:eastAsia="en-GB"/>
        </w:rPr>
        <w:t xml:space="preserve">currently </w:t>
      </w:r>
      <w:r w:rsidRPr="003A53F9">
        <w:rPr>
          <w:rFonts w:cs="Arial"/>
          <w:color w:val="auto"/>
          <w:sz w:val="20"/>
          <w:szCs w:val="20"/>
          <w:lang w:eastAsia="en-GB"/>
        </w:rPr>
        <w:t xml:space="preserve">not enough </w:t>
      </w:r>
      <w:r>
        <w:rPr>
          <w:rFonts w:cs="Arial"/>
          <w:color w:val="auto"/>
          <w:sz w:val="20"/>
          <w:szCs w:val="20"/>
          <w:lang w:eastAsia="en-GB"/>
        </w:rPr>
        <w:t xml:space="preserve">information from the Valuation Office </w:t>
      </w:r>
      <w:r w:rsidRPr="003A53F9">
        <w:rPr>
          <w:rFonts w:cs="Arial"/>
          <w:color w:val="auto"/>
          <w:sz w:val="20"/>
          <w:szCs w:val="20"/>
          <w:lang w:eastAsia="en-GB"/>
        </w:rPr>
        <w:t>to enable a reliable estimate to be made</w:t>
      </w:r>
      <w:r>
        <w:rPr>
          <w:rFonts w:cs="Arial"/>
          <w:color w:val="auto"/>
          <w:sz w:val="20"/>
          <w:szCs w:val="20"/>
          <w:lang w:eastAsia="en-GB"/>
        </w:rPr>
        <w:t xml:space="preserve"> therefore an estimate has been made based on an appeals percentage provided by MHCLG on the NNDR returns.</w:t>
      </w:r>
      <w:r w:rsidRPr="003A53F9">
        <w:rPr>
          <w:rFonts w:cs="Arial"/>
          <w:color w:val="auto"/>
          <w:sz w:val="20"/>
          <w:szCs w:val="20"/>
          <w:lang w:eastAsia="en-GB"/>
        </w:rPr>
        <w:t xml:space="preserve"> </w:t>
      </w:r>
    </w:p>
    <w:p w:rsidR="003A432F" w:rsidRPr="00F232CF" w:rsidRDefault="000A3927" w:rsidP="000A3927">
      <w:pPr>
        <w:autoSpaceDE w:val="0"/>
        <w:autoSpaceDN w:val="0"/>
        <w:jc w:val="both"/>
        <w:rPr>
          <w:rFonts w:cs="Arial"/>
          <w:b/>
          <w:color w:val="auto"/>
          <w:sz w:val="20"/>
          <w:szCs w:val="20"/>
          <w:lang w:eastAsia="en-GB"/>
        </w:rPr>
      </w:pPr>
      <w:r>
        <w:rPr>
          <w:rFonts w:cs="Arial"/>
          <w:b/>
          <w:color w:val="auto"/>
          <w:sz w:val="20"/>
          <w:szCs w:val="20"/>
          <w:lang w:eastAsia="en-GB"/>
        </w:rPr>
        <w:t>41.1</w:t>
      </w:r>
      <w:r w:rsidR="009D54C9">
        <w:rPr>
          <w:rFonts w:cs="Arial"/>
          <w:b/>
          <w:color w:val="auto"/>
          <w:sz w:val="20"/>
          <w:szCs w:val="20"/>
          <w:lang w:eastAsia="en-GB"/>
        </w:rPr>
        <w:t>5</w:t>
      </w:r>
      <w:r>
        <w:rPr>
          <w:rFonts w:cs="Arial"/>
          <w:b/>
          <w:color w:val="auto"/>
          <w:sz w:val="20"/>
          <w:szCs w:val="20"/>
          <w:lang w:eastAsia="en-GB"/>
        </w:rPr>
        <w:tab/>
      </w:r>
      <w:r w:rsidR="003A432F" w:rsidRPr="00F232CF">
        <w:rPr>
          <w:rFonts w:cs="Arial"/>
          <w:b/>
          <w:color w:val="auto"/>
          <w:sz w:val="20"/>
          <w:szCs w:val="20"/>
          <w:lang w:eastAsia="en-GB"/>
        </w:rPr>
        <w:t>Overheads and Support Services</w:t>
      </w:r>
    </w:p>
    <w:p w:rsidR="00856A01" w:rsidRDefault="003A432F" w:rsidP="003A432F">
      <w:pPr>
        <w:autoSpaceDE w:val="0"/>
        <w:autoSpaceDN w:val="0"/>
        <w:ind w:left="567"/>
        <w:jc w:val="both"/>
        <w:rPr>
          <w:rFonts w:cs="Arial"/>
          <w:color w:val="auto"/>
          <w:sz w:val="20"/>
          <w:szCs w:val="20"/>
          <w:lang w:eastAsia="en-GB"/>
        </w:rPr>
      </w:pPr>
      <w:r w:rsidRPr="00F232CF">
        <w:rPr>
          <w:rFonts w:cs="Arial"/>
          <w:color w:val="auto"/>
          <w:sz w:val="20"/>
          <w:szCs w:val="20"/>
          <w:lang w:eastAsia="en-GB"/>
        </w:rPr>
        <w:t xml:space="preserve">The Council’s CIES is presented on a segmental basis in line with the Council’s internal reporting. On this basis the costs of cross Council overheads and support services are accounted for within the relevant management segment and are not allocated to services. The exceptions to this are where the service is accounted for on a “ring fenced” basis such as public health, schools and </w:t>
      </w:r>
      <w:r w:rsidRPr="00F232CF">
        <w:rPr>
          <w:rFonts w:cs="Arial"/>
          <w:color w:val="auto"/>
          <w:sz w:val="20"/>
          <w:szCs w:val="20"/>
          <w:lang w:eastAsia="en-GB"/>
        </w:rPr>
        <w:lastRenderedPageBreak/>
        <w:t>harbours where the costs of support services are allocated in line with the CIPFA Service Reporting Code of Practice. The costs of a service</w:t>
      </w:r>
      <w:r>
        <w:rPr>
          <w:rFonts w:cs="Arial"/>
          <w:color w:val="auto"/>
          <w:sz w:val="20"/>
          <w:szCs w:val="20"/>
          <w:lang w:eastAsia="en-GB"/>
        </w:rPr>
        <w:t>’s</w:t>
      </w:r>
      <w:r w:rsidRPr="00F232CF">
        <w:rPr>
          <w:rFonts w:cs="Arial"/>
          <w:color w:val="auto"/>
          <w:sz w:val="20"/>
          <w:szCs w:val="20"/>
          <w:lang w:eastAsia="en-GB"/>
        </w:rPr>
        <w:t xml:space="preserve"> own management and administration are accounted for within the service</w:t>
      </w:r>
      <w:r>
        <w:rPr>
          <w:rFonts w:cs="Arial"/>
          <w:color w:val="auto"/>
          <w:sz w:val="20"/>
          <w:szCs w:val="20"/>
          <w:lang w:eastAsia="en-GB"/>
        </w:rPr>
        <w:t xml:space="preserve"> segment</w:t>
      </w:r>
      <w:r w:rsidRPr="00F232CF">
        <w:rPr>
          <w:rFonts w:cs="Arial"/>
          <w:color w:val="auto"/>
          <w:sz w:val="20"/>
          <w:szCs w:val="20"/>
          <w:lang w:eastAsia="en-GB"/>
        </w:rPr>
        <w:t>.</w:t>
      </w:r>
    </w:p>
    <w:p w:rsidR="00856A01" w:rsidRDefault="00856A01" w:rsidP="003A432F">
      <w:pPr>
        <w:autoSpaceDE w:val="0"/>
        <w:autoSpaceDN w:val="0"/>
        <w:ind w:left="567"/>
        <w:jc w:val="both"/>
        <w:rPr>
          <w:rFonts w:cs="Arial"/>
          <w:color w:val="auto"/>
          <w:sz w:val="20"/>
          <w:szCs w:val="20"/>
          <w:lang w:eastAsia="en-GB"/>
        </w:rPr>
      </w:pPr>
    </w:p>
    <w:p w:rsidR="00856A01" w:rsidRPr="0008401F" w:rsidRDefault="003A432F" w:rsidP="00856A01">
      <w:pPr>
        <w:pStyle w:val="Subtitle"/>
        <w:ind w:left="567" w:hanging="567"/>
        <w:rPr>
          <w:b/>
          <w:color w:val="auto"/>
          <w:sz w:val="22"/>
          <w:szCs w:val="22"/>
        </w:rPr>
      </w:pPr>
      <w:r>
        <w:rPr>
          <w:rFonts w:cs="Arial"/>
          <w:color w:val="auto"/>
          <w:sz w:val="20"/>
          <w:szCs w:val="20"/>
          <w:lang w:eastAsia="en-GB"/>
        </w:rPr>
        <w:t xml:space="preserve"> </w:t>
      </w:r>
      <w:r w:rsidR="00856A01" w:rsidRPr="0008401F">
        <w:rPr>
          <w:b/>
          <w:color w:val="auto"/>
          <w:sz w:val="22"/>
          <w:szCs w:val="22"/>
        </w:rPr>
        <w:t xml:space="preserve">42.    Post Balance </w:t>
      </w:r>
      <w:r w:rsidR="00AA3755" w:rsidRPr="0008401F">
        <w:rPr>
          <w:b/>
          <w:color w:val="auto"/>
          <w:sz w:val="22"/>
          <w:szCs w:val="22"/>
        </w:rPr>
        <w:t>Sheet Event</w:t>
      </w:r>
      <w:r w:rsidR="00A441CE" w:rsidRPr="0008401F">
        <w:rPr>
          <w:b/>
          <w:color w:val="auto"/>
          <w:sz w:val="22"/>
          <w:szCs w:val="22"/>
        </w:rPr>
        <w:t xml:space="preserve"> (Non adjusting)</w:t>
      </w:r>
    </w:p>
    <w:p w:rsidR="00AA3755" w:rsidRPr="00AA3755" w:rsidRDefault="007F1EEB" w:rsidP="007F1EEB">
      <w:pPr>
        <w:pStyle w:val="BodyText"/>
        <w:ind w:left="567"/>
      </w:pPr>
      <w:r w:rsidRPr="0008401F">
        <w:t xml:space="preserve">At the end of March 2018 the Council had exchanged contracts on an investment property in Gloucester, with the sale being completed in early April.  The commitment to the purchase as at the 31st March 2018 is shown in Note 13 ‘Contractual Commitments </w:t>
      </w:r>
      <w:proofErr w:type="gramStart"/>
      <w:r w:rsidRPr="0008401F">
        <w:t>for  the</w:t>
      </w:r>
      <w:proofErr w:type="gramEnd"/>
      <w:r w:rsidRPr="0008401F">
        <w:t xml:space="preserve"> acquisition of Property, Plant and Equipment’</w:t>
      </w:r>
      <w:r w:rsidR="00E664E5" w:rsidRPr="0008401F">
        <w:t xml:space="preserve">. The deposit on this property was paid in 2017/18 and is included in the Assets </w:t>
      </w:r>
      <w:proofErr w:type="gramStart"/>
      <w:r w:rsidR="00E664E5" w:rsidRPr="0008401F">
        <w:t>Under</w:t>
      </w:r>
      <w:proofErr w:type="gramEnd"/>
      <w:r w:rsidR="00E664E5" w:rsidRPr="0008401F">
        <w:t xml:space="preserve"> Construction on the balance sheet.</w:t>
      </w:r>
    </w:p>
    <w:p w:rsidR="00AA3755" w:rsidRPr="00AA3755" w:rsidRDefault="00AA3755" w:rsidP="00AA3755">
      <w:pPr>
        <w:pStyle w:val="BodyText"/>
      </w:pPr>
      <w:r>
        <w:tab/>
      </w:r>
    </w:p>
    <w:p w:rsidR="00AA3755" w:rsidRPr="00AA3755" w:rsidRDefault="00AA3755" w:rsidP="00AA3755">
      <w:pPr>
        <w:pStyle w:val="BodyText"/>
      </w:pPr>
      <w:r>
        <w:tab/>
      </w:r>
    </w:p>
    <w:p w:rsidR="003A432F" w:rsidRDefault="003A432F" w:rsidP="003A432F">
      <w:pPr>
        <w:autoSpaceDE w:val="0"/>
        <w:autoSpaceDN w:val="0"/>
        <w:ind w:left="567"/>
        <w:jc w:val="both"/>
        <w:rPr>
          <w:rFonts w:cs="Arial"/>
          <w:color w:val="auto"/>
          <w:sz w:val="20"/>
          <w:szCs w:val="20"/>
          <w:lang w:eastAsia="en-GB"/>
        </w:rPr>
      </w:pPr>
    </w:p>
    <w:p w:rsidR="00AD4B51" w:rsidRDefault="00AD4B51" w:rsidP="00AD4B51">
      <w:pPr>
        <w:autoSpaceDE w:val="0"/>
        <w:autoSpaceDN w:val="0"/>
        <w:jc w:val="both"/>
        <w:rPr>
          <w:rFonts w:cs="Arial"/>
          <w:color w:val="auto"/>
          <w:sz w:val="20"/>
          <w:szCs w:val="20"/>
          <w:lang w:eastAsia="en-GB"/>
        </w:rPr>
      </w:pPr>
    </w:p>
    <w:p w:rsidR="00856A01" w:rsidRDefault="00856A01" w:rsidP="00AD4B51">
      <w:pPr>
        <w:autoSpaceDE w:val="0"/>
        <w:autoSpaceDN w:val="0"/>
        <w:jc w:val="both"/>
        <w:rPr>
          <w:rFonts w:cs="Arial"/>
          <w:color w:val="auto"/>
          <w:sz w:val="20"/>
          <w:szCs w:val="20"/>
          <w:lang w:eastAsia="en-GB"/>
        </w:rPr>
      </w:pPr>
    </w:p>
    <w:p w:rsidR="00856A01" w:rsidRDefault="00856A01" w:rsidP="00AD4B51">
      <w:pPr>
        <w:autoSpaceDE w:val="0"/>
        <w:autoSpaceDN w:val="0"/>
        <w:jc w:val="both"/>
        <w:rPr>
          <w:rFonts w:cs="Arial"/>
          <w:color w:val="auto"/>
          <w:sz w:val="20"/>
          <w:szCs w:val="20"/>
          <w:lang w:eastAsia="en-GB"/>
        </w:rPr>
        <w:sectPr w:rsidR="00856A01" w:rsidSect="00F52EC8">
          <w:headerReference w:type="default" r:id="rId43"/>
          <w:headerReference w:type="first" r:id="rId44"/>
          <w:pgSz w:w="11906" w:h="16838" w:code="9"/>
          <w:pgMar w:top="1440" w:right="1440" w:bottom="1440" w:left="1440" w:header="544" w:footer="544" w:gutter="0"/>
          <w:cols w:space="708"/>
          <w:titlePg/>
          <w:docGrid w:linePitch="360"/>
        </w:sectPr>
      </w:pPr>
    </w:p>
    <w:p w:rsidR="00E51139" w:rsidRPr="00313778" w:rsidRDefault="00E51139" w:rsidP="00AD4B51">
      <w:pPr>
        <w:autoSpaceDE w:val="0"/>
        <w:autoSpaceDN w:val="0"/>
        <w:ind w:left="1440" w:firstLine="720"/>
        <w:outlineLvl w:val="0"/>
        <w:rPr>
          <w:rFonts w:cs="Arial"/>
          <w:color w:val="auto"/>
          <w:sz w:val="20"/>
          <w:szCs w:val="20"/>
          <w:lang w:eastAsia="en-GB"/>
        </w:rPr>
      </w:pPr>
      <w:r w:rsidRPr="00313778">
        <w:rPr>
          <w:b/>
          <w:color w:val="auto"/>
          <w:sz w:val="20"/>
          <w:szCs w:val="20"/>
        </w:rPr>
        <w:lastRenderedPageBreak/>
        <w:t>COLLECTION FUND SUMMARY ACCOUNT 201</w:t>
      </w:r>
      <w:r w:rsidR="00313778" w:rsidRPr="00313778">
        <w:rPr>
          <w:b/>
          <w:color w:val="auto"/>
          <w:sz w:val="20"/>
          <w:szCs w:val="20"/>
        </w:rPr>
        <w:t>7</w:t>
      </w:r>
      <w:r w:rsidR="006837C0" w:rsidRPr="00313778">
        <w:rPr>
          <w:b/>
          <w:color w:val="auto"/>
          <w:sz w:val="20"/>
          <w:szCs w:val="20"/>
        </w:rPr>
        <w:t>/1</w:t>
      </w:r>
      <w:r w:rsidR="00313778" w:rsidRPr="00313778">
        <w:rPr>
          <w:b/>
          <w:color w:val="auto"/>
          <w:sz w:val="20"/>
          <w:szCs w:val="20"/>
        </w:rPr>
        <w:t>8</w:t>
      </w:r>
    </w:p>
    <w:tbl>
      <w:tblPr>
        <w:tblW w:w="0" w:type="auto"/>
        <w:jc w:val="center"/>
        <w:tblLayout w:type="fixed"/>
        <w:tblLook w:val="0000" w:firstRow="0" w:lastRow="0" w:firstColumn="0" w:lastColumn="0" w:noHBand="0" w:noVBand="0"/>
      </w:tblPr>
      <w:tblGrid>
        <w:gridCol w:w="8910"/>
      </w:tblGrid>
      <w:tr w:rsidR="00E51139" w:rsidRPr="00313778" w:rsidTr="00A414A8">
        <w:trPr>
          <w:trHeight w:val="1418"/>
          <w:jc w:val="center"/>
        </w:trPr>
        <w:tc>
          <w:tcPr>
            <w:tcW w:w="8910" w:type="dxa"/>
          </w:tcPr>
          <w:p w:rsidR="00E51139" w:rsidRPr="00313778" w:rsidRDefault="00E51139" w:rsidP="00087128">
            <w:pPr>
              <w:pStyle w:val="BodyTextIndent"/>
              <w:tabs>
                <w:tab w:val="left" w:pos="1350"/>
              </w:tabs>
              <w:ind w:left="0"/>
              <w:rPr>
                <w:color w:val="auto"/>
                <w:sz w:val="20"/>
                <w:szCs w:val="20"/>
              </w:rPr>
            </w:pPr>
            <w:r w:rsidRPr="00313778">
              <w:rPr>
                <w:color w:val="auto"/>
                <w:sz w:val="20"/>
                <w:szCs w:val="20"/>
              </w:rPr>
              <w:t>This account reflects the statutory requirements for billing authorities to maintain a separate Collection Fund, which shows the transactions of the billing authority in relation to non-domestic rates and the council tax, and the way in which these have been distributed to preceptors</w:t>
            </w:r>
            <w:r w:rsidR="006B5FEC">
              <w:rPr>
                <w:color w:val="auto"/>
                <w:sz w:val="20"/>
                <w:szCs w:val="20"/>
              </w:rPr>
              <w:t>.</w:t>
            </w:r>
          </w:p>
          <w:tbl>
            <w:tblPr>
              <w:tblStyle w:val="ListTable3-Accent51"/>
              <w:tblW w:w="8760" w:type="dxa"/>
              <w:tblBorders>
                <w:insideH w:val="single" w:sz="4" w:space="0" w:color="4BACC6" w:themeColor="accent5"/>
                <w:insideV w:val="single" w:sz="4" w:space="0" w:color="4BACC6" w:themeColor="accent5"/>
              </w:tblBorders>
              <w:tblLayout w:type="fixed"/>
              <w:tblLook w:val="04A0" w:firstRow="1" w:lastRow="0" w:firstColumn="1" w:lastColumn="0" w:noHBand="0" w:noVBand="1"/>
            </w:tblPr>
            <w:tblGrid>
              <w:gridCol w:w="963"/>
              <w:gridCol w:w="709"/>
              <w:gridCol w:w="851"/>
              <w:gridCol w:w="3685"/>
              <w:gridCol w:w="846"/>
              <w:gridCol w:w="855"/>
              <w:gridCol w:w="851"/>
            </w:tblGrid>
            <w:tr w:rsidR="00412758" w:rsidRPr="00313778" w:rsidTr="00A414A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963" w:type="dxa"/>
                  <w:tcBorders>
                    <w:bottom w:val="none" w:sz="0" w:space="0" w:color="auto"/>
                    <w:right w:val="none" w:sz="0" w:space="0" w:color="auto"/>
                  </w:tcBorders>
                  <w:noWrap/>
                  <w:hideMark/>
                </w:tcPr>
                <w:p w:rsidR="00412758" w:rsidRPr="00313778" w:rsidRDefault="00412758" w:rsidP="00412758">
                  <w:pPr>
                    <w:spacing w:after="0" w:line="240" w:lineRule="auto"/>
                    <w:jc w:val="center"/>
                    <w:rPr>
                      <w:rFonts w:eastAsia="Times New Roman" w:cs="Arial"/>
                      <w:b w:val="0"/>
                      <w:bCs w:val="0"/>
                      <w:color w:val="auto"/>
                      <w:sz w:val="16"/>
                      <w:szCs w:val="16"/>
                      <w:lang w:eastAsia="en-GB"/>
                    </w:rPr>
                  </w:pPr>
                  <w:bookmarkStart w:id="3" w:name="RANGE!A51:G95"/>
                  <w:bookmarkEnd w:id="3"/>
                  <w:r w:rsidRPr="00313778">
                    <w:rPr>
                      <w:rFonts w:eastAsia="Times New Roman" w:cs="Arial"/>
                      <w:b w:val="0"/>
                      <w:bCs w:val="0"/>
                      <w:color w:val="auto"/>
                      <w:sz w:val="16"/>
                      <w:szCs w:val="16"/>
                      <w:lang w:eastAsia="en-GB"/>
                    </w:rPr>
                    <w:t>Council tax</w:t>
                  </w:r>
                </w:p>
                <w:p w:rsidR="00412758" w:rsidRPr="00313778" w:rsidRDefault="00412758" w:rsidP="00412758">
                  <w:pPr>
                    <w:spacing w:after="0" w:line="240" w:lineRule="auto"/>
                    <w:jc w:val="center"/>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£m</w:t>
                  </w:r>
                </w:p>
              </w:tc>
              <w:tc>
                <w:tcPr>
                  <w:tcW w:w="709" w:type="dxa"/>
                  <w:noWrap/>
                  <w:hideMark/>
                </w:tcPr>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NNDR</w:t>
                  </w:r>
                </w:p>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p>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£m</w:t>
                  </w:r>
                </w:p>
              </w:tc>
              <w:tc>
                <w:tcPr>
                  <w:tcW w:w="851" w:type="dxa"/>
                  <w:noWrap/>
                  <w:hideMark/>
                </w:tcPr>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Total</w:t>
                  </w:r>
                </w:p>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p>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£m</w:t>
                  </w:r>
                </w:p>
              </w:tc>
              <w:tc>
                <w:tcPr>
                  <w:tcW w:w="3685" w:type="dxa"/>
                  <w:hideMark/>
                </w:tcPr>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p>
              </w:tc>
              <w:tc>
                <w:tcPr>
                  <w:tcW w:w="846" w:type="dxa"/>
                  <w:noWrap/>
                  <w:hideMark/>
                </w:tcPr>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Council tax</w:t>
                  </w:r>
                </w:p>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£m</w:t>
                  </w:r>
                </w:p>
              </w:tc>
              <w:tc>
                <w:tcPr>
                  <w:tcW w:w="855" w:type="dxa"/>
                  <w:noWrap/>
                  <w:hideMark/>
                </w:tcPr>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NNDR</w:t>
                  </w:r>
                </w:p>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p>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£m</w:t>
                  </w:r>
                </w:p>
              </w:tc>
              <w:tc>
                <w:tcPr>
                  <w:tcW w:w="851" w:type="dxa"/>
                  <w:noWrap/>
                  <w:hideMark/>
                </w:tcPr>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Total</w:t>
                  </w:r>
                </w:p>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p>
                <w:p w:rsidR="00412758" w:rsidRPr="00313778" w:rsidRDefault="00412758" w:rsidP="004127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16"/>
                      <w:szCs w:val="16"/>
                      <w:lang w:eastAsia="en-GB"/>
                    </w:rPr>
                  </w:pPr>
                  <w:r w:rsidRPr="00313778">
                    <w:rPr>
                      <w:rFonts w:eastAsia="Times New Roman" w:cs="Arial"/>
                      <w:b w:val="0"/>
                      <w:bCs w:val="0"/>
                      <w:color w:val="auto"/>
                      <w:sz w:val="16"/>
                      <w:szCs w:val="16"/>
                      <w:lang w:eastAsia="en-GB"/>
                    </w:rPr>
                    <w:t>£m</w:t>
                  </w:r>
                </w:p>
              </w:tc>
            </w:tr>
            <w:tr w:rsidR="00030521" w:rsidRPr="00313778" w:rsidTr="00A414A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23" w:type="dxa"/>
                  <w:gridSpan w:val="3"/>
                  <w:tcBorders>
                    <w:top w:val="none" w:sz="0" w:space="0" w:color="auto"/>
                    <w:bottom w:val="none" w:sz="0" w:space="0" w:color="auto"/>
                    <w:right w:val="none" w:sz="0" w:space="0" w:color="auto"/>
                  </w:tcBorders>
                  <w:noWrap/>
                  <w:hideMark/>
                </w:tcPr>
                <w:p w:rsidR="00030521" w:rsidRPr="00313778" w:rsidRDefault="00030521" w:rsidP="00E038D2">
                  <w:pPr>
                    <w:spacing w:after="0" w:line="240" w:lineRule="auto"/>
                    <w:jc w:val="center"/>
                    <w:rPr>
                      <w:rFonts w:eastAsia="Times New Roman" w:cs="Arial"/>
                      <w:b w:val="0"/>
                      <w:bCs w:val="0"/>
                      <w:color w:val="auto"/>
                      <w:sz w:val="18"/>
                      <w:szCs w:val="18"/>
                      <w:lang w:eastAsia="en-GB"/>
                    </w:rPr>
                  </w:pPr>
                  <w:r w:rsidRPr="00313778">
                    <w:rPr>
                      <w:rFonts w:eastAsia="Times New Roman" w:cs="Arial"/>
                      <w:b w:val="0"/>
                      <w:bCs w:val="0"/>
                      <w:color w:val="auto"/>
                      <w:sz w:val="18"/>
                      <w:szCs w:val="18"/>
                      <w:lang w:eastAsia="en-GB"/>
                    </w:rPr>
                    <w:t>201</w:t>
                  </w:r>
                  <w:r w:rsidR="00172C29" w:rsidRPr="00313778">
                    <w:rPr>
                      <w:rFonts w:eastAsia="Times New Roman" w:cs="Arial"/>
                      <w:b w:val="0"/>
                      <w:bCs w:val="0"/>
                      <w:color w:val="auto"/>
                      <w:sz w:val="18"/>
                      <w:szCs w:val="18"/>
                      <w:lang w:eastAsia="en-GB"/>
                    </w:rPr>
                    <w:t>6</w:t>
                  </w:r>
                  <w:r w:rsidRPr="00313778">
                    <w:rPr>
                      <w:rFonts w:eastAsia="Times New Roman" w:cs="Arial"/>
                      <w:b w:val="0"/>
                      <w:bCs w:val="0"/>
                      <w:color w:val="auto"/>
                      <w:sz w:val="18"/>
                      <w:szCs w:val="18"/>
                      <w:lang w:eastAsia="en-GB"/>
                    </w:rPr>
                    <w:t>/1</w:t>
                  </w:r>
                  <w:r w:rsidR="00172C29" w:rsidRPr="00313778">
                    <w:rPr>
                      <w:rFonts w:eastAsia="Times New Roman" w:cs="Arial"/>
                      <w:b w:val="0"/>
                      <w:bCs w:val="0"/>
                      <w:color w:val="auto"/>
                      <w:sz w:val="18"/>
                      <w:szCs w:val="18"/>
                      <w:lang w:eastAsia="en-GB"/>
                    </w:rPr>
                    <w:t>7</w:t>
                  </w:r>
                </w:p>
              </w:tc>
              <w:tc>
                <w:tcPr>
                  <w:tcW w:w="3685" w:type="dxa"/>
                  <w:tcBorders>
                    <w:top w:val="none" w:sz="0" w:space="0" w:color="auto"/>
                    <w:bottom w:val="none" w:sz="0" w:space="0" w:color="auto"/>
                  </w:tcBorders>
                  <w:hideMark/>
                </w:tcPr>
                <w:p w:rsidR="00030521" w:rsidRPr="00313778" w:rsidRDefault="00030521"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p>
              </w:tc>
              <w:tc>
                <w:tcPr>
                  <w:tcW w:w="2552" w:type="dxa"/>
                  <w:gridSpan w:val="3"/>
                  <w:tcBorders>
                    <w:top w:val="none" w:sz="0" w:space="0" w:color="auto"/>
                    <w:bottom w:val="none" w:sz="0" w:space="0" w:color="auto"/>
                  </w:tcBorders>
                  <w:noWrap/>
                  <w:hideMark/>
                </w:tcPr>
                <w:p w:rsidR="00030521" w:rsidRPr="00313778" w:rsidRDefault="00030521" w:rsidP="00E038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201</w:t>
                  </w:r>
                  <w:r w:rsidR="00172C29" w:rsidRPr="00313778">
                    <w:rPr>
                      <w:rFonts w:eastAsia="Times New Roman" w:cs="Arial"/>
                      <w:b/>
                      <w:bCs/>
                      <w:color w:val="auto"/>
                      <w:sz w:val="18"/>
                      <w:szCs w:val="18"/>
                      <w:lang w:eastAsia="en-GB"/>
                    </w:rPr>
                    <w:t>7</w:t>
                  </w:r>
                  <w:r w:rsidRPr="00313778">
                    <w:rPr>
                      <w:rFonts w:eastAsia="Times New Roman" w:cs="Arial"/>
                      <w:b/>
                      <w:bCs/>
                      <w:color w:val="auto"/>
                      <w:sz w:val="18"/>
                      <w:szCs w:val="18"/>
                      <w:lang w:eastAsia="en-GB"/>
                    </w:rPr>
                    <w:t>/1</w:t>
                  </w:r>
                  <w:r w:rsidR="00172C29" w:rsidRPr="00313778">
                    <w:rPr>
                      <w:rFonts w:eastAsia="Times New Roman" w:cs="Arial"/>
                      <w:b/>
                      <w:bCs/>
                      <w:color w:val="auto"/>
                      <w:sz w:val="18"/>
                      <w:szCs w:val="18"/>
                      <w:lang w:eastAsia="en-GB"/>
                    </w:rPr>
                    <w:t>8</w:t>
                  </w:r>
                </w:p>
              </w:tc>
            </w:tr>
            <w:tr w:rsidR="00172C29" w:rsidRPr="00313778" w:rsidTr="00A414A8">
              <w:trPr>
                <w:trHeight w:val="299"/>
              </w:trPr>
              <w:tc>
                <w:tcPr>
                  <w:cnfStyle w:val="001000000000" w:firstRow="0" w:lastRow="0" w:firstColumn="1" w:lastColumn="0" w:oddVBand="0" w:evenVBand="0" w:oddHBand="0" w:evenHBand="0" w:firstRowFirstColumn="0" w:firstRowLastColumn="0" w:lastRowFirstColumn="0" w:lastRowLastColumn="0"/>
                  <w:tcW w:w="963" w:type="dxa"/>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(93.1)</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w:t>
                  </w:r>
                </w:p>
              </w:tc>
              <w:tc>
                <w:tcPr>
                  <w:tcW w:w="3685" w:type="dxa"/>
                  <w:hideMark/>
                </w:tcPr>
                <w:p w:rsidR="00172C29" w:rsidRPr="00313778" w:rsidRDefault="00172C29" w:rsidP="00AD2762">
                  <w:pPr>
                    <w:pStyle w:val="BodyTextIndent"/>
                    <w:tabs>
                      <w:tab w:val="left" w:pos="1350"/>
                    </w:tabs>
                    <w:ind w:left="0"/>
                    <w:cnfStyle w:val="000000000000" w:firstRow="0" w:lastRow="0" w:firstColumn="0" w:lastColumn="0" w:oddVBand="0" w:evenVBand="0" w:oddHBand="0" w:evenHBand="0" w:firstRowFirstColumn="0" w:firstRowLastColumn="0" w:lastRowFirstColumn="0" w:lastRowLastColumn="0"/>
                    <w:rPr>
                      <w:color w:val="auto"/>
                      <w:sz w:val="20"/>
                      <w:szCs w:val="20"/>
                    </w:rPr>
                  </w:pPr>
                  <w:r w:rsidRPr="00313778">
                    <w:rPr>
                      <w:color w:val="auto"/>
                      <w:sz w:val="20"/>
                      <w:szCs w:val="20"/>
                    </w:rPr>
                    <w:t>Gross Council Tax Payable for Year</w:t>
                  </w:r>
                </w:p>
              </w:tc>
              <w:tc>
                <w:tcPr>
                  <w:tcW w:w="846" w:type="dxa"/>
                  <w:noWrap/>
                  <w:hideMark/>
                </w:tcPr>
                <w:p w:rsidR="00172C29" w:rsidRPr="00313778" w:rsidRDefault="00484B4F" w:rsidP="0043267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(98.0)</w:t>
                  </w:r>
                </w:p>
              </w:tc>
              <w:tc>
                <w:tcPr>
                  <w:tcW w:w="855" w:type="dxa"/>
                  <w:noWrap/>
                  <w:hideMark/>
                </w:tcPr>
                <w:p w:rsidR="00172C29" w:rsidRPr="00910733" w:rsidRDefault="00910733"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w:t>
                  </w:r>
                </w:p>
              </w:tc>
              <w:tc>
                <w:tcPr>
                  <w:tcW w:w="851" w:type="dxa"/>
                  <w:noWrap/>
                  <w:hideMark/>
                </w:tcPr>
                <w:p w:rsidR="00172C29" w:rsidRPr="00910733" w:rsidRDefault="00910733"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63" w:type="dxa"/>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22.4</w:t>
                  </w:r>
                </w:p>
              </w:tc>
              <w:tc>
                <w:tcPr>
                  <w:tcW w:w="709" w:type="dxa"/>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w:t>
                  </w:r>
                </w:p>
              </w:tc>
              <w:tc>
                <w:tcPr>
                  <w:tcW w:w="851" w:type="dxa"/>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w:t>
                  </w:r>
                </w:p>
              </w:tc>
              <w:tc>
                <w:tcPr>
                  <w:tcW w:w="3685" w:type="dxa"/>
                  <w:hideMark/>
                </w:tcPr>
                <w:p w:rsidR="00172C29" w:rsidRPr="00313778" w:rsidRDefault="00172C29" w:rsidP="00AD2762">
                  <w:pPr>
                    <w:pStyle w:val="BodyTextIndent"/>
                    <w:tabs>
                      <w:tab w:val="left" w:pos="1350"/>
                    </w:tabs>
                    <w:ind w:left="0"/>
                    <w:cnfStyle w:val="000000100000" w:firstRow="0" w:lastRow="0" w:firstColumn="0" w:lastColumn="0" w:oddVBand="0" w:evenVBand="0" w:oddHBand="1" w:evenHBand="0" w:firstRowFirstColumn="0" w:firstRowLastColumn="0" w:lastRowFirstColumn="0" w:lastRowLastColumn="0"/>
                    <w:rPr>
                      <w:color w:val="auto"/>
                      <w:sz w:val="20"/>
                      <w:szCs w:val="20"/>
                    </w:rPr>
                  </w:pPr>
                  <w:r w:rsidRPr="00313778">
                    <w:rPr>
                      <w:color w:val="auto"/>
                      <w:sz w:val="20"/>
                      <w:szCs w:val="20"/>
                    </w:rPr>
                    <w:t>Reduced Assessments</w:t>
                  </w:r>
                </w:p>
              </w:tc>
              <w:tc>
                <w:tcPr>
                  <w:tcW w:w="846" w:type="dxa"/>
                  <w:noWrap/>
                  <w:hideMark/>
                </w:tcPr>
                <w:p w:rsidR="00172C29" w:rsidRPr="00313778" w:rsidRDefault="00484B4F" w:rsidP="00B313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22.2</w:t>
                  </w:r>
                </w:p>
              </w:tc>
              <w:tc>
                <w:tcPr>
                  <w:tcW w:w="855" w:type="dxa"/>
                  <w:noWrap/>
                  <w:hideMark/>
                </w:tcPr>
                <w:p w:rsidR="00172C29" w:rsidRPr="00910733" w:rsidRDefault="00910733"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w:t>
                  </w:r>
                </w:p>
              </w:tc>
              <w:tc>
                <w:tcPr>
                  <w:tcW w:w="851" w:type="dxa"/>
                  <w:noWrap/>
                  <w:hideMark/>
                </w:tcPr>
                <w:p w:rsidR="00172C29" w:rsidRPr="00910733" w:rsidRDefault="00910733"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w:t>
                  </w:r>
                </w:p>
              </w:tc>
            </w:tr>
            <w:tr w:rsidR="00172C29" w:rsidRPr="00313778" w:rsidTr="00A414A8">
              <w:trPr>
                <w:trHeight w:val="299"/>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bCs w:val="0"/>
                      <w:color w:val="auto"/>
                      <w:sz w:val="18"/>
                      <w:szCs w:val="18"/>
                      <w:lang w:eastAsia="en-GB"/>
                    </w:rPr>
                  </w:pPr>
                  <w:r w:rsidRPr="00910733">
                    <w:rPr>
                      <w:rFonts w:eastAsia="Times New Roman" w:cs="Arial"/>
                      <w:b w:val="0"/>
                      <w:bCs w:val="0"/>
                      <w:color w:val="auto"/>
                      <w:sz w:val="18"/>
                      <w:szCs w:val="18"/>
                      <w:lang w:eastAsia="en-GB"/>
                    </w:rPr>
                    <w:t>(70.7)</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(37.1)</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(107.8)</w:t>
                  </w:r>
                </w:p>
              </w:tc>
              <w:tc>
                <w:tcPr>
                  <w:tcW w:w="3685" w:type="dxa"/>
                  <w:hideMark/>
                </w:tcPr>
                <w:p w:rsidR="00172C29" w:rsidRPr="00313778" w:rsidRDefault="00172C29" w:rsidP="00C83F7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Council Tax &amp; NNDR Receivable</w:t>
                  </w:r>
                </w:p>
              </w:tc>
              <w:tc>
                <w:tcPr>
                  <w:tcW w:w="846" w:type="dxa"/>
                  <w:noWrap/>
                  <w:hideMark/>
                </w:tcPr>
                <w:p w:rsidR="00172C29" w:rsidRPr="00313778" w:rsidRDefault="00484B4F" w:rsidP="00B313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(75.8)</w:t>
                  </w:r>
                </w:p>
              </w:tc>
              <w:tc>
                <w:tcPr>
                  <w:tcW w:w="855" w:type="dxa"/>
                  <w:noWrap/>
                  <w:hideMark/>
                </w:tcPr>
                <w:p w:rsidR="00172C29" w:rsidRPr="00313778" w:rsidRDefault="00484B4F" w:rsidP="007632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(31.3)</w:t>
                  </w:r>
                </w:p>
              </w:tc>
              <w:tc>
                <w:tcPr>
                  <w:tcW w:w="851" w:type="dxa"/>
                  <w:noWrap/>
                  <w:hideMark/>
                </w:tcPr>
                <w:p w:rsidR="00172C29" w:rsidRPr="00313778" w:rsidRDefault="00484B4F" w:rsidP="00B313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(107.1)</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3685" w:type="dxa"/>
                  <w:tcBorders>
                    <w:top w:val="none" w:sz="0" w:space="0" w:color="auto"/>
                    <w:bottom w:val="none" w:sz="0" w:space="0" w:color="auto"/>
                  </w:tcBorders>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Expenditure:</w:t>
                  </w:r>
                </w:p>
              </w:tc>
              <w:tc>
                <w:tcPr>
                  <w:tcW w:w="846" w:type="dxa"/>
                  <w:tcBorders>
                    <w:top w:val="none" w:sz="0" w:space="0" w:color="auto"/>
                    <w:bottom w:val="none" w:sz="0" w:space="0" w:color="auto"/>
                  </w:tcBorders>
                  <w:noWrap/>
                  <w:hideMark/>
                </w:tcPr>
                <w:p w:rsidR="00172C29" w:rsidRPr="00313778" w:rsidRDefault="00172C29"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5" w:type="dxa"/>
                  <w:tcBorders>
                    <w:top w:val="none" w:sz="0" w:space="0" w:color="auto"/>
                    <w:bottom w:val="none" w:sz="0" w:space="0" w:color="auto"/>
                  </w:tcBorders>
                  <w:noWrap/>
                  <w:hideMark/>
                </w:tcPr>
                <w:p w:rsidR="00172C29" w:rsidRPr="00313778" w:rsidRDefault="00172C29"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172C29" w:rsidRPr="00313778" w:rsidRDefault="00172C29"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r>
            <w:tr w:rsidR="00172C29" w:rsidRPr="00313778" w:rsidTr="00A414A8">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3685" w:type="dxa"/>
                  <w:hideMark/>
                </w:tcPr>
                <w:p w:rsidR="00172C29" w:rsidRPr="00313778" w:rsidRDefault="00172C29" w:rsidP="0041275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Precepts and Demands</w:t>
                  </w:r>
                </w:p>
              </w:tc>
              <w:tc>
                <w:tcPr>
                  <w:tcW w:w="846" w:type="dxa"/>
                  <w:noWrap/>
                  <w:hideMark/>
                </w:tcPr>
                <w:p w:rsidR="00172C29" w:rsidRPr="00313778" w:rsidRDefault="00172C29"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5" w:type="dxa"/>
                  <w:noWrap/>
                  <w:hideMark/>
                </w:tcPr>
                <w:p w:rsidR="00172C29" w:rsidRPr="00313778" w:rsidRDefault="00172C29"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1" w:type="dxa"/>
                  <w:noWrap/>
                  <w:hideMark/>
                </w:tcPr>
                <w:p w:rsidR="00172C29" w:rsidRPr="00313778" w:rsidRDefault="00172C29"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7.5</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7.5</w:t>
                  </w:r>
                </w:p>
              </w:tc>
              <w:tc>
                <w:tcPr>
                  <w:tcW w:w="3685" w:type="dxa"/>
                  <w:tcBorders>
                    <w:top w:val="none" w:sz="0" w:space="0" w:color="auto"/>
                    <w:bottom w:val="none" w:sz="0" w:space="0" w:color="auto"/>
                  </w:tcBorders>
                  <w:hideMark/>
                </w:tcPr>
                <w:p w:rsidR="00172C29" w:rsidRPr="00313778" w:rsidRDefault="00172C29" w:rsidP="00491DC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Police and Crime Commissioner for Devon and Cornwall</w:t>
                  </w:r>
                </w:p>
              </w:tc>
              <w:tc>
                <w:tcPr>
                  <w:tcW w:w="846" w:type="dxa"/>
                  <w:tcBorders>
                    <w:top w:val="none" w:sz="0" w:space="0" w:color="auto"/>
                    <w:bottom w:val="none" w:sz="0" w:space="0" w:color="auto"/>
                  </w:tcBorders>
                  <w:noWrap/>
                  <w:hideMark/>
                </w:tcPr>
                <w:p w:rsidR="00172C29" w:rsidRPr="00313778" w:rsidRDefault="00484B4F" w:rsidP="003443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7.</w:t>
                  </w:r>
                  <w:r w:rsidR="003443F8">
                    <w:rPr>
                      <w:rFonts w:eastAsia="Times New Roman" w:cs="Arial"/>
                      <w:color w:val="auto"/>
                      <w:sz w:val="18"/>
                      <w:szCs w:val="18"/>
                      <w:lang w:eastAsia="en-GB"/>
                    </w:rPr>
                    <w:t>8</w:t>
                  </w:r>
                </w:p>
              </w:tc>
              <w:tc>
                <w:tcPr>
                  <w:tcW w:w="855" w:type="dxa"/>
                  <w:tcBorders>
                    <w:top w:val="none" w:sz="0" w:space="0" w:color="auto"/>
                    <w:bottom w:val="none" w:sz="0" w:space="0" w:color="auto"/>
                  </w:tcBorders>
                  <w:noWrap/>
                  <w:hideMark/>
                </w:tcPr>
                <w:p w:rsidR="00172C29" w:rsidRPr="00313778" w:rsidRDefault="00484B4F" w:rsidP="00491D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w:t>
                  </w:r>
                </w:p>
              </w:tc>
              <w:tc>
                <w:tcPr>
                  <w:tcW w:w="851" w:type="dxa"/>
                  <w:tcBorders>
                    <w:top w:val="none" w:sz="0" w:space="0" w:color="auto"/>
                    <w:bottom w:val="none" w:sz="0" w:space="0" w:color="auto"/>
                  </w:tcBorders>
                  <w:noWrap/>
                  <w:hideMark/>
                </w:tcPr>
                <w:p w:rsidR="00172C29" w:rsidRPr="00313778" w:rsidRDefault="00484B4F" w:rsidP="003443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7.</w:t>
                  </w:r>
                  <w:r w:rsidR="003443F8">
                    <w:rPr>
                      <w:rFonts w:eastAsia="Times New Roman" w:cs="Arial"/>
                      <w:color w:val="auto"/>
                      <w:sz w:val="18"/>
                      <w:szCs w:val="18"/>
                      <w:lang w:eastAsia="en-GB"/>
                    </w:rPr>
                    <w:t>8</w:t>
                  </w:r>
                </w:p>
              </w:tc>
            </w:tr>
            <w:tr w:rsidR="00172C29" w:rsidRPr="00313778" w:rsidTr="00A414A8">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3.4</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0.4</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3.8</w:t>
                  </w:r>
                </w:p>
              </w:tc>
              <w:tc>
                <w:tcPr>
                  <w:tcW w:w="3685" w:type="dxa"/>
                  <w:hideMark/>
                </w:tcPr>
                <w:p w:rsidR="00172C29" w:rsidRPr="00313778" w:rsidRDefault="00172C29" w:rsidP="00491DC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Devon &amp; Somerset Fire &amp; Rescue Authority</w:t>
                  </w:r>
                </w:p>
                <w:p w:rsidR="00172C29" w:rsidRPr="00313778" w:rsidRDefault="00172C29" w:rsidP="00491DC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46" w:type="dxa"/>
                  <w:noWrap/>
                  <w:hideMark/>
                </w:tcPr>
                <w:p w:rsidR="00172C29" w:rsidRPr="00313778" w:rsidRDefault="00484B4F" w:rsidP="003443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3.</w:t>
                  </w:r>
                  <w:r w:rsidR="003443F8">
                    <w:rPr>
                      <w:rFonts w:eastAsia="Times New Roman" w:cs="Arial"/>
                      <w:color w:val="auto"/>
                      <w:sz w:val="18"/>
                      <w:szCs w:val="18"/>
                      <w:lang w:eastAsia="en-GB"/>
                    </w:rPr>
                    <w:t>5</w:t>
                  </w:r>
                </w:p>
              </w:tc>
              <w:tc>
                <w:tcPr>
                  <w:tcW w:w="855" w:type="dxa"/>
                  <w:noWrap/>
                  <w:hideMark/>
                </w:tcPr>
                <w:p w:rsidR="00172C29" w:rsidRPr="00313778" w:rsidRDefault="00484B4F" w:rsidP="00491D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0.3</w:t>
                  </w:r>
                </w:p>
              </w:tc>
              <w:tc>
                <w:tcPr>
                  <w:tcW w:w="851" w:type="dxa"/>
                  <w:noWrap/>
                  <w:hideMark/>
                </w:tcPr>
                <w:p w:rsidR="00172C29" w:rsidRPr="00313778" w:rsidRDefault="003443F8" w:rsidP="00B437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Pr>
                      <w:rFonts w:eastAsia="Times New Roman" w:cs="Arial"/>
                      <w:color w:val="auto"/>
                      <w:sz w:val="18"/>
                      <w:szCs w:val="18"/>
                      <w:lang w:eastAsia="en-GB"/>
                    </w:rPr>
                    <w:t>3.8</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0</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18.7</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18.7</w:t>
                  </w:r>
                </w:p>
              </w:tc>
              <w:tc>
                <w:tcPr>
                  <w:tcW w:w="3685" w:type="dxa"/>
                  <w:tcBorders>
                    <w:top w:val="none" w:sz="0" w:space="0" w:color="auto"/>
                    <w:bottom w:val="none" w:sz="0" w:space="0" w:color="auto"/>
                  </w:tcBorders>
                  <w:noWrap/>
                  <w:hideMark/>
                </w:tcPr>
                <w:p w:rsidR="00172C29" w:rsidRPr="00313778" w:rsidRDefault="00172C29" w:rsidP="00491DC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DCLG, (Central Government)</w:t>
                  </w:r>
                </w:p>
                <w:p w:rsidR="00172C29" w:rsidRPr="00313778" w:rsidRDefault="00172C29" w:rsidP="00491DC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46" w:type="dxa"/>
                  <w:tcBorders>
                    <w:top w:val="none" w:sz="0" w:space="0" w:color="auto"/>
                    <w:bottom w:val="none" w:sz="0" w:space="0" w:color="auto"/>
                  </w:tcBorders>
                  <w:noWrap/>
                  <w:hideMark/>
                </w:tcPr>
                <w:p w:rsidR="00172C29" w:rsidRPr="00313778" w:rsidRDefault="00484B4F" w:rsidP="00491D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w:t>
                  </w:r>
                </w:p>
              </w:tc>
              <w:tc>
                <w:tcPr>
                  <w:tcW w:w="855" w:type="dxa"/>
                  <w:tcBorders>
                    <w:top w:val="none" w:sz="0" w:space="0" w:color="auto"/>
                    <w:bottom w:val="none" w:sz="0" w:space="0" w:color="auto"/>
                  </w:tcBorders>
                  <w:noWrap/>
                  <w:hideMark/>
                </w:tcPr>
                <w:p w:rsidR="00172C29" w:rsidRPr="00313778" w:rsidRDefault="00484B4F" w:rsidP="00B313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15.2</w:t>
                  </w:r>
                </w:p>
              </w:tc>
              <w:tc>
                <w:tcPr>
                  <w:tcW w:w="851" w:type="dxa"/>
                  <w:tcBorders>
                    <w:top w:val="none" w:sz="0" w:space="0" w:color="auto"/>
                    <w:bottom w:val="none" w:sz="0" w:space="0" w:color="auto"/>
                  </w:tcBorders>
                  <w:noWrap/>
                  <w:hideMark/>
                </w:tcPr>
                <w:p w:rsidR="00172C29" w:rsidRPr="00313778" w:rsidRDefault="00484B4F" w:rsidP="00B313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15.2</w:t>
                  </w:r>
                </w:p>
              </w:tc>
            </w:tr>
            <w:tr w:rsidR="00172C29" w:rsidRPr="00313778" w:rsidTr="00A414A8">
              <w:trPr>
                <w:trHeight w:val="270"/>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56.9</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18.3</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75.2</w:t>
                  </w:r>
                </w:p>
              </w:tc>
              <w:tc>
                <w:tcPr>
                  <w:tcW w:w="3685" w:type="dxa"/>
                  <w:hideMark/>
                </w:tcPr>
                <w:p w:rsidR="00172C29" w:rsidRPr="00313778" w:rsidRDefault="00172C29" w:rsidP="00491DC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 xml:space="preserve">Torbay Council's Own Demand (Including </w:t>
                  </w:r>
                  <w:proofErr w:type="spellStart"/>
                  <w:r w:rsidRPr="00313778">
                    <w:rPr>
                      <w:rFonts w:eastAsia="Times New Roman" w:cs="Arial"/>
                      <w:color w:val="auto"/>
                      <w:sz w:val="18"/>
                      <w:szCs w:val="18"/>
                      <w:lang w:eastAsia="en-GB"/>
                    </w:rPr>
                    <w:t>Brixham</w:t>
                  </w:r>
                  <w:proofErr w:type="spellEnd"/>
                  <w:r w:rsidRPr="00313778">
                    <w:rPr>
                      <w:rFonts w:eastAsia="Times New Roman" w:cs="Arial"/>
                      <w:color w:val="auto"/>
                      <w:sz w:val="18"/>
                      <w:szCs w:val="18"/>
                      <w:lang w:eastAsia="en-GB"/>
                    </w:rPr>
                    <w:t xml:space="preserve"> Town Council)</w:t>
                  </w:r>
                </w:p>
              </w:tc>
              <w:tc>
                <w:tcPr>
                  <w:tcW w:w="846" w:type="dxa"/>
                  <w:noWrap/>
                  <w:hideMark/>
                </w:tcPr>
                <w:p w:rsidR="00172C29" w:rsidRPr="00313778" w:rsidRDefault="00484B4F" w:rsidP="00491D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60.9</w:t>
                  </w:r>
                </w:p>
              </w:tc>
              <w:tc>
                <w:tcPr>
                  <w:tcW w:w="855" w:type="dxa"/>
                  <w:noWrap/>
                  <w:hideMark/>
                </w:tcPr>
                <w:p w:rsidR="00172C29" w:rsidRPr="00313778" w:rsidRDefault="00484B4F" w:rsidP="00491D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14.9</w:t>
                  </w:r>
                </w:p>
              </w:tc>
              <w:tc>
                <w:tcPr>
                  <w:tcW w:w="851" w:type="dxa"/>
                  <w:noWrap/>
                  <w:hideMark/>
                </w:tcPr>
                <w:p w:rsidR="00172C29" w:rsidRPr="00313778" w:rsidRDefault="00484B4F" w:rsidP="00491D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75.8</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67.8</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37.4</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105.2</w:t>
                  </w:r>
                </w:p>
              </w:tc>
              <w:tc>
                <w:tcPr>
                  <w:tcW w:w="3685" w:type="dxa"/>
                  <w:tcBorders>
                    <w:top w:val="none" w:sz="0" w:space="0" w:color="auto"/>
                    <w:bottom w:val="none" w:sz="0" w:space="0" w:color="auto"/>
                  </w:tcBorders>
                  <w:hideMark/>
                </w:tcPr>
                <w:p w:rsidR="00172C29" w:rsidRPr="00313778" w:rsidRDefault="00172C29" w:rsidP="00FD299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Total Precepts and Demands</w:t>
                  </w:r>
                </w:p>
                <w:p w:rsidR="00172C29" w:rsidRPr="00313778" w:rsidRDefault="00172C29" w:rsidP="00FD299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p>
              </w:tc>
              <w:tc>
                <w:tcPr>
                  <w:tcW w:w="846" w:type="dxa"/>
                  <w:tcBorders>
                    <w:top w:val="none" w:sz="0" w:space="0" w:color="auto"/>
                    <w:bottom w:val="none" w:sz="0" w:space="0" w:color="auto"/>
                  </w:tcBorders>
                  <w:noWrap/>
                  <w:hideMark/>
                </w:tcPr>
                <w:p w:rsidR="00172C29" w:rsidRPr="00313778" w:rsidRDefault="00484B4F" w:rsidP="00CB08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72.2</w:t>
                  </w:r>
                </w:p>
              </w:tc>
              <w:tc>
                <w:tcPr>
                  <w:tcW w:w="855" w:type="dxa"/>
                  <w:tcBorders>
                    <w:top w:val="none" w:sz="0" w:space="0" w:color="auto"/>
                    <w:bottom w:val="none" w:sz="0" w:space="0" w:color="auto"/>
                  </w:tcBorders>
                  <w:noWrap/>
                  <w:hideMark/>
                </w:tcPr>
                <w:p w:rsidR="00172C29" w:rsidRPr="00313778" w:rsidRDefault="00484B4F" w:rsidP="00B313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30.4</w:t>
                  </w:r>
                </w:p>
              </w:tc>
              <w:tc>
                <w:tcPr>
                  <w:tcW w:w="851" w:type="dxa"/>
                  <w:tcBorders>
                    <w:top w:val="none" w:sz="0" w:space="0" w:color="auto"/>
                    <w:bottom w:val="none" w:sz="0" w:space="0" w:color="auto"/>
                  </w:tcBorders>
                  <w:noWrap/>
                  <w:hideMark/>
                </w:tcPr>
                <w:p w:rsidR="00172C29" w:rsidRPr="00313778" w:rsidRDefault="00484B4F" w:rsidP="00B313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102.6</w:t>
                  </w:r>
                </w:p>
              </w:tc>
            </w:tr>
            <w:tr w:rsidR="00172C29" w:rsidRPr="00313778" w:rsidTr="00A414A8">
              <w:trPr>
                <w:trHeight w:val="270"/>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0</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0.2</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0.2</w:t>
                  </w:r>
                </w:p>
              </w:tc>
              <w:tc>
                <w:tcPr>
                  <w:tcW w:w="3685" w:type="dxa"/>
                  <w:hideMark/>
                </w:tcPr>
                <w:p w:rsidR="00172C29" w:rsidRPr="00313778" w:rsidRDefault="00172C29" w:rsidP="00491DC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Cost of Collection Allowance</w:t>
                  </w:r>
                </w:p>
              </w:tc>
              <w:tc>
                <w:tcPr>
                  <w:tcW w:w="846" w:type="dxa"/>
                  <w:noWrap/>
                  <w:hideMark/>
                </w:tcPr>
                <w:p w:rsidR="00172C29" w:rsidRPr="006B5FEC" w:rsidRDefault="00AB790A" w:rsidP="00CB08B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6B5FEC">
                    <w:rPr>
                      <w:rFonts w:eastAsia="Times New Roman" w:cs="Arial"/>
                      <w:b/>
                      <w:color w:val="auto"/>
                      <w:sz w:val="18"/>
                      <w:szCs w:val="18"/>
                      <w:lang w:eastAsia="en-GB"/>
                    </w:rPr>
                    <w:t>0</w:t>
                  </w:r>
                </w:p>
              </w:tc>
              <w:tc>
                <w:tcPr>
                  <w:tcW w:w="855" w:type="dxa"/>
                  <w:noWrap/>
                  <w:hideMark/>
                </w:tcPr>
                <w:p w:rsidR="00172C29" w:rsidRPr="006B5FEC" w:rsidRDefault="00484B4F" w:rsidP="00491D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6B5FEC">
                    <w:rPr>
                      <w:rFonts w:eastAsia="Times New Roman" w:cs="Arial"/>
                      <w:b/>
                      <w:color w:val="auto"/>
                      <w:sz w:val="18"/>
                      <w:szCs w:val="18"/>
                      <w:lang w:eastAsia="en-GB"/>
                    </w:rPr>
                    <w:t>0.2</w:t>
                  </w:r>
                </w:p>
              </w:tc>
              <w:tc>
                <w:tcPr>
                  <w:tcW w:w="851" w:type="dxa"/>
                  <w:noWrap/>
                  <w:hideMark/>
                </w:tcPr>
                <w:p w:rsidR="00172C29" w:rsidRPr="006B5FEC" w:rsidRDefault="00AB790A" w:rsidP="00491D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6B5FEC">
                    <w:rPr>
                      <w:rFonts w:eastAsia="Times New Roman" w:cs="Arial"/>
                      <w:b/>
                      <w:color w:val="auto"/>
                      <w:sz w:val="18"/>
                      <w:szCs w:val="18"/>
                      <w:lang w:eastAsia="en-GB"/>
                    </w:rPr>
                    <w:t>0.2</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313778" w:rsidRDefault="00172C29" w:rsidP="00172C29">
                  <w:pPr>
                    <w:spacing w:after="0" w:line="240" w:lineRule="auto"/>
                    <w:rPr>
                      <w:rFonts w:eastAsia="Times New Roman" w:cs="Arial"/>
                      <w:color w:val="auto"/>
                      <w:sz w:val="18"/>
                      <w:szCs w:val="18"/>
                      <w:lang w:eastAsia="en-GB"/>
                    </w:rPr>
                  </w:pPr>
                </w:p>
              </w:tc>
              <w:tc>
                <w:tcPr>
                  <w:tcW w:w="709" w:type="dxa"/>
                  <w:tcBorders>
                    <w:top w:val="none" w:sz="0" w:space="0" w:color="auto"/>
                    <w:bottom w:val="none" w:sz="0" w:space="0" w:color="auto"/>
                  </w:tcBorders>
                  <w:noWrap/>
                  <w:hideMark/>
                </w:tcPr>
                <w:p w:rsidR="00172C29" w:rsidRPr="00313778" w:rsidRDefault="00172C29" w:rsidP="00172C2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172C29" w:rsidRPr="00313778" w:rsidRDefault="00172C29" w:rsidP="00172C2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3685" w:type="dxa"/>
                  <w:tcBorders>
                    <w:top w:val="none" w:sz="0" w:space="0" w:color="auto"/>
                    <w:bottom w:val="none" w:sz="0" w:space="0" w:color="auto"/>
                  </w:tcBorders>
                  <w:hideMark/>
                </w:tcPr>
                <w:p w:rsidR="00172C29" w:rsidRPr="00313778" w:rsidRDefault="00172C29" w:rsidP="00117B4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Distribution of Previous Years Estimated Surplus/(</w:t>
                  </w:r>
                  <w:proofErr w:type="spellStart"/>
                  <w:r w:rsidRPr="00313778">
                    <w:rPr>
                      <w:rFonts w:eastAsia="Times New Roman" w:cs="Arial"/>
                      <w:b/>
                      <w:bCs/>
                      <w:color w:val="auto"/>
                      <w:sz w:val="18"/>
                      <w:szCs w:val="18"/>
                      <w:lang w:eastAsia="en-GB"/>
                    </w:rPr>
                    <w:t>Defict</w:t>
                  </w:r>
                  <w:proofErr w:type="spellEnd"/>
                  <w:r w:rsidRPr="00313778">
                    <w:rPr>
                      <w:rFonts w:eastAsia="Times New Roman" w:cs="Arial"/>
                      <w:b/>
                      <w:bCs/>
                      <w:color w:val="auto"/>
                      <w:sz w:val="18"/>
                      <w:szCs w:val="18"/>
                      <w:lang w:eastAsia="en-GB"/>
                    </w:rPr>
                    <w:t>);</w:t>
                  </w:r>
                </w:p>
              </w:tc>
              <w:tc>
                <w:tcPr>
                  <w:tcW w:w="846" w:type="dxa"/>
                  <w:tcBorders>
                    <w:top w:val="none" w:sz="0" w:space="0" w:color="auto"/>
                    <w:bottom w:val="none" w:sz="0" w:space="0" w:color="auto"/>
                  </w:tcBorders>
                  <w:noWrap/>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5" w:type="dxa"/>
                  <w:tcBorders>
                    <w:top w:val="none" w:sz="0" w:space="0" w:color="auto"/>
                    <w:bottom w:val="none" w:sz="0" w:space="0" w:color="auto"/>
                  </w:tcBorders>
                  <w:noWrap/>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r>
            <w:tr w:rsidR="00172C29" w:rsidRPr="00313778" w:rsidTr="00A414A8">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iCs/>
                      <w:color w:val="auto"/>
                      <w:sz w:val="18"/>
                      <w:szCs w:val="18"/>
                      <w:lang w:eastAsia="en-GB"/>
                    </w:rPr>
                  </w:pPr>
                  <w:r w:rsidRPr="00910733">
                    <w:rPr>
                      <w:rFonts w:eastAsia="Times New Roman" w:cs="Arial"/>
                      <w:b w:val="0"/>
                      <w:iCs/>
                      <w:color w:val="auto"/>
                      <w:sz w:val="18"/>
                      <w:szCs w:val="18"/>
                      <w:lang w:eastAsia="en-GB"/>
                    </w:rPr>
                    <w:t>0.3</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0.3</w:t>
                  </w:r>
                </w:p>
              </w:tc>
              <w:tc>
                <w:tcPr>
                  <w:tcW w:w="3685" w:type="dxa"/>
                  <w:hideMark/>
                </w:tcPr>
                <w:p w:rsidR="00172C29" w:rsidRPr="00313778" w:rsidRDefault="00172C29" w:rsidP="0041275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Police and Crime Commissioner for Devon and Cornwall</w:t>
                  </w:r>
                </w:p>
              </w:tc>
              <w:tc>
                <w:tcPr>
                  <w:tcW w:w="846" w:type="dxa"/>
                  <w:noWrap/>
                  <w:hideMark/>
                </w:tcPr>
                <w:p w:rsidR="00172C29" w:rsidRPr="00313778" w:rsidRDefault="00484B4F" w:rsidP="0054529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0.3</w:t>
                  </w:r>
                </w:p>
              </w:tc>
              <w:tc>
                <w:tcPr>
                  <w:tcW w:w="855" w:type="dxa"/>
                  <w:noWrap/>
                  <w:hideMark/>
                </w:tcPr>
                <w:p w:rsidR="00172C29" w:rsidRPr="00313778" w:rsidRDefault="00484B4F"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0</w:t>
                  </w:r>
                </w:p>
              </w:tc>
              <w:tc>
                <w:tcPr>
                  <w:tcW w:w="851" w:type="dxa"/>
                  <w:noWrap/>
                  <w:hideMark/>
                </w:tcPr>
                <w:p w:rsidR="00172C29" w:rsidRPr="00313778" w:rsidRDefault="00484B4F" w:rsidP="0054529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0.3</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iCs/>
                      <w:color w:val="auto"/>
                      <w:sz w:val="18"/>
                      <w:szCs w:val="18"/>
                      <w:lang w:eastAsia="en-GB"/>
                    </w:rPr>
                  </w:pPr>
                  <w:r w:rsidRPr="00910733">
                    <w:rPr>
                      <w:rFonts w:eastAsia="Times New Roman" w:cs="Arial"/>
                      <w:b w:val="0"/>
                      <w:iCs/>
                      <w:color w:val="auto"/>
                      <w:sz w:val="18"/>
                      <w:szCs w:val="18"/>
                      <w:lang w:eastAsia="en-GB"/>
                    </w:rPr>
                    <w:t>0.1</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0.1</w:t>
                  </w:r>
                </w:p>
              </w:tc>
              <w:tc>
                <w:tcPr>
                  <w:tcW w:w="3685" w:type="dxa"/>
                  <w:tcBorders>
                    <w:top w:val="none" w:sz="0" w:space="0" w:color="auto"/>
                    <w:bottom w:val="none" w:sz="0" w:space="0" w:color="auto"/>
                  </w:tcBorders>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Devon &amp; Somerset Fire &amp; Rescue Authority</w:t>
                  </w:r>
                </w:p>
              </w:tc>
              <w:tc>
                <w:tcPr>
                  <w:tcW w:w="846" w:type="dxa"/>
                  <w:tcBorders>
                    <w:top w:val="none" w:sz="0" w:space="0" w:color="auto"/>
                    <w:bottom w:val="none" w:sz="0" w:space="0" w:color="auto"/>
                  </w:tcBorders>
                  <w:noWrap/>
                  <w:hideMark/>
                </w:tcPr>
                <w:p w:rsidR="00172C29" w:rsidRPr="00313778" w:rsidRDefault="00484B4F"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0.1</w:t>
                  </w:r>
                </w:p>
              </w:tc>
              <w:tc>
                <w:tcPr>
                  <w:tcW w:w="855" w:type="dxa"/>
                  <w:tcBorders>
                    <w:top w:val="none" w:sz="0" w:space="0" w:color="auto"/>
                    <w:bottom w:val="none" w:sz="0" w:space="0" w:color="auto"/>
                  </w:tcBorders>
                  <w:noWrap/>
                  <w:hideMark/>
                </w:tcPr>
                <w:p w:rsidR="00172C29" w:rsidRPr="00313778" w:rsidRDefault="00484B4F"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0</w:t>
                  </w:r>
                </w:p>
              </w:tc>
              <w:tc>
                <w:tcPr>
                  <w:tcW w:w="851" w:type="dxa"/>
                  <w:tcBorders>
                    <w:top w:val="none" w:sz="0" w:space="0" w:color="auto"/>
                    <w:bottom w:val="none" w:sz="0" w:space="0" w:color="auto"/>
                  </w:tcBorders>
                  <w:noWrap/>
                  <w:hideMark/>
                </w:tcPr>
                <w:p w:rsidR="00172C29" w:rsidRPr="00313778" w:rsidRDefault="00484B4F"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0.1</w:t>
                  </w:r>
                </w:p>
              </w:tc>
            </w:tr>
            <w:tr w:rsidR="00172C29" w:rsidRPr="00313778" w:rsidTr="00A414A8">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iCs/>
                      <w:color w:val="auto"/>
                      <w:sz w:val="18"/>
                      <w:szCs w:val="18"/>
                      <w:lang w:eastAsia="en-GB"/>
                    </w:rPr>
                  </w:pPr>
                  <w:r w:rsidRPr="00910733">
                    <w:rPr>
                      <w:rFonts w:eastAsia="Times New Roman" w:cs="Arial"/>
                      <w:b w:val="0"/>
                      <w:iCs/>
                      <w:color w:val="auto"/>
                      <w:sz w:val="18"/>
                      <w:szCs w:val="18"/>
                      <w:lang w:eastAsia="en-GB"/>
                    </w:rPr>
                    <w:t>0</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(1.0)</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(1.0)</w:t>
                  </w:r>
                </w:p>
              </w:tc>
              <w:tc>
                <w:tcPr>
                  <w:tcW w:w="3685" w:type="dxa"/>
                  <w:hideMark/>
                </w:tcPr>
                <w:p w:rsidR="00172C29" w:rsidRPr="00313778" w:rsidRDefault="00172C29" w:rsidP="00A1188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DCLG, (Central Government)</w:t>
                  </w:r>
                </w:p>
              </w:tc>
              <w:tc>
                <w:tcPr>
                  <w:tcW w:w="846" w:type="dxa"/>
                  <w:noWrap/>
                  <w:hideMark/>
                </w:tcPr>
                <w:p w:rsidR="00172C29" w:rsidRPr="00313778" w:rsidRDefault="00484B4F"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0</w:t>
                  </w:r>
                </w:p>
              </w:tc>
              <w:tc>
                <w:tcPr>
                  <w:tcW w:w="855" w:type="dxa"/>
                  <w:noWrap/>
                  <w:hideMark/>
                </w:tcPr>
                <w:p w:rsidR="00172C29" w:rsidRPr="00313778" w:rsidRDefault="00484B4F"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(0.1)</w:t>
                  </w:r>
                </w:p>
              </w:tc>
              <w:tc>
                <w:tcPr>
                  <w:tcW w:w="851" w:type="dxa"/>
                  <w:noWrap/>
                  <w:hideMark/>
                </w:tcPr>
                <w:p w:rsidR="00172C29" w:rsidRPr="00313778" w:rsidRDefault="00484B4F"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(0.1)</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iCs/>
                      <w:color w:val="auto"/>
                      <w:sz w:val="18"/>
                      <w:szCs w:val="18"/>
                      <w:lang w:eastAsia="en-GB"/>
                    </w:rPr>
                  </w:pPr>
                  <w:r w:rsidRPr="00910733">
                    <w:rPr>
                      <w:rFonts w:eastAsia="Times New Roman" w:cs="Arial"/>
                      <w:b w:val="0"/>
                      <w:iCs/>
                      <w:color w:val="auto"/>
                      <w:sz w:val="18"/>
                      <w:szCs w:val="18"/>
                      <w:lang w:eastAsia="en-GB"/>
                    </w:rPr>
                    <w:t>2.1</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(1.0)</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1.1</w:t>
                  </w:r>
                </w:p>
              </w:tc>
              <w:tc>
                <w:tcPr>
                  <w:tcW w:w="3685" w:type="dxa"/>
                  <w:tcBorders>
                    <w:top w:val="none" w:sz="0" w:space="0" w:color="auto"/>
                    <w:bottom w:val="none" w:sz="0" w:space="0" w:color="auto"/>
                  </w:tcBorders>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Torbay Council</w:t>
                  </w:r>
                </w:p>
              </w:tc>
              <w:tc>
                <w:tcPr>
                  <w:tcW w:w="846" w:type="dxa"/>
                  <w:tcBorders>
                    <w:top w:val="none" w:sz="0" w:space="0" w:color="auto"/>
                    <w:bottom w:val="none" w:sz="0" w:space="0" w:color="auto"/>
                  </w:tcBorders>
                  <w:noWrap/>
                  <w:hideMark/>
                </w:tcPr>
                <w:p w:rsidR="00172C29" w:rsidRPr="00313778" w:rsidRDefault="00484B4F"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2.2</w:t>
                  </w:r>
                </w:p>
              </w:tc>
              <w:tc>
                <w:tcPr>
                  <w:tcW w:w="855" w:type="dxa"/>
                  <w:tcBorders>
                    <w:top w:val="none" w:sz="0" w:space="0" w:color="auto"/>
                    <w:bottom w:val="none" w:sz="0" w:space="0" w:color="auto"/>
                  </w:tcBorders>
                  <w:noWrap/>
                  <w:hideMark/>
                </w:tcPr>
                <w:p w:rsidR="00172C29" w:rsidRPr="00313778" w:rsidRDefault="00484B4F"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0</w:t>
                  </w:r>
                </w:p>
              </w:tc>
              <w:tc>
                <w:tcPr>
                  <w:tcW w:w="851" w:type="dxa"/>
                  <w:tcBorders>
                    <w:top w:val="none" w:sz="0" w:space="0" w:color="auto"/>
                    <w:bottom w:val="none" w:sz="0" w:space="0" w:color="auto"/>
                  </w:tcBorders>
                  <w:noWrap/>
                  <w:hideMark/>
                </w:tcPr>
                <w:p w:rsidR="00172C29" w:rsidRPr="00313778" w:rsidRDefault="00484B4F" w:rsidP="00A85A7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2.2</w:t>
                  </w:r>
                </w:p>
              </w:tc>
            </w:tr>
            <w:tr w:rsidR="00172C29" w:rsidRPr="00313778" w:rsidTr="00A414A8">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iCs/>
                      <w:color w:val="auto"/>
                      <w:sz w:val="18"/>
                      <w:szCs w:val="18"/>
                      <w:lang w:eastAsia="en-GB"/>
                    </w:rPr>
                  </w:pPr>
                  <w:r w:rsidRPr="00910733">
                    <w:rPr>
                      <w:rFonts w:eastAsia="Times New Roman" w:cs="Arial"/>
                      <w:b w:val="0"/>
                      <w:iCs/>
                      <w:color w:val="auto"/>
                      <w:sz w:val="18"/>
                      <w:szCs w:val="18"/>
                      <w:lang w:eastAsia="en-GB"/>
                    </w:rPr>
                    <w:t>2.5</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(2.0)</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0.5</w:t>
                  </w:r>
                </w:p>
              </w:tc>
              <w:tc>
                <w:tcPr>
                  <w:tcW w:w="3685" w:type="dxa"/>
                  <w:hideMark/>
                </w:tcPr>
                <w:p w:rsidR="00172C29" w:rsidRPr="00313778" w:rsidRDefault="00172C29" w:rsidP="0041275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iCs/>
                      <w:color w:val="auto"/>
                      <w:sz w:val="18"/>
                      <w:szCs w:val="18"/>
                      <w:lang w:eastAsia="en-GB"/>
                    </w:rPr>
                  </w:pPr>
                  <w:r w:rsidRPr="00313778">
                    <w:rPr>
                      <w:rFonts w:eastAsia="Times New Roman" w:cs="Arial"/>
                      <w:b/>
                      <w:iCs/>
                      <w:color w:val="auto"/>
                      <w:sz w:val="18"/>
                      <w:szCs w:val="18"/>
                      <w:lang w:eastAsia="en-GB"/>
                    </w:rPr>
                    <w:t>Total Distribution of previous year’s Surplus/(Deficit)</w:t>
                  </w:r>
                </w:p>
              </w:tc>
              <w:tc>
                <w:tcPr>
                  <w:tcW w:w="846" w:type="dxa"/>
                  <w:noWrap/>
                  <w:hideMark/>
                </w:tcPr>
                <w:p w:rsidR="00172C29" w:rsidRPr="00313778" w:rsidRDefault="00484B4F" w:rsidP="0054529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iCs/>
                      <w:color w:val="auto"/>
                      <w:sz w:val="18"/>
                      <w:szCs w:val="18"/>
                      <w:lang w:eastAsia="en-GB"/>
                    </w:rPr>
                  </w:pPr>
                  <w:r w:rsidRPr="00313778">
                    <w:rPr>
                      <w:rFonts w:eastAsia="Times New Roman" w:cs="Arial"/>
                      <w:b/>
                      <w:iCs/>
                      <w:color w:val="auto"/>
                      <w:sz w:val="18"/>
                      <w:szCs w:val="18"/>
                      <w:lang w:eastAsia="en-GB"/>
                    </w:rPr>
                    <w:t>2.6</w:t>
                  </w:r>
                </w:p>
              </w:tc>
              <w:tc>
                <w:tcPr>
                  <w:tcW w:w="855" w:type="dxa"/>
                  <w:noWrap/>
                  <w:hideMark/>
                </w:tcPr>
                <w:p w:rsidR="00172C29" w:rsidRPr="00313778" w:rsidRDefault="00484B4F"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iCs/>
                      <w:color w:val="auto"/>
                      <w:sz w:val="18"/>
                      <w:szCs w:val="18"/>
                      <w:lang w:eastAsia="en-GB"/>
                    </w:rPr>
                  </w:pPr>
                  <w:r w:rsidRPr="00313778">
                    <w:rPr>
                      <w:rFonts w:eastAsia="Times New Roman" w:cs="Arial"/>
                      <w:b/>
                      <w:iCs/>
                      <w:color w:val="auto"/>
                      <w:sz w:val="18"/>
                      <w:szCs w:val="18"/>
                      <w:lang w:eastAsia="en-GB"/>
                    </w:rPr>
                    <w:t>(0.1)</w:t>
                  </w:r>
                </w:p>
              </w:tc>
              <w:tc>
                <w:tcPr>
                  <w:tcW w:w="851" w:type="dxa"/>
                  <w:noWrap/>
                  <w:hideMark/>
                </w:tcPr>
                <w:p w:rsidR="00172C29" w:rsidRPr="00313778" w:rsidRDefault="00484B4F" w:rsidP="0054529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iCs/>
                      <w:color w:val="auto"/>
                      <w:sz w:val="18"/>
                      <w:szCs w:val="18"/>
                      <w:lang w:eastAsia="en-GB"/>
                    </w:rPr>
                  </w:pPr>
                  <w:r w:rsidRPr="00313778">
                    <w:rPr>
                      <w:rFonts w:eastAsia="Times New Roman" w:cs="Arial"/>
                      <w:b/>
                      <w:iCs/>
                      <w:color w:val="auto"/>
                      <w:sz w:val="18"/>
                      <w:szCs w:val="18"/>
                      <w:lang w:eastAsia="en-GB"/>
                    </w:rPr>
                    <w:t>2.5</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3685" w:type="dxa"/>
                  <w:tcBorders>
                    <w:top w:val="none" w:sz="0" w:space="0" w:color="auto"/>
                    <w:bottom w:val="none" w:sz="0" w:space="0" w:color="auto"/>
                  </w:tcBorders>
                  <w:vAlign w:val="center"/>
                  <w:hideMark/>
                </w:tcPr>
                <w:p w:rsidR="00172C29" w:rsidRPr="00313778" w:rsidRDefault="00172C29" w:rsidP="00A414A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color w:val="auto"/>
                      <w:sz w:val="18"/>
                      <w:szCs w:val="18"/>
                      <w:lang w:eastAsia="en-GB"/>
                    </w:rPr>
                  </w:pPr>
                  <w:r w:rsidRPr="00313778">
                    <w:rPr>
                      <w:rFonts w:eastAsia="Times New Roman" w:cs="Arial"/>
                      <w:b/>
                      <w:bCs/>
                      <w:i/>
                      <w:color w:val="auto"/>
                      <w:sz w:val="18"/>
                      <w:szCs w:val="18"/>
                      <w:lang w:eastAsia="en-GB"/>
                    </w:rPr>
                    <w:t>Bad and Doubtful Debts/Appeals</w:t>
                  </w:r>
                </w:p>
              </w:tc>
              <w:tc>
                <w:tcPr>
                  <w:tcW w:w="846" w:type="dxa"/>
                  <w:tcBorders>
                    <w:top w:val="none" w:sz="0" w:space="0" w:color="auto"/>
                    <w:bottom w:val="none" w:sz="0" w:space="0" w:color="auto"/>
                  </w:tcBorders>
                  <w:noWrap/>
                  <w:hideMark/>
                </w:tcPr>
                <w:p w:rsidR="00172C29" w:rsidRPr="00313778" w:rsidRDefault="00172C29"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5" w:type="dxa"/>
                  <w:tcBorders>
                    <w:top w:val="none" w:sz="0" w:space="0" w:color="auto"/>
                    <w:bottom w:val="none" w:sz="0" w:space="0" w:color="auto"/>
                  </w:tcBorders>
                  <w:noWrap/>
                  <w:hideMark/>
                </w:tcPr>
                <w:p w:rsidR="00172C29" w:rsidRPr="00313778" w:rsidRDefault="00172C29"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172C29" w:rsidRPr="00313778" w:rsidRDefault="00172C29"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p>
              </w:tc>
            </w:tr>
            <w:tr w:rsidR="00172C29" w:rsidRPr="00313778" w:rsidTr="00A414A8">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0.7</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0.6</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1.3</w:t>
                  </w:r>
                </w:p>
              </w:tc>
              <w:tc>
                <w:tcPr>
                  <w:tcW w:w="3685" w:type="dxa"/>
                  <w:hideMark/>
                </w:tcPr>
                <w:p w:rsidR="00172C29" w:rsidRPr="00313778" w:rsidRDefault="00172C29" w:rsidP="0041275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Write Offs</w:t>
                  </w:r>
                </w:p>
              </w:tc>
              <w:tc>
                <w:tcPr>
                  <w:tcW w:w="846" w:type="dxa"/>
                  <w:noWrap/>
                  <w:hideMark/>
                </w:tcPr>
                <w:p w:rsidR="00172C29" w:rsidRPr="00313778" w:rsidRDefault="00484B4F" w:rsidP="003443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w:t>
                  </w:r>
                  <w:r w:rsidR="003443F8">
                    <w:rPr>
                      <w:rFonts w:eastAsia="Times New Roman" w:cs="Arial"/>
                      <w:color w:val="auto"/>
                      <w:sz w:val="18"/>
                      <w:szCs w:val="18"/>
                      <w:lang w:eastAsia="en-GB"/>
                    </w:rPr>
                    <w:t>8</w:t>
                  </w:r>
                </w:p>
              </w:tc>
              <w:tc>
                <w:tcPr>
                  <w:tcW w:w="855" w:type="dxa"/>
                  <w:noWrap/>
                  <w:hideMark/>
                </w:tcPr>
                <w:p w:rsidR="00172C29" w:rsidRPr="00313778" w:rsidRDefault="00484B4F" w:rsidP="00653B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0.3</w:t>
                  </w:r>
                </w:p>
              </w:tc>
              <w:tc>
                <w:tcPr>
                  <w:tcW w:w="851" w:type="dxa"/>
                  <w:noWrap/>
                  <w:hideMark/>
                </w:tcPr>
                <w:p w:rsidR="00172C29" w:rsidRPr="00313778" w:rsidRDefault="003443F8" w:rsidP="00B313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Pr>
                      <w:rFonts w:eastAsia="Times New Roman" w:cs="Arial"/>
                      <w:color w:val="auto"/>
                      <w:sz w:val="18"/>
                      <w:szCs w:val="18"/>
                      <w:lang w:eastAsia="en-GB"/>
                    </w:rPr>
                    <w:t>1.1</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0.2</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0.2</w:t>
                  </w:r>
                </w:p>
              </w:tc>
              <w:tc>
                <w:tcPr>
                  <w:tcW w:w="3685" w:type="dxa"/>
                  <w:tcBorders>
                    <w:top w:val="none" w:sz="0" w:space="0" w:color="auto"/>
                    <w:bottom w:val="none" w:sz="0" w:space="0" w:color="auto"/>
                  </w:tcBorders>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Impairment for Uncollectable debt</w:t>
                  </w:r>
                </w:p>
              </w:tc>
              <w:tc>
                <w:tcPr>
                  <w:tcW w:w="846" w:type="dxa"/>
                  <w:tcBorders>
                    <w:top w:val="none" w:sz="0" w:space="0" w:color="auto"/>
                    <w:bottom w:val="none" w:sz="0" w:space="0" w:color="auto"/>
                  </w:tcBorders>
                  <w:noWrap/>
                  <w:hideMark/>
                </w:tcPr>
                <w:p w:rsidR="00172C29" w:rsidRPr="00313778" w:rsidRDefault="00484B4F"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0.5</w:t>
                  </w:r>
                </w:p>
              </w:tc>
              <w:tc>
                <w:tcPr>
                  <w:tcW w:w="855" w:type="dxa"/>
                  <w:tcBorders>
                    <w:top w:val="none" w:sz="0" w:space="0" w:color="auto"/>
                    <w:bottom w:val="none" w:sz="0" w:space="0" w:color="auto"/>
                  </w:tcBorders>
                  <w:noWrap/>
                  <w:hideMark/>
                </w:tcPr>
                <w:p w:rsidR="00172C29" w:rsidRPr="00313778" w:rsidRDefault="00484B4F" w:rsidP="00B313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0.2</w:t>
                  </w:r>
                </w:p>
              </w:tc>
              <w:tc>
                <w:tcPr>
                  <w:tcW w:w="851" w:type="dxa"/>
                  <w:tcBorders>
                    <w:top w:val="none" w:sz="0" w:space="0" w:color="auto"/>
                    <w:bottom w:val="none" w:sz="0" w:space="0" w:color="auto"/>
                  </w:tcBorders>
                  <w:noWrap/>
                  <w:hideMark/>
                </w:tcPr>
                <w:p w:rsidR="00172C29" w:rsidRPr="00313778" w:rsidRDefault="00484B4F" w:rsidP="00B313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0.7</w:t>
                  </w:r>
                </w:p>
              </w:tc>
            </w:tr>
            <w:tr w:rsidR="00172C29" w:rsidRPr="00313778" w:rsidTr="00A414A8">
              <w:trPr>
                <w:trHeight w:val="270"/>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0</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(1.2)</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(1.2)</w:t>
                  </w:r>
                </w:p>
              </w:tc>
              <w:tc>
                <w:tcPr>
                  <w:tcW w:w="3685" w:type="dxa"/>
                  <w:hideMark/>
                </w:tcPr>
                <w:p w:rsidR="00172C29" w:rsidRPr="00313778" w:rsidRDefault="00172C29" w:rsidP="0041275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Provision for Appeals</w:t>
                  </w:r>
                </w:p>
              </w:tc>
              <w:tc>
                <w:tcPr>
                  <w:tcW w:w="846" w:type="dxa"/>
                  <w:noWrap/>
                  <w:hideMark/>
                </w:tcPr>
                <w:p w:rsidR="00172C29" w:rsidRPr="00313778" w:rsidRDefault="00484B4F"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w:t>
                  </w:r>
                </w:p>
              </w:tc>
              <w:tc>
                <w:tcPr>
                  <w:tcW w:w="855" w:type="dxa"/>
                  <w:noWrap/>
                  <w:hideMark/>
                </w:tcPr>
                <w:p w:rsidR="00172C29" w:rsidRPr="00313778" w:rsidRDefault="00484B4F"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0.6</w:t>
                  </w:r>
                </w:p>
              </w:tc>
              <w:tc>
                <w:tcPr>
                  <w:tcW w:w="851" w:type="dxa"/>
                  <w:noWrap/>
                  <w:hideMark/>
                </w:tcPr>
                <w:p w:rsidR="00172C29" w:rsidRPr="00313778" w:rsidRDefault="00484B4F"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0.6</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0.9</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(0.6)</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0.3</w:t>
                  </w:r>
                </w:p>
              </w:tc>
              <w:tc>
                <w:tcPr>
                  <w:tcW w:w="3685" w:type="dxa"/>
                  <w:tcBorders>
                    <w:top w:val="none" w:sz="0" w:space="0" w:color="auto"/>
                    <w:bottom w:val="none" w:sz="0" w:space="0" w:color="auto"/>
                  </w:tcBorders>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Total Bad &amp; Doubtful Debt and Appeals</w:t>
                  </w:r>
                </w:p>
              </w:tc>
              <w:tc>
                <w:tcPr>
                  <w:tcW w:w="846" w:type="dxa"/>
                  <w:tcBorders>
                    <w:top w:val="none" w:sz="0" w:space="0" w:color="auto"/>
                    <w:bottom w:val="none" w:sz="0" w:space="0" w:color="auto"/>
                  </w:tcBorders>
                  <w:noWrap/>
                  <w:hideMark/>
                </w:tcPr>
                <w:p w:rsidR="00172C29" w:rsidRPr="00313778" w:rsidRDefault="00484B4F" w:rsidP="003443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1.</w:t>
                  </w:r>
                  <w:r w:rsidR="003443F8">
                    <w:rPr>
                      <w:rFonts w:eastAsia="Times New Roman" w:cs="Arial"/>
                      <w:b/>
                      <w:color w:val="auto"/>
                      <w:sz w:val="18"/>
                      <w:szCs w:val="18"/>
                      <w:lang w:eastAsia="en-GB"/>
                    </w:rPr>
                    <w:t>3</w:t>
                  </w:r>
                </w:p>
              </w:tc>
              <w:tc>
                <w:tcPr>
                  <w:tcW w:w="855" w:type="dxa"/>
                  <w:tcBorders>
                    <w:top w:val="none" w:sz="0" w:space="0" w:color="auto"/>
                    <w:bottom w:val="none" w:sz="0" w:space="0" w:color="auto"/>
                  </w:tcBorders>
                  <w:noWrap/>
                  <w:hideMark/>
                </w:tcPr>
                <w:p w:rsidR="00172C29" w:rsidRPr="00313778" w:rsidRDefault="00484B4F" w:rsidP="00E266B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1.1</w:t>
                  </w:r>
                </w:p>
              </w:tc>
              <w:tc>
                <w:tcPr>
                  <w:tcW w:w="851" w:type="dxa"/>
                  <w:tcBorders>
                    <w:top w:val="none" w:sz="0" w:space="0" w:color="auto"/>
                    <w:bottom w:val="none" w:sz="0" w:space="0" w:color="auto"/>
                  </w:tcBorders>
                  <w:noWrap/>
                  <w:hideMark/>
                </w:tcPr>
                <w:p w:rsidR="00172C29" w:rsidRPr="00313778" w:rsidRDefault="003443F8" w:rsidP="007632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Pr>
                      <w:rFonts w:eastAsia="Times New Roman" w:cs="Arial"/>
                      <w:b/>
                      <w:color w:val="auto"/>
                      <w:sz w:val="18"/>
                      <w:szCs w:val="18"/>
                      <w:lang w:eastAsia="en-GB"/>
                    </w:rPr>
                    <w:t>2.4</w:t>
                  </w:r>
                </w:p>
              </w:tc>
            </w:tr>
            <w:tr w:rsidR="00172C29" w:rsidRPr="00313778" w:rsidTr="00A414A8">
              <w:trPr>
                <w:trHeight w:val="313"/>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bCs w:val="0"/>
                      <w:color w:val="auto"/>
                      <w:sz w:val="18"/>
                      <w:szCs w:val="18"/>
                      <w:lang w:eastAsia="en-GB"/>
                    </w:rPr>
                  </w:pPr>
                  <w:r w:rsidRPr="00910733">
                    <w:rPr>
                      <w:rFonts w:eastAsia="Times New Roman" w:cs="Arial"/>
                      <w:b w:val="0"/>
                      <w:bCs w:val="0"/>
                      <w:color w:val="auto"/>
                      <w:sz w:val="18"/>
                      <w:szCs w:val="18"/>
                      <w:lang w:eastAsia="en-GB"/>
                    </w:rPr>
                    <w:t>71.2</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35.0</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106.2</w:t>
                  </w:r>
                </w:p>
              </w:tc>
              <w:tc>
                <w:tcPr>
                  <w:tcW w:w="3685" w:type="dxa"/>
                  <w:hideMark/>
                </w:tcPr>
                <w:p w:rsidR="00172C29" w:rsidRPr="00313778" w:rsidRDefault="00172C29" w:rsidP="0041275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Total Expenditure</w:t>
                  </w:r>
                </w:p>
              </w:tc>
              <w:tc>
                <w:tcPr>
                  <w:tcW w:w="846" w:type="dxa"/>
                  <w:noWrap/>
                  <w:hideMark/>
                </w:tcPr>
                <w:p w:rsidR="00172C29" w:rsidRPr="00313778" w:rsidRDefault="006B5FEC" w:rsidP="003443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Pr>
                      <w:rFonts w:eastAsia="Times New Roman" w:cs="Arial"/>
                      <w:b/>
                      <w:bCs/>
                      <w:color w:val="auto"/>
                      <w:sz w:val="18"/>
                      <w:szCs w:val="18"/>
                      <w:lang w:eastAsia="en-GB"/>
                    </w:rPr>
                    <w:t>76.</w:t>
                  </w:r>
                  <w:r w:rsidR="003443F8">
                    <w:rPr>
                      <w:rFonts w:eastAsia="Times New Roman" w:cs="Arial"/>
                      <w:b/>
                      <w:bCs/>
                      <w:color w:val="auto"/>
                      <w:sz w:val="18"/>
                      <w:szCs w:val="18"/>
                      <w:lang w:eastAsia="en-GB"/>
                    </w:rPr>
                    <w:t>1</w:t>
                  </w:r>
                </w:p>
              </w:tc>
              <w:tc>
                <w:tcPr>
                  <w:tcW w:w="855" w:type="dxa"/>
                  <w:noWrap/>
                  <w:hideMark/>
                </w:tcPr>
                <w:p w:rsidR="00172C29" w:rsidRPr="00313778" w:rsidRDefault="006B5FEC" w:rsidP="006B5FE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Pr>
                      <w:rFonts w:eastAsia="Times New Roman" w:cs="Arial"/>
                      <w:b/>
                      <w:bCs/>
                      <w:color w:val="auto"/>
                      <w:sz w:val="18"/>
                      <w:szCs w:val="18"/>
                      <w:lang w:eastAsia="en-GB"/>
                    </w:rPr>
                    <w:t>31.6</w:t>
                  </w:r>
                </w:p>
              </w:tc>
              <w:tc>
                <w:tcPr>
                  <w:tcW w:w="851" w:type="dxa"/>
                  <w:noWrap/>
                  <w:hideMark/>
                </w:tcPr>
                <w:p w:rsidR="00172C29" w:rsidRPr="00313778" w:rsidRDefault="003443F8" w:rsidP="006B5FE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Pr>
                      <w:rFonts w:eastAsia="Times New Roman" w:cs="Arial"/>
                      <w:b/>
                      <w:bCs/>
                      <w:color w:val="auto"/>
                      <w:sz w:val="18"/>
                      <w:szCs w:val="18"/>
                      <w:lang w:eastAsia="en-GB"/>
                    </w:rPr>
                    <w:t>107.7</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bCs w:val="0"/>
                      <w:color w:val="auto"/>
                      <w:sz w:val="18"/>
                      <w:szCs w:val="18"/>
                      <w:lang w:eastAsia="en-GB"/>
                    </w:rPr>
                  </w:pPr>
                  <w:r w:rsidRPr="00910733">
                    <w:rPr>
                      <w:rFonts w:eastAsia="Times New Roman" w:cs="Arial"/>
                      <w:b w:val="0"/>
                      <w:bCs w:val="0"/>
                      <w:color w:val="auto"/>
                      <w:sz w:val="18"/>
                      <w:szCs w:val="18"/>
                      <w:lang w:eastAsia="en-GB"/>
                    </w:rPr>
                    <w:t>0.5</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(2.1)</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8"/>
                      <w:szCs w:val="18"/>
                      <w:lang w:eastAsia="en-GB"/>
                    </w:rPr>
                  </w:pPr>
                  <w:r w:rsidRPr="00910733">
                    <w:rPr>
                      <w:rFonts w:eastAsia="Times New Roman" w:cs="Arial"/>
                      <w:bCs/>
                      <w:color w:val="auto"/>
                      <w:sz w:val="18"/>
                      <w:szCs w:val="18"/>
                      <w:lang w:eastAsia="en-GB"/>
                    </w:rPr>
                    <w:t>(1.6)</w:t>
                  </w:r>
                </w:p>
              </w:tc>
              <w:tc>
                <w:tcPr>
                  <w:tcW w:w="3685" w:type="dxa"/>
                  <w:tcBorders>
                    <w:top w:val="none" w:sz="0" w:space="0" w:color="auto"/>
                    <w:bottom w:val="none" w:sz="0" w:space="0" w:color="auto"/>
                  </w:tcBorders>
                  <w:hideMark/>
                </w:tcPr>
                <w:p w:rsidR="00172C29" w:rsidRPr="00313778" w:rsidRDefault="00172C29" w:rsidP="00FD299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(Surplus)/Deficit for Year</w:t>
                  </w:r>
                </w:p>
              </w:tc>
              <w:tc>
                <w:tcPr>
                  <w:tcW w:w="846" w:type="dxa"/>
                  <w:tcBorders>
                    <w:top w:val="none" w:sz="0" w:space="0" w:color="auto"/>
                    <w:bottom w:val="none" w:sz="0" w:space="0" w:color="auto"/>
                  </w:tcBorders>
                  <w:noWrap/>
                  <w:hideMark/>
                </w:tcPr>
                <w:p w:rsidR="00172C29" w:rsidRPr="00313778" w:rsidRDefault="00484B4F" w:rsidP="003443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0.</w:t>
                  </w:r>
                  <w:r w:rsidR="003443F8">
                    <w:rPr>
                      <w:rFonts w:eastAsia="Times New Roman" w:cs="Arial"/>
                      <w:b/>
                      <w:bCs/>
                      <w:color w:val="auto"/>
                      <w:sz w:val="18"/>
                      <w:szCs w:val="18"/>
                      <w:lang w:eastAsia="en-GB"/>
                    </w:rPr>
                    <w:t>3</w:t>
                  </w:r>
                </w:p>
              </w:tc>
              <w:tc>
                <w:tcPr>
                  <w:tcW w:w="855" w:type="dxa"/>
                  <w:tcBorders>
                    <w:top w:val="none" w:sz="0" w:space="0" w:color="auto"/>
                    <w:bottom w:val="none" w:sz="0" w:space="0" w:color="auto"/>
                  </w:tcBorders>
                  <w:noWrap/>
                  <w:hideMark/>
                </w:tcPr>
                <w:p w:rsidR="00172C29" w:rsidRPr="00313778" w:rsidRDefault="00484B4F" w:rsidP="005400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0.3</w:t>
                  </w:r>
                </w:p>
              </w:tc>
              <w:tc>
                <w:tcPr>
                  <w:tcW w:w="851" w:type="dxa"/>
                  <w:tcBorders>
                    <w:top w:val="none" w:sz="0" w:space="0" w:color="auto"/>
                    <w:bottom w:val="none" w:sz="0" w:space="0" w:color="auto"/>
                  </w:tcBorders>
                  <w:noWrap/>
                  <w:hideMark/>
                </w:tcPr>
                <w:p w:rsidR="00172C29" w:rsidRPr="00313778" w:rsidRDefault="003443F8" w:rsidP="0054529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18"/>
                      <w:szCs w:val="18"/>
                      <w:lang w:eastAsia="en-GB"/>
                    </w:rPr>
                  </w:pPr>
                  <w:r>
                    <w:rPr>
                      <w:rFonts w:eastAsia="Times New Roman" w:cs="Arial"/>
                      <w:b/>
                      <w:bCs/>
                      <w:color w:val="auto"/>
                      <w:sz w:val="18"/>
                      <w:szCs w:val="18"/>
                      <w:lang w:eastAsia="en-GB"/>
                    </w:rPr>
                    <w:t>0.6</w:t>
                  </w:r>
                </w:p>
              </w:tc>
            </w:tr>
            <w:tr w:rsidR="00172C29" w:rsidRPr="00313778" w:rsidTr="00A414A8">
              <w:trPr>
                <w:trHeight w:val="352"/>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vAlign w:val="center"/>
                  <w:hideMark/>
                </w:tcPr>
                <w:p w:rsidR="00172C29" w:rsidRPr="00910733" w:rsidRDefault="00172C29" w:rsidP="00172C29">
                  <w:pPr>
                    <w:spacing w:after="0" w:line="240" w:lineRule="auto"/>
                    <w:rPr>
                      <w:rFonts w:eastAsia="Times New Roman" w:cs="Arial"/>
                      <w:b w:val="0"/>
                      <w:color w:val="auto"/>
                      <w:sz w:val="18"/>
                      <w:szCs w:val="18"/>
                      <w:lang w:eastAsia="en-GB"/>
                    </w:rPr>
                  </w:pPr>
                </w:p>
              </w:tc>
              <w:tc>
                <w:tcPr>
                  <w:tcW w:w="709" w:type="dxa"/>
                  <w:noWrap/>
                  <w:vAlign w:val="center"/>
                  <w:hideMark/>
                </w:tcPr>
                <w:p w:rsidR="00172C29" w:rsidRPr="00910733" w:rsidRDefault="00172C29" w:rsidP="00172C2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1" w:type="dxa"/>
                  <w:noWrap/>
                  <w:vAlign w:val="center"/>
                  <w:hideMark/>
                </w:tcPr>
                <w:p w:rsidR="00172C29" w:rsidRPr="00910733" w:rsidRDefault="00172C29" w:rsidP="00172C2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3685" w:type="dxa"/>
                  <w:vAlign w:val="center"/>
                  <w:hideMark/>
                </w:tcPr>
                <w:p w:rsidR="00172C29" w:rsidRPr="00313778" w:rsidRDefault="00172C29" w:rsidP="00A414A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8"/>
                      <w:szCs w:val="18"/>
                      <w:lang w:eastAsia="en-GB"/>
                    </w:rPr>
                  </w:pPr>
                  <w:r w:rsidRPr="00313778">
                    <w:rPr>
                      <w:rFonts w:eastAsia="Times New Roman" w:cs="Arial"/>
                      <w:b/>
                      <w:bCs/>
                      <w:color w:val="auto"/>
                      <w:sz w:val="18"/>
                      <w:szCs w:val="18"/>
                      <w:lang w:eastAsia="en-GB"/>
                    </w:rPr>
                    <w:t>Movement of Collection Fund Balance</w:t>
                  </w:r>
                </w:p>
              </w:tc>
              <w:tc>
                <w:tcPr>
                  <w:tcW w:w="846" w:type="dxa"/>
                  <w:noWrap/>
                  <w:vAlign w:val="center"/>
                  <w:hideMark/>
                </w:tcPr>
                <w:p w:rsidR="00172C29" w:rsidRPr="00313778" w:rsidRDefault="00172C29" w:rsidP="00A414A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5" w:type="dxa"/>
                  <w:noWrap/>
                  <w:vAlign w:val="center"/>
                  <w:hideMark/>
                </w:tcPr>
                <w:p w:rsidR="00172C29" w:rsidRPr="00313778" w:rsidRDefault="00172C29" w:rsidP="00A414A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c>
                <w:tcPr>
                  <w:tcW w:w="851" w:type="dxa"/>
                  <w:noWrap/>
                  <w:vAlign w:val="center"/>
                  <w:hideMark/>
                </w:tcPr>
                <w:p w:rsidR="00172C29" w:rsidRPr="00313778" w:rsidRDefault="00172C29" w:rsidP="00A414A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(3.1)</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2.6</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(0.5)</w:t>
                  </w:r>
                </w:p>
              </w:tc>
              <w:tc>
                <w:tcPr>
                  <w:tcW w:w="3685" w:type="dxa"/>
                  <w:tcBorders>
                    <w:top w:val="none" w:sz="0" w:space="0" w:color="auto"/>
                    <w:bottom w:val="none" w:sz="0" w:space="0" w:color="auto"/>
                  </w:tcBorders>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Balance brought forward as at 1st April</w:t>
                  </w:r>
                </w:p>
              </w:tc>
              <w:tc>
                <w:tcPr>
                  <w:tcW w:w="846" w:type="dxa"/>
                  <w:tcBorders>
                    <w:top w:val="none" w:sz="0" w:space="0" w:color="auto"/>
                    <w:bottom w:val="none" w:sz="0" w:space="0" w:color="auto"/>
                  </w:tcBorders>
                  <w:noWrap/>
                  <w:hideMark/>
                </w:tcPr>
                <w:p w:rsidR="00172C29" w:rsidRPr="00910733" w:rsidRDefault="00484B4F" w:rsidP="0054529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(2.6)</w:t>
                  </w:r>
                </w:p>
              </w:tc>
              <w:tc>
                <w:tcPr>
                  <w:tcW w:w="855" w:type="dxa"/>
                  <w:tcBorders>
                    <w:top w:val="none" w:sz="0" w:space="0" w:color="auto"/>
                    <w:bottom w:val="none" w:sz="0" w:space="0" w:color="auto"/>
                  </w:tcBorders>
                  <w:noWrap/>
                  <w:hideMark/>
                </w:tcPr>
                <w:p w:rsidR="00172C29" w:rsidRPr="00910733" w:rsidRDefault="00AB790A" w:rsidP="00513BF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0.5</w:t>
                  </w:r>
                </w:p>
              </w:tc>
              <w:tc>
                <w:tcPr>
                  <w:tcW w:w="851" w:type="dxa"/>
                  <w:tcBorders>
                    <w:top w:val="none" w:sz="0" w:space="0" w:color="auto"/>
                    <w:bottom w:val="none" w:sz="0" w:space="0" w:color="auto"/>
                  </w:tcBorders>
                  <w:noWrap/>
                  <w:hideMark/>
                </w:tcPr>
                <w:p w:rsidR="00172C29" w:rsidRPr="00910733" w:rsidRDefault="00AB790A" w:rsidP="0054529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(2.1)</w:t>
                  </w:r>
                </w:p>
              </w:tc>
            </w:tr>
            <w:tr w:rsidR="00172C29" w:rsidRPr="00313778" w:rsidTr="00A414A8">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0.5</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(2.1)</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(1.6)</w:t>
                  </w:r>
                </w:p>
              </w:tc>
              <w:tc>
                <w:tcPr>
                  <w:tcW w:w="3685" w:type="dxa"/>
                  <w:hideMark/>
                </w:tcPr>
                <w:p w:rsidR="00172C29" w:rsidRPr="00313778" w:rsidRDefault="00172C29" w:rsidP="0041275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(Surplus)/Deficit for Year</w:t>
                  </w:r>
                </w:p>
              </w:tc>
              <w:tc>
                <w:tcPr>
                  <w:tcW w:w="846" w:type="dxa"/>
                  <w:noWrap/>
                  <w:hideMark/>
                </w:tcPr>
                <w:p w:rsidR="00172C29" w:rsidRPr="00910733" w:rsidRDefault="00484B4F" w:rsidP="003443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w:t>
                  </w:r>
                  <w:r w:rsidR="003443F8">
                    <w:rPr>
                      <w:rFonts w:eastAsia="Times New Roman" w:cs="Arial"/>
                      <w:color w:val="auto"/>
                      <w:sz w:val="18"/>
                      <w:szCs w:val="18"/>
                      <w:lang w:eastAsia="en-GB"/>
                    </w:rPr>
                    <w:t>3</w:t>
                  </w:r>
                </w:p>
              </w:tc>
              <w:tc>
                <w:tcPr>
                  <w:tcW w:w="855" w:type="dxa"/>
                  <w:noWrap/>
                  <w:hideMark/>
                </w:tcPr>
                <w:p w:rsidR="00172C29" w:rsidRPr="00910733" w:rsidRDefault="00AB790A" w:rsidP="00653B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0.3</w:t>
                  </w:r>
                </w:p>
              </w:tc>
              <w:tc>
                <w:tcPr>
                  <w:tcW w:w="851" w:type="dxa"/>
                  <w:noWrap/>
                  <w:hideMark/>
                </w:tcPr>
                <w:p w:rsidR="00172C29" w:rsidRPr="00910733" w:rsidRDefault="00AB790A" w:rsidP="003443F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w:t>
                  </w:r>
                  <w:r w:rsidR="003443F8">
                    <w:rPr>
                      <w:rFonts w:eastAsia="Times New Roman" w:cs="Arial"/>
                      <w:color w:val="auto"/>
                      <w:sz w:val="18"/>
                      <w:szCs w:val="18"/>
                      <w:lang w:eastAsia="en-GB"/>
                    </w:rPr>
                    <w:t>6</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(2.6)</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0.5</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(2.1)</w:t>
                  </w:r>
                </w:p>
              </w:tc>
              <w:tc>
                <w:tcPr>
                  <w:tcW w:w="3685" w:type="dxa"/>
                  <w:tcBorders>
                    <w:top w:val="none" w:sz="0" w:space="0" w:color="auto"/>
                    <w:bottom w:val="none" w:sz="0" w:space="0" w:color="auto"/>
                  </w:tcBorders>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Balance carried forward as at 31st March</w:t>
                  </w:r>
                </w:p>
              </w:tc>
              <w:tc>
                <w:tcPr>
                  <w:tcW w:w="846" w:type="dxa"/>
                  <w:tcBorders>
                    <w:top w:val="none" w:sz="0" w:space="0" w:color="auto"/>
                    <w:bottom w:val="none" w:sz="0" w:space="0" w:color="auto"/>
                  </w:tcBorders>
                  <w:noWrap/>
                  <w:hideMark/>
                </w:tcPr>
                <w:p w:rsidR="00172C29" w:rsidRPr="00313778" w:rsidRDefault="00484B4F" w:rsidP="003443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(2.</w:t>
                  </w:r>
                  <w:r w:rsidR="003443F8">
                    <w:rPr>
                      <w:rFonts w:eastAsia="Times New Roman" w:cs="Arial"/>
                      <w:b/>
                      <w:color w:val="auto"/>
                      <w:sz w:val="18"/>
                      <w:szCs w:val="18"/>
                      <w:lang w:eastAsia="en-GB"/>
                    </w:rPr>
                    <w:t>3</w:t>
                  </w:r>
                  <w:r w:rsidRPr="00313778">
                    <w:rPr>
                      <w:rFonts w:eastAsia="Times New Roman" w:cs="Arial"/>
                      <w:b/>
                      <w:color w:val="auto"/>
                      <w:sz w:val="18"/>
                      <w:szCs w:val="18"/>
                      <w:lang w:eastAsia="en-GB"/>
                    </w:rPr>
                    <w:t>)</w:t>
                  </w:r>
                </w:p>
              </w:tc>
              <w:tc>
                <w:tcPr>
                  <w:tcW w:w="855" w:type="dxa"/>
                  <w:tcBorders>
                    <w:top w:val="none" w:sz="0" w:space="0" w:color="auto"/>
                    <w:bottom w:val="none" w:sz="0" w:space="0" w:color="auto"/>
                  </w:tcBorders>
                  <w:noWrap/>
                  <w:hideMark/>
                </w:tcPr>
                <w:p w:rsidR="00172C29" w:rsidRPr="00313778" w:rsidRDefault="00AB790A" w:rsidP="00653B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0.8</w:t>
                  </w:r>
                </w:p>
              </w:tc>
              <w:tc>
                <w:tcPr>
                  <w:tcW w:w="851" w:type="dxa"/>
                  <w:tcBorders>
                    <w:top w:val="none" w:sz="0" w:space="0" w:color="auto"/>
                    <w:bottom w:val="none" w:sz="0" w:space="0" w:color="auto"/>
                  </w:tcBorders>
                  <w:noWrap/>
                  <w:hideMark/>
                </w:tcPr>
                <w:p w:rsidR="00172C29" w:rsidRPr="00313778" w:rsidRDefault="003443F8" w:rsidP="0054529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Pr>
                      <w:rFonts w:eastAsia="Times New Roman" w:cs="Arial"/>
                      <w:b/>
                      <w:color w:val="auto"/>
                      <w:sz w:val="18"/>
                      <w:szCs w:val="18"/>
                      <w:lang w:eastAsia="en-GB"/>
                    </w:rPr>
                    <w:t>(1.5</w:t>
                  </w:r>
                  <w:r w:rsidR="00AB790A" w:rsidRPr="00313778">
                    <w:rPr>
                      <w:rFonts w:eastAsia="Times New Roman" w:cs="Arial"/>
                      <w:b/>
                      <w:color w:val="auto"/>
                      <w:sz w:val="18"/>
                      <w:szCs w:val="18"/>
                      <w:lang w:eastAsia="en-GB"/>
                    </w:rPr>
                    <w:t>)</w:t>
                  </w:r>
                </w:p>
              </w:tc>
            </w:tr>
            <w:tr w:rsidR="00172C29" w:rsidRPr="00313778" w:rsidTr="00A414A8">
              <w:trPr>
                <w:trHeight w:val="510"/>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313778" w:rsidRDefault="00172C29" w:rsidP="00172C29">
                  <w:pPr>
                    <w:spacing w:after="0" w:line="240" w:lineRule="auto"/>
                    <w:jc w:val="right"/>
                    <w:rPr>
                      <w:rFonts w:eastAsia="Times New Roman" w:cs="Arial"/>
                      <w:b w:val="0"/>
                      <w:color w:val="auto"/>
                      <w:sz w:val="18"/>
                      <w:szCs w:val="18"/>
                      <w:lang w:eastAsia="en-GB"/>
                    </w:rPr>
                  </w:pPr>
                </w:p>
              </w:tc>
              <w:tc>
                <w:tcPr>
                  <w:tcW w:w="709" w:type="dxa"/>
                  <w:noWrap/>
                  <w:hideMark/>
                </w:tcPr>
                <w:p w:rsidR="00172C29" w:rsidRPr="00313778"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p>
              </w:tc>
              <w:tc>
                <w:tcPr>
                  <w:tcW w:w="851" w:type="dxa"/>
                  <w:noWrap/>
                  <w:hideMark/>
                </w:tcPr>
                <w:p w:rsidR="00172C29" w:rsidRPr="00313778"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p>
              </w:tc>
              <w:tc>
                <w:tcPr>
                  <w:tcW w:w="3685" w:type="dxa"/>
                  <w:hideMark/>
                </w:tcPr>
                <w:p w:rsidR="00172C29" w:rsidRPr="00313778" w:rsidRDefault="00172C29" w:rsidP="0041275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 xml:space="preserve">Balance Attributable to major </w:t>
                  </w:r>
                  <w:proofErr w:type="spellStart"/>
                  <w:r w:rsidRPr="00313778">
                    <w:rPr>
                      <w:rFonts w:eastAsia="Times New Roman" w:cs="Arial"/>
                      <w:b/>
                      <w:color w:val="auto"/>
                      <w:sz w:val="18"/>
                      <w:szCs w:val="18"/>
                      <w:lang w:eastAsia="en-GB"/>
                    </w:rPr>
                    <w:t>precepting</w:t>
                  </w:r>
                  <w:proofErr w:type="spellEnd"/>
                  <w:r w:rsidRPr="00313778">
                    <w:rPr>
                      <w:rFonts w:eastAsia="Times New Roman" w:cs="Arial"/>
                      <w:b/>
                      <w:color w:val="auto"/>
                      <w:sz w:val="18"/>
                      <w:szCs w:val="18"/>
                      <w:lang w:eastAsia="en-GB"/>
                    </w:rPr>
                    <w:t xml:space="preserve"> bodies</w:t>
                  </w:r>
                </w:p>
              </w:tc>
              <w:tc>
                <w:tcPr>
                  <w:tcW w:w="846" w:type="dxa"/>
                  <w:noWrap/>
                  <w:hideMark/>
                </w:tcPr>
                <w:p w:rsidR="00172C29" w:rsidRPr="00313778" w:rsidRDefault="00172C29"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p>
              </w:tc>
              <w:tc>
                <w:tcPr>
                  <w:tcW w:w="855" w:type="dxa"/>
                  <w:noWrap/>
                  <w:hideMark/>
                </w:tcPr>
                <w:p w:rsidR="00172C29" w:rsidRPr="00313778" w:rsidRDefault="00172C29"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p>
              </w:tc>
              <w:tc>
                <w:tcPr>
                  <w:tcW w:w="851" w:type="dxa"/>
                  <w:noWrap/>
                  <w:hideMark/>
                </w:tcPr>
                <w:p w:rsidR="00172C29" w:rsidRPr="00313778" w:rsidRDefault="00172C29"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18"/>
                      <w:szCs w:val="18"/>
                      <w:lang w:eastAsia="en-GB"/>
                    </w:rPr>
                  </w:pP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iCs/>
                      <w:color w:val="auto"/>
                      <w:sz w:val="18"/>
                      <w:szCs w:val="18"/>
                      <w:lang w:eastAsia="en-GB"/>
                    </w:rPr>
                  </w:pPr>
                  <w:r w:rsidRPr="00910733">
                    <w:rPr>
                      <w:rFonts w:eastAsia="Times New Roman" w:cs="Arial"/>
                      <w:b w:val="0"/>
                      <w:iCs/>
                      <w:color w:val="auto"/>
                      <w:sz w:val="18"/>
                      <w:szCs w:val="18"/>
                      <w:lang w:eastAsia="en-GB"/>
                    </w:rPr>
                    <w:t>(0.3)</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(0.3)</w:t>
                  </w:r>
                </w:p>
              </w:tc>
              <w:tc>
                <w:tcPr>
                  <w:tcW w:w="3685" w:type="dxa"/>
                  <w:tcBorders>
                    <w:top w:val="none" w:sz="0" w:space="0" w:color="auto"/>
                    <w:bottom w:val="none" w:sz="0" w:space="0" w:color="auto"/>
                  </w:tcBorders>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Police and Crime Commissioner for Devon and Cornwall</w:t>
                  </w:r>
                </w:p>
              </w:tc>
              <w:tc>
                <w:tcPr>
                  <w:tcW w:w="846" w:type="dxa"/>
                  <w:tcBorders>
                    <w:top w:val="none" w:sz="0" w:space="0" w:color="auto"/>
                    <w:bottom w:val="none" w:sz="0" w:space="0" w:color="auto"/>
                  </w:tcBorders>
                  <w:noWrap/>
                  <w:hideMark/>
                </w:tcPr>
                <w:p w:rsidR="00172C29" w:rsidRPr="00910733" w:rsidRDefault="00484B4F" w:rsidP="003443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w:t>
                  </w:r>
                  <w:r w:rsidR="003443F8">
                    <w:rPr>
                      <w:rFonts w:eastAsia="Times New Roman" w:cs="Arial"/>
                      <w:iCs/>
                      <w:color w:val="auto"/>
                      <w:sz w:val="18"/>
                      <w:szCs w:val="18"/>
                      <w:lang w:eastAsia="en-GB"/>
                    </w:rPr>
                    <w:t>3</w:t>
                  </w:r>
                  <w:r w:rsidRPr="00910733">
                    <w:rPr>
                      <w:rFonts w:eastAsia="Times New Roman" w:cs="Arial"/>
                      <w:iCs/>
                      <w:color w:val="auto"/>
                      <w:sz w:val="18"/>
                      <w:szCs w:val="18"/>
                      <w:lang w:eastAsia="en-GB"/>
                    </w:rPr>
                    <w:t>)</w:t>
                  </w:r>
                </w:p>
              </w:tc>
              <w:tc>
                <w:tcPr>
                  <w:tcW w:w="855" w:type="dxa"/>
                  <w:tcBorders>
                    <w:top w:val="none" w:sz="0" w:space="0" w:color="auto"/>
                    <w:bottom w:val="none" w:sz="0" w:space="0" w:color="auto"/>
                  </w:tcBorders>
                  <w:noWrap/>
                  <w:hideMark/>
                </w:tcPr>
                <w:p w:rsidR="00172C29" w:rsidRPr="00910733" w:rsidRDefault="00AB790A" w:rsidP="004827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w:t>
                  </w:r>
                </w:p>
              </w:tc>
              <w:tc>
                <w:tcPr>
                  <w:tcW w:w="851" w:type="dxa"/>
                  <w:tcBorders>
                    <w:top w:val="none" w:sz="0" w:space="0" w:color="auto"/>
                    <w:bottom w:val="none" w:sz="0" w:space="0" w:color="auto"/>
                  </w:tcBorders>
                  <w:noWrap/>
                  <w:hideMark/>
                </w:tcPr>
                <w:p w:rsidR="00172C29" w:rsidRPr="00910733" w:rsidRDefault="003443F8"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Pr>
                      <w:rFonts w:eastAsia="Times New Roman" w:cs="Arial"/>
                      <w:iCs/>
                      <w:color w:val="auto"/>
                      <w:sz w:val="18"/>
                      <w:szCs w:val="18"/>
                      <w:lang w:eastAsia="en-GB"/>
                    </w:rPr>
                    <w:t>(0.3</w:t>
                  </w:r>
                  <w:r w:rsidR="00AB790A" w:rsidRPr="00910733">
                    <w:rPr>
                      <w:rFonts w:eastAsia="Times New Roman" w:cs="Arial"/>
                      <w:iCs/>
                      <w:color w:val="auto"/>
                      <w:sz w:val="18"/>
                      <w:szCs w:val="18"/>
                      <w:lang w:eastAsia="en-GB"/>
                    </w:rPr>
                    <w:t>)</w:t>
                  </w:r>
                </w:p>
              </w:tc>
            </w:tr>
            <w:tr w:rsidR="00172C29" w:rsidRPr="00313778" w:rsidTr="00A414A8">
              <w:trPr>
                <w:trHeight w:val="255"/>
              </w:trPr>
              <w:tc>
                <w:tcPr>
                  <w:cnfStyle w:val="001000000000" w:firstRow="0" w:lastRow="0" w:firstColumn="1" w:lastColumn="0" w:oddVBand="0" w:evenVBand="0" w:oddHBand="0" w:evenHBand="0" w:firstRowFirstColumn="0" w:firstRowLastColumn="0" w:lastRowFirstColumn="0" w:lastRowLastColumn="0"/>
                  <w:tcW w:w="963" w:type="dxa"/>
                  <w:tcBorders>
                    <w:right w:val="none" w:sz="0" w:space="0" w:color="auto"/>
                  </w:tcBorders>
                  <w:noWrap/>
                  <w:hideMark/>
                </w:tcPr>
                <w:p w:rsidR="00172C29" w:rsidRPr="00910733" w:rsidRDefault="00172C29" w:rsidP="00172C29">
                  <w:pPr>
                    <w:spacing w:after="0" w:line="240" w:lineRule="auto"/>
                    <w:jc w:val="right"/>
                    <w:rPr>
                      <w:rFonts w:eastAsia="Times New Roman" w:cs="Arial"/>
                      <w:b w:val="0"/>
                      <w:iCs/>
                      <w:color w:val="auto"/>
                      <w:sz w:val="18"/>
                      <w:szCs w:val="18"/>
                      <w:lang w:eastAsia="en-GB"/>
                    </w:rPr>
                  </w:pPr>
                  <w:r w:rsidRPr="00910733">
                    <w:rPr>
                      <w:rFonts w:eastAsia="Times New Roman" w:cs="Arial"/>
                      <w:b w:val="0"/>
                      <w:iCs/>
                      <w:color w:val="auto"/>
                      <w:sz w:val="18"/>
                      <w:szCs w:val="18"/>
                      <w:lang w:eastAsia="en-GB"/>
                    </w:rPr>
                    <w:t>(0.2)</w:t>
                  </w:r>
                </w:p>
              </w:tc>
              <w:tc>
                <w:tcPr>
                  <w:tcW w:w="709"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w:t>
                  </w:r>
                </w:p>
              </w:tc>
              <w:tc>
                <w:tcPr>
                  <w:tcW w:w="851" w:type="dxa"/>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(0.2)</w:t>
                  </w:r>
                </w:p>
              </w:tc>
              <w:tc>
                <w:tcPr>
                  <w:tcW w:w="3685" w:type="dxa"/>
                  <w:hideMark/>
                </w:tcPr>
                <w:p w:rsidR="00172C29" w:rsidRPr="00313778" w:rsidRDefault="00172C29" w:rsidP="0041275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Devon &amp; Somerset Fire &amp; Rescue Authority</w:t>
                  </w:r>
                </w:p>
              </w:tc>
              <w:tc>
                <w:tcPr>
                  <w:tcW w:w="846" w:type="dxa"/>
                  <w:noWrap/>
                  <w:hideMark/>
                </w:tcPr>
                <w:p w:rsidR="00172C29" w:rsidRPr="00910733" w:rsidRDefault="00484B4F"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(0.2)</w:t>
                  </w:r>
                </w:p>
              </w:tc>
              <w:tc>
                <w:tcPr>
                  <w:tcW w:w="855" w:type="dxa"/>
                  <w:noWrap/>
                  <w:hideMark/>
                </w:tcPr>
                <w:p w:rsidR="00172C29" w:rsidRPr="00910733" w:rsidRDefault="00AB790A"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w:t>
                  </w:r>
                </w:p>
              </w:tc>
              <w:tc>
                <w:tcPr>
                  <w:tcW w:w="851" w:type="dxa"/>
                  <w:noWrap/>
                  <w:hideMark/>
                </w:tcPr>
                <w:p w:rsidR="00172C29" w:rsidRPr="00910733" w:rsidRDefault="00AB790A"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(0.2)</w:t>
                  </w:r>
                </w:p>
              </w:tc>
            </w:tr>
            <w:tr w:rsidR="00172C29" w:rsidRPr="00313778" w:rsidTr="00A414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one" w:sz="0" w:space="0" w:color="auto"/>
                    <w:bottom w:val="none" w:sz="0" w:space="0" w:color="auto"/>
                    <w:right w:val="none" w:sz="0" w:space="0" w:color="auto"/>
                  </w:tcBorders>
                  <w:noWrap/>
                  <w:hideMark/>
                </w:tcPr>
                <w:p w:rsidR="00172C29" w:rsidRPr="00910733" w:rsidRDefault="00172C29" w:rsidP="00172C29">
                  <w:pPr>
                    <w:spacing w:after="0" w:line="240" w:lineRule="auto"/>
                    <w:jc w:val="right"/>
                    <w:rPr>
                      <w:rFonts w:eastAsia="Times New Roman" w:cs="Arial"/>
                      <w:b w:val="0"/>
                      <w:iCs/>
                      <w:color w:val="auto"/>
                      <w:sz w:val="18"/>
                      <w:szCs w:val="18"/>
                      <w:lang w:eastAsia="en-GB"/>
                    </w:rPr>
                  </w:pPr>
                  <w:r w:rsidRPr="00910733">
                    <w:rPr>
                      <w:rFonts w:eastAsia="Times New Roman" w:cs="Arial"/>
                      <w:b w:val="0"/>
                      <w:iCs/>
                      <w:color w:val="auto"/>
                      <w:sz w:val="18"/>
                      <w:szCs w:val="18"/>
                      <w:lang w:eastAsia="en-GB"/>
                    </w:rPr>
                    <w:t>0</w:t>
                  </w:r>
                </w:p>
              </w:tc>
              <w:tc>
                <w:tcPr>
                  <w:tcW w:w="709"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0.3</w:t>
                  </w:r>
                </w:p>
              </w:tc>
              <w:tc>
                <w:tcPr>
                  <w:tcW w:w="851" w:type="dxa"/>
                  <w:tcBorders>
                    <w:top w:val="none" w:sz="0" w:space="0" w:color="auto"/>
                    <w:bottom w:val="none" w:sz="0" w:space="0" w:color="auto"/>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0.3</w:t>
                  </w:r>
                </w:p>
              </w:tc>
              <w:tc>
                <w:tcPr>
                  <w:tcW w:w="3685" w:type="dxa"/>
                  <w:tcBorders>
                    <w:top w:val="none" w:sz="0" w:space="0" w:color="auto"/>
                    <w:bottom w:val="none" w:sz="0" w:space="0" w:color="auto"/>
                  </w:tcBorders>
                  <w:hideMark/>
                </w:tcPr>
                <w:p w:rsidR="00172C29" w:rsidRPr="00313778" w:rsidRDefault="00172C29" w:rsidP="0041275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313778">
                    <w:rPr>
                      <w:rFonts w:eastAsia="Times New Roman" w:cs="Arial"/>
                      <w:iCs/>
                      <w:color w:val="auto"/>
                      <w:sz w:val="18"/>
                      <w:szCs w:val="18"/>
                      <w:lang w:eastAsia="en-GB"/>
                    </w:rPr>
                    <w:t>Central Government</w:t>
                  </w:r>
                </w:p>
              </w:tc>
              <w:tc>
                <w:tcPr>
                  <w:tcW w:w="846" w:type="dxa"/>
                  <w:tcBorders>
                    <w:top w:val="none" w:sz="0" w:space="0" w:color="auto"/>
                    <w:bottom w:val="none" w:sz="0" w:space="0" w:color="auto"/>
                  </w:tcBorders>
                  <w:noWrap/>
                  <w:hideMark/>
                </w:tcPr>
                <w:p w:rsidR="00172C29" w:rsidRPr="00910733" w:rsidRDefault="00910733"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w:t>
                  </w:r>
                </w:p>
              </w:tc>
              <w:tc>
                <w:tcPr>
                  <w:tcW w:w="855" w:type="dxa"/>
                  <w:tcBorders>
                    <w:top w:val="none" w:sz="0" w:space="0" w:color="auto"/>
                    <w:bottom w:val="none" w:sz="0" w:space="0" w:color="auto"/>
                  </w:tcBorders>
                  <w:noWrap/>
                  <w:hideMark/>
                </w:tcPr>
                <w:p w:rsidR="00172C29" w:rsidRPr="00910733" w:rsidRDefault="00AB790A"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0.4</w:t>
                  </w:r>
                </w:p>
              </w:tc>
              <w:tc>
                <w:tcPr>
                  <w:tcW w:w="851" w:type="dxa"/>
                  <w:tcBorders>
                    <w:top w:val="none" w:sz="0" w:space="0" w:color="auto"/>
                    <w:bottom w:val="none" w:sz="0" w:space="0" w:color="auto"/>
                  </w:tcBorders>
                  <w:noWrap/>
                  <w:hideMark/>
                </w:tcPr>
                <w:p w:rsidR="00172C29" w:rsidRPr="00910733" w:rsidRDefault="00AB790A" w:rsidP="00671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iCs/>
                      <w:color w:val="auto"/>
                      <w:sz w:val="18"/>
                      <w:szCs w:val="18"/>
                      <w:lang w:eastAsia="en-GB"/>
                    </w:rPr>
                  </w:pPr>
                  <w:r w:rsidRPr="00910733">
                    <w:rPr>
                      <w:rFonts w:eastAsia="Times New Roman" w:cs="Arial"/>
                      <w:iCs/>
                      <w:color w:val="auto"/>
                      <w:sz w:val="18"/>
                      <w:szCs w:val="18"/>
                      <w:lang w:eastAsia="en-GB"/>
                    </w:rPr>
                    <w:t>0.4</w:t>
                  </w:r>
                </w:p>
              </w:tc>
            </w:tr>
            <w:tr w:rsidR="00172C29" w:rsidRPr="00313778" w:rsidTr="00A414A8">
              <w:trPr>
                <w:trHeight w:val="259"/>
              </w:trPr>
              <w:tc>
                <w:tcPr>
                  <w:cnfStyle w:val="001000000000" w:firstRow="0" w:lastRow="0" w:firstColumn="1" w:lastColumn="0" w:oddVBand="0" w:evenVBand="0" w:oddHBand="0" w:evenHBand="0" w:firstRowFirstColumn="0" w:firstRowLastColumn="0" w:lastRowFirstColumn="0" w:lastRowLastColumn="0"/>
                  <w:tcW w:w="963" w:type="dxa"/>
                  <w:tcBorders>
                    <w:bottom w:val="single" w:sz="4" w:space="0" w:color="4BACC6" w:themeColor="accent5"/>
                    <w:right w:val="none" w:sz="0" w:space="0" w:color="auto"/>
                  </w:tcBorders>
                  <w:noWrap/>
                  <w:hideMark/>
                </w:tcPr>
                <w:p w:rsidR="00172C29" w:rsidRPr="00910733" w:rsidRDefault="00172C29" w:rsidP="00172C29">
                  <w:pPr>
                    <w:spacing w:after="0" w:line="240" w:lineRule="auto"/>
                    <w:jc w:val="right"/>
                    <w:rPr>
                      <w:rFonts w:eastAsia="Times New Roman" w:cs="Arial"/>
                      <w:b w:val="0"/>
                      <w:color w:val="auto"/>
                      <w:sz w:val="18"/>
                      <w:szCs w:val="18"/>
                      <w:lang w:eastAsia="en-GB"/>
                    </w:rPr>
                  </w:pPr>
                  <w:r w:rsidRPr="00910733">
                    <w:rPr>
                      <w:rFonts w:eastAsia="Times New Roman" w:cs="Arial"/>
                      <w:b w:val="0"/>
                      <w:color w:val="auto"/>
                      <w:sz w:val="18"/>
                      <w:szCs w:val="18"/>
                      <w:lang w:eastAsia="en-GB"/>
                    </w:rPr>
                    <w:t>(2.1)</w:t>
                  </w:r>
                </w:p>
              </w:tc>
              <w:tc>
                <w:tcPr>
                  <w:tcW w:w="709" w:type="dxa"/>
                  <w:tcBorders>
                    <w:bottom w:val="single" w:sz="4" w:space="0" w:color="4BACC6" w:themeColor="accent5"/>
                  </w:tcBorders>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0.2</w:t>
                  </w:r>
                </w:p>
              </w:tc>
              <w:tc>
                <w:tcPr>
                  <w:tcW w:w="851" w:type="dxa"/>
                  <w:tcBorders>
                    <w:bottom w:val="single" w:sz="4" w:space="0" w:color="4BACC6" w:themeColor="accent5"/>
                  </w:tcBorders>
                  <w:noWrap/>
                  <w:hideMark/>
                </w:tcPr>
                <w:p w:rsidR="00172C29" w:rsidRPr="00910733" w:rsidRDefault="00172C29" w:rsidP="00172C2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(1.9)</w:t>
                  </w:r>
                </w:p>
              </w:tc>
              <w:tc>
                <w:tcPr>
                  <w:tcW w:w="3685" w:type="dxa"/>
                  <w:tcBorders>
                    <w:bottom w:val="single" w:sz="4" w:space="0" w:color="4BACC6" w:themeColor="accent5"/>
                  </w:tcBorders>
                  <w:hideMark/>
                </w:tcPr>
                <w:p w:rsidR="00172C29" w:rsidRPr="00313778" w:rsidRDefault="00172C29" w:rsidP="0041275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313778">
                    <w:rPr>
                      <w:rFonts w:eastAsia="Times New Roman" w:cs="Arial"/>
                      <w:color w:val="auto"/>
                      <w:sz w:val="18"/>
                      <w:szCs w:val="18"/>
                      <w:lang w:eastAsia="en-GB"/>
                    </w:rPr>
                    <w:t>Torbay Council</w:t>
                  </w:r>
                </w:p>
              </w:tc>
              <w:tc>
                <w:tcPr>
                  <w:tcW w:w="846" w:type="dxa"/>
                  <w:tcBorders>
                    <w:bottom w:val="single" w:sz="4" w:space="0" w:color="4BACC6" w:themeColor="accent5"/>
                  </w:tcBorders>
                  <w:noWrap/>
                  <w:hideMark/>
                </w:tcPr>
                <w:p w:rsidR="00172C29" w:rsidRPr="00910733" w:rsidRDefault="00484B4F" w:rsidP="0054529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(1.8)</w:t>
                  </w:r>
                </w:p>
              </w:tc>
              <w:tc>
                <w:tcPr>
                  <w:tcW w:w="855" w:type="dxa"/>
                  <w:tcBorders>
                    <w:bottom w:val="single" w:sz="4" w:space="0" w:color="4BACC6" w:themeColor="accent5"/>
                  </w:tcBorders>
                  <w:noWrap/>
                  <w:hideMark/>
                </w:tcPr>
                <w:p w:rsidR="00172C29" w:rsidRPr="00910733" w:rsidRDefault="00AB790A" w:rsidP="006718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0.4</w:t>
                  </w:r>
                </w:p>
              </w:tc>
              <w:tc>
                <w:tcPr>
                  <w:tcW w:w="851" w:type="dxa"/>
                  <w:tcBorders>
                    <w:bottom w:val="single" w:sz="4" w:space="0" w:color="4BACC6" w:themeColor="accent5"/>
                  </w:tcBorders>
                  <w:noWrap/>
                  <w:hideMark/>
                </w:tcPr>
                <w:p w:rsidR="00172C29" w:rsidRPr="00910733" w:rsidRDefault="00AB790A" w:rsidP="00001C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(1.4)</w:t>
                  </w:r>
                </w:p>
              </w:tc>
            </w:tr>
            <w:tr w:rsidR="00313778" w:rsidRPr="00313778" w:rsidTr="00C02AA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3" w:type="dxa"/>
                  <w:tcBorders>
                    <w:left w:val="single" w:sz="4" w:space="0" w:color="4BACC6" w:themeColor="accent5"/>
                    <w:right w:val="single" w:sz="4" w:space="0" w:color="4BACC6" w:themeColor="accent5"/>
                  </w:tcBorders>
                  <w:noWrap/>
                  <w:hideMark/>
                </w:tcPr>
                <w:p w:rsidR="00172C29" w:rsidRPr="00313778" w:rsidRDefault="00172C29" w:rsidP="00172C29">
                  <w:pPr>
                    <w:spacing w:after="0" w:line="240" w:lineRule="auto"/>
                    <w:jc w:val="right"/>
                    <w:rPr>
                      <w:rFonts w:eastAsia="Times New Roman" w:cs="Arial"/>
                      <w:b w:val="0"/>
                      <w:color w:val="auto"/>
                      <w:sz w:val="18"/>
                      <w:szCs w:val="18"/>
                      <w:lang w:eastAsia="en-GB"/>
                    </w:rPr>
                  </w:pPr>
                  <w:r w:rsidRPr="00313778">
                    <w:rPr>
                      <w:rFonts w:eastAsia="Times New Roman" w:cs="Arial"/>
                      <w:b w:val="0"/>
                      <w:color w:val="auto"/>
                      <w:sz w:val="18"/>
                      <w:szCs w:val="18"/>
                      <w:lang w:eastAsia="en-GB"/>
                    </w:rPr>
                    <w:t>(2.6)</w:t>
                  </w:r>
                </w:p>
              </w:tc>
              <w:tc>
                <w:tcPr>
                  <w:tcW w:w="709" w:type="dxa"/>
                  <w:tcBorders>
                    <w:left w:val="single" w:sz="4" w:space="0" w:color="4BACC6" w:themeColor="accent5"/>
                    <w:right w:val="single" w:sz="4" w:space="0" w:color="4BACC6" w:themeColor="accent5"/>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0.5</w:t>
                  </w:r>
                </w:p>
              </w:tc>
              <w:tc>
                <w:tcPr>
                  <w:tcW w:w="851" w:type="dxa"/>
                  <w:tcBorders>
                    <w:left w:val="single" w:sz="4" w:space="0" w:color="4BACC6" w:themeColor="accent5"/>
                    <w:right w:val="single" w:sz="4" w:space="0" w:color="4BACC6" w:themeColor="accent5"/>
                  </w:tcBorders>
                  <w:noWrap/>
                  <w:hideMark/>
                </w:tcPr>
                <w:p w:rsidR="00172C29" w:rsidRPr="00910733" w:rsidRDefault="00172C29" w:rsidP="00172C2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en-GB"/>
                    </w:rPr>
                  </w:pPr>
                  <w:r w:rsidRPr="00910733">
                    <w:rPr>
                      <w:rFonts w:eastAsia="Times New Roman" w:cs="Arial"/>
                      <w:color w:val="auto"/>
                      <w:sz w:val="18"/>
                      <w:szCs w:val="18"/>
                      <w:lang w:eastAsia="en-GB"/>
                    </w:rPr>
                    <w:t>(2.1)</w:t>
                  </w:r>
                </w:p>
              </w:tc>
              <w:tc>
                <w:tcPr>
                  <w:tcW w:w="3685" w:type="dxa"/>
                  <w:tcBorders>
                    <w:left w:val="single" w:sz="4" w:space="0" w:color="4BACC6" w:themeColor="accent5"/>
                    <w:right w:val="single" w:sz="4" w:space="0" w:color="4BACC6" w:themeColor="accent5"/>
                  </w:tcBorders>
                  <w:hideMark/>
                </w:tcPr>
                <w:p w:rsidR="00172C29" w:rsidRPr="00313778" w:rsidRDefault="00172C29" w:rsidP="00D1783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Balance carried forward at 31st March</w:t>
                  </w:r>
                </w:p>
              </w:tc>
              <w:tc>
                <w:tcPr>
                  <w:tcW w:w="846" w:type="dxa"/>
                  <w:tcBorders>
                    <w:left w:val="single" w:sz="4" w:space="0" w:color="4BACC6" w:themeColor="accent5"/>
                    <w:right w:val="single" w:sz="4" w:space="0" w:color="4BACC6" w:themeColor="accent5"/>
                  </w:tcBorders>
                  <w:noWrap/>
                  <w:hideMark/>
                </w:tcPr>
                <w:p w:rsidR="00172C29" w:rsidRPr="00313778" w:rsidRDefault="00571E08" w:rsidP="003443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(2.</w:t>
                  </w:r>
                  <w:r w:rsidR="003443F8">
                    <w:rPr>
                      <w:rFonts w:eastAsia="Times New Roman" w:cs="Arial"/>
                      <w:b/>
                      <w:color w:val="auto"/>
                      <w:sz w:val="18"/>
                      <w:szCs w:val="18"/>
                      <w:lang w:eastAsia="en-GB"/>
                    </w:rPr>
                    <w:t>3</w:t>
                  </w:r>
                  <w:r w:rsidRPr="00313778">
                    <w:rPr>
                      <w:rFonts w:eastAsia="Times New Roman" w:cs="Arial"/>
                      <w:b/>
                      <w:color w:val="auto"/>
                      <w:sz w:val="18"/>
                      <w:szCs w:val="18"/>
                      <w:lang w:eastAsia="en-GB"/>
                    </w:rPr>
                    <w:t>)</w:t>
                  </w:r>
                </w:p>
              </w:tc>
              <w:tc>
                <w:tcPr>
                  <w:tcW w:w="855" w:type="dxa"/>
                  <w:tcBorders>
                    <w:left w:val="single" w:sz="4" w:space="0" w:color="4BACC6" w:themeColor="accent5"/>
                    <w:right w:val="single" w:sz="4" w:space="0" w:color="4BACC6" w:themeColor="accent5"/>
                  </w:tcBorders>
                  <w:noWrap/>
                  <w:hideMark/>
                </w:tcPr>
                <w:p w:rsidR="00172C29" w:rsidRPr="00313778" w:rsidRDefault="00571E08" w:rsidP="00BD4D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0.8</w:t>
                  </w:r>
                </w:p>
              </w:tc>
              <w:tc>
                <w:tcPr>
                  <w:tcW w:w="851" w:type="dxa"/>
                  <w:tcBorders>
                    <w:left w:val="single" w:sz="4" w:space="0" w:color="4BACC6" w:themeColor="accent5"/>
                    <w:right w:val="single" w:sz="4" w:space="0" w:color="4BACC6" w:themeColor="accent5"/>
                  </w:tcBorders>
                  <w:noWrap/>
                  <w:hideMark/>
                </w:tcPr>
                <w:p w:rsidR="00172C29" w:rsidRPr="00313778" w:rsidRDefault="00571E08" w:rsidP="003443F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8"/>
                      <w:szCs w:val="18"/>
                      <w:lang w:eastAsia="en-GB"/>
                    </w:rPr>
                  </w:pPr>
                  <w:r w:rsidRPr="00313778">
                    <w:rPr>
                      <w:rFonts w:eastAsia="Times New Roman" w:cs="Arial"/>
                      <w:b/>
                      <w:color w:val="auto"/>
                      <w:sz w:val="18"/>
                      <w:szCs w:val="18"/>
                      <w:lang w:eastAsia="en-GB"/>
                    </w:rPr>
                    <w:t>(1.</w:t>
                  </w:r>
                  <w:r w:rsidR="003443F8">
                    <w:rPr>
                      <w:rFonts w:eastAsia="Times New Roman" w:cs="Arial"/>
                      <w:b/>
                      <w:color w:val="auto"/>
                      <w:sz w:val="18"/>
                      <w:szCs w:val="18"/>
                      <w:lang w:eastAsia="en-GB"/>
                    </w:rPr>
                    <w:t>5</w:t>
                  </w:r>
                  <w:r w:rsidRPr="00313778">
                    <w:rPr>
                      <w:rFonts w:eastAsia="Times New Roman" w:cs="Arial"/>
                      <w:b/>
                      <w:color w:val="auto"/>
                      <w:sz w:val="18"/>
                      <w:szCs w:val="18"/>
                      <w:lang w:eastAsia="en-GB"/>
                    </w:rPr>
                    <w:t>)</w:t>
                  </w:r>
                </w:p>
              </w:tc>
            </w:tr>
          </w:tbl>
          <w:p w:rsidR="00202DEC" w:rsidRPr="00313778" w:rsidRDefault="00202DEC" w:rsidP="00087128">
            <w:pPr>
              <w:pStyle w:val="BodyTextIndent"/>
              <w:tabs>
                <w:tab w:val="left" w:pos="1350"/>
              </w:tabs>
              <w:ind w:left="0"/>
              <w:rPr>
                <w:color w:val="auto"/>
                <w:sz w:val="20"/>
                <w:szCs w:val="20"/>
              </w:rPr>
            </w:pPr>
          </w:p>
        </w:tc>
      </w:tr>
    </w:tbl>
    <w:p w:rsidR="00AD4B51" w:rsidRDefault="00AD4B51" w:rsidP="008D0906">
      <w:pPr>
        <w:pStyle w:val="BodyTextIndent"/>
        <w:tabs>
          <w:tab w:val="left" w:pos="1350"/>
        </w:tabs>
        <w:ind w:left="567"/>
        <w:outlineLvl w:val="0"/>
        <w:rPr>
          <w:b/>
          <w:color w:val="auto"/>
          <w:sz w:val="20"/>
          <w:szCs w:val="20"/>
        </w:rPr>
      </w:pPr>
    </w:p>
    <w:p w:rsidR="00E51139" w:rsidRPr="00313778" w:rsidRDefault="00E51139" w:rsidP="008D0906">
      <w:pPr>
        <w:pStyle w:val="BodyTextIndent"/>
        <w:tabs>
          <w:tab w:val="left" w:pos="1350"/>
        </w:tabs>
        <w:ind w:left="567"/>
        <w:outlineLvl w:val="0"/>
        <w:rPr>
          <w:b/>
          <w:color w:val="auto"/>
          <w:sz w:val="20"/>
          <w:szCs w:val="20"/>
        </w:rPr>
      </w:pPr>
      <w:r w:rsidRPr="00313778">
        <w:rPr>
          <w:b/>
          <w:color w:val="auto"/>
          <w:sz w:val="20"/>
          <w:szCs w:val="20"/>
        </w:rPr>
        <w:lastRenderedPageBreak/>
        <w:t>NOTES TO THE COLLECTION FUND SUMMARY ACCOUNT</w:t>
      </w:r>
    </w:p>
    <w:p w:rsidR="00CC4CEF" w:rsidRPr="00313778" w:rsidRDefault="00E51139" w:rsidP="004500E8">
      <w:pPr>
        <w:pStyle w:val="BodyTextIndent"/>
        <w:tabs>
          <w:tab w:val="left" w:pos="1350"/>
        </w:tabs>
        <w:ind w:left="567"/>
        <w:rPr>
          <w:color w:val="auto"/>
          <w:sz w:val="20"/>
          <w:szCs w:val="20"/>
        </w:rPr>
      </w:pPr>
      <w:r w:rsidRPr="00313778">
        <w:rPr>
          <w:color w:val="auto"/>
          <w:sz w:val="20"/>
          <w:szCs w:val="20"/>
        </w:rPr>
        <w:t>These notes represent the statutory requirement for a billing Council to maintain a separate Collection Fund.  The accounts are consolidated with the Council’s main accounts.</w:t>
      </w:r>
      <w:r w:rsidR="004500E8" w:rsidRPr="00313778">
        <w:rPr>
          <w:color w:val="auto"/>
          <w:sz w:val="20"/>
          <w:szCs w:val="20"/>
        </w:rPr>
        <w:t xml:space="preserve"> </w:t>
      </w:r>
      <w:r w:rsidR="00CC4CEF" w:rsidRPr="00313778">
        <w:rPr>
          <w:color w:val="auto"/>
          <w:sz w:val="20"/>
          <w:szCs w:val="20"/>
        </w:rPr>
        <w:t xml:space="preserve">In </w:t>
      </w:r>
      <w:r w:rsidR="004500E8" w:rsidRPr="00313778">
        <w:rPr>
          <w:color w:val="auto"/>
          <w:sz w:val="20"/>
          <w:szCs w:val="20"/>
        </w:rPr>
        <w:t>its</w:t>
      </w:r>
      <w:r w:rsidR="00CC4CEF" w:rsidRPr="00313778">
        <w:rPr>
          <w:color w:val="auto"/>
          <w:sz w:val="20"/>
          <w:szCs w:val="20"/>
        </w:rPr>
        <w:t xml:space="preserve"> Balance Sheet the Council includes the disaggregated amounts for the Major </w:t>
      </w:r>
      <w:proofErr w:type="spellStart"/>
      <w:r w:rsidR="00CC4CEF" w:rsidRPr="00313778">
        <w:rPr>
          <w:color w:val="auto"/>
          <w:sz w:val="20"/>
          <w:szCs w:val="20"/>
        </w:rPr>
        <w:t>Precepting</w:t>
      </w:r>
      <w:proofErr w:type="spellEnd"/>
      <w:r w:rsidR="00CC4CEF" w:rsidRPr="00313778">
        <w:rPr>
          <w:color w:val="auto"/>
          <w:sz w:val="20"/>
          <w:szCs w:val="20"/>
        </w:rPr>
        <w:t xml:space="preserve"> Bodies within its current assets and liabilities. The surplus attributable to Torbay Council has been treated as a credit on the Collection Fund Adjustment Account.  </w:t>
      </w:r>
    </w:p>
    <w:p w:rsidR="00CC4CEF" w:rsidRPr="00313778" w:rsidRDefault="00CC4CEF" w:rsidP="00CC4CEF">
      <w:pPr>
        <w:pStyle w:val="examplebullet0"/>
        <w:spacing w:line="240" w:lineRule="atLeast"/>
        <w:ind w:left="567"/>
        <w:jc w:val="left"/>
        <w:rPr>
          <w:rFonts w:ascii="Arial" w:hAnsi="Arial"/>
          <w:sz w:val="20"/>
          <w:szCs w:val="20"/>
        </w:rPr>
      </w:pPr>
      <w:r w:rsidRPr="00313778">
        <w:rPr>
          <w:rFonts w:ascii="Arial" w:hAnsi="Arial"/>
          <w:sz w:val="20"/>
          <w:szCs w:val="20"/>
        </w:rPr>
        <w:t xml:space="preserve">In addition to the statutory Collection Fund Statement, the Council in its Income &amp; Expenditure account now reflects, as income in year, its share, based on </w:t>
      </w:r>
      <w:proofErr w:type="spellStart"/>
      <w:r w:rsidRPr="00313778">
        <w:rPr>
          <w:rFonts w:ascii="Arial" w:hAnsi="Arial"/>
          <w:sz w:val="20"/>
          <w:szCs w:val="20"/>
        </w:rPr>
        <w:t>precepting</w:t>
      </w:r>
      <w:proofErr w:type="spellEnd"/>
      <w:r w:rsidRPr="00313778">
        <w:rPr>
          <w:rFonts w:ascii="Arial" w:hAnsi="Arial"/>
          <w:sz w:val="20"/>
          <w:szCs w:val="20"/>
        </w:rPr>
        <w:t xml:space="preserve"> values, of the year end Collection Fund position.  The Council on its balance sheet reflects its share of year end assets (arrears and impairment) and liabilities (prepayments) attributable to the Collection Fund.  The balance is shown in the accounts of the individual </w:t>
      </w:r>
      <w:proofErr w:type="spellStart"/>
      <w:r w:rsidRPr="00313778">
        <w:rPr>
          <w:rFonts w:ascii="Arial" w:hAnsi="Arial"/>
          <w:sz w:val="20"/>
          <w:szCs w:val="20"/>
        </w:rPr>
        <w:t>precepting</w:t>
      </w:r>
      <w:proofErr w:type="spellEnd"/>
      <w:r w:rsidRPr="00313778">
        <w:rPr>
          <w:rFonts w:ascii="Arial" w:hAnsi="Arial"/>
          <w:sz w:val="20"/>
          <w:szCs w:val="20"/>
        </w:rPr>
        <w:t xml:space="preserve"> bodies.</w:t>
      </w:r>
    </w:p>
    <w:p w:rsidR="0010203C" w:rsidRPr="00313778" w:rsidRDefault="0010203C" w:rsidP="0010203C">
      <w:pPr>
        <w:pStyle w:val="BodyTextIndent"/>
        <w:tabs>
          <w:tab w:val="left" w:pos="709"/>
        </w:tabs>
        <w:ind w:left="567"/>
        <w:rPr>
          <w:color w:val="auto"/>
          <w:sz w:val="20"/>
          <w:szCs w:val="20"/>
        </w:rPr>
      </w:pPr>
      <w:proofErr w:type="spellStart"/>
      <w:r w:rsidRPr="00313778">
        <w:rPr>
          <w:color w:val="auto"/>
          <w:sz w:val="20"/>
          <w:szCs w:val="20"/>
        </w:rPr>
        <w:t>Brixham</w:t>
      </w:r>
      <w:proofErr w:type="spellEnd"/>
      <w:r w:rsidRPr="00313778">
        <w:rPr>
          <w:color w:val="auto"/>
          <w:sz w:val="20"/>
          <w:szCs w:val="20"/>
        </w:rPr>
        <w:t xml:space="preserve"> Town Council, a local </w:t>
      </w:r>
      <w:proofErr w:type="spellStart"/>
      <w:r w:rsidRPr="00313778">
        <w:rPr>
          <w:color w:val="auto"/>
          <w:sz w:val="20"/>
          <w:szCs w:val="20"/>
        </w:rPr>
        <w:t>precepting</w:t>
      </w:r>
      <w:proofErr w:type="spellEnd"/>
      <w:r w:rsidRPr="00313778">
        <w:rPr>
          <w:color w:val="auto"/>
          <w:sz w:val="20"/>
          <w:szCs w:val="20"/>
        </w:rPr>
        <w:t xml:space="preserve"> authority, ‘precepts’ on Torbay Council as a billing authority to fund its activities, the precept for 201</w:t>
      </w:r>
      <w:r w:rsidR="00313778" w:rsidRPr="00313778">
        <w:rPr>
          <w:color w:val="auto"/>
          <w:sz w:val="20"/>
          <w:szCs w:val="20"/>
        </w:rPr>
        <w:t>7</w:t>
      </w:r>
      <w:r w:rsidRPr="00313778">
        <w:rPr>
          <w:color w:val="auto"/>
          <w:sz w:val="20"/>
          <w:szCs w:val="20"/>
        </w:rPr>
        <w:t>/1</w:t>
      </w:r>
      <w:r w:rsidR="00313778" w:rsidRPr="00313778">
        <w:rPr>
          <w:color w:val="auto"/>
          <w:sz w:val="20"/>
          <w:szCs w:val="20"/>
        </w:rPr>
        <w:t>8</w:t>
      </w:r>
      <w:r w:rsidRPr="00313778">
        <w:rPr>
          <w:color w:val="auto"/>
          <w:sz w:val="20"/>
          <w:szCs w:val="20"/>
        </w:rPr>
        <w:t xml:space="preserve"> was £</w:t>
      </w:r>
      <w:r w:rsidR="00B76231" w:rsidRPr="00313778">
        <w:rPr>
          <w:color w:val="auto"/>
          <w:sz w:val="20"/>
          <w:szCs w:val="20"/>
        </w:rPr>
        <w:t>0.2</w:t>
      </w:r>
      <w:r w:rsidR="00313778" w:rsidRPr="00313778">
        <w:rPr>
          <w:color w:val="auto"/>
          <w:sz w:val="20"/>
          <w:szCs w:val="20"/>
        </w:rPr>
        <w:t>54</w:t>
      </w:r>
      <w:r w:rsidRPr="00313778">
        <w:rPr>
          <w:color w:val="auto"/>
          <w:sz w:val="20"/>
          <w:szCs w:val="20"/>
        </w:rPr>
        <w:t>m (£0.</w:t>
      </w:r>
      <w:r w:rsidR="008B47BE" w:rsidRPr="00313778">
        <w:rPr>
          <w:color w:val="auto"/>
          <w:sz w:val="20"/>
          <w:szCs w:val="20"/>
        </w:rPr>
        <w:t>2</w:t>
      </w:r>
      <w:r w:rsidR="00313778" w:rsidRPr="00313778">
        <w:rPr>
          <w:color w:val="auto"/>
          <w:sz w:val="20"/>
          <w:szCs w:val="20"/>
        </w:rPr>
        <w:t>34</w:t>
      </w:r>
      <w:r w:rsidRPr="00313778">
        <w:rPr>
          <w:color w:val="auto"/>
          <w:sz w:val="20"/>
          <w:szCs w:val="20"/>
        </w:rPr>
        <w:t>m in 201</w:t>
      </w:r>
      <w:r w:rsidR="00313778" w:rsidRPr="00313778">
        <w:rPr>
          <w:color w:val="auto"/>
          <w:sz w:val="20"/>
          <w:szCs w:val="20"/>
        </w:rPr>
        <w:t>6</w:t>
      </w:r>
      <w:r w:rsidRPr="00313778">
        <w:rPr>
          <w:color w:val="auto"/>
          <w:sz w:val="20"/>
          <w:szCs w:val="20"/>
        </w:rPr>
        <w:t>/1</w:t>
      </w:r>
      <w:r w:rsidR="00313778" w:rsidRPr="00313778">
        <w:rPr>
          <w:color w:val="auto"/>
          <w:sz w:val="20"/>
          <w:szCs w:val="20"/>
        </w:rPr>
        <w:t>7</w:t>
      </w:r>
      <w:r w:rsidRPr="00313778">
        <w:rPr>
          <w:color w:val="auto"/>
          <w:sz w:val="20"/>
          <w:szCs w:val="20"/>
        </w:rPr>
        <w:t>) and is received from council taxpayers in the town council’s area.   This precept is included in Torbay Council’s demand on the collection fund.</w:t>
      </w:r>
    </w:p>
    <w:p w:rsidR="00A61992" w:rsidRPr="0005794A" w:rsidRDefault="00A61992" w:rsidP="00C02AA5">
      <w:pPr>
        <w:pStyle w:val="BodyTextIndent"/>
        <w:tabs>
          <w:tab w:val="left" w:pos="735"/>
        </w:tabs>
        <w:ind w:left="567" w:hanging="567"/>
        <w:rPr>
          <w:b/>
          <w:color w:val="548DD4" w:themeColor="text2" w:themeTint="99"/>
        </w:rPr>
      </w:pPr>
    </w:p>
    <w:p w:rsidR="00E51139" w:rsidRPr="00313778" w:rsidRDefault="00E51139" w:rsidP="00C02AA5">
      <w:pPr>
        <w:pStyle w:val="BodyTextIndent"/>
        <w:tabs>
          <w:tab w:val="left" w:pos="735"/>
        </w:tabs>
        <w:ind w:left="567" w:hanging="567"/>
        <w:rPr>
          <w:b/>
          <w:color w:val="auto"/>
        </w:rPr>
      </w:pPr>
      <w:r w:rsidRPr="00313778">
        <w:rPr>
          <w:b/>
          <w:color w:val="auto"/>
        </w:rPr>
        <w:t>A)</w:t>
      </w:r>
      <w:r w:rsidRPr="00313778">
        <w:rPr>
          <w:b/>
          <w:color w:val="auto"/>
        </w:rPr>
        <w:tab/>
        <w:t xml:space="preserve">Council Tax Base </w:t>
      </w:r>
      <w:r w:rsidR="00C02AA5" w:rsidRPr="00313778">
        <w:rPr>
          <w:b/>
          <w:color w:val="auto"/>
        </w:rPr>
        <w:t>201</w:t>
      </w:r>
      <w:r w:rsidR="00313778" w:rsidRPr="00313778">
        <w:rPr>
          <w:b/>
          <w:color w:val="auto"/>
        </w:rPr>
        <w:t>7</w:t>
      </w:r>
      <w:r w:rsidR="00D07CF7" w:rsidRPr="00313778">
        <w:rPr>
          <w:b/>
          <w:color w:val="auto"/>
        </w:rPr>
        <w:t>/</w:t>
      </w:r>
      <w:r w:rsidR="00C02AA5" w:rsidRPr="00313778">
        <w:rPr>
          <w:b/>
          <w:color w:val="auto"/>
        </w:rPr>
        <w:t>1</w:t>
      </w:r>
      <w:r w:rsidR="00313778" w:rsidRPr="00313778">
        <w:rPr>
          <w:b/>
          <w:color w:val="auto"/>
        </w:rPr>
        <w:t>8</w:t>
      </w:r>
      <w:r w:rsidRPr="00313778">
        <w:rPr>
          <w:b/>
          <w:color w:val="auto"/>
        </w:rPr>
        <w:tab/>
      </w:r>
    </w:p>
    <w:p w:rsidR="00BC5180" w:rsidRPr="00313778" w:rsidRDefault="00BC5180" w:rsidP="00BC5180">
      <w:pPr>
        <w:pStyle w:val="BodyTextIndent"/>
        <w:tabs>
          <w:tab w:val="left" w:pos="567"/>
        </w:tabs>
        <w:ind w:left="567"/>
        <w:rPr>
          <w:color w:val="auto"/>
          <w:sz w:val="20"/>
          <w:szCs w:val="20"/>
        </w:rPr>
      </w:pPr>
      <w:r w:rsidRPr="00313778">
        <w:rPr>
          <w:rFonts w:eastAsia="Arial" w:cs="Arial"/>
          <w:color w:val="auto"/>
          <w:sz w:val="20"/>
          <w:szCs w:val="20"/>
          <w:lang w:eastAsia="en-GB"/>
        </w:rPr>
        <w:t>The number of dwellings Band D equivalent for 201</w:t>
      </w:r>
      <w:r w:rsidR="00313778" w:rsidRPr="00313778">
        <w:rPr>
          <w:rFonts w:eastAsia="Arial" w:cs="Arial"/>
          <w:color w:val="auto"/>
          <w:sz w:val="20"/>
          <w:szCs w:val="20"/>
          <w:lang w:eastAsia="en-GB"/>
        </w:rPr>
        <w:t>7</w:t>
      </w:r>
      <w:r w:rsidRPr="00313778">
        <w:rPr>
          <w:rFonts w:eastAsia="Arial" w:cs="Arial"/>
          <w:color w:val="auto"/>
          <w:sz w:val="20"/>
          <w:szCs w:val="20"/>
          <w:lang w:eastAsia="en-GB"/>
        </w:rPr>
        <w:t>/1</w:t>
      </w:r>
      <w:r w:rsidR="00313778" w:rsidRPr="00313778">
        <w:rPr>
          <w:rFonts w:eastAsia="Arial" w:cs="Arial"/>
          <w:color w:val="auto"/>
          <w:sz w:val="20"/>
          <w:szCs w:val="20"/>
          <w:lang w:eastAsia="en-GB"/>
        </w:rPr>
        <w:t>8</w:t>
      </w:r>
      <w:r w:rsidRPr="00313778">
        <w:rPr>
          <w:rFonts w:eastAsia="Arial" w:cs="Arial"/>
          <w:color w:val="auto"/>
          <w:sz w:val="20"/>
          <w:szCs w:val="20"/>
          <w:lang w:eastAsia="en-GB"/>
        </w:rPr>
        <w:t xml:space="preserve"> is required for the setting of the Council Tax. It is calculated prior to the start of the financial year by using the number of dwellings on the valuation list adjusted to set the number of chargeable dwellings per band. This is then adjusted for an appropriate level of reduced assessments (discounts) prior to the number of dwellings in each band</w:t>
      </w:r>
      <w:r w:rsidRPr="00313778">
        <w:rPr>
          <w:color w:val="auto"/>
          <w:sz w:val="20"/>
          <w:szCs w:val="20"/>
        </w:rPr>
        <w:t xml:space="preserve"> being put in a ratio compared to Band D.  For further details on this please see “Council Tax Base 201</w:t>
      </w:r>
      <w:r w:rsidR="00313778" w:rsidRPr="00313778">
        <w:rPr>
          <w:color w:val="auto"/>
          <w:sz w:val="20"/>
          <w:szCs w:val="20"/>
        </w:rPr>
        <w:t>7</w:t>
      </w:r>
      <w:r w:rsidRPr="00313778">
        <w:rPr>
          <w:color w:val="auto"/>
          <w:sz w:val="20"/>
          <w:szCs w:val="20"/>
        </w:rPr>
        <w:t>/1</w:t>
      </w:r>
      <w:r w:rsidR="00313778" w:rsidRPr="00313778">
        <w:rPr>
          <w:color w:val="auto"/>
          <w:sz w:val="20"/>
          <w:szCs w:val="20"/>
        </w:rPr>
        <w:t>8</w:t>
      </w:r>
      <w:r w:rsidRPr="00313778">
        <w:rPr>
          <w:color w:val="auto"/>
          <w:sz w:val="20"/>
          <w:szCs w:val="20"/>
        </w:rPr>
        <w:t>” report from the Council meeting in December 201</w:t>
      </w:r>
      <w:r w:rsidR="00313778" w:rsidRPr="00313778">
        <w:rPr>
          <w:color w:val="auto"/>
          <w:sz w:val="20"/>
          <w:szCs w:val="20"/>
        </w:rPr>
        <w:t>6</w:t>
      </w:r>
      <w:r w:rsidRPr="00313778">
        <w:rPr>
          <w:color w:val="auto"/>
          <w:sz w:val="20"/>
          <w:szCs w:val="20"/>
        </w:rPr>
        <w:t>.</w:t>
      </w:r>
    </w:p>
    <w:p w:rsidR="00E51139" w:rsidRPr="00313778" w:rsidRDefault="00BC5180" w:rsidP="00C02AA5">
      <w:pPr>
        <w:pStyle w:val="BodyTextIndent"/>
        <w:tabs>
          <w:tab w:val="left" w:pos="735"/>
        </w:tabs>
        <w:ind w:left="567" w:hanging="567"/>
        <w:rPr>
          <w:color w:val="auto"/>
          <w:sz w:val="20"/>
          <w:szCs w:val="20"/>
        </w:rPr>
      </w:pPr>
      <w:r w:rsidRPr="00313778">
        <w:rPr>
          <w:color w:val="auto"/>
          <w:sz w:val="20"/>
          <w:szCs w:val="20"/>
        </w:rPr>
        <w:tab/>
      </w:r>
      <w:r w:rsidR="00E51139" w:rsidRPr="00313778">
        <w:rPr>
          <w:color w:val="auto"/>
          <w:sz w:val="20"/>
          <w:szCs w:val="20"/>
        </w:rPr>
        <w:t xml:space="preserve">For Council tax purposes the number of domestic properties in each band converted to a Band D equivalent for </w:t>
      </w:r>
      <w:r w:rsidR="00C02AA5" w:rsidRPr="00313778">
        <w:rPr>
          <w:b/>
          <w:color w:val="auto"/>
          <w:sz w:val="20"/>
          <w:szCs w:val="20"/>
        </w:rPr>
        <w:t>201</w:t>
      </w:r>
      <w:r w:rsidR="00313778" w:rsidRPr="00313778">
        <w:rPr>
          <w:b/>
          <w:color w:val="auto"/>
          <w:sz w:val="20"/>
          <w:szCs w:val="20"/>
        </w:rPr>
        <w:t>7</w:t>
      </w:r>
      <w:r w:rsidR="00C02AA5" w:rsidRPr="00313778">
        <w:rPr>
          <w:b/>
          <w:color w:val="auto"/>
          <w:sz w:val="20"/>
          <w:szCs w:val="20"/>
        </w:rPr>
        <w:t>/</w:t>
      </w:r>
      <w:r w:rsidR="00C338FB" w:rsidRPr="00313778">
        <w:rPr>
          <w:b/>
          <w:color w:val="auto"/>
          <w:sz w:val="20"/>
          <w:szCs w:val="20"/>
        </w:rPr>
        <w:t>1</w:t>
      </w:r>
      <w:r w:rsidR="00313778" w:rsidRPr="00313778">
        <w:rPr>
          <w:b/>
          <w:color w:val="auto"/>
          <w:sz w:val="20"/>
          <w:szCs w:val="20"/>
        </w:rPr>
        <w:t>8</w:t>
      </w:r>
      <w:r w:rsidR="00E51139" w:rsidRPr="00313778">
        <w:rPr>
          <w:color w:val="auto"/>
          <w:sz w:val="20"/>
          <w:szCs w:val="20"/>
        </w:rPr>
        <w:t xml:space="preserve"> was as follows:</w:t>
      </w: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F941E0" w:rsidRPr="0005794A" w:rsidRDefault="00F941E0" w:rsidP="00C02AA5">
      <w:pPr>
        <w:pStyle w:val="BodyTextIndent"/>
        <w:tabs>
          <w:tab w:val="left" w:pos="735"/>
        </w:tabs>
        <w:ind w:left="567" w:hanging="567"/>
        <w:rPr>
          <w:color w:val="548DD4" w:themeColor="text2" w:themeTint="99"/>
          <w:sz w:val="20"/>
          <w:szCs w:val="20"/>
        </w:rPr>
      </w:pPr>
    </w:p>
    <w:p w:rsidR="009142A8" w:rsidRPr="0005794A" w:rsidRDefault="009142A8" w:rsidP="00C02AA5">
      <w:pPr>
        <w:pStyle w:val="BodyTextIndent"/>
        <w:tabs>
          <w:tab w:val="left" w:pos="735"/>
        </w:tabs>
        <w:ind w:left="567" w:hanging="567"/>
        <w:rPr>
          <w:color w:val="548DD4" w:themeColor="text2" w:themeTint="99"/>
          <w:sz w:val="20"/>
          <w:szCs w:val="20"/>
        </w:rPr>
      </w:pPr>
    </w:p>
    <w:tbl>
      <w:tblPr>
        <w:tblStyle w:val="ListTable3-Accent51"/>
        <w:tblW w:w="9630" w:type="dxa"/>
        <w:tblLayout w:type="fixed"/>
        <w:tblLook w:val="0000" w:firstRow="0" w:lastRow="0" w:firstColumn="0" w:lastColumn="0" w:noHBand="0" w:noVBand="0"/>
      </w:tblPr>
      <w:tblGrid>
        <w:gridCol w:w="1101"/>
        <w:gridCol w:w="992"/>
        <w:gridCol w:w="1159"/>
        <w:gridCol w:w="1254"/>
        <w:gridCol w:w="1272"/>
        <w:gridCol w:w="1159"/>
        <w:gridCol w:w="1244"/>
        <w:gridCol w:w="1449"/>
      </w:tblGrid>
      <w:tr w:rsidR="00F17C3C" w:rsidRPr="0005794A" w:rsidTr="00D85DF8">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1101" w:type="dxa"/>
            <w:vMerge w:val="restart"/>
            <w:shd w:val="clear" w:color="auto" w:fill="4BACC6" w:themeFill="accent5"/>
          </w:tcPr>
          <w:p w:rsidR="00F17C3C" w:rsidRPr="00172C29" w:rsidRDefault="00F17C3C" w:rsidP="004B68AE">
            <w:pPr>
              <w:pStyle w:val="BodyTextIndent"/>
              <w:tabs>
                <w:tab w:val="left" w:pos="1350"/>
              </w:tabs>
              <w:ind w:left="0"/>
              <w:jc w:val="center"/>
              <w:rPr>
                <w:color w:val="auto"/>
                <w:sz w:val="20"/>
                <w:szCs w:val="20"/>
              </w:rPr>
            </w:pPr>
            <w:r w:rsidRPr="00172C29">
              <w:rPr>
                <w:color w:val="auto"/>
                <w:sz w:val="20"/>
                <w:szCs w:val="20"/>
              </w:rPr>
              <w:lastRenderedPageBreak/>
              <w:t>Valuation Band</w:t>
            </w:r>
          </w:p>
        </w:tc>
        <w:tc>
          <w:tcPr>
            <w:tcW w:w="992" w:type="dxa"/>
            <w:vMerge w:val="restart"/>
            <w:shd w:val="clear" w:color="auto" w:fill="4BACC6" w:themeFill="accent5"/>
          </w:tcPr>
          <w:p w:rsidR="00F17C3C" w:rsidRPr="00172C29" w:rsidRDefault="00F17C3C"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172C29">
              <w:rPr>
                <w:color w:val="auto"/>
                <w:sz w:val="20"/>
                <w:szCs w:val="20"/>
              </w:rPr>
              <w:t>Ratio to Band D</w:t>
            </w:r>
          </w:p>
        </w:tc>
        <w:tc>
          <w:tcPr>
            <w:cnfStyle w:val="000010000000" w:firstRow="0" w:lastRow="0" w:firstColumn="0" w:lastColumn="0" w:oddVBand="1" w:evenVBand="0" w:oddHBand="0" w:evenHBand="0" w:firstRowFirstColumn="0" w:firstRowLastColumn="0" w:lastRowFirstColumn="0" w:lastRowLastColumn="0"/>
            <w:tcW w:w="3685" w:type="dxa"/>
            <w:gridSpan w:val="3"/>
            <w:shd w:val="clear" w:color="auto" w:fill="4BACC6" w:themeFill="accent5"/>
          </w:tcPr>
          <w:p w:rsidR="00F17C3C" w:rsidRPr="00172C29" w:rsidRDefault="00F17C3C" w:rsidP="004B68AE">
            <w:pPr>
              <w:pStyle w:val="BodyTextIndent"/>
              <w:tabs>
                <w:tab w:val="left" w:pos="1350"/>
              </w:tabs>
              <w:ind w:left="0"/>
              <w:jc w:val="center"/>
              <w:rPr>
                <w:color w:val="auto"/>
                <w:sz w:val="20"/>
                <w:szCs w:val="20"/>
              </w:rPr>
            </w:pPr>
            <w:r w:rsidRPr="00172C29">
              <w:rPr>
                <w:color w:val="auto"/>
                <w:sz w:val="20"/>
                <w:szCs w:val="20"/>
              </w:rPr>
              <w:t>Amount payable by all council tax payers</w:t>
            </w:r>
          </w:p>
        </w:tc>
        <w:tc>
          <w:tcPr>
            <w:tcW w:w="3852" w:type="dxa"/>
            <w:gridSpan w:val="3"/>
            <w:shd w:val="clear" w:color="auto" w:fill="4BACC6" w:themeFill="accent5"/>
          </w:tcPr>
          <w:p w:rsidR="00F17C3C" w:rsidRPr="00172C29" w:rsidRDefault="00F17C3C"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172C29">
              <w:rPr>
                <w:color w:val="auto"/>
                <w:sz w:val="20"/>
                <w:szCs w:val="20"/>
              </w:rPr>
              <w:t xml:space="preserve">Additional amount payable by council tax payers resident in the </w:t>
            </w:r>
            <w:proofErr w:type="spellStart"/>
            <w:r w:rsidRPr="00172C29">
              <w:rPr>
                <w:color w:val="auto"/>
                <w:sz w:val="20"/>
                <w:szCs w:val="20"/>
              </w:rPr>
              <w:t>Brixham</w:t>
            </w:r>
            <w:proofErr w:type="spellEnd"/>
            <w:r w:rsidRPr="00172C29">
              <w:rPr>
                <w:color w:val="auto"/>
                <w:sz w:val="20"/>
                <w:szCs w:val="20"/>
              </w:rPr>
              <w:t xml:space="preserve"> Town Council area</w:t>
            </w:r>
          </w:p>
        </w:tc>
      </w:tr>
      <w:tr w:rsidR="00F17C3C" w:rsidRPr="0005794A" w:rsidTr="00D85DF8">
        <w:trPr>
          <w:trHeight w:val="1235"/>
        </w:trPr>
        <w:tc>
          <w:tcPr>
            <w:cnfStyle w:val="000010000000" w:firstRow="0" w:lastRow="0" w:firstColumn="0" w:lastColumn="0" w:oddVBand="1" w:evenVBand="0" w:oddHBand="0" w:evenHBand="0" w:firstRowFirstColumn="0" w:firstRowLastColumn="0" w:lastRowFirstColumn="0" w:lastRowLastColumn="0"/>
            <w:tcW w:w="1101" w:type="dxa"/>
            <w:vMerge/>
            <w:shd w:val="clear" w:color="auto" w:fill="4BACC6" w:themeFill="accent5"/>
          </w:tcPr>
          <w:p w:rsidR="00F17C3C" w:rsidRPr="00172C29" w:rsidRDefault="00F17C3C" w:rsidP="004B68AE">
            <w:pPr>
              <w:pStyle w:val="BodyTextIndent"/>
              <w:tabs>
                <w:tab w:val="left" w:pos="1350"/>
              </w:tabs>
              <w:ind w:left="0"/>
              <w:rPr>
                <w:b/>
                <w:color w:val="auto"/>
                <w:sz w:val="20"/>
                <w:szCs w:val="20"/>
              </w:rPr>
            </w:pPr>
          </w:p>
        </w:tc>
        <w:tc>
          <w:tcPr>
            <w:tcW w:w="992" w:type="dxa"/>
            <w:vMerge/>
            <w:shd w:val="clear" w:color="auto" w:fill="4BACC6" w:themeFill="accent5"/>
          </w:tcPr>
          <w:p w:rsidR="00F17C3C" w:rsidRPr="00172C29" w:rsidRDefault="00F17C3C" w:rsidP="004B68AE">
            <w:pPr>
              <w:pStyle w:val="BodyTextIndent"/>
              <w:tabs>
                <w:tab w:val="left" w:pos="1350"/>
              </w:tabs>
              <w:ind w:left="0"/>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59" w:type="dxa"/>
            <w:shd w:val="clear" w:color="auto" w:fill="4BACC6" w:themeFill="accent5"/>
          </w:tcPr>
          <w:p w:rsidR="00F17C3C" w:rsidRPr="00172C29" w:rsidRDefault="00F17C3C" w:rsidP="004B68AE">
            <w:pPr>
              <w:pStyle w:val="BodyTextIndent"/>
              <w:tabs>
                <w:tab w:val="left" w:pos="1350"/>
              </w:tabs>
              <w:ind w:left="0"/>
              <w:jc w:val="center"/>
              <w:rPr>
                <w:color w:val="auto"/>
                <w:sz w:val="20"/>
                <w:szCs w:val="20"/>
              </w:rPr>
            </w:pPr>
            <w:r w:rsidRPr="00172C29">
              <w:rPr>
                <w:color w:val="auto"/>
                <w:sz w:val="20"/>
                <w:szCs w:val="20"/>
              </w:rPr>
              <w:t>No Dwellings in valuation list</w:t>
            </w:r>
          </w:p>
        </w:tc>
        <w:tc>
          <w:tcPr>
            <w:tcW w:w="1254" w:type="dxa"/>
            <w:shd w:val="clear" w:color="auto" w:fill="4BACC6" w:themeFill="accent5"/>
          </w:tcPr>
          <w:p w:rsidR="00F17C3C" w:rsidRPr="00172C29" w:rsidRDefault="00F17C3C"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72C29">
              <w:rPr>
                <w:color w:val="auto"/>
                <w:sz w:val="20"/>
                <w:szCs w:val="20"/>
              </w:rPr>
              <w:t>No of Dwellings Band D Equivalent</w:t>
            </w:r>
          </w:p>
        </w:tc>
        <w:tc>
          <w:tcPr>
            <w:cnfStyle w:val="000010000000" w:firstRow="0" w:lastRow="0" w:firstColumn="0" w:lastColumn="0" w:oddVBand="1" w:evenVBand="0" w:oddHBand="0" w:evenHBand="0" w:firstRowFirstColumn="0" w:firstRowLastColumn="0" w:lastRowFirstColumn="0" w:lastRowLastColumn="0"/>
            <w:tcW w:w="1272" w:type="dxa"/>
            <w:shd w:val="clear" w:color="auto" w:fill="4BACC6" w:themeFill="accent5"/>
          </w:tcPr>
          <w:p w:rsidR="00F17C3C" w:rsidRPr="00172C29" w:rsidRDefault="00F17C3C" w:rsidP="004B68AE">
            <w:pPr>
              <w:pStyle w:val="BodyTextIndent"/>
              <w:tabs>
                <w:tab w:val="left" w:pos="1350"/>
              </w:tabs>
              <w:ind w:left="0"/>
              <w:jc w:val="center"/>
              <w:rPr>
                <w:color w:val="auto"/>
                <w:sz w:val="20"/>
                <w:szCs w:val="20"/>
              </w:rPr>
            </w:pPr>
            <w:r w:rsidRPr="00172C29">
              <w:rPr>
                <w:color w:val="auto"/>
                <w:sz w:val="20"/>
                <w:szCs w:val="20"/>
              </w:rPr>
              <w:t>Average Council Tax Per Dwelling £</w:t>
            </w:r>
          </w:p>
        </w:tc>
        <w:tc>
          <w:tcPr>
            <w:tcW w:w="1159" w:type="dxa"/>
            <w:shd w:val="clear" w:color="auto" w:fill="4BACC6" w:themeFill="accent5"/>
          </w:tcPr>
          <w:p w:rsidR="00F17C3C" w:rsidRPr="00172C29" w:rsidRDefault="00F17C3C"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72C29">
              <w:rPr>
                <w:color w:val="auto"/>
                <w:sz w:val="20"/>
                <w:szCs w:val="20"/>
              </w:rPr>
              <w:t>No Dwellings in valuation list</w:t>
            </w:r>
          </w:p>
        </w:tc>
        <w:tc>
          <w:tcPr>
            <w:cnfStyle w:val="000010000000" w:firstRow="0" w:lastRow="0" w:firstColumn="0" w:lastColumn="0" w:oddVBand="1" w:evenVBand="0" w:oddHBand="0" w:evenHBand="0" w:firstRowFirstColumn="0" w:firstRowLastColumn="0" w:lastRowFirstColumn="0" w:lastRowLastColumn="0"/>
            <w:tcW w:w="1244" w:type="dxa"/>
            <w:shd w:val="clear" w:color="auto" w:fill="4BACC6" w:themeFill="accent5"/>
          </w:tcPr>
          <w:p w:rsidR="00F17C3C" w:rsidRPr="00172C29" w:rsidRDefault="00F17C3C" w:rsidP="004B68AE">
            <w:pPr>
              <w:pStyle w:val="BodyTextIndent"/>
              <w:tabs>
                <w:tab w:val="left" w:pos="1350"/>
              </w:tabs>
              <w:ind w:left="0"/>
              <w:jc w:val="center"/>
              <w:rPr>
                <w:color w:val="auto"/>
                <w:sz w:val="20"/>
                <w:szCs w:val="20"/>
              </w:rPr>
            </w:pPr>
            <w:r w:rsidRPr="00172C29">
              <w:rPr>
                <w:color w:val="auto"/>
                <w:sz w:val="20"/>
                <w:szCs w:val="20"/>
              </w:rPr>
              <w:t>No of Dwellings Band D Equivalent</w:t>
            </w:r>
          </w:p>
        </w:tc>
        <w:tc>
          <w:tcPr>
            <w:tcW w:w="1449" w:type="dxa"/>
            <w:shd w:val="clear" w:color="auto" w:fill="4BACC6" w:themeFill="accent5"/>
          </w:tcPr>
          <w:p w:rsidR="00F17C3C" w:rsidRPr="00172C29" w:rsidRDefault="00F17C3C"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72C29">
              <w:rPr>
                <w:color w:val="auto"/>
                <w:sz w:val="20"/>
                <w:szCs w:val="20"/>
              </w:rPr>
              <w:t>Average Council Tax Per Dwelling £</w:t>
            </w:r>
          </w:p>
        </w:tc>
      </w:tr>
      <w:tr w:rsidR="00F17C3C" w:rsidRPr="0005794A" w:rsidTr="00D85DF8">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101" w:type="dxa"/>
          </w:tcPr>
          <w:p w:rsidR="00F17C3C" w:rsidRPr="005545E9" w:rsidRDefault="00F17C3C" w:rsidP="004B68AE">
            <w:pPr>
              <w:pStyle w:val="BodyTextIndent"/>
              <w:tabs>
                <w:tab w:val="left" w:pos="1350"/>
              </w:tabs>
              <w:ind w:left="0"/>
              <w:jc w:val="center"/>
              <w:rPr>
                <w:rFonts w:cs="Arial"/>
                <w:color w:val="auto"/>
                <w:sz w:val="20"/>
                <w:szCs w:val="20"/>
              </w:rPr>
            </w:pPr>
            <w:r w:rsidRPr="005545E9">
              <w:rPr>
                <w:rFonts w:cs="Arial"/>
                <w:color w:val="auto"/>
                <w:sz w:val="20"/>
                <w:szCs w:val="20"/>
              </w:rPr>
              <w:t>A</w:t>
            </w:r>
          </w:p>
        </w:tc>
        <w:tc>
          <w:tcPr>
            <w:tcW w:w="992" w:type="dxa"/>
          </w:tcPr>
          <w:p w:rsidR="00F17C3C" w:rsidRPr="005545E9" w:rsidRDefault="00C969C6"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5545E9">
              <w:rPr>
                <w:rFonts w:cs="Arial"/>
                <w:color w:val="auto"/>
                <w:sz w:val="20"/>
                <w:szCs w:val="20"/>
              </w:rPr>
              <w:t>6/9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5545E9" w:rsidRDefault="005545E9" w:rsidP="004B68AE">
            <w:pPr>
              <w:pStyle w:val="BodyTextIndent"/>
              <w:tabs>
                <w:tab w:val="left" w:pos="1350"/>
              </w:tabs>
              <w:ind w:left="0"/>
              <w:jc w:val="right"/>
              <w:rPr>
                <w:rFonts w:cs="Arial"/>
                <w:color w:val="auto"/>
                <w:sz w:val="20"/>
                <w:szCs w:val="20"/>
              </w:rPr>
            </w:pPr>
            <w:r w:rsidRPr="005545E9">
              <w:rPr>
                <w:rFonts w:cs="Arial"/>
                <w:color w:val="auto"/>
                <w:sz w:val="20"/>
                <w:szCs w:val="20"/>
              </w:rPr>
              <w:t>13,294</w:t>
            </w:r>
          </w:p>
        </w:tc>
        <w:tc>
          <w:tcPr>
            <w:tcW w:w="1254" w:type="dxa"/>
          </w:tcPr>
          <w:p w:rsidR="00F17C3C" w:rsidRPr="005545E9" w:rsidRDefault="007326B2"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5545E9">
              <w:rPr>
                <w:rFonts w:cs="Arial"/>
                <w:b/>
                <w:color w:val="auto"/>
                <w:sz w:val="20"/>
                <w:szCs w:val="20"/>
              </w:rPr>
              <w:t>5,</w:t>
            </w:r>
            <w:r w:rsidR="005545E9" w:rsidRPr="005545E9">
              <w:rPr>
                <w:rFonts w:cs="Arial"/>
                <w:b/>
                <w:color w:val="auto"/>
                <w:sz w:val="20"/>
                <w:szCs w:val="20"/>
              </w:rPr>
              <w:t>133</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C969C6" w:rsidP="005545E9">
            <w:pPr>
              <w:autoSpaceDE w:val="0"/>
              <w:autoSpaceDN w:val="0"/>
              <w:adjustRightInd w:val="0"/>
              <w:spacing w:after="0" w:line="240" w:lineRule="auto"/>
              <w:jc w:val="right"/>
              <w:rPr>
                <w:rFonts w:cs="Arial"/>
                <w:bCs/>
                <w:color w:val="auto"/>
                <w:sz w:val="20"/>
                <w:szCs w:val="20"/>
                <w:lang w:eastAsia="en-GB"/>
              </w:rPr>
            </w:pPr>
            <w:r w:rsidRPr="005545E9">
              <w:rPr>
                <w:rFonts w:cs="Arial"/>
                <w:bCs/>
                <w:color w:val="auto"/>
                <w:sz w:val="20"/>
                <w:szCs w:val="20"/>
                <w:lang w:eastAsia="en-GB"/>
              </w:rPr>
              <w:t>1,</w:t>
            </w:r>
            <w:r w:rsidR="005545E9" w:rsidRPr="005545E9">
              <w:rPr>
                <w:rFonts w:cs="Arial"/>
                <w:bCs/>
                <w:color w:val="auto"/>
                <w:sz w:val="20"/>
                <w:szCs w:val="20"/>
                <w:lang w:eastAsia="en-GB"/>
              </w:rPr>
              <w:t>089.85</w:t>
            </w:r>
          </w:p>
        </w:tc>
        <w:tc>
          <w:tcPr>
            <w:tcW w:w="1159" w:type="dxa"/>
          </w:tcPr>
          <w:p w:rsidR="00F17C3C" w:rsidRPr="00F40A01" w:rsidRDefault="00C969C6" w:rsidP="005545E9">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40A01">
              <w:rPr>
                <w:rFonts w:cs="Arial"/>
                <w:color w:val="auto"/>
                <w:sz w:val="20"/>
                <w:szCs w:val="20"/>
              </w:rPr>
              <w:t>1,4</w:t>
            </w:r>
            <w:r w:rsidR="005545E9" w:rsidRPr="00F40A01">
              <w:rPr>
                <w:rFonts w:cs="Arial"/>
                <w:color w:val="auto"/>
                <w:sz w:val="20"/>
                <w:szCs w:val="20"/>
              </w:rPr>
              <w:t>0</w:t>
            </w:r>
            <w:r w:rsidR="007326B2" w:rsidRPr="00F40A01">
              <w:rPr>
                <w:rFonts w:cs="Arial"/>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C969C6" w:rsidP="005545E9">
            <w:pPr>
              <w:pStyle w:val="BodyTextIndent"/>
              <w:tabs>
                <w:tab w:val="left" w:pos="1350"/>
              </w:tabs>
              <w:ind w:left="0"/>
              <w:jc w:val="right"/>
              <w:rPr>
                <w:rFonts w:cs="Arial"/>
                <w:b/>
                <w:color w:val="auto"/>
                <w:sz w:val="20"/>
                <w:szCs w:val="20"/>
              </w:rPr>
            </w:pPr>
            <w:r w:rsidRPr="00F40A01">
              <w:rPr>
                <w:rFonts w:cs="Arial"/>
                <w:b/>
                <w:color w:val="auto"/>
                <w:sz w:val="20"/>
                <w:szCs w:val="20"/>
              </w:rPr>
              <w:t>5</w:t>
            </w:r>
            <w:r w:rsidR="005545E9" w:rsidRPr="00F40A01">
              <w:rPr>
                <w:rFonts w:cs="Arial"/>
                <w:b/>
                <w:color w:val="auto"/>
                <w:sz w:val="20"/>
                <w:szCs w:val="20"/>
              </w:rPr>
              <w:t>55</w:t>
            </w:r>
          </w:p>
        </w:tc>
        <w:tc>
          <w:tcPr>
            <w:tcW w:w="1449" w:type="dxa"/>
          </w:tcPr>
          <w:p w:rsidR="00F17C3C" w:rsidRPr="00F40A01" w:rsidRDefault="005545E9" w:rsidP="008E13E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F40A01">
              <w:rPr>
                <w:rFonts w:cs="Arial"/>
                <w:color w:val="auto"/>
                <w:sz w:val="20"/>
                <w:szCs w:val="20"/>
                <w:lang w:eastAsia="en-GB"/>
              </w:rPr>
              <w:t>28.69</w:t>
            </w:r>
          </w:p>
        </w:tc>
      </w:tr>
      <w:tr w:rsidR="00F17C3C" w:rsidRPr="0005794A" w:rsidTr="00D85DF8">
        <w:trPr>
          <w:trHeight w:val="279"/>
        </w:trPr>
        <w:tc>
          <w:tcPr>
            <w:cnfStyle w:val="000010000000" w:firstRow="0" w:lastRow="0" w:firstColumn="0" w:lastColumn="0" w:oddVBand="1" w:evenVBand="0" w:oddHBand="0" w:evenHBand="0" w:firstRowFirstColumn="0" w:firstRowLastColumn="0" w:lastRowFirstColumn="0" w:lastRowLastColumn="0"/>
            <w:tcW w:w="1101" w:type="dxa"/>
          </w:tcPr>
          <w:p w:rsidR="00F17C3C" w:rsidRPr="005545E9" w:rsidRDefault="00F17C3C" w:rsidP="004B68AE">
            <w:pPr>
              <w:pStyle w:val="BodyTextIndent"/>
              <w:tabs>
                <w:tab w:val="left" w:pos="1350"/>
              </w:tabs>
              <w:ind w:left="0"/>
              <w:jc w:val="center"/>
              <w:rPr>
                <w:rFonts w:cs="Arial"/>
                <w:color w:val="auto"/>
                <w:sz w:val="20"/>
                <w:szCs w:val="20"/>
              </w:rPr>
            </w:pPr>
            <w:r w:rsidRPr="005545E9">
              <w:rPr>
                <w:rFonts w:cs="Arial"/>
                <w:color w:val="auto"/>
                <w:sz w:val="20"/>
                <w:szCs w:val="20"/>
              </w:rPr>
              <w:t>B</w:t>
            </w:r>
          </w:p>
        </w:tc>
        <w:tc>
          <w:tcPr>
            <w:tcW w:w="992" w:type="dxa"/>
          </w:tcPr>
          <w:p w:rsidR="00F17C3C" w:rsidRPr="005545E9" w:rsidRDefault="00C969C6"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5545E9">
              <w:rPr>
                <w:rFonts w:cs="Arial"/>
                <w:color w:val="auto"/>
                <w:sz w:val="20"/>
                <w:szCs w:val="20"/>
              </w:rPr>
              <w:t>7/9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5545E9" w:rsidRDefault="005545E9" w:rsidP="004B68AE">
            <w:pPr>
              <w:pStyle w:val="BodyTextIndent"/>
              <w:tabs>
                <w:tab w:val="left" w:pos="1350"/>
              </w:tabs>
              <w:ind w:left="0"/>
              <w:jc w:val="right"/>
              <w:rPr>
                <w:rFonts w:cs="Arial"/>
                <w:color w:val="auto"/>
                <w:sz w:val="20"/>
                <w:szCs w:val="20"/>
              </w:rPr>
            </w:pPr>
            <w:r w:rsidRPr="005545E9">
              <w:rPr>
                <w:rFonts w:cs="Arial"/>
                <w:color w:val="auto"/>
                <w:sz w:val="20"/>
                <w:szCs w:val="20"/>
              </w:rPr>
              <w:t>17,354</w:t>
            </w:r>
          </w:p>
        </w:tc>
        <w:tc>
          <w:tcPr>
            <w:tcW w:w="1254" w:type="dxa"/>
          </w:tcPr>
          <w:p w:rsidR="00F17C3C" w:rsidRPr="005545E9" w:rsidRDefault="00C969C6" w:rsidP="005545E9">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5545E9">
              <w:rPr>
                <w:rFonts w:cs="Arial"/>
                <w:b/>
                <w:color w:val="auto"/>
                <w:sz w:val="20"/>
                <w:szCs w:val="20"/>
              </w:rPr>
              <w:t>9,</w:t>
            </w:r>
            <w:r w:rsidR="005545E9" w:rsidRPr="005545E9">
              <w:rPr>
                <w:rFonts w:cs="Arial"/>
                <w:b/>
                <w:color w:val="auto"/>
                <w:sz w:val="20"/>
                <w:szCs w:val="20"/>
              </w:rPr>
              <w:t>722</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C969C6" w:rsidP="005545E9">
            <w:pPr>
              <w:autoSpaceDE w:val="0"/>
              <w:autoSpaceDN w:val="0"/>
              <w:adjustRightInd w:val="0"/>
              <w:spacing w:after="0" w:line="240" w:lineRule="auto"/>
              <w:jc w:val="right"/>
              <w:rPr>
                <w:rFonts w:cs="Arial"/>
                <w:bCs/>
                <w:color w:val="auto"/>
                <w:sz w:val="20"/>
                <w:szCs w:val="20"/>
                <w:lang w:eastAsia="en-GB"/>
              </w:rPr>
            </w:pPr>
            <w:r w:rsidRPr="005545E9">
              <w:rPr>
                <w:rFonts w:cs="Arial"/>
                <w:bCs/>
                <w:color w:val="auto"/>
                <w:sz w:val="20"/>
                <w:szCs w:val="20"/>
                <w:lang w:eastAsia="en-GB"/>
              </w:rPr>
              <w:t>1,</w:t>
            </w:r>
            <w:r w:rsidR="005545E9" w:rsidRPr="005545E9">
              <w:rPr>
                <w:rFonts w:cs="Arial"/>
                <w:bCs/>
                <w:color w:val="auto"/>
                <w:sz w:val="20"/>
                <w:szCs w:val="20"/>
                <w:lang w:eastAsia="en-GB"/>
              </w:rPr>
              <w:t>271.49</w:t>
            </w:r>
          </w:p>
        </w:tc>
        <w:tc>
          <w:tcPr>
            <w:tcW w:w="1159" w:type="dxa"/>
          </w:tcPr>
          <w:p w:rsidR="00F17C3C" w:rsidRPr="00F40A01" w:rsidRDefault="00C969C6" w:rsidP="005545E9">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40A01">
              <w:rPr>
                <w:rFonts w:cs="Arial"/>
                <w:color w:val="auto"/>
                <w:sz w:val="20"/>
                <w:szCs w:val="20"/>
              </w:rPr>
              <w:t>2,2</w:t>
            </w:r>
            <w:r w:rsidR="005545E9" w:rsidRPr="00F40A01">
              <w:rPr>
                <w:rFonts w:cs="Arial"/>
                <w:color w:val="auto"/>
                <w:sz w:val="20"/>
                <w:szCs w:val="20"/>
              </w:rPr>
              <w:t>13</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C969C6" w:rsidP="005545E9">
            <w:pPr>
              <w:pStyle w:val="BodyTextIndent"/>
              <w:tabs>
                <w:tab w:val="left" w:pos="1350"/>
              </w:tabs>
              <w:ind w:left="0"/>
              <w:jc w:val="right"/>
              <w:rPr>
                <w:rFonts w:cs="Arial"/>
                <w:b/>
                <w:color w:val="auto"/>
                <w:sz w:val="20"/>
                <w:szCs w:val="20"/>
              </w:rPr>
            </w:pPr>
            <w:r w:rsidRPr="00F40A01">
              <w:rPr>
                <w:rFonts w:cs="Arial"/>
                <w:b/>
                <w:color w:val="auto"/>
                <w:sz w:val="20"/>
                <w:szCs w:val="20"/>
              </w:rPr>
              <w:t>1,2</w:t>
            </w:r>
            <w:r w:rsidR="005545E9" w:rsidRPr="00F40A01">
              <w:rPr>
                <w:rFonts w:cs="Arial"/>
                <w:b/>
                <w:color w:val="auto"/>
                <w:sz w:val="20"/>
                <w:szCs w:val="20"/>
              </w:rPr>
              <w:t>47</w:t>
            </w:r>
          </w:p>
        </w:tc>
        <w:tc>
          <w:tcPr>
            <w:tcW w:w="1449" w:type="dxa"/>
          </w:tcPr>
          <w:p w:rsidR="00F17C3C" w:rsidRPr="00F40A01" w:rsidRDefault="00C969C6" w:rsidP="004B68AE">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F40A01">
              <w:rPr>
                <w:rFonts w:cs="Arial"/>
                <w:color w:val="auto"/>
                <w:sz w:val="20"/>
                <w:szCs w:val="20"/>
                <w:lang w:eastAsia="en-GB"/>
              </w:rPr>
              <w:t>3</w:t>
            </w:r>
            <w:r w:rsidR="005545E9" w:rsidRPr="00F40A01">
              <w:rPr>
                <w:rFonts w:cs="Arial"/>
                <w:color w:val="auto"/>
                <w:sz w:val="20"/>
                <w:szCs w:val="20"/>
                <w:lang w:eastAsia="en-GB"/>
              </w:rPr>
              <w:t>3.48</w:t>
            </w:r>
          </w:p>
        </w:tc>
      </w:tr>
      <w:tr w:rsidR="00F17C3C" w:rsidRPr="0005794A" w:rsidTr="00D85DF8">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5545E9" w:rsidRDefault="00F17C3C" w:rsidP="004B68AE">
            <w:pPr>
              <w:pStyle w:val="BodyTextIndent"/>
              <w:tabs>
                <w:tab w:val="left" w:pos="1350"/>
              </w:tabs>
              <w:ind w:left="0"/>
              <w:jc w:val="center"/>
              <w:rPr>
                <w:rFonts w:cs="Arial"/>
                <w:color w:val="auto"/>
                <w:sz w:val="20"/>
                <w:szCs w:val="20"/>
              </w:rPr>
            </w:pPr>
            <w:r w:rsidRPr="005545E9">
              <w:rPr>
                <w:rFonts w:cs="Arial"/>
                <w:color w:val="auto"/>
                <w:sz w:val="20"/>
                <w:szCs w:val="20"/>
              </w:rPr>
              <w:t>C</w:t>
            </w:r>
          </w:p>
        </w:tc>
        <w:tc>
          <w:tcPr>
            <w:tcW w:w="992" w:type="dxa"/>
          </w:tcPr>
          <w:p w:rsidR="00F17C3C" w:rsidRPr="005545E9" w:rsidRDefault="00C969C6"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5545E9">
              <w:rPr>
                <w:rFonts w:cs="Arial"/>
                <w:color w:val="auto"/>
                <w:sz w:val="20"/>
                <w:szCs w:val="20"/>
              </w:rPr>
              <w:t>8/9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5545E9" w:rsidRDefault="00C969C6" w:rsidP="005545E9">
            <w:pPr>
              <w:pStyle w:val="BodyTextIndent"/>
              <w:tabs>
                <w:tab w:val="left" w:pos="1350"/>
              </w:tabs>
              <w:ind w:left="0"/>
              <w:jc w:val="right"/>
              <w:rPr>
                <w:rFonts w:cs="Arial"/>
                <w:color w:val="auto"/>
                <w:sz w:val="20"/>
                <w:szCs w:val="20"/>
              </w:rPr>
            </w:pPr>
            <w:r w:rsidRPr="005545E9">
              <w:rPr>
                <w:rFonts w:cs="Arial"/>
                <w:color w:val="auto"/>
                <w:sz w:val="20"/>
                <w:szCs w:val="20"/>
              </w:rPr>
              <w:t>16,</w:t>
            </w:r>
            <w:r w:rsidR="005545E9" w:rsidRPr="005545E9">
              <w:rPr>
                <w:rFonts w:cs="Arial"/>
                <w:color w:val="auto"/>
                <w:sz w:val="20"/>
                <w:szCs w:val="20"/>
              </w:rPr>
              <w:t>314</w:t>
            </w:r>
          </w:p>
        </w:tc>
        <w:tc>
          <w:tcPr>
            <w:tcW w:w="1254" w:type="dxa"/>
          </w:tcPr>
          <w:p w:rsidR="00F17C3C" w:rsidRPr="005545E9" w:rsidRDefault="00C969C6"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5545E9">
              <w:rPr>
                <w:rFonts w:cs="Arial"/>
                <w:b/>
                <w:color w:val="auto"/>
                <w:sz w:val="20"/>
                <w:szCs w:val="20"/>
              </w:rPr>
              <w:t>11,</w:t>
            </w:r>
            <w:r w:rsidR="005545E9" w:rsidRPr="005545E9">
              <w:rPr>
                <w:rFonts w:cs="Arial"/>
                <w:b/>
                <w:color w:val="auto"/>
                <w:sz w:val="20"/>
                <w:szCs w:val="20"/>
              </w:rPr>
              <w:t>633</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C969C6" w:rsidP="005545E9">
            <w:pPr>
              <w:autoSpaceDE w:val="0"/>
              <w:autoSpaceDN w:val="0"/>
              <w:adjustRightInd w:val="0"/>
              <w:spacing w:after="0" w:line="240" w:lineRule="auto"/>
              <w:jc w:val="right"/>
              <w:rPr>
                <w:rFonts w:cs="Arial"/>
                <w:bCs/>
                <w:color w:val="auto"/>
                <w:sz w:val="20"/>
                <w:szCs w:val="20"/>
                <w:lang w:eastAsia="en-GB"/>
              </w:rPr>
            </w:pPr>
            <w:r w:rsidRPr="005545E9">
              <w:rPr>
                <w:rFonts w:cs="Arial"/>
                <w:bCs/>
                <w:color w:val="auto"/>
                <w:sz w:val="20"/>
                <w:szCs w:val="20"/>
                <w:lang w:eastAsia="en-GB"/>
              </w:rPr>
              <w:t>1,</w:t>
            </w:r>
            <w:r w:rsidR="005545E9" w:rsidRPr="005545E9">
              <w:rPr>
                <w:rFonts w:cs="Arial"/>
                <w:bCs/>
                <w:color w:val="auto"/>
                <w:sz w:val="20"/>
                <w:szCs w:val="20"/>
                <w:lang w:eastAsia="en-GB"/>
              </w:rPr>
              <w:t>453.14</w:t>
            </w:r>
          </w:p>
        </w:tc>
        <w:tc>
          <w:tcPr>
            <w:tcW w:w="1159" w:type="dxa"/>
          </w:tcPr>
          <w:p w:rsidR="00F17C3C" w:rsidRPr="00F40A01" w:rsidRDefault="00C969C6" w:rsidP="005545E9">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40A01">
              <w:rPr>
                <w:rFonts w:cs="Arial"/>
                <w:color w:val="auto"/>
                <w:sz w:val="20"/>
                <w:szCs w:val="20"/>
              </w:rPr>
              <w:t>2,4</w:t>
            </w:r>
            <w:r w:rsidR="005545E9" w:rsidRPr="00F40A01">
              <w:rPr>
                <w:rFonts w:cs="Arial"/>
                <w:color w:val="auto"/>
                <w:sz w:val="20"/>
                <w:szCs w:val="20"/>
              </w:rPr>
              <w:t>30</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C969C6" w:rsidP="005545E9">
            <w:pPr>
              <w:pStyle w:val="BodyTextIndent"/>
              <w:tabs>
                <w:tab w:val="left" w:pos="1350"/>
              </w:tabs>
              <w:ind w:left="0"/>
              <w:jc w:val="right"/>
              <w:rPr>
                <w:rFonts w:cs="Arial"/>
                <w:b/>
                <w:color w:val="auto"/>
                <w:sz w:val="20"/>
                <w:szCs w:val="20"/>
              </w:rPr>
            </w:pPr>
            <w:r w:rsidRPr="00F40A01">
              <w:rPr>
                <w:rFonts w:cs="Arial"/>
                <w:b/>
                <w:color w:val="auto"/>
                <w:sz w:val="20"/>
                <w:szCs w:val="20"/>
              </w:rPr>
              <w:t>1,</w:t>
            </w:r>
            <w:r w:rsidR="007326B2" w:rsidRPr="00F40A01">
              <w:rPr>
                <w:rFonts w:cs="Arial"/>
                <w:b/>
                <w:color w:val="auto"/>
                <w:sz w:val="20"/>
                <w:szCs w:val="20"/>
              </w:rPr>
              <w:t>7</w:t>
            </w:r>
            <w:r w:rsidR="005545E9" w:rsidRPr="00F40A01">
              <w:rPr>
                <w:rFonts w:cs="Arial"/>
                <w:b/>
                <w:color w:val="auto"/>
                <w:sz w:val="20"/>
                <w:szCs w:val="20"/>
              </w:rPr>
              <w:t>45</w:t>
            </w:r>
          </w:p>
        </w:tc>
        <w:tc>
          <w:tcPr>
            <w:tcW w:w="1449" w:type="dxa"/>
          </w:tcPr>
          <w:p w:rsidR="00F17C3C" w:rsidRPr="00F40A01" w:rsidRDefault="00C969C6" w:rsidP="004B68AE">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F40A01">
              <w:rPr>
                <w:rFonts w:cs="Arial"/>
                <w:color w:val="auto"/>
                <w:sz w:val="20"/>
                <w:szCs w:val="20"/>
                <w:lang w:eastAsia="en-GB"/>
              </w:rPr>
              <w:t>3</w:t>
            </w:r>
            <w:r w:rsidR="005545E9" w:rsidRPr="00F40A01">
              <w:rPr>
                <w:rFonts w:cs="Arial"/>
                <w:color w:val="auto"/>
                <w:sz w:val="20"/>
                <w:szCs w:val="20"/>
                <w:lang w:eastAsia="en-GB"/>
              </w:rPr>
              <w:t>8.26</w:t>
            </w:r>
          </w:p>
        </w:tc>
      </w:tr>
      <w:tr w:rsidR="00F17C3C" w:rsidRPr="0005794A" w:rsidTr="00D85DF8">
        <w:trPr>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5545E9" w:rsidRDefault="00F17C3C" w:rsidP="004B68AE">
            <w:pPr>
              <w:pStyle w:val="BodyTextIndent"/>
              <w:tabs>
                <w:tab w:val="left" w:pos="1350"/>
              </w:tabs>
              <w:ind w:left="0"/>
              <w:jc w:val="center"/>
              <w:rPr>
                <w:rFonts w:cs="Arial"/>
                <w:color w:val="auto"/>
                <w:sz w:val="20"/>
                <w:szCs w:val="20"/>
              </w:rPr>
            </w:pPr>
            <w:r w:rsidRPr="005545E9">
              <w:rPr>
                <w:rFonts w:cs="Arial"/>
                <w:color w:val="auto"/>
                <w:sz w:val="20"/>
                <w:szCs w:val="20"/>
              </w:rPr>
              <w:t>D</w:t>
            </w:r>
          </w:p>
        </w:tc>
        <w:tc>
          <w:tcPr>
            <w:tcW w:w="992" w:type="dxa"/>
          </w:tcPr>
          <w:p w:rsidR="00F17C3C" w:rsidRPr="005545E9" w:rsidRDefault="00C969C6"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5545E9">
              <w:rPr>
                <w:rFonts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5545E9" w:rsidRDefault="007326B2" w:rsidP="005545E9">
            <w:pPr>
              <w:pStyle w:val="BodyTextIndent"/>
              <w:tabs>
                <w:tab w:val="left" w:pos="1350"/>
              </w:tabs>
              <w:ind w:left="0"/>
              <w:jc w:val="right"/>
              <w:rPr>
                <w:rFonts w:cs="Arial"/>
                <w:color w:val="auto"/>
                <w:sz w:val="20"/>
                <w:szCs w:val="20"/>
              </w:rPr>
            </w:pPr>
            <w:r w:rsidRPr="005545E9">
              <w:rPr>
                <w:rFonts w:cs="Arial"/>
                <w:color w:val="auto"/>
                <w:sz w:val="20"/>
                <w:szCs w:val="20"/>
              </w:rPr>
              <w:t>10,</w:t>
            </w:r>
            <w:r w:rsidR="005545E9" w:rsidRPr="005545E9">
              <w:rPr>
                <w:rFonts w:cs="Arial"/>
                <w:color w:val="auto"/>
                <w:sz w:val="20"/>
                <w:szCs w:val="20"/>
              </w:rPr>
              <w:t>055</w:t>
            </w:r>
          </w:p>
        </w:tc>
        <w:tc>
          <w:tcPr>
            <w:tcW w:w="1254" w:type="dxa"/>
          </w:tcPr>
          <w:p w:rsidR="00F17C3C" w:rsidRPr="005545E9" w:rsidRDefault="00C969C6" w:rsidP="005545E9">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5545E9">
              <w:rPr>
                <w:rFonts w:cs="Arial"/>
                <w:b/>
                <w:color w:val="auto"/>
                <w:sz w:val="20"/>
                <w:szCs w:val="20"/>
              </w:rPr>
              <w:t>8,</w:t>
            </w:r>
            <w:r w:rsidR="005545E9" w:rsidRPr="005545E9">
              <w:rPr>
                <w:rFonts w:cs="Arial"/>
                <w:b/>
                <w:color w:val="auto"/>
                <w:sz w:val="20"/>
                <w:szCs w:val="20"/>
              </w:rPr>
              <w:t>757</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C969C6" w:rsidP="005545E9">
            <w:pPr>
              <w:autoSpaceDE w:val="0"/>
              <w:autoSpaceDN w:val="0"/>
              <w:adjustRightInd w:val="0"/>
              <w:spacing w:after="0" w:line="240" w:lineRule="auto"/>
              <w:jc w:val="right"/>
              <w:rPr>
                <w:rFonts w:cs="Arial"/>
                <w:bCs/>
                <w:color w:val="auto"/>
                <w:sz w:val="20"/>
                <w:szCs w:val="20"/>
                <w:lang w:eastAsia="en-GB"/>
              </w:rPr>
            </w:pPr>
            <w:r w:rsidRPr="005545E9">
              <w:rPr>
                <w:rFonts w:cs="Arial"/>
                <w:bCs/>
                <w:color w:val="auto"/>
                <w:sz w:val="20"/>
                <w:szCs w:val="20"/>
                <w:lang w:eastAsia="en-GB"/>
              </w:rPr>
              <w:t>1,</w:t>
            </w:r>
            <w:r w:rsidR="005545E9" w:rsidRPr="005545E9">
              <w:rPr>
                <w:rFonts w:cs="Arial"/>
                <w:bCs/>
                <w:color w:val="auto"/>
                <w:sz w:val="20"/>
                <w:szCs w:val="20"/>
                <w:lang w:eastAsia="en-GB"/>
              </w:rPr>
              <w:t>634.78</w:t>
            </w:r>
          </w:p>
        </w:tc>
        <w:tc>
          <w:tcPr>
            <w:tcW w:w="1159" w:type="dxa"/>
          </w:tcPr>
          <w:p w:rsidR="00F17C3C" w:rsidRPr="00F40A01" w:rsidRDefault="00C969C6" w:rsidP="005545E9">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40A01">
              <w:rPr>
                <w:rFonts w:cs="Arial"/>
                <w:color w:val="auto"/>
                <w:sz w:val="20"/>
                <w:szCs w:val="20"/>
              </w:rPr>
              <w:t>1,5</w:t>
            </w:r>
            <w:r w:rsidR="005545E9" w:rsidRPr="00F40A01">
              <w:rPr>
                <w:rFonts w:cs="Arial"/>
                <w:color w:val="auto"/>
                <w:sz w:val="20"/>
                <w:szCs w:val="20"/>
              </w:rPr>
              <w:t>3</w:t>
            </w:r>
            <w:r w:rsidR="007326B2" w:rsidRPr="00F40A01">
              <w:rPr>
                <w:rFonts w:cs="Arial"/>
                <w:color w:val="auto"/>
                <w:sz w:val="20"/>
                <w:szCs w:val="20"/>
              </w:rPr>
              <w:t>1</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C969C6" w:rsidP="005545E9">
            <w:pPr>
              <w:pStyle w:val="BodyTextIndent"/>
              <w:tabs>
                <w:tab w:val="left" w:pos="1350"/>
              </w:tabs>
              <w:ind w:left="0"/>
              <w:jc w:val="right"/>
              <w:rPr>
                <w:rFonts w:cs="Arial"/>
                <w:b/>
                <w:color w:val="auto"/>
                <w:sz w:val="20"/>
                <w:szCs w:val="20"/>
              </w:rPr>
            </w:pPr>
            <w:r w:rsidRPr="00F40A01">
              <w:rPr>
                <w:rFonts w:cs="Arial"/>
                <w:b/>
                <w:color w:val="auto"/>
                <w:sz w:val="20"/>
                <w:szCs w:val="20"/>
              </w:rPr>
              <w:t>1,3</w:t>
            </w:r>
            <w:r w:rsidR="005545E9" w:rsidRPr="00F40A01">
              <w:rPr>
                <w:rFonts w:cs="Arial"/>
                <w:b/>
                <w:color w:val="auto"/>
                <w:sz w:val="20"/>
                <w:szCs w:val="20"/>
              </w:rPr>
              <w:t>24</w:t>
            </w:r>
          </w:p>
        </w:tc>
        <w:tc>
          <w:tcPr>
            <w:tcW w:w="1449" w:type="dxa"/>
          </w:tcPr>
          <w:p w:rsidR="00F17C3C" w:rsidRPr="00F40A01" w:rsidRDefault="008E13ED" w:rsidP="004B68AE">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F40A01">
              <w:rPr>
                <w:rFonts w:cs="Arial"/>
                <w:color w:val="auto"/>
                <w:sz w:val="20"/>
                <w:szCs w:val="20"/>
                <w:lang w:eastAsia="en-GB"/>
              </w:rPr>
              <w:t>4</w:t>
            </w:r>
            <w:r w:rsidR="005545E9" w:rsidRPr="00F40A01">
              <w:rPr>
                <w:rFonts w:cs="Arial"/>
                <w:color w:val="auto"/>
                <w:sz w:val="20"/>
                <w:szCs w:val="20"/>
                <w:lang w:eastAsia="en-GB"/>
              </w:rPr>
              <w:t>3.04</w:t>
            </w:r>
          </w:p>
        </w:tc>
      </w:tr>
      <w:tr w:rsidR="00F17C3C" w:rsidRPr="0005794A" w:rsidTr="00D85DF8">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5545E9" w:rsidRDefault="00F17C3C" w:rsidP="004B68AE">
            <w:pPr>
              <w:pStyle w:val="BodyTextIndent"/>
              <w:tabs>
                <w:tab w:val="left" w:pos="1350"/>
              </w:tabs>
              <w:ind w:left="0"/>
              <w:jc w:val="center"/>
              <w:rPr>
                <w:rFonts w:cs="Arial"/>
                <w:color w:val="auto"/>
                <w:sz w:val="20"/>
                <w:szCs w:val="20"/>
              </w:rPr>
            </w:pPr>
            <w:r w:rsidRPr="005545E9">
              <w:rPr>
                <w:rFonts w:cs="Arial"/>
                <w:color w:val="auto"/>
                <w:sz w:val="20"/>
                <w:szCs w:val="20"/>
              </w:rPr>
              <w:t>E</w:t>
            </w:r>
          </w:p>
        </w:tc>
        <w:tc>
          <w:tcPr>
            <w:tcW w:w="992" w:type="dxa"/>
          </w:tcPr>
          <w:p w:rsidR="00F17C3C" w:rsidRPr="005545E9" w:rsidRDefault="00C969C6"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5545E9">
              <w:rPr>
                <w:rFonts w:cs="Arial"/>
                <w:color w:val="auto"/>
                <w:sz w:val="20"/>
                <w:szCs w:val="20"/>
              </w:rPr>
              <w:t>11/9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5545E9" w:rsidRDefault="005545E9" w:rsidP="004B68AE">
            <w:pPr>
              <w:pStyle w:val="BodyTextIndent"/>
              <w:tabs>
                <w:tab w:val="left" w:pos="1350"/>
              </w:tabs>
              <w:ind w:left="0"/>
              <w:jc w:val="right"/>
              <w:rPr>
                <w:rFonts w:cs="Arial"/>
                <w:color w:val="auto"/>
                <w:sz w:val="20"/>
                <w:szCs w:val="20"/>
              </w:rPr>
            </w:pPr>
            <w:r w:rsidRPr="005545E9">
              <w:rPr>
                <w:rFonts w:cs="Arial"/>
                <w:color w:val="auto"/>
                <w:sz w:val="20"/>
                <w:szCs w:val="20"/>
              </w:rPr>
              <w:t>4,950</w:t>
            </w:r>
          </w:p>
        </w:tc>
        <w:tc>
          <w:tcPr>
            <w:tcW w:w="1254" w:type="dxa"/>
          </w:tcPr>
          <w:p w:rsidR="00F17C3C" w:rsidRPr="005545E9" w:rsidRDefault="00C969C6"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5545E9">
              <w:rPr>
                <w:rFonts w:cs="Arial"/>
                <w:b/>
                <w:color w:val="auto"/>
                <w:sz w:val="20"/>
                <w:szCs w:val="20"/>
              </w:rPr>
              <w:t>5,</w:t>
            </w:r>
            <w:r w:rsidR="005545E9" w:rsidRPr="005545E9">
              <w:rPr>
                <w:rFonts w:cs="Arial"/>
                <w:b/>
                <w:color w:val="auto"/>
                <w:sz w:val="20"/>
                <w:szCs w:val="20"/>
              </w:rPr>
              <w:t>470</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C969C6" w:rsidP="005545E9">
            <w:pPr>
              <w:autoSpaceDE w:val="0"/>
              <w:autoSpaceDN w:val="0"/>
              <w:adjustRightInd w:val="0"/>
              <w:spacing w:after="0" w:line="240" w:lineRule="auto"/>
              <w:jc w:val="right"/>
              <w:rPr>
                <w:rFonts w:cs="Arial"/>
                <w:bCs/>
                <w:color w:val="auto"/>
                <w:sz w:val="20"/>
                <w:szCs w:val="20"/>
                <w:lang w:eastAsia="en-GB"/>
              </w:rPr>
            </w:pPr>
            <w:r w:rsidRPr="005545E9">
              <w:rPr>
                <w:rFonts w:cs="Arial"/>
                <w:bCs/>
                <w:color w:val="auto"/>
                <w:sz w:val="20"/>
                <w:szCs w:val="20"/>
                <w:lang w:eastAsia="en-GB"/>
              </w:rPr>
              <w:t>1,</w:t>
            </w:r>
            <w:r w:rsidR="005545E9" w:rsidRPr="005545E9">
              <w:rPr>
                <w:rFonts w:cs="Arial"/>
                <w:bCs/>
                <w:color w:val="auto"/>
                <w:sz w:val="20"/>
                <w:szCs w:val="20"/>
                <w:lang w:eastAsia="en-GB"/>
              </w:rPr>
              <w:t>998.07</w:t>
            </w:r>
          </w:p>
        </w:tc>
        <w:tc>
          <w:tcPr>
            <w:tcW w:w="1159" w:type="dxa"/>
          </w:tcPr>
          <w:p w:rsidR="00F17C3C" w:rsidRPr="00F40A01" w:rsidRDefault="00C969C6" w:rsidP="005545E9">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40A01">
              <w:rPr>
                <w:rFonts w:cs="Arial"/>
                <w:color w:val="auto"/>
                <w:sz w:val="20"/>
                <w:szCs w:val="20"/>
              </w:rPr>
              <w:t>6</w:t>
            </w:r>
            <w:r w:rsidR="005545E9" w:rsidRPr="00F40A01">
              <w:rPr>
                <w:rFonts w:cs="Arial"/>
                <w:color w:val="auto"/>
                <w:sz w:val="20"/>
                <w:szCs w:val="20"/>
              </w:rPr>
              <w:t>48</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7326B2" w:rsidP="005545E9">
            <w:pPr>
              <w:pStyle w:val="BodyTextIndent"/>
              <w:tabs>
                <w:tab w:val="left" w:pos="1350"/>
              </w:tabs>
              <w:ind w:left="0"/>
              <w:jc w:val="right"/>
              <w:rPr>
                <w:rFonts w:cs="Arial"/>
                <w:b/>
                <w:color w:val="auto"/>
                <w:sz w:val="20"/>
                <w:szCs w:val="20"/>
              </w:rPr>
            </w:pPr>
            <w:r w:rsidRPr="00F40A01">
              <w:rPr>
                <w:rFonts w:cs="Arial"/>
                <w:b/>
                <w:color w:val="auto"/>
                <w:sz w:val="20"/>
                <w:szCs w:val="20"/>
              </w:rPr>
              <w:t>70</w:t>
            </w:r>
            <w:r w:rsidR="005545E9" w:rsidRPr="00F40A01">
              <w:rPr>
                <w:rFonts w:cs="Arial"/>
                <w:b/>
                <w:color w:val="auto"/>
                <w:sz w:val="20"/>
                <w:szCs w:val="20"/>
              </w:rPr>
              <w:t>8</w:t>
            </w:r>
          </w:p>
        </w:tc>
        <w:tc>
          <w:tcPr>
            <w:tcW w:w="1449" w:type="dxa"/>
          </w:tcPr>
          <w:p w:rsidR="00F17C3C" w:rsidRPr="00F40A01" w:rsidRDefault="005545E9" w:rsidP="004B68AE">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F40A01">
              <w:rPr>
                <w:rFonts w:cs="Arial"/>
                <w:color w:val="auto"/>
                <w:sz w:val="20"/>
                <w:szCs w:val="20"/>
                <w:lang w:eastAsia="en-GB"/>
              </w:rPr>
              <w:t>52.60</w:t>
            </w:r>
          </w:p>
        </w:tc>
      </w:tr>
      <w:tr w:rsidR="00F17C3C" w:rsidRPr="0005794A" w:rsidTr="00D85DF8">
        <w:trPr>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5545E9" w:rsidRDefault="00F17C3C" w:rsidP="004B68AE">
            <w:pPr>
              <w:pStyle w:val="BodyTextIndent"/>
              <w:tabs>
                <w:tab w:val="left" w:pos="1350"/>
              </w:tabs>
              <w:ind w:left="0"/>
              <w:jc w:val="center"/>
              <w:rPr>
                <w:rFonts w:cs="Arial"/>
                <w:color w:val="auto"/>
                <w:sz w:val="20"/>
                <w:szCs w:val="20"/>
              </w:rPr>
            </w:pPr>
            <w:r w:rsidRPr="005545E9">
              <w:rPr>
                <w:rFonts w:cs="Arial"/>
                <w:color w:val="auto"/>
                <w:sz w:val="20"/>
                <w:szCs w:val="20"/>
              </w:rPr>
              <w:t>F</w:t>
            </w:r>
          </w:p>
        </w:tc>
        <w:tc>
          <w:tcPr>
            <w:tcW w:w="992" w:type="dxa"/>
          </w:tcPr>
          <w:p w:rsidR="00F17C3C" w:rsidRPr="005545E9" w:rsidRDefault="00C969C6"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5545E9">
              <w:rPr>
                <w:rFonts w:cs="Arial"/>
                <w:color w:val="auto"/>
                <w:sz w:val="20"/>
                <w:szCs w:val="20"/>
              </w:rPr>
              <w:t>13/9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5545E9" w:rsidRDefault="00C969C6" w:rsidP="005545E9">
            <w:pPr>
              <w:pStyle w:val="BodyTextIndent"/>
              <w:tabs>
                <w:tab w:val="left" w:pos="1350"/>
              </w:tabs>
              <w:ind w:left="0"/>
              <w:jc w:val="right"/>
              <w:rPr>
                <w:rFonts w:cs="Arial"/>
                <w:color w:val="auto"/>
                <w:sz w:val="20"/>
                <w:szCs w:val="20"/>
              </w:rPr>
            </w:pPr>
            <w:r w:rsidRPr="005545E9">
              <w:rPr>
                <w:rFonts w:cs="Arial"/>
                <w:color w:val="auto"/>
                <w:sz w:val="20"/>
                <w:szCs w:val="20"/>
              </w:rPr>
              <w:t>2,3</w:t>
            </w:r>
            <w:r w:rsidR="005545E9" w:rsidRPr="005545E9">
              <w:rPr>
                <w:rFonts w:cs="Arial"/>
                <w:color w:val="auto"/>
                <w:sz w:val="20"/>
                <w:szCs w:val="20"/>
              </w:rPr>
              <w:t>2</w:t>
            </w:r>
            <w:r w:rsidR="007326B2" w:rsidRPr="005545E9">
              <w:rPr>
                <w:rFonts w:cs="Arial"/>
                <w:color w:val="auto"/>
                <w:sz w:val="20"/>
                <w:szCs w:val="20"/>
              </w:rPr>
              <w:t>0</w:t>
            </w:r>
          </w:p>
        </w:tc>
        <w:tc>
          <w:tcPr>
            <w:tcW w:w="1254" w:type="dxa"/>
          </w:tcPr>
          <w:p w:rsidR="00F17C3C" w:rsidRPr="005545E9" w:rsidRDefault="007326B2" w:rsidP="005545E9">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5545E9">
              <w:rPr>
                <w:rFonts w:cs="Arial"/>
                <w:b/>
                <w:color w:val="auto"/>
                <w:sz w:val="20"/>
                <w:szCs w:val="20"/>
              </w:rPr>
              <w:t>3,0</w:t>
            </w:r>
            <w:r w:rsidR="005545E9" w:rsidRPr="005545E9">
              <w:rPr>
                <w:rFonts w:cs="Arial"/>
                <w:b/>
                <w:color w:val="auto"/>
                <w:sz w:val="20"/>
                <w:szCs w:val="20"/>
              </w:rPr>
              <w:t>90</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C969C6" w:rsidP="005545E9">
            <w:pPr>
              <w:autoSpaceDE w:val="0"/>
              <w:autoSpaceDN w:val="0"/>
              <w:adjustRightInd w:val="0"/>
              <w:spacing w:after="0" w:line="240" w:lineRule="auto"/>
              <w:jc w:val="right"/>
              <w:rPr>
                <w:rFonts w:cs="Arial"/>
                <w:bCs/>
                <w:color w:val="auto"/>
                <w:sz w:val="20"/>
                <w:szCs w:val="20"/>
                <w:lang w:eastAsia="en-GB"/>
              </w:rPr>
            </w:pPr>
            <w:r w:rsidRPr="005545E9">
              <w:rPr>
                <w:rFonts w:cs="Arial"/>
                <w:bCs/>
                <w:color w:val="auto"/>
                <w:sz w:val="20"/>
                <w:szCs w:val="20"/>
                <w:lang w:eastAsia="en-GB"/>
              </w:rPr>
              <w:t>2,</w:t>
            </w:r>
            <w:r w:rsidR="005545E9" w:rsidRPr="005545E9">
              <w:rPr>
                <w:rFonts w:cs="Arial"/>
                <w:bCs/>
                <w:color w:val="auto"/>
                <w:sz w:val="20"/>
                <w:szCs w:val="20"/>
                <w:lang w:eastAsia="en-GB"/>
              </w:rPr>
              <w:t>361.35</w:t>
            </w:r>
          </w:p>
        </w:tc>
        <w:tc>
          <w:tcPr>
            <w:tcW w:w="1159" w:type="dxa"/>
          </w:tcPr>
          <w:p w:rsidR="00F17C3C" w:rsidRPr="00F40A01" w:rsidRDefault="00C969C6" w:rsidP="005545E9">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40A01">
              <w:rPr>
                <w:rFonts w:cs="Arial"/>
                <w:color w:val="auto"/>
                <w:sz w:val="20"/>
                <w:szCs w:val="20"/>
              </w:rPr>
              <w:t>3</w:t>
            </w:r>
            <w:r w:rsidR="005545E9" w:rsidRPr="00F40A01">
              <w:rPr>
                <w:rFonts w:cs="Arial"/>
                <w:color w:val="auto"/>
                <w:sz w:val="20"/>
                <w:szCs w:val="20"/>
              </w:rPr>
              <w:t>13</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C969C6" w:rsidP="005545E9">
            <w:pPr>
              <w:pStyle w:val="BodyTextIndent"/>
              <w:tabs>
                <w:tab w:val="left" w:pos="1350"/>
              </w:tabs>
              <w:ind w:left="0"/>
              <w:jc w:val="right"/>
              <w:rPr>
                <w:rFonts w:cs="Arial"/>
                <w:b/>
                <w:color w:val="auto"/>
                <w:sz w:val="20"/>
                <w:szCs w:val="20"/>
              </w:rPr>
            </w:pPr>
            <w:r w:rsidRPr="00F40A01">
              <w:rPr>
                <w:rFonts w:cs="Arial"/>
                <w:b/>
                <w:color w:val="auto"/>
                <w:sz w:val="20"/>
                <w:szCs w:val="20"/>
              </w:rPr>
              <w:t>4</w:t>
            </w:r>
            <w:r w:rsidR="007326B2" w:rsidRPr="00F40A01">
              <w:rPr>
                <w:rFonts w:cs="Arial"/>
                <w:b/>
                <w:color w:val="auto"/>
                <w:sz w:val="20"/>
                <w:szCs w:val="20"/>
              </w:rPr>
              <w:t>1</w:t>
            </w:r>
            <w:r w:rsidR="005545E9" w:rsidRPr="00F40A01">
              <w:rPr>
                <w:rFonts w:cs="Arial"/>
                <w:b/>
                <w:color w:val="auto"/>
                <w:sz w:val="20"/>
                <w:szCs w:val="20"/>
              </w:rPr>
              <w:t>6</w:t>
            </w:r>
          </w:p>
        </w:tc>
        <w:tc>
          <w:tcPr>
            <w:tcW w:w="1449" w:type="dxa"/>
          </w:tcPr>
          <w:p w:rsidR="00F17C3C" w:rsidRPr="00F40A01" w:rsidRDefault="005545E9" w:rsidP="004B68AE">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F40A01">
              <w:rPr>
                <w:rFonts w:cs="Arial"/>
                <w:color w:val="auto"/>
                <w:sz w:val="20"/>
                <w:szCs w:val="20"/>
                <w:lang w:eastAsia="en-GB"/>
              </w:rPr>
              <w:t>62.17</w:t>
            </w:r>
          </w:p>
        </w:tc>
      </w:tr>
      <w:tr w:rsidR="00F17C3C" w:rsidRPr="0005794A" w:rsidTr="00D85DF8">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5545E9" w:rsidRDefault="00F17C3C" w:rsidP="004B68AE">
            <w:pPr>
              <w:pStyle w:val="BodyTextIndent"/>
              <w:tabs>
                <w:tab w:val="left" w:pos="1350"/>
              </w:tabs>
              <w:ind w:left="0"/>
              <w:jc w:val="center"/>
              <w:rPr>
                <w:rFonts w:cs="Arial"/>
                <w:color w:val="auto"/>
                <w:sz w:val="20"/>
                <w:szCs w:val="20"/>
              </w:rPr>
            </w:pPr>
            <w:r w:rsidRPr="005545E9">
              <w:rPr>
                <w:rFonts w:cs="Arial"/>
                <w:color w:val="auto"/>
                <w:sz w:val="20"/>
                <w:szCs w:val="20"/>
              </w:rPr>
              <w:t>G</w:t>
            </w:r>
          </w:p>
        </w:tc>
        <w:tc>
          <w:tcPr>
            <w:tcW w:w="992" w:type="dxa"/>
          </w:tcPr>
          <w:p w:rsidR="00F17C3C" w:rsidRPr="005545E9" w:rsidRDefault="00C969C6"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5545E9">
              <w:rPr>
                <w:rFonts w:cs="Arial"/>
                <w:color w:val="auto"/>
                <w:sz w:val="20"/>
                <w:szCs w:val="20"/>
              </w:rPr>
              <w:t>15/9</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5545E9" w:rsidRDefault="00C969C6" w:rsidP="005545E9">
            <w:pPr>
              <w:pStyle w:val="BodyTextIndent"/>
              <w:tabs>
                <w:tab w:val="left" w:pos="1350"/>
              </w:tabs>
              <w:ind w:left="0"/>
              <w:jc w:val="right"/>
              <w:rPr>
                <w:rFonts w:cs="Arial"/>
                <w:color w:val="auto"/>
                <w:sz w:val="20"/>
                <w:szCs w:val="20"/>
              </w:rPr>
            </w:pPr>
            <w:r w:rsidRPr="005545E9">
              <w:rPr>
                <w:rFonts w:cs="Arial"/>
                <w:color w:val="auto"/>
                <w:sz w:val="20"/>
                <w:szCs w:val="20"/>
              </w:rPr>
              <w:t>1,2</w:t>
            </w:r>
            <w:r w:rsidR="005545E9" w:rsidRPr="005545E9">
              <w:rPr>
                <w:rFonts w:cs="Arial"/>
                <w:color w:val="auto"/>
                <w:sz w:val="20"/>
                <w:szCs w:val="20"/>
              </w:rPr>
              <w:t>1</w:t>
            </w:r>
            <w:r w:rsidR="007326B2" w:rsidRPr="005545E9">
              <w:rPr>
                <w:rFonts w:cs="Arial"/>
                <w:color w:val="auto"/>
                <w:sz w:val="20"/>
                <w:szCs w:val="20"/>
              </w:rPr>
              <w:t>1</w:t>
            </w:r>
          </w:p>
        </w:tc>
        <w:tc>
          <w:tcPr>
            <w:tcW w:w="1254" w:type="dxa"/>
          </w:tcPr>
          <w:p w:rsidR="00F17C3C" w:rsidRPr="005545E9" w:rsidRDefault="00C969C6"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5545E9">
              <w:rPr>
                <w:rFonts w:cs="Arial"/>
                <w:b/>
                <w:color w:val="auto"/>
                <w:sz w:val="20"/>
                <w:szCs w:val="20"/>
              </w:rPr>
              <w:t>1,8</w:t>
            </w:r>
            <w:r w:rsidR="005545E9" w:rsidRPr="005545E9">
              <w:rPr>
                <w:rFonts w:cs="Arial"/>
                <w:b/>
                <w:color w:val="auto"/>
                <w:sz w:val="20"/>
                <w:szCs w:val="20"/>
              </w:rPr>
              <w:t>76</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C969C6" w:rsidP="005545E9">
            <w:pPr>
              <w:autoSpaceDE w:val="0"/>
              <w:autoSpaceDN w:val="0"/>
              <w:adjustRightInd w:val="0"/>
              <w:spacing w:after="0" w:line="240" w:lineRule="auto"/>
              <w:jc w:val="right"/>
              <w:rPr>
                <w:rFonts w:cs="Arial"/>
                <w:bCs/>
                <w:color w:val="auto"/>
                <w:sz w:val="20"/>
                <w:szCs w:val="20"/>
                <w:lang w:eastAsia="en-GB"/>
              </w:rPr>
            </w:pPr>
            <w:r w:rsidRPr="005545E9">
              <w:rPr>
                <w:rFonts w:cs="Arial"/>
                <w:bCs/>
                <w:color w:val="auto"/>
                <w:sz w:val="20"/>
                <w:szCs w:val="20"/>
                <w:lang w:eastAsia="en-GB"/>
              </w:rPr>
              <w:t>2,</w:t>
            </w:r>
            <w:r w:rsidR="005545E9" w:rsidRPr="005545E9">
              <w:rPr>
                <w:rFonts w:cs="Arial"/>
                <w:bCs/>
                <w:color w:val="auto"/>
                <w:sz w:val="20"/>
                <w:szCs w:val="20"/>
                <w:lang w:eastAsia="en-GB"/>
              </w:rPr>
              <w:t>724.63</w:t>
            </w:r>
          </w:p>
        </w:tc>
        <w:tc>
          <w:tcPr>
            <w:tcW w:w="1159" w:type="dxa"/>
          </w:tcPr>
          <w:p w:rsidR="00F17C3C" w:rsidRPr="00F40A01" w:rsidRDefault="00C969C6" w:rsidP="005545E9">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40A01">
              <w:rPr>
                <w:rFonts w:cs="Arial"/>
                <w:color w:val="auto"/>
                <w:sz w:val="20"/>
                <w:szCs w:val="20"/>
              </w:rPr>
              <w:t>9</w:t>
            </w:r>
            <w:r w:rsidR="005545E9" w:rsidRPr="00F40A01">
              <w:rPr>
                <w:rFonts w:cs="Arial"/>
                <w:color w:val="auto"/>
                <w:sz w:val="20"/>
                <w:szCs w:val="20"/>
              </w:rPr>
              <w:t>6</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C969C6" w:rsidP="005545E9">
            <w:pPr>
              <w:pStyle w:val="BodyTextIndent"/>
              <w:tabs>
                <w:tab w:val="left" w:pos="1350"/>
              </w:tabs>
              <w:ind w:left="0"/>
              <w:jc w:val="right"/>
              <w:rPr>
                <w:rFonts w:cs="Arial"/>
                <w:b/>
                <w:color w:val="auto"/>
                <w:sz w:val="20"/>
                <w:szCs w:val="20"/>
              </w:rPr>
            </w:pPr>
            <w:r w:rsidRPr="00F40A01">
              <w:rPr>
                <w:rFonts w:cs="Arial"/>
                <w:b/>
                <w:color w:val="auto"/>
                <w:sz w:val="20"/>
                <w:szCs w:val="20"/>
              </w:rPr>
              <w:t>14</w:t>
            </w:r>
            <w:r w:rsidR="005545E9" w:rsidRPr="00F40A01">
              <w:rPr>
                <w:rFonts w:cs="Arial"/>
                <w:b/>
                <w:color w:val="auto"/>
                <w:sz w:val="20"/>
                <w:szCs w:val="20"/>
              </w:rPr>
              <w:t>7</w:t>
            </w:r>
          </w:p>
        </w:tc>
        <w:tc>
          <w:tcPr>
            <w:tcW w:w="1449" w:type="dxa"/>
          </w:tcPr>
          <w:p w:rsidR="00F17C3C" w:rsidRPr="00F40A01" w:rsidRDefault="005545E9" w:rsidP="004B68AE">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GB"/>
              </w:rPr>
            </w:pPr>
            <w:r w:rsidRPr="00F40A01">
              <w:rPr>
                <w:rFonts w:cs="Arial"/>
                <w:color w:val="auto"/>
                <w:sz w:val="20"/>
                <w:szCs w:val="20"/>
                <w:lang w:eastAsia="en-GB"/>
              </w:rPr>
              <w:t>71.73</w:t>
            </w:r>
          </w:p>
        </w:tc>
      </w:tr>
      <w:tr w:rsidR="00F17C3C" w:rsidRPr="0005794A" w:rsidTr="00D85DF8">
        <w:trPr>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5545E9" w:rsidRDefault="00F17C3C" w:rsidP="004B68AE">
            <w:pPr>
              <w:pStyle w:val="BodyTextIndent"/>
              <w:tabs>
                <w:tab w:val="left" w:pos="1350"/>
              </w:tabs>
              <w:ind w:left="0"/>
              <w:jc w:val="center"/>
              <w:rPr>
                <w:rFonts w:cs="Arial"/>
                <w:color w:val="auto"/>
                <w:sz w:val="20"/>
                <w:szCs w:val="20"/>
              </w:rPr>
            </w:pPr>
            <w:r w:rsidRPr="005545E9">
              <w:rPr>
                <w:rFonts w:cs="Arial"/>
                <w:color w:val="auto"/>
                <w:sz w:val="20"/>
                <w:szCs w:val="20"/>
              </w:rPr>
              <w:t>H</w:t>
            </w:r>
          </w:p>
        </w:tc>
        <w:tc>
          <w:tcPr>
            <w:tcW w:w="992" w:type="dxa"/>
          </w:tcPr>
          <w:p w:rsidR="00F17C3C" w:rsidRPr="005545E9" w:rsidRDefault="00C969C6"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5545E9">
              <w:rPr>
                <w:rFonts w:cs="Arial"/>
                <w:color w:val="auto"/>
                <w:sz w:val="20"/>
                <w:szCs w:val="20"/>
              </w:rPr>
              <w:t>2</w:t>
            </w:r>
          </w:p>
        </w:tc>
        <w:tc>
          <w:tcPr>
            <w:cnfStyle w:val="000010000000" w:firstRow="0" w:lastRow="0" w:firstColumn="0" w:lastColumn="0" w:oddVBand="1" w:evenVBand="0" w:oddHBand="0" w:evenHBand="0" w:firstRowFirstColumn="0" w:firstRowLastColumn="0" w:lastRowFirstColumn="0" w:lastRowLastColumn="0"/>
            <w:tcW w:w="1159" w:type="dxa"/>
          </w:tcPr>
          <w:p w:rsidR="00F17C3C" w:rsidRPr="005545E9" w:rsidRDefault="00C969C6" w:rsidP="005545E9">
            <w:pPr>
              <w:pStyle w:val="BodyTextIndent"/>
              <w:tabs>
                <w:tab w:val="left" w:pos="1350"/>
              </w:tabs>
              <w:ind w:left="0"/>
              <w:jc w:val="right"/>
              <w:rPr>
                <w:rFonts w:cs="Arial"/>
                <w:color w:val="auto"/>
                <w:sz w:val="20"/>
                <w:szCs w:val="20"/>
              </w:rPr>
            </w:pPr>
            <w:r w:rsidRPr="005545E9">
              <w:rPr>
                <w:rFonts w:cs="Arial"/>
                <w:color w:val="auto"/>
                <w:sz w:val="20"/>
                <w:szCs w:val="20"/>
              </w:rPr>
              <w:t>1</w:t>
            </w:r>
            <w:r w:rsidR="005545E9" w:rsidRPr="005545E9">
              <w:rPr>
                <w:rFonts w:cs="Arial"/>
                <w:color w:val="auto"/>
                <w:sz w:val="20"/>
                <w:szCs w:val="20"/>
              </w:rPr>
              <w:t>08</w:t>
            </w:r>
          </w:p>
        </w:tc>
        <w:tc>
          <w:tcPr>
            <w:tcW w:w="1254" w:type="dxa"/>
          </w:tcPr>
          <w:p w:rsidR="00F17C3C" w:rsidRPr="005545E9" w:rsidRDefault="007326B2" w:rsidP="005545E9">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5545E9">
              <w:rPr>
                <w:rFonts w:cs="Arial"/>
                <w:b/>
                <w:color w:val="auto"/>
                <w:sz w:val="20"/>
                <w:szCs w:val="20"/>
              </w:rPr>
              <w:t>20</w:t>
            </w:r>
            <w:r w:rsidR="005545E9" w:rsidRPr="005545E9">
              <w:rPr>
                <w:rFonts w:cs="Arial"/>
                <w:b/>
                <w:color w:val="auto"/>
                <w:sz w:val="20"/>
                <w:szCs w:val="20"/>
              </w:rPr>
              <w:t>3</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C969C6" w:rsidP="005545E9">
            <w:pPr>
              <w:autoSpaceDE w:val="0"/>
              <w:autoSpaceDN w:val="0"/>
              <w:adjustRightInd w:val="0"/>
              <w:spacing w:after="0" w:line="240" w:lineRule="auto"/>
              <w:jc w:val="right"/>
              <w:rPr>
                <w:rFonts w:cs="Arial"/>
                <w:bCs/>
                <w:color w:val="auto"/>
                <w:sz w:val="20"/>
                <w:szCs w:val="20"/>
                <w:lang w:eastAsia="en-GB"/>
              </w:rPr>
            </w:pPr>
            <w:r w:rsidRPr="005545E9">
              <w:rPr>
                <w:rFonts w:cs="Arial"/>
                <w:bCs/>
                <w:color w:val="auto"/>
                <w:sz w:val="20"/>
                <w:szCs w:val="20"/>
                <w:lang w:eastAsia="en-GB"/>
              </w:rPr>
              <w:t>3,</w:t>
            </w:r>
            <w:r w:rsidR="005545E9" w:rsidRPr="005545E9">
              <w:rPr>
                <w:rFonts w:cs="Arial"/>
                <w:bCs/>
                <w:color w:val="auto"/>
                <w:sz w:val="20"/>
                <w:szCs w:val="20"/>
                <w:lang w:eastAsia="en-GB"/>
              </w:rPr>
              <w:t>269.56</w:t>
            </w:r>
          </w:p>
        </w:tc>
        <w:tc>
          <w:tcPr>
            <w:tcW w:w="1159" w:type="dxa"/>
          </w:tcPr>
          <w:p w:rsidR="00F17C3C" w:rsidRPr="00F40A01" w:rsidRDefault="005545E9" w:rsidP="004B68AE">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F40A01">
              <w:rPr>
                <w:rFonts w:cs="Arial"/>
                <w:color w:val="auto"/>
                <w:sz w:val="20"/>
                <w:szCs w:val="20"/>
              </w:rPr>
              <w:t>3</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5545E9" w:rsidP="004B68AE">
            <w:pPr>
              <w:pStyle w:val="BodyTextIndent"/>
              <w:tabs>
                <w:tab w:val="left" w:pos="1350"/>
              </w:tabs>
              <w:ind w:left="0"/>
              <w:jc w:val="right"/>
              <w:rPr>
                <w:rFonts w:cs="Arial"/>
                <w:b/>
                <w:color w:val="auto"/>
                <w:sz w:val="20"/>
                <w:szCs w:val="20"/>
              </w:rPr>
            </w:pPr>
            <w:r w:rsidRPr="00F40A01">
              <w:rPr>
                <w:rFonts w:cs="Arial"/>
                <w:b/>
                <w:color w:val="auto"/>
                <w:sz w:val="20"/>
                <w:szCs w:val="20"/>
              </w:rPr>
              <w:t>5</w:t>
            </w:r>
          </w:p>
        </w:tc>
        <w:tc>
          <w:tcPr>
            <w:tcW w:w="1449" w:type="dxa"/>
          </w:tcPr>
          <w:p w:rsidR="00F17C3C" w:rsidRPr="00F40A01" w:rsidRDefault="005545E9" w:rsidP="004B68AE">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GB"/>
              </w:rPr>
            </w:pPr>
            <w:r w:rsidRPr="00F40A01">
              <w:rPr>
                <w:rFonts w:cs="Arial"/>
                <w:color w:val="auto"/>
                <w:sz w:val="20"/>
                <w:szCs w:val="20"/>
                <w:lang w:eastAsia="en-GB"/>
              </w:rPr>
              <w:t>86.08</w:t>
            </w:r>
          </w:p>
        </w:tc>
      </w:tr>
      <w:tr w:rsidR="00F17C3C" w:rsidRPr="0005794A" w:rsidTr="00D85DF8">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101" w:type="dxa"/>
          </w:tcPr>
          <w:p w:rsidR="00F17C3C" w:rsidRPr="005545E9" w:rsidRDefault="00F17C3C" w:rsidP="004B68AE">
            <w:pPr>
              <w:pStyle w:val="BodyTextIndent"/>
              <w:tabs>
                <w:tab w:val="left" w:pos="1350"/>
              </w:tabs>
              <w:ind w:left="0"/>
              <w:jc w:val="center"/>
              <w:rPr>
                <w:rFonts w:cs="Arial"/>
                <w:color w:val="auto"/>
                <w:sz w:val="20"/>
                <w:szCs w:val="20"/>
              </w:rPr>
            </w:pPr>
            <w:r w:rsidRPr="005545E9">
              <w:rPr>
                <w:rFonts w:cs="Arial"/>
                <w:color w:val="auto"/>
                <w:sz w:val="20"/>
                <w:szCs w:val="20"/>
              </w:rPr>
              <w:t>TOTAL</w:t>
            </w:r>
          </w:p>
        </w:tc>
        <w:tc>
          <w:tcPr>
            <w:tcW w:w="992" w:type="dxa"/>
          </w:tcPr>
          <w:p w:rsidR="00F17C3C" w:rsidRPr="005545E9" w:rsidRDefault="00F17C3C"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159" w:type="dxa"/>
          </w:tcPr>
          <w:p w:rsidR="00F17C3C" w:rsidRPr="005545E9" w:rsidRDefault="00C969C6" w:rsidP="005545E9">
            <w:pPr>
              <w:pStyle w:val="BodyTextIndent"/>
              <w:tabs>
                <w:tab w:val="left" w:pos="1350"/>
              </w:tabs>
              <w:ind w:left="0"/>
              <w:jc w:val="right"/>
              <w:rPr>
                <w:rFonts w:cs="Arial"/>
                <w:color w:val="auto"/>
                <w:sz w:val="20"/>
                <w:szCs w:val="20"/>
              </w:rPr>
            </w:pPr>
            <w:r w:rsidRPr="005545E9">
              <w:rPr>
                <w:rFonts w:cs="Arial"/>
                <w:color w:val="auto"/>
                <w:sz w:val="20"/>
                <w:szCs w:val="20"/>
              </w:rPr>
              <w:t>6</w:t>
            </w:r>
            <w:r w:rsidR="005545E9" w:rsidRPr="005545E9">
              <w:rPr>
                <w:rFonts w:cs="Arial"/>
                <w:color w:val="auto"/>
                <w:sz w:val="20"/>
                <w:szCs w:val="20"/>
              </w:rPr>
              <w:t>5</w:t>
            </w:r>
            <w:r w:rsidRPr="005545E9">
              <w:rPr>
                <w:rFonts w:cs="Arial"/>
                <w:color w:val="auto"/>
                <w:sz w:val="20"/>
                <w:szCs w:val="20"/>
              </w:rPr>
              <w:t>,</w:t>
            </w:r>
            <w:r w:rsidR="005545E9" w:rsidRPr="005545E9">
              <w:rPr>
                <w:rFonts w:cs="Arial"/>
                <w:color w:val="auto"/>
                <w:sz w:val="20"/>
                <w:szCs w:val="20"/>
              </w:rPr>
              <w:t>606</w:t>
            </w:r>
          </w:p>
        </w:tc>
        <w:tc>
          <w:tcPr>
            <w:tcW w:w="1254" w:type="dxa"/>
          </w:tcPr>
          <w:p w:rsidR="00F17C3C" w:rsidRPr="005545E9" w:rsidRDefault="00C969C6"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5545E9">
              <w:rPr>
                <w:rFonts w:cs="Arial"/>
                <w:b/>
                <w:color w:val="auto"/>
                <w:sz w:val="20"/>
                <w:szCs w:val="20"/>
              </w:rPr>
              <w:t>4</w:t>
            </w:r>
            <w:r w:rsidR="005545E9" w:rsidRPr="005545E9">
              <w:rPr>
                <w:rFonts w:cs="Arial"/>
                <w:b/>
                <w:color w:val="auto"/>
                <w:sz w:val="20"/>
                <w:szCs w:val="20"/>
              </w:rPr>
              <w:t>5</w:t>
            </w:r>
            <w:r w:rsidRPr="005545E9">
              <w:rPr>
                <w:rFonts w:cs="Arial"/>
                <w:b/>
                <w:color w:val="auto"/>
                <w:sz w:val="20"/>
                <w:szCs w:val="20"/>
              </w:rPr>
              <w:t>,</w:t>
            </w:r>
            <w:r w:rsidR="005545E9" w:rsidRPr="005545E9">
              <w:rPr>
                <w:rFonts w:cs="Arial"/>
                <w:b/>
                <w:color w:val="auto"/>
                <w:sz w:val="20"/>
                <w:szCs w:val="20"/>
              </w:rPr>
              <w:t>884</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F17C3C" w:rsidP="004B68AE">
            <w:pPr>
              <w:pStyle w:val="BodyTextIndent"/>
              <w:tabs>
                <w:tab w:val="left" w:pos="1350"/>
              </w:tabs>
              <w:ind w:left="0"/>
              <w:jc w:val="center"/>
              <w:rPr>
                <w:rFonts w:cs="Arial"/>
                <w:color w:val="auto"/>
                <w:sz w:val="20"/>
                <w:szCs w:val="20"/>
              </w:rPr>
            </w:pPr>
          </w:p>
        </w:tc>
        <w:tc>
          <w:tcPr>
            <w:tcW w:w="1159" w:type="dxa"/>
          </w:tcPr>
          <w:p w:rsidR="00F17C3C" w:rsidRPr="00F40A01" w:rsidRDefault="00C969C6" w:rsidP="005545E9">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40A01">
              <w:rPr>
                <w:rFonts w:cs="Arial"/>
                <w:color w:val="auto"/>
                <w:sz w:val="20"/>
                <w:szCs w:val="20"/>
              </w:rPr>
              <w:t>8,</w:t>
            </w:r>
            <w:r w:rsidR="005545E9" w:rsidRPr="00F40A01">
              <w:rPr>
                <w:rFonts w:cs="Arial"/>
                <w:color w:val="auto"/>
                <w:sz w:val="20"/>
                <w:szCs w:val="20"/>
              </w:rPr>
              <w:t>636</w:t>
            </w: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7326B2" w:rsidP="005545E9">
            <w:pPr>
              <w:pStyle w:val="BodyTextIndent"/>
              <w:tabs>
                <w:tab w:val="left" w:pos="1350"/>
              </w:tabs>
              <w:ind w:left="0"/>
              <w:jc w:val="right"/>
              <w:rPr>
                <w:rFonts w:cs="Arial"/>
                <w:b/>
                <w:color w:val="auto"/>
                <w:sz w:val="20"/>
                <w:szCs w:val="20"/>
              </w:rPr>
            </w:pPr>
            <w:r w:rsidRPr="00F40A01">
              <w:rPr>
                <w:rFonts w:cs="Arial"/>
                <w:b/>
                <w:color w:val="auto"/>
                <w:sz w:val="20"/>
                <w:szCs w:val="20"/>
              </w:rPr>
              <w:t>6,</w:t>
            </w:r>
            <w:r w:rsidR="005545E9" w:rsidRPr="00F40A01">
              <w:rPr>
                <w:rFonts w:cs="Arial"/>
                <w:b/>
                <w:color w:val="auto"/>
                <w:sz w:val="20"/>
                <w:szCs w:val="20"/>
              </w:rPr>
              <w:t>147</w:t>
            </w:r>
          </w:p>
        </w:tc>
        <w:tc>
          <w:tcPr>
            <w:tcW w:w="1449" w:type="dxa"/>
          </w:tcPr>
          <w:p w:rsidR="00F17C3C" w:rsidRPr="00F40A01" w:rsidRDefault="00F17C3C" w:rsidP="004B68AE">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F17C3C" w:rsidRPr="0005794A" w:rsidTr="00D85DF8">
        <w:trPr>
          <w:trHeight w:val="477"/>
        </w:trPr>
        <w:tc>
          <w:tcPr>
            <w:cnfStyle w:val="000010000000" w:firstRow="0" w:lastRow="0" w:firstColumn="0" w:lastColumn="0" w:oddVBand="1" w:evenVBand="0" w:oddHBand="0" w:evenHBand="0" w:firstRowFirstColumn="0" w:firstRowLastColumn="0" w:lastRowFirstColumn="0" w:lastRowLastColumn="0"/>
            <w:tcW w:w="3252" w:type="dxa"/>
            <w:gridSpan w:val="3"/>
          </w:tcPr>
          <w:p w:rsidR="00F17C3C" w:rsidRPr="005545E9" w:rsidRDefault="00F17C3C" w:rsidP="005545E9">
            <w:pPr>
              <w:pStyle w:val="BodyTextIndent"/>
              <w:tabs>
                <w:tab w:val="left" w:pos="1350"/>
              </w:tabs>
              <w:ind w:left="0"/>
              <w:jc w:val="center"/>
              <w:rPr>
                <w:rFonts w:cs="Arial"/>
                <w:color w:val="auto"/>
                <w:sz w:val="20"/>
                <w:szCs w:val="20"/>
              </w:rPr>
            </w:pPr>
            <w:r w:rsidRPr="005545E9">
              <w:rPr>
                <w:rFonts w:cs="Arial"/>
                <w:color w:val="auto"/>
                <w:sz w:val="20"/>
                <w:szCs w:val="20"/>
              </w:rPr>
              <w:t xml:space="preserve">Less Allowance for Non Collection @ </w:t>
            </w:r>
            <w:r w:rsidR="00C969C6" w:rsidRPr="005545E9">
              <w:rPr>
                <w:rFonts w:cs="Arial"/>
                <w:color w:val="auto"/>
                <w:sz w:val="20"/>
                <w:szCs w:val="20"/>
              </w:rPr>
              <w:t>4.0</w:t>
            </w:r>
            <w:r w:rsidRPr="005545E9">
              <w:rPr>
                <w:rFonts w:cs="Arial"/>
                <w:color w:val="auto"/>
                <w:sz w:val="20"/>
                <w:szCs w:val="20"/>
              </w:rPr>
              <w:t>% (</w:t>
            </w:r>
            <w:r w:rsidR="00072242" w:rsidRPr="005545E9">
              <w:rPr>
                <w:rFonts w:cs="Arial"/>
                <w:color w:val="auto"/>
                <w:sz w:val="20"/>
                <w:szCs w:val="20"/>
              </w:rPr>
              <w:t>4.0</w:t>
            </w:r>
            <w:r w:rsidRPr="005545E9">
              <w:rPr>
                <w:rFonts w:cs="Arial"/>
                <w:color w:val="auto"/>
                <w:sz w:val="20"/>
                <w:szCs w:val="20"/>
              </w:rPr>
              <w:t xml:space="preserve">% </w:t>
            </w:r>
            <w:r w:rsidR="006507E5" w:rsidRPr="005545E9">
              <w:rPr>
                <w:rFonts w:cs="Arial"/>
                <w:color w:val="auto"/>
                <w:sz w:val="20"/>
                <w:szCs w:val="20"/>
              </w:rPr>
              <w:t>201</w:t>
            </w:r>
            <w:r w:rsidR="005545E9" w:rsidRPr="005545E9">
              <w:rPr>
                <w:rFonts w:cs="Arial"/>
                <w:color w:val="auto"/>
                <w:sz w:val="20"/>
                <w:szCs w:val="20"/>
              </w:rPr>
              <w:t>6</w:t>
            </w:r>
            <w:r w:rsidR="006507E5" w:rsidRPr="005545E9">
              <w:rPr>
                <w:rFonts w:cs="Arial"/>
                <w:color w:val="auto"/>
                <w:sz w:val="20"/>
                <w:szCs w:val="20"/>
              </w:rPr>
              <w:t>/1</w:t>
            </w:r>
            <w:r w:rsidR="005545E9" w:rsidRPr="005545E9">
              <w:rPr>
                <w:rFonts w:cs="Arial"/>
                <w:color w:val="auto"/>
                <w:sz w:val="20"/>
                <w:szCs w:val="20"/>
              </w:rPr>
              <w:t>7</w:t>
            </w:r>
            <w:r w:rsidRPr="005545E9">
              <w:rPr>
                <w:rFonts w:cs="Arial"/>
                <w:color w:val="auto"/>
                <w:sz w:val="20"/>
                <w:szCs w:val="20"/>
              </w:rPr>
              <w:t>)</w:t>
            </w:r>
          </w:p>
        </w:tc>
        <w:tc>
          <w:tcPr>
            <w:tcW w:w="1254" w:type="dxa"/>
          </w:tcPr>
          <w:p w:rsidR="00F17C3C" w:rsidRPr="005545E9" w:rsidRDefault="00C969C6" w:rsidP="005545E9">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5545E9">
              <w:rPr>
                <w:rFonts w:cs="Arial"/>
                <w:b/>
                <w:color w:val="auto"/>
                <w:sz w:val="20"/>
                <w:szCs w:val="20"/>
              </w:rPr>
              <w:t>(1,</w:t>
            </w:r>
            <w:r w:rsidR="005545E9" w:rsidRPr="005545E9">
              <w:rPr>
                <w:rFonts w:cs="Arial"/>
                <w:b/>
                <w:color w:val="auto"/>
                <w:sz w:val="20"/>
                <w:szCs w:val="20"/>
              </w:rPr>
              <w:t>835</w:t>
            </w:r>
            <w:r w:rsidRPr="005545E9">
              <w:rPr>
                <w:rFonts w:cs="Arial"/>
                <w:b/>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F17C3C" w:rsidP="004B68AE">
            <w:pPr>
              <w:pStyle w:val="BodyTextIndent"/>
              <w:tabs>
                <w:tab w:val="left" w:pos="1350"/>
              </w:tabs>
              <w:ind w:left="0"/>
              <w:jc w:val="center"/>
              <w:rPr>
                <w:rFonts w:cs="Arial"/>
                <w:color w:val="auto"/>
                <w:sz w:val="20"/>
                <w:szCs w:val="20"/>
              </w:rPr>
            </w:pPr>
          </w:p>
        </w:tc>
        <w:tc>
          <w:tcPr>
            <w:tcW w:w="1159" w:type="dxa"/>
          </w:tcPr>
          <w:p w:rsidR="00F17C3C" w:rsidRPr="00F40A01" w:rsidRDefault="00F17C3C" w:rsidP="004B68AE">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C969C6" w:rsidP="005545E9">
            <w:pPr>
              <w:pStyle w:val="BodyTextIndent"/>
              <w:tabs>
                <w:tab w:val="left" w:pos="1350"/>
              </w:tabs>
              <w:ind w:left="0"/>
              <w:jc w:val="right"/>
              <w:rPr>
                <w:rFonts w:cs="Arial"/>
                <w:b/>
                <w:color w:val="auto"/>
                <w:sz w:val="20"/>
                <w:szCs w:val="20"/>
              </w:rPr>
            </w:pPr>
            <w:r w:rsidRPr="00F40A01">
              <w:rPr>
                <w:rFonts w:cs="Arial"/>
                <w:b/>
                <w:color w:val="auto"/>
                <w:sz w:val="20"/>
                <w:szCs w:val="20"/>
              </w:rPr>
              <w:t>(2</w:t>
            </w:r>
            <w:r w:rsidR="007326B2" w:rsidRPr="00F40A01">
              <w:rPr>
                <w:rFonts w:cs="Arial"/>
                <w:b/>
                <w:color w:val="auto"/>
                <w:sz w:val="20"/>
                <w:szCs w:val="20"/>
              </w:rPr>
              <w:t>4</w:t>
            </w:r>
            <w:r w:rsidR="005545E9" w:rsidRPr="00F40A01">
              <w:rPr>
                <w:rFonts w:cs="Arial"/>
                <w:b/>
                <w:color w:val="auto"/>
                <w:sz w:val="20"/>
                <w:szCs w:val="20"/>
              </w:rPr>
              <w:t>6</w:t>
            </w:r>
            <w:r w:rsidRPr="00F40A01">
              <w:rPr>
                <w:rFonts w:cs="Arial"/>
                <w:b/>
                <w:color w:val="auto"/>
                <w:sz w:val="20"/>
                <w:szCs w:val="20"/>
              </w:rPr>
              <w:t>)</w:t>
            </w:r>
          </w:p>
        </w:tc>
        <w:tc>
          <w:tcPr>
            <w:tcW w:w="1449" w:type="dxa"/>
          </w:tcPr>
          <w:p w:rsidR="00F17C3C" w:rsidRPr="00F40A01" w:rsidRDefault="00F17C3C"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F17C3C" w:rsidRPr="0005794A" w:rsidTr="00D85DF8">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3252" w:type="dxa"/>
            <w:gridSpan w:val="3"/>
          </w:tcPr>
          <w:p w:rsidR="00F17C3C" w:rsidRPr="005545E9" w:rsidRDefault="00F17C3C" w:rsidP="007326B2">
            <w:pPr>
              <w:pStyle w:val="BodyTextIndent"/>
              <w:tabs>
                <w:tab w:val="left" w:pos="1350"/>
              </w:tabs>
              <w:ind w:left="0"/>
              <w:jc w:val="center"/>
              <w:rPr>
                <w:rFonts w:cs="Arial"/>
                <w:b/>
                <w:color w:val="auto"/>
                <w:sz w:val="20"/>
                <w:szCs w:val="20"/>
              </w:rPr>
            </w:pPr>
            <w:r w:rsidRPr="005545E9">
              <w:rPr>
                <w:rFonts w:cs="Arial"/>
                <w:b/>
                <w:color w:val="auto"/>
                <w:sz w:val="20"/>
                <w:szCs w:val="20"/>
              </w:rPr>
              <w:t>TAX BASE  201</w:t>
            </w:r>
            <w:r w:rsidR="00172C29" w:rsidRPr="005545E9">
              <w:rPr>
                <w:rFonts w:cs="Arial"/>
                <w:b/>
                <w:color w:val="auto"/>
                <w:sz w:val="20"/>
                <w:szCs w:val="20"/>
              </w:rPr>
              <w:t>7</w:t>
            </w:r>
            <w:r w:rsidRPr="005545E9">
              <w:rPr>
                <w:rFonts w:cs="Arial"/>
                <w:b/>
                <w:color w:val="auto"/>
                <w:sz w:val="20"/>
                <w:szCs w:val="20"/>
              </w:rPr>
              <w:t>/1</w:t>
            </w:r>
            <w:r w:rsidR="00172C29" w:rsidRPr="005545E9">
              <w:rPr>
                <w:rFonts w:cs="Arial"/>
                <w:b/>
                <w:color w:val="auto"/>
                <w:sz w:val="20"/>
                <w:szCs w:val="20"/>
              </w:rPr>
              <w:t>8</w:t>
            </w:r>
          </w:p>
        </w:tc>
        <w:tc>
          <w:tcPr>
            <w:tcW w:w="1254" w:type="dxa"/>
          </w:tcPr>
          <w:p w:rsidR="00F17C3C" w:rsidRPr="005545E9" w:rsidRDefault="007326B2" w:rsidP="005545E9">
            <w:pPr>
              <w:pStyle w:val="BodyTextIndent"/>
              <w:tabs>
                <w:tab w:val="left" w:pos="1350"/>
              </w:tabs>
              <w:ind w:left="331" w:hanging="331"/>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5545E9">
              <w:rPr>
                <w:rFonts w:cs="Arial"/>
                <w:b/>
                <w:color w:val="auto"/>
                <w:sz w:val="20"/>
                <w:szCs w:val="20"/>
              </w:rPr>
              <w:t>4</w:t>
            </w:r>
            <w:r w:rsidR="005545E9" w:rsidRPr="005545E9">
              <w:rPr>
                <w:rFonts w:cs="Arial"/>
                <w:b/>
                <w:color w:val="auto"/>
                <w:sz w:val="20"/>
                <w:szCs w:val="20"/>
              </w:rPr>
              <w:t>4</w:t>
            </w:r>
            <w:r w:rsidRPr="005545E9">
              <w:rPr>
                <w:rFonts w:cs="Arial"/>
                <w:b/>
                <w:color w:val="auto"/>
                <w:sz w:val="20"/>
                <w:szCs w:val="20"/>
              </w:rPr>
              <w:t>,</w:t>
            </w:r>
            <w:r w:rsidR="005545E9" w:rsidRPr="005545E9">
              <w:rPr>
                <w:rFonts w:cs="Arial"/>
                <w:b/>
                <w:color w:val="auto"/>
                <w:sz w:val="20"/>
                <w:szCs w:val="20"/>
              </w:rPr>
              <w:t>049</w:t>
            </w:r>
            <w:r w:rsidRPr="005545E9">
              <w:rPr>
                <w:rFonts w:cs="Arial"/>
                <w:b/>
                <w:color w:val="auto"/>
                <w:sz w:val="20"/>
                <w:szCs w:val="20"/>
              </w:rPr>
              <w:t>.</w:t>
            </w:r>
            <w:r w:rsidR="005545E9" w:rsidRPr="005545E9">
              <w:rPr>
                <w:rFonts w:cs="Arial"/>
                <w:b/>
                <w:color w:val="auto"/>
                <w:sz w:val="20"/>
                <w:szCs w:val="20"/>
              </w:rPr>
              <w:t>22</w:t>
            </w:r>
          </w:p>
        </w:tc>
        <w:tc>
          <w:tcPr>
            <w:cnfStyle w:val="000010000000" w:firstRow="0" w:lastRow="0" w:firstColumn="0" w:lastColumn="0" w:oddVBand="1" w:evenVBand="0" w:oddHBand="0" w:evenHBand="0" w:firstRowFirstColumn="0" w:firstRowLastColumn="0" w:lastRowFirstColumn="0" w:lastRowLastColumn="0"/>
            <w:tcW w:w="1272" w:type="dxa"/>
          </w:tcPr>
          <w:p w:rsidR="00F17C3C" w:rsidRPr="005545E9" w:rsidRDefault="00C969C6" w:rsidP="005545E9">
            <w:pPr>
              <w:pStyle w:val="BodyTextIndent"/>
              <w:tabs>
                <w:tab w:val="left" w:pos="1350"/>
              </w:tabs>
              <w:ind w:left="0"/>
              <w:jc w:val="center"/>
              <w:rPr>
                <w:rFonts w:cs="Arial"/>
                <w:color w:val="auto"/>
                <w:sz w:val="20"/>
                <w:szCs w:val="20"/>
              </w:rPr>
            </w:pPr>
            <w:r w:rsidRPr="005545E9">
              <w:rPr>
                <w:rFonts w:cs="Arial"/>
                <w:color w:val="auto"/>
                <w:sz w:val="20"/>
                <w:szCs w:val="20"/>
              </w:rPr>
              <w:t>(</w:t>
            </w:r>
            <w:r w:rsidR="002A7825" w:rsidRPr="005545E9">
              <w:rPr>
                <w:rFonts w:cs="Arial"/>
                <w:color w:val="auto"/>
                <w:sz w:val="20"/>
                <w:szCs w:val="20"/>
              </w:rPr>
              <w:t>4</w:t>
            </w:r>
            <w:r w:rsidR="005545E9" w:rsidRPr="005545E9">
              <w:rPr>
                <w:rFonts w:cs="Arial"/>
                <w:color w:val="auto"/>
                <w:sz w:val="20"/>
                <w:szCs w:val="20"/>
              </w:rPr>
              <w:t>3</w:t>
            </w:r>
            <w:r w:rsidRPr="005545E9">
              <w:rPr>
                <w:rFonts w:cs="Arial"/>
                <w:color w:val="auto"/>
                <w:sz w:val="20"/>
                <w:szCs w:val="20"/>
              </w:rPr>
              <w:t>,</w:t>
            </w:r>
            <w:r w:rsidR="005545E9" w:rsidRPr="005545E9">
              <w:rPr>
                <w:rFonts w:cs="Arial"/>
                <w:color w:val="auto"/>
                <w:sz w:val="20"/>
                <w:szCs w:val="20"/>
              </w:rPr>
              <w:t>180</w:t>
            </w:r>
            <w:r w:rsidRPr="005545E9">
              <w:rPr>
                <w:rFonts w:cs="Arial"/>
                <w:color w:val="auto"/>
                <w:sz w:val="20"/>
                <w:szCs w:val="20"/>
              </w:rPr>
              <w:t>.</w:t>
            </w:r>
            <w:r w:rsidR="002A7825" w:rsidRPr="005545E9">
              <w:rPr>
                <w:rFonts w:cs="Arial"/>
                <w:color w:val="auto"/>
                <w:sz w:val="20"/>
                <w:szCs w:val="20"/>
              </w:rPr>
              <w:t>7</w:t>
            </w:r>
            <w:r w:rsidR="005545E9" w:rsidRPr="005545E9">
              <w:rPr>
                <w:rFonts w:cs="Arial"/>
                <w:color w:val="auto"/>
                <w:sz w:val="20"/>
                <w:szCs w:val="20"/>
              </w:rPr>
              <w:t>0</w:t>
            </w:r>
            <w:r w:rsidRPr="005545E9">
              <w:rPr>
                <w:rFonts w:cs="Arial"/>
                <w:color w:val="auto"/>
                <w:sz w:val="20"/>
                <w:szCs w:val="20"/>
              </w:rPr>
              <w:t xml:space="preserve"> 1</w:t>
            </w:r>
            <w:r w:rsidR="005545E9" w:rsidRPr="005545E9">
              <w:rPr>
                <w:rFonts w:cs="Arial"/>
                <w:color w:val="auto"/>
                <w:sz w:val="20"/>
                <w:szCs w:val="20"/>
              </w:rPr>
              <w:t>6</w:t>
            </w:r>
            <w:r w:rsidRPr="005545E9">
              <w:rPr>
                <w:rFonts w:cs="Arial"/>
                <w:color w:val="auto"/>
                <w:sz w:val="20"/>
                <w:szCs w:val="20"/>
              </w:rPr>
              <w:t>/1</w:t>
            </w:r>
            <w:r w:rsidR="005545E9" w:rsidRPr="005545E9">
              <w:rPr>
                <w:rFonts w:cs="Arial"/>
                <w:color w:val="auto"/>
                <w:sz w:val="20"/>
                <w:szCs w:val="20"/>
              </w:rPr>
              <w:t>7</w:t>
            </w:r>
            <w:r w:rsidRPr="005545E9">
              <w:rPr>
                <w:rFonts w:cs="Arial"/>
                <w:color w:val="auto"/>
                <w:sz w:val="20"/>
                <w:szCs w:val="20"/>
              </w:rPr>
              <w:t>)</w:t>
            </w:r>
          </w:p>
        </w:tc>
        <w:tc>
          <w:tcPr>
            <w:tcW w:w="1159" w:type="dxa"/>
          </w:tcPr>
          <w:p w:rsidR="00F17C3C" w:rsidRPr="00F40A01" w:rsidRDefault="00F17C3C" w:rsidP="004B68AE">
            <w:pPr>
              <w:pStyle w:val="BodyTextIndent"/>
              <w:tabs>
                <w:tab w:val="left" w:pos="1350"/>
              </w:tabs>
              <w:ind w:left="0"/>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244" w:type="dxa"/>
          </w:tcPr>
          <w:p w:rsidR="00F17C3C" w:rsidRPr="00F40A01" w:rsidRDefault="00C969C6" w:rsidP="005545E9">
            <w:pPr>
              <w:pStyle w:val="BodyTextIndent"/>
              <w:tabs>
                <w:tab w:val="left" w:pos="1350"/>
              </w:tabs>
              <w:ind w:left="0"/>
              <w:jc w:val="right"/>
              <w:rPr>
                <w:rFonts w:cs="Arial"/>
                <w:b/>
                <w:color w:val="auto"/>
                <w:sz w:val="20"/>
                <w:szCs w:val="20"/>
              </w:rPr>
            </w:pPr>
            <w:r w:rsidRPr="00F40A01">
              <w:rPr>
                <w:rFonts w:cs="Arial"/>
                <w:b/>
                <w:color w:val="auto"/>
                <w:sz w:val="20"/>
                <w:szCs w:val="20"/>
              </w:rPr>
              <w:t>5,</w:t>
            </w:r>
            <w:r w:rsidR="005545E9" w:rsidRPr="00F40A01">
              <w:rPr>
                <w:rFonts w:cs="Arial"/>
                <w:b/>
                <w:color w:val="auto"/>
                <w:sz w:val="20"/>
                <w:szCs w:val="20"/>
              </w:rPr>
              <w:t>900</w:t>
            </w:r>
            <w:r w:rsidR="007326B2" w:rsidRPr="00F40A01">
              <w:rPr>
                <w:rFonts w:cs="Arial"/>
                <w:b/>
                <w:color w:val="auto"/>
                <w:sz w:val="20"/>
                <w:szCs w:val="20"/>
              </w:rPr>
              <w:t>.</w:t>
            </w:r>
            <w:r w:rsidR="005545E9" w:rsidRPr="00F40A01">
              <w:rPr>
                <w:rFonts w:cs="Arial"/>
                <w:b/>
                <w:color w:val="auto"/>
                <w:sz w:val="20"/>
                <w:szCs w:val="20"/>
              </w:rPr>
              <w:t>83</w:t>
            </w:r>
          </w:p>
        </w:tc>
        <w:tc>
          <w:tcPr>
            <w:tcW w:w="1449" w:type="dxa"/>
          </w:tcPr>
          <w:p w:rsidR="00F17C3C" w:rsidRPr="00F40A01" w:rsidRDefault="00C969C6" w:rsidP="00F40A01">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40A01">
              <w:rPr>
                <w:rFonts w:cs="Arial"/>
                <w:color w:val="auto"/>
                <w:sz w:val="20"/>
                <w:szCs w:val="20"/>
              </w:rPr>
              <w:t>(5,</w:t>
            </w:r>
            <w:r w:rsidR="005545E9" w:rsidRPr="00F40A01">
              <w:rPr>
                <w:rFonts w:cs="Arial"/>
                <w:color w:val="auto"/>
                <w:sz w:val="20"/>
                <w:szCs w:val="20"/>
              </w:rPr>
              <w:t>811.07</w:t>
            </w:r>
            <w:r w:rsidRPr="00F40A01">
              <w:rPr>
                <w:rFonts w:cs="Arial"/>
                <w:color w:val="auto"/>
                <w:sz w:val="20"/>
                <w:szCs w:val="20"/>
              </w:rPr>
              <w:t xml:space="preserve"> 1</w:t>
            </w:r>
            <w:r w:rsidR="005545E9" w:rsidRPr="00F40A01">
              <w:rPr>
                <w:rFonts w:cs="Arial"/>
                <w:color w:val="auto"/>
                <w:sz w:val="20"/>
                <w:szCs w:val="20"/>
              </w:rPr>
              <w:t>6</w:t>
            </w:r>
            <w:r w:rsidRPr="00F40A01">
              <w:rPr>
                <w:rFonts w:cs="Arial"/>
                <w:color w:val="auto"/>
                <w:sz w:val="20"/>
                <w:szCs w:val="20"/>
              </w:rPr>
              <w:t>/1</w:t>
            </w:r>
            <w:r w:rsidR="005545E9" w:rsidRPr="00F40A01">
              <w:rPr>
                <w:rFonts w:cs="Arial"/>
                <w:color w:val="auto"/>
                <w:sz w:val="20"/>
                <w:szCs w:val="20"/>
              </w:rPr>
              <w:t>7</w:t>
            </w:r>
            <w:r w:rsidRPr="00F40A01">
              <w:rPr>
                <w:rFonts w:cs="Arial"/>
                <w:color w:val="auto"/>
                <w:sz w:val="20"/>
                <w:szCs w:val="20"/>
              </w:rPr>
              <w:t>)</w:t>
            </w:r>
          </w:p>
        </w:tc>
      </w:tr>
      <w:tr w:rsidR="009142A8" w:rsidRPr="0005794A" w:rsidTr="00D85DF8">
        <w:trPr>
          <w:trHeight w:val="419"/>
        </w:trPr>
        <w:tc>
          <w:tcPr>
            <w:cnfStyle w:val="000010000000" w:firstRow="0" w:lastRow="0" w:firstColumn="0" w:lastColumn="0" w:oddVBand="1" w:evenVBand="0" w:oddHBand="0" w:evenHBand="0" w:firstRowFirstColumn="0" w:firstRowLastColumn="0" w:lastRowFirstColumn="0" w:lastRowLastColumn="0"/>
            <w:tcW w:w="3252" w:type="dxa"/>
            <w:gridSpan w:val="3"/>
          </w:tcPr>
          <w:p w:rsidR="009142A8" w:rsidRPr="0005794A" w:rsidRDefault="009142A8" w:rsidP="006507E5">
            <w:pPr>
              <w:pStyle w:val="BodyTextIndent"/>
              <w:tabs>
                <w:tab w:val="left" w:pos="1350"/>
              </w:tabs>
              <w:ind w:left="0"/>
              <w:jc w:val="center"/>
              <w:rPr>
                <w:rFonts w:cs="Arial"/>
                <w:color w:val="548DD4" w:themeColor="text2" w:themeTint="99"/>
                <w:sz w:val="20"/>
                <w:szCs w:val="20"/>
              </w:rPr>
            </w:pPr>
          </w:p>
        </w:tc>
        <w:tc>
          <w:tcPr>
            <w:tcW w:w="1254" w:type="dxa"/>
          </w:tcPr>
          <w:p w:rsidR="009142A8" w:rsidRPr="0005794A" w:rsidRDefault="009142A8" w:rsidP="004B68AE">
            <w:pPr>
              <w:pStyle w:val="BodyTextIndent"/>
              <w:tabs>
                <w:tab w:val="left" w:pos="1350"/>
              </w:tabs>
              <w:ind w:left="331" w:hanging="331"/>
              <w:jc w:val="right"/>
              <w:cnfStyle w:val="000000000000" w:firstRow="0" w:lastRow="0" w:firstColumn="0" w:lastColumn="0" w:oddVBand="0" w:evenVBand="0" w:oddHBand="0" w:evenHBand="0" w:firstRowFirstColumn="0" w:firstRowLastColumn="0" w:lastRowFirstColumn="0" w:lastRowLastColumn="0"/>
              <w:rPr>
                <w:rFonts w:cs="Arial"/>
                <w:b/>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1272" w:type="dxa"/>
          </w:tcPr>
          <w:p w:rsidR="009142A8" w:rsidRPr="0005794A" w:rsidRDefault="009142A8" w:rsidP="004B68AE">
            <w:pPr>
              <w:pStyle w:val="BodyTextIndent"/>
              <w:tabs>
                <w:tab w:val="left" w:pos="1350"/>
              </w:tabs>
              <w:ind w:left="0"/>
              <w:jc w:val="center"/>
              <w:rPr>
                <w:rFonts w:cs="Arial"/>
                <w:color w:val="548DD4" w:themeColor="text2" w:themeTint="99"/>
                <w:sz w:val="20"/>
                <w:szCs w:val="20"/>
              </w:rPr>
            </w:pPr>
          </w:p>
        </w:tc>
        <w:tc>
          <w:tcPr>
            <w:tcW w:w="1159" w:type="dxa"/>
          </w:tcPr>
          <w:p w:rsidR="009142A8" w:rsidRPr="0005794A" w:rsidRDefault="009142A8" w:rsidP="004B68AE">
            <w:pPr>
              <w:pStyle w:val="BodyTextIndent"/>
              <w:tabs>
                <w:tab w:val="left" w:pos="1350"/>
              </w:tabs>
              <w:ind w:left="0"/>
              <w:jc w:val="right"/>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20"/>
                <w:szCs w:val="20"/>
              </w:rPr>
            </w:pPr>
          </w:p>
        </w:tc>
        <w:tc>
          <w:tcPr>
            <w:cnfStyle w:val="000010000000" w:firstRow="0" w:lastRow="0" w:firstColumn="0" w:lastColumn="0" w:oddVBand="1" w:evenVBand="0" w:oddHBand="0" w:evenHBand="0" w:firstRowFirstColumn="0" w:firstRowLastColumn="0" w:lastRowFirstColumn="0" w:lastRowLastColumn="0"/>
            <w:tcW w:w="1244" w:type="dxa"/>
          </w:tcPr>
          <w:p w:rsidR="009142A8" w:rsidRPr="0005794A" w:rsidRDefault="009142A8" w:rsidP="004B68AE">
            <w:pPr>
              <w:pStyle w:val="BodyTextIndent"/>
              <w:tabs>
                <w:tab w:val="left" w:pos="1350"/>
              </w:tabs>
              <w:ind w:left="0"/>
              <w:jc w:val="right"/>
              <w:rPr>
                <w:rFonts w:cs="Arial"/>
                <w:b/>
                <w:color w:val="548DD4" w:themeColor="text2" w:themeTint="99"/>
                <w:sz w:val="20"/>
                <w:szCs w:val="20"/>
              </w:rPr>
            </w:pPr>
          </w:p>
        </w:tc>
        <w:tc>
          <w:tcPr>
            <w:tcW w:w="1449" w:type="dxa"/>
          </w:tcPr>
          <w:p w:rsidR="009142A8" w:rsidRPr="0005794A" w:rsidRDefault="009142A8" w:rsidP="004B68AE">
            <w:pPr>
              <w:pStyle w:val="BodyTextIndent"/>
              <w:tabs>
                <w:tab w:val="left" w:pos="1350"/>
              </w:tabs>
              <w:ind w:left="0"/>
              <w:jc w:val="center"/>
              <w:cnfStyle w:val="000000000000" w:firstRow="0" w:lastRow="0" w:firstColumn="0" w:lastColumn="0" w:oddVBand="0" w:evenVBand="0" w:oddHBand="0" w:evenHBand="0" w:firstRowFirstColumn="0" w:firstRowLastColumn="0" w:lastRowFirstColumn="0" w:lastRowLastColumn="0"/>
              <w:rPr>
                <w:rFonts w:cs="Arial"/>
                <w:color w:val="548DD4" w:themeColor="text2" w:themeTint="99"/>
                <w:sz w:val="20"/>
                <w:szCs w:val="20"/>
              </w:rPr>
            </w:pPr>
          </w:p>
        </w:tc>
      </w:tr>
      <w:tr w:rsidR="00E34C6B" w:rsidRPr="0005794A" w:rsidTr="00D85DF8">
        <w:trPr>
          <w:cnfStyle w:val="000000100000" w:firstRow="0" w:lastRow="0" w:firstColumn="0" w:lastColumn="0" w:oddVBand="0" w:evenVBand="0" w:oddHBand="1" w:evenHBand="0" w:firstRowFirstColumn="0" w:firstRowLastColumn="0" w:lastRowFirstColumn="0" w:lastRowLastColumn="0"/>
          <w:trHeight w:val="419"/>
        </w:trPr>
        <w:tc>
          <w:tcPr>
            <w:cnfStyle w:val="000010000000" w:firstRow="0" w:lastRow="0" w:firstColumn="0" w:lastColumn="0" w:oddVBand="1" w:evenVBand="0" w:oddHBand="0" w:evenHBand="0" w:firstRowFirstColumn="0" w:firstRowLastColumn="0" w:lastRowFirstColumn="0" w:lastRowLastColumn="0"/>
            <w:tcW w:w="4506" w:type="dxa"/>
            <w:gridSpan w:val="4"/>
          </w:tcPr>
          <w:p w:rsidR="00E34C6B" w:rsidRPr="00F40A01" w:rsidRDefault="00E34C6B" w:rsidP="004B68AE">
            <w:pPr>
              <w:pStyle w:val="BodyTextIndent"/>
              <w:tabs>
                <w:tab w:val="left" w:pos="1350"/>
              </w:tabs>
              <w:ind w:left="331" w:hanging="331"/>
              <w:jc w:val="right"/>
              <w:rPr>
                <w:rFonts w:cs="Arial"/>
                <w:b/>
                <w:color w:val="auto"/>
                <w:sz w:val="20"/>
                <w:szCs w:val="20"/>
              </w:rPr>
            </w:pPr>
            <w:r w:rsidRPr="00F40A01">
              <w:rPr>
                <w:color w:val="auto"/>
                <w:sz w:val="20"/>
                <w:szCs w:val="20"/>
              </w:rPr>
              <w:t xml:space="preserve">Band D Council Tax (excluding </w:t>
            </w:r>
            <w:proofErr w:type="spellStart"/>
            <w:r w:rsidRPr="00F40A01">
              <w:rPr>
                <w:color w:val="auto"/>
                <w:sz w:val="20"/>
                <w:szCs w:val="20"/>
              </w:rPr>
              <w:t>Brixham</w:t>
            </w:r>
            <w:proofErr w:type="spellEnd"/>
            <w:r w:rsidRPr="00F40A01">
              <w:rPr>
                <w:color w:val="auto"/>
                <w:sz w:val="20"/>
                <w:szCs w:val="20"/>
              </w:rPr>
              <w:t xml:space="preserve"> Town Council precept)</w:t>
            </w:r>
          </w:p>
        </w:tc>
        <w:tc>
          <w:tcPr>
            <w:tcW w:w="1272" w:type="dxa"/>
          </w:tcPr>
          <w:p w:rsidR="00E34C6B" w:rsidRPr="00F40A01" w:rsidRDefault="00C969C6" w:rsidP="003E404F">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40A01">
              <w:rPr>
                <w:rFonts w:cs="Arial"/>
                <w:color w:val="auto"/>
                <w:sz w:val="20"/>
                <w:szCs w:val="20"/>
              </w:rPr>
              <w:t>1,</w:t>
            </w:r>
            <w:r w:rsidR="00F40A01" w:rsidRPr="00F40A01">
              <w:rPr>
                <w:rFonts w:cs="Arial"/>
                <w:color w:val="auto"/>
                <w:sz w:val="20"/>
                <w:szCs w:val="20"/>
              </w:rPr>
              <w:t>634.78</w:t>
            </w:r>
          </w:p>
          <w:p w:rsidR="00C969C6" w:rsidRPr="00F40A01" w:rsidRDefault="00C969C6" w:rsidP="00F40A01">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40A01">
              <w:rPr>
                <w:rFonts w:cs="Arial"/>
                <w:color w:val="auto"/>
                <w:sz w:val="20"/>
                <w:szCs w:val="20"/>
              </w:rPr>
              <w:t>(1,5</w:t>
            </w:r>
            <w:r w:rsidR="00F40A01" w:rsidRPr="00F40A01">
              <w:rPr>
                <w:rFonts w:cs="Arial"/>
                <w:color w:val="auto"/>
                <w:sz w:val="20"/>
                <w:szCs w:val="20"/>
              </w:rPr>
              <w:t>64</w:t>
            </w:r>
            <w:r w:rsidRPr="00F40A01">
              <w:rPr>
                <w:rFonts w:cs="Arial"/>
                <w:color w:val="auto"/>
                <w:sz w:val="20"/>
                <w:szCs w:val="20"/>
              </w:rPr>
              <w:t>.</w:t>
            </w:r>
            <w:r w:rsidR="00F40A01" w:rsidRPr="00F40A01">
              <w:rPr>
                <w:rFonts w:cs="Arial"/>
                <w:color w:val="auto"/>
                <w:sz w:val="20"/>
                <w:szCs w:val="20"/>
              </w:rPr>
              <w:t>31</w:t>
            </w:r>
            <w:r w:rsidRPr="00F40A01">
              <w:rPr>
                <w:rFonts w:cs="Arial"/>
                <w:color w:val="auto"/>
                <w:sz w:val="20"/>
                <w:szCs w:val="20"/>
              </w:rPr>
              <w:t xml:space="preserve"> 1</w:t>
            </w:r>
            <w:r w:rsidR="00F40A01" w:rsidRPr="00F40A01">
              <w:rPr>
                <w:rFonts w:cs="Arial"/>
                <w:color w:val="auto"/>
                <w:sz w:val="20"/>
                <w:szCs w:val="20"/>
              </w:rPr>
              <w:t>6</w:t>
            </w:r>
            <w:r w:rsidRPr="00F40A01">
              <w:rPr>
                <w:rFonts w:cs="Arial"/>
                <w:color w:val="auto"/>
                <w:sz w:val="20"/>
                <w:szCs w:val="20"/>
              </w:rPr>
              <w:t>/1</w:t>
            </w:r>
            <w:r w:rsidR="00F40A01" w:rsidRPr="00F40A01">
              <w:rPr>
                <w:rFonts w:cs="Arial"/>
                <w:color w:val="auto"/>
                <w:sz w:val="20"/>
                <w:szCs w:val="20"/>
              </w:rPr>
              <w:t>7</w:t>
            </w:r>
            <w:r w:rsidRPr="00F40A01">
              <w:rPr>
                <w:rFonts w:cs="Arial"/>
                <w:color w:val="auto"/>
                <w:sz w:val="20"/>
                <w:szCs w:val="20"/>
              </w:rPr>
              <w:t>)</w:t>
            </w:r>
          </w:p>
        </w:tc>
        <w:tc>
          <w:tcPr>
            <w:cnfStyle w:val="000010000000" w:firstRow="0" w:lastRow="0" w:firstColumn="0" w:lastColumn="0" w:oddVBand="1" w:evenVBand="0" w:oddHBand="0" w:evenHBand="0" w:firstRowFirstColumn="0" w:firstRowLastColumn="0" w:lastRowFirstColumn="0" w:lastRowLastColumn="0"/>
            <w:tcW w:w="2403" w:type="dxa"/>
            <w:gridSpan w:val="2"/>
          </w:tcPr>
          <w:p w:rsidR="00E34C6B" w:rsidRPr="00F40A01" w:rsidRDefault="00E34C6B" w:rsidP="004B68AE">
            <w:pPr>
              <w:pStyle w:val="BodyTextIndent"/>
              <w:tabs>
                <w:tab w:val="left" w:pos="1350"/>
              </w:tabs>
              <w:ind w:left="0"/>
              <w:jc w:val="right"/>
              <w:rPr>
                <w:rFonts w:cs="Arial"/>
                <w:b/>
                <w:color w:val="auto"/>
                <w:sz w:val="20"/>
                <w:szCs w:val="20"/>
              </w:rPr>
            </w:pPr>
            <w:r w:rsidRPr="00F40A01">
              <w:rPr>
                <w:color w:val="auto"/>
                <w:sz w:val="20"/>
                <w:szCs w:val="20"/>
              </w:rPr>
              <w:t xml:space="preserve">Band D Council Tax (including </w:t>
            </w:r>
            <w:proofErr w:type="spellStart"/>
            <w:r w:rsidRPr="00F40A01">
              <w:rPr>
                <w:color w:val="auto"/>
                <w:sz w:val="20"/>
                <w:szCs w:val="20"/>
              </w:rPr>
              <w:t>Brixham</w:t>
            </w:r>
            <w:proofErr w:type="spellEnd"/>
            <w:r w:rsidRPr="00F40A01">
              <w:rPr>
                <w:color w:val="auto"/>
                <w:sz w:val="20"/>
                <w:szCs w:val="20"/>
              </w:rPr>
              <w:t xml:space="preserve"> Town Council precept)</w:t>
            </w:r>
          </w:p>
        </w:tc>
        <w:tc>
          <w:tcPr>
            <w:tcW w:w="1449" w:type="dxa"/>
          </w:tcPr>
          <w:p w:rsidR="00E34C6B" w:rsidRPr="00F40A01" w:rsidRDefault="00C969C6" w:rsidP="00ED6A5B">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40A01">
              <w:rPr>
                <w:rFonts w:cs="Arial"/>
                <w:color w:val="auto"/>
                <w:sz w:val="20"/>
                <w:szCs w:val="20"/>
              </w:rPr>
              <w:t>1,</w:t>
            </w:r>
            <w:r w:rsidR="008E13ED" w:rsidRPr="00F40A01">
              <w:rPr>
                <w:rFonts w:cs="Arial"/>
                <w:color w:val="auto"/>
                <w:sz w:val="20"/>
                <w:szCs w:val="20"/>
              </w:rPr>
              <w:t>6</w:t>
            </w:r>
            <w:r w:rsidR="00F40A01" w:rsidRPr="00F40A01">
              <w:rPr>
                <w:rFonts w:cs="Arial"/>
                <w:color w:val="auto"/>
                <w:sz w:val="20"/>
                <w:szCs w:val="20"/>
              </w:rPr>
              <w:t>77.82</w:t>
            </w:r>
          </w:p>
          <w:p w:rsidR="00C969C6" w:rsidRPr="00F40A01" w:rsidRDefault="00C969C6" w:rsidP="00F40A01">
            <w:pPr>
              <w:pStyle w:val="BodyTextIndent"/>
              <w:tabs>
                <w:tab w:val="left" w:pos="1350"/>
              </w:tabs>
              <w:ind w:left="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F40A01">
              <w:rPr>
                <w:rFonts w:cs="Arial"/>
                <w:color w:val="auto"/>
                <w:sz w:val="20"/>
                <w:szCs w:val="20"/>
              </w:rPr>
              <w:t>(1,</w:t>
            </w:r>
            <w:r w:rsidR="00F40A01" w:rsidRPr="00F40A01">
              <w:rPr>
                <w:rFonts w:cs="Arial"/>
                <w:color w:val="auto"/>
                <w:sz w:val="20"/>
                <w:szCs w:val="20"/>
              </w:rPr>
              <w:t>604.55</w:t>
            </w:r>
            <w:r w:rsidRPr="00F40A01">
              <w:rPr>
                <w:rFonts w:cs="Arial"/>
                <w:color w:val="auto"/>
                <w:sz w:val="20"/>
                <w:szCs w:val="20"/>
              </w:rPr>
              <w:t xml:space="preserve"> 1</w:t>
            </w:r>
            <w:r w:rsidR="00F40A01" w:rsidRPr="00F40A01">
              <w:rPr>
                <w:rFonts w:cs="Arial"/>
                <w:color w:val="auto"/>
                <w:sz w:val="20"/>
                <w:szCs w:val="20"/>
              </w:rPr>
              <w:t>6</w:t>
            </w:r>
            <w:r w:rsidRPr="00F40A01">
              <w:rPr>
                <w:rFonts w:cs="Arial"/>
                <w:color w:val="auto"/>
                <w:sz w:val="20"/>
                <w:szCs w:val="20"/>
              </w:rPr>
              <w:t>/1</w:t>
            </w:r>
            <w:r w:rsidR="00F40A01" w:rsidRPr="00F40A01">
              <w:rPr>
                <w:rFonts w:cs="Arial"/>
                <w:color w:val="auto"/>
                <w:sz w:val="20"/>
                <w:szCs w:val="20"/>
              </w:rPr>
              <w:t>7</w:t>
            </w:r>
            <w:r w:rsidRPr="00F40A01">
              <w:rPr>
                <w:rFonts w:cs="Arial"/>
                <w:color w:val="auto"/>
                <w:sz w:val="20"/>
                <w:szCs w:val="20"/>
              </w:rPr>
              <w:t>)</w:t>
            </w:r>
          </w:p>
        </w:tc>
      </w:tr>
    </w:tbl>
    <w:p w:rsidR="006507E5" w:rsidRPr="0005794A" w:rsidRDefault="006507E5" w:rsidP="002E5EB6">
      <w:pPr>
        <w:pStyle w:val="BodyTextIndent"/>
        <w:tabs>
          <w:tab w:val="left" w:pos="1350"/>
        </w:tabs>
        <w:ind w:left="0"/>
        <w:rPr>
          <w:rFonts w:eastAsia="Arial" w:cs="Arial"/>
          <w:color w:val="548DD4" w:themeColor="text2" w:themeTint="99"/>
          <w:sz w:val="20"/>
          <w:szCs w:val="20"/>
          <w:lang w:eastAsia="en-GB"/>
        </w:rPr>
      </w:pPr>
    </w:p>
    <w:p w:rsidR="00E13756" w:rsidRPr="0005794A" w:rsidRDefault="00E13756" w:rsidP="002E5EB6">
      <w:pPr>
        <w:pStyle w:val="BodyTextIndent"/>
        <w:tabs>
          <w:tab w:val="left" w:pos="420"/>
        </w:tabs>
        <w:ind w:left="0"/>
        <w:rPr>
          <w:b/>
          <w:color w:val="548DD4" w:themeColor="text2" w:themeTint="99"/>
        </w:rPr>
      </w:pPr>
    </w:p>
    <w:p w:rsidR="00E51139" w:rsidRPr="00D3628C" w:rsidRDefault="00A16E08" w:rsidP="006507E5">
      <w:pPr>
        <w:pStyle w:val="BodyTextIndent"/>
        <w:tabs>
          <w:tab w:val="left" w:pos="567"/>
        </w:tabs>
        <w:ind w:left="0"/>
        <w:rPr>
          <w:b/>
          <w:color w:val="auto"/>
        </w:rPr>
      </w:pPr>
      <w:r w:rsidRPr="00D3628C">
        <w:rPr>
          <w:b/>
          <w:color w:val="auto"/>
        </w:rPr>
        <w:t>B</w:t>
      </w:r>
      <w:r w:rsidR="006507E5" w:rsidRPr="00D3628C">
        <w:rPr>
          <w:b/>
          <w:color w:val="auto"/>
        </w:rPr>
        <w:t>)</w:t>
      </w:r>
      <w:r w:rsidR="006507E5" w:rsidRPr="00D3628C">
        <w:rPr>
          <w:b/>
          <w:color w:val="auto"/>
        </w:rPr>
        <w:tab/>
      </w:r>
      <w:r w:rsidR="00E51139" w:rsidRPr="00D3628C">
        <w:rPr>
          <w:b/>
          <w:color w:val="auto"/>
        </w:rPr>
        <w:t>Income from Business Rates</w:t>
      </w:r>
    </w:p>
    <w:p w:rsidR="00E51139" w:rsidRPr="00D3628C" w:rsidRDefault="00E51139" w:rsidP="006507E5">
      <w:pPr>
        <w:pStyle w:val="BodyTextIndent"/>
        <w:tabs>
          <w:tab w:val="left" w:pos="1350"/>
        </w:tabs>
        <w:ind w:left="567"/>
        <w:rPr>
          <w:color w:val="auto"/>
          <w:sz w:val="20"/>
          <w:szCs w:val="20"/>
        </w:rPr>
      </w:pPr>
      <w:r w:rsidRPr="00D3628C">
        <w:rPr>
          <w:color w:val="auto"/>
          <w:sz w:val="20"/>
          <w:szCs w:val="20"/>
        </w:rPr>
        <w:t>Under the arrangements for uniform business rates, the Council collects non-domestic rates for its area, which are based on local rateable values multiplied by a uniform rate.  The total rateable value as at 31st March 201</w:t>
      </w:r>
      <w:r w:rsidR="00C675E7" w:rsidRPr="00D3628C">
        <w:rPr>
          <w:color w:val="auto"/>
          <w:sz w:val="20"/>
          <w:szCs w:val="20"/>
        </w:rPr>
        <w:t>8</w:t>
      </w:r>
      <w:r w:rsidRPr="00D3628C">
        <w:rPr>
          <w:color w:val="auto"/>
          <w:sz w:val="20"/>
          <w:szCs w:val="20"/>
        </w:rPr>
        <w:t xml:space="preserve"> was £</w:t>
      </w:r>
      <w:r w:rsidR="00C675E7" w:rsidRPr="00D3628C">
        <w:rPr>
          <w:color w:val="auto"/>
          <w:sz w:val="20"/>
          <w:szCs w:val="20"/>
        </w:rPr>
        <w:t>93</w:t>
      </w:r>
      <w:r w:rsidR="008530BF" w:rsidRPr="00D3628C">
        <w:rPr>
          <w:color w:val="auto"/>
          <w:sz w:val="20"/>
          <w:szCs w:val="20"/>
        </w:rPr>
        <w:t>.</w:t>
      </w:r>
      <w:r w:rsidR="00C675E7" w:rsidRPr="00D3628C">
        <w:rPr>
          <w:color w:val="auto"/>
          <w:sz w:val="20"/>
          <w:szCs w:val="20"/>
        </w:rPr>
        <w:t>0</w:t>
      </w:r>
      <w:r w:rsidRPr="00D3628C">
        <w:rPr>
          <w:color w:val="auto"/>
          <w:sz w:val="20"/>
          <w:szCs w:val="20"/>
        </w:rPr>
        <w:t>m (201</w:t>
      </w:r>
      <w:r w:rsidR="00C675E7" w:rsidRPr="00D3628C">
        <w:rPr>
          <w:color w:val="auto"/>
          <w:sz w:val="20"/>
          <w:szCs w:val="20"/>
        </w:rPr>
        <w:t>6</w:t>
      </w:r>
      <w:r w:rsidR="00CF076D" w:rsidRPr="00D3628C">
        <w:rPr>
          <w:color w:val="auto"/>
          <w:sz w:val="20"/>
          <w:szCs w:val="20"/>
        </w:rPr>
        <w:t>/1</w:t>
      </w:r>
      <w:r w:rsidR="00C675E7" w:rsidRPr="00D3628C">
        <w:rPr>
          <w:color w:val="auto"/>
          <w:sz w:val="20"/>
          <w:szCs w:val="20"/>
        </w:rPr>
        <w:t>7</w:t>
      </w:r>
      <w:r w:rsidRPr="00D3628C">
        <w:rPr>
          <w:color w:val="auto"/>
          <w:sz w:val="20"/>
          <w:szCs w:val="20"/>
        </w:rPr>
        <w:t>: £</w:t>
      </w:r>
      <w:r w:rsidR="00CF076D" w:rsidRPr="00D3628C">
        <w:rPr>
          <w:color w:val="auto"/>
          <w:sz w:val="20"/>
          <w:szCs w:val="20"/>
        </w:rPr>
        <w:t>9</w:t>
      </w:r>
      <w:r w:rsidR="00AE30BF" w:rsidRPr="00D3628C">
        <w:rPr>
          <w:color w:val="auto"/>
          <w:sz w:val="20"/>
          <w:szCs w:val="20"/>
        </w:rPr>
        <w:t>8</w:t>
      </w:r>
      <w:r w:rsidR="00CF076D" w:rsidRPr="00D3628C">
        <w:rPr>
          <w:color w:val="auto"/>
          <w:sz w:val="20"/>
          <w:szCs w:val="20"/>
        </w:rPr>
        <w:t>.</w:t>
      </w:r>
      <w:r w:rsidR="00072242" w:rsidRPr="00D3628C">
        <w:rPr>
          <w:color w:val="auto"/>
          <w:sz w:val="20"/>
          <w:szCs w:val="20"/>
        </w:rPr>
        <w:t>3</w:t>
      </w:r>
      <w:r w:rsidRPr="00D3628C">
        <w:rPr>
          <w:color w:val="auto"/>
          <w:sz w:val="20"/>
          <w:szCs w:val="20"/>
        </w:rPr>
        <w:t xml:space="preserve">m). </w:t>
      </w:r>
    </w:p>
    <w:p w:rsidR="00E51139" w:rsidRPr="00D3628C" w:rsidRDefault="00E51139" w:rsidP="006507E5">
      <w:pPr>
        <w:pStyle w:val="BodyTextIndent"/>
        <w:tabs>
          <w:tab w:val="left" w:pos="0"/>
        </w:tabs>
        <w:ind w:left="567"/>
        <w:rPr>
          <w:color w:val="auto"/>
          <w:sz w:val="20"/>
          <w:szCs w:val="20"/>
        </w:rPr>
      </w:pPr>
      <w:r w:rsidRPr="00D3628C">
        <w:rPr>
          <w:color w:val="auto"/>
          <w:sz w:val="20"/>
          <w:szCs w:val="20"/>
        </w:rPr>
        <w:t>In line with the Local Government Act 2003, from 1st April 2005, there are two multipliers, the small business non-domestic rating multiplier, which is applicable to those that qualify for the small business relief; and the non-domestic rating multiplier, which includes the supplement to pay for small business relief. The small business non-domestic rating multiplier for 201</w:t>
      </w:r>
      <w:r w:rsidR="00C675E7" w:rsidRPr="00D3628C">
        <w:rPr>
          <w:color w:val="auto"/>
          <w:sz w:val="20"/>
          <w:szCs w:val="20"/>
        </w:rPr>
        <w:t>7</w:t>
      </w:r>
      <w:r w:rsidR="00CF076D" w:rsidRPr="00D3628C">
        <w:rPr>
          <w:color w:val="auto"/>
          <w:sz w:val="20"/>
          <w:szCs w:val="20"/>
        </w:rPr>
        <w:t>/1</w:t>
      </w:r>
      <w:r w:rsidR="00C675E7" w:rsidRPr="00D3628C">
        <w:rPr>
          <w:color w:val="auto"/>
          <w:sz w:val="20"/>
          <w:szCs w:val="20"/>
        </w:rPr>
        <w:t>8</w:t>
      </w:r>
      <w:r w:rsidRPr="00D3628C">
        <w:rPr>
          <w:color w:val="auto"/>
          <w:sz w:val="20"/>
          <w:szCs w:val="20"/>
        </w:rPr>
        <w:t xml:space="preserve"> was </w:t>
      </w:r>
      <w:r w:rsidR="007358BD" w:rsidRPr="00D3628C">
        <w:rPr>
          <w:color w:val="auto"/>
          <w:sz w:val="20"/>
          <w:szCs w:val="20"/>
        </w:rPr>
        <w:t>4</w:t>
      </w:r>
      <w:r w:rsidR="00C675E7" w:rsidRPr="00D3628C">
        <w:rPr>
          <w:color w:val="auto"/>
          <w:sz w:val="20"/>
          <w:szCs w:val="20"/>
        </w:rPr>
        <w:t>6</w:t>
      </w:r>
      <w:r w:rsidR="007358BD" w:rsidRPr="00D3628C">
        <w:rPr>
          <w:color w:val="auto"/>
          <w:sz w:val="20"/>
          <w:szCs w:val="20"/>
        </w:rPr>
        <w:t>.</w:t>
      </w:r>
      <w:r w:rsidR="00C675E7" w:rsidRPr="00D3628C">
        <w:rPr>
          <w:color w:val="auto"/>
          <w:sz w:val="20"/>
          <w:szCs w:val="20"/>
        </w:rPr>
        <w:t>6</w:t>
      </w:r>
      <w:r w:rsidRPr="00D3628C">
        <w:rPr>
          <w:color w:val="auto"/>
          <w:sz w:val="20"/>
          <w:szCs w:val="20"/>
        </w:rPr>
        <w:t xml:space="preserve"> pence per pound of rateable value and the </w:t>
      </w:r>
      <w:proofErr w:type="spellStart"/>
      <w:r w:rsidRPr="00D3628C">
        <w:rPr>
          <w:color w:val="auto"/>
          <w:sz w:val="20"/>
          <w:szCs w:val="20"/>
        </w:rPr>
        <w:t>non domestic</w:t>
      </w:r>
      <w:proofErr w:type="spellEnd"/>
      <w:r w:rsidRPr="00D3628C">
        <w:rPr>
          <w:color w:val="auto"/>
          <w:sz w:val="20"/>
          <w:szCs w:val="20"/>
        </w:rPr>
        <w:t xml:space="preserve"> rating multiplier was </w:t>
      </w:r>
      <w:r w:rsidR="00E04750" w:rsidRPr="00D3628C">
        <w:rPr>
          <w:color w:val="auto"/>
          <w:sz w:val="20"/>
          <w:szCs w:val="20"/>
        </w:rPr>
        <w:t>4</w:t>
      </w:r>
      <w:r w:rsidR="00C675E7" w:rsidRPr="00D3628C">
        <w:rPr>
          <w:color w:val="auto"/>
          <w:sz w:val="20"/>
          <w:szCs w:val="20"/>
        </w:rPr>
        <w:t>7</w:t>
      </w:r>
      <w:r w:rsidR="007358BD" w:rsidRPr="00D3628C">
        <w:rPr>
          <w:color w:val="auto"/>
          <w:sz w:val="20"/>
          <w:szCs w:val="20"/>
        </w:rPr>
        <w:t>.</w:t>
      </w:r>
      <w:r w:rsidR="00C675E7" w:rsidRPr="00D3628C">
        <w:rPr>
          <w:color w:val="auto"/>
          <w:sz w:val="20"/>
          <w:szCs w:val="20"/>
        </w:rPr>
        <w:t>9</w:t>
      </w:r>
      <w:r w:rsidRPr="00D3628C">
        <w:rPr>
          <w:color w:val="auto"/>
          <w:sz w:val="20"/>
          <w:szCs w:val="20"/>
        </w:rPr>
        <w:t xml:space="preserve"> pence per pound. </w:t>
      </w:r>
    </w:p>
    <w:p w:rsidR="00343BA8" w:rsidRPr="00C675E7" w:rsidRDefault="002124B3" w:rsidP="006507E5">
      <w:pPr>
        <w:pStyle w:val="BodyTextIndent"/>
        <w:tabs>
          <w:tab w:val="left" w:pos="0"/>
        </w:tabs>
        <w:ind w:left="567"/>
        <w:rPr>
          <w:rFonts w:cs="Arial"/>
          <w:color w:val="auto"/>
          <w:sz w:val="20"/>
          <w:szCs w:val="20"/>
          <w:lang w:eastAsia="en-GB"/>
        </w:rPr>
        <w:sectPr w:rsidR="00343BA8" w:rsidRPr="00C675E7" w:rsidSect="00F52EC8">
          <w:headerReference w:type="default" r:id="rId45"/>
          <w:headerReference w:type="first" r:id="rId46"/>
          <w:pgSz w:w="11906" w:h="16838" w:code="9"/>
          <w:pgMar w:top="1440" w:right="1440" w:bottom="1440" w:left="1440" w:header="544" w:footer="544" w:gutter="0"/>
          <w:cols w:space="708"/>
          <w:titlePg/>
          <w:docGrid w:linePitch="360"/>
        </w:sectPr>
      </w:pPr>
      <w:r w:rsidRPr="00C675E7">
        <w:rPr>
          <w:rFonts w:cs="Arial"/>
          <w:color w:val="auto"/>
          <w:sz w:val="20"/>
          <w:szCs w:val="20"/>
          <w:lang w:eastAsia="en-GB"/>
        </w:rPr>
        <w:t xml:space="preserve">In </w:t>
      </w:r>
      <w:r w:rsidR="00E51139" w:rsidRPr="00C675E7">
        <w:rPr>
          <w:rFonts w:cs="Arial"/>
          <w:color w:val="auto"/>
          <w:sz w:val="20"/>
          <w:szCs w:val="20"/>
          <w:lang w:eastAsia="en-GB"/>
        </w:rPr>
        <w:t>April 2013 the NNDR retention scheme was introduced with Councils now responsible for a percentage share of all transactions in relation to NNDR income in their area. This to include movement up and down in NNDR income, (up to a safety net), which includes the payment of any outstanding NNDR appeals as at 31st March 201</w:t>
      </w:r>
      <w:r w:rsidR="00C675E7" w:rsidRPr="00C675E7">
        <w:rPr>
          <w:rFonts w:cs="Arial"/>
          <w:color w:val="auto"/>
          <w:sz w:val="20"/>
          <w:szCs w:val="20"/>
          <w:lang w:eastAsia="en-GB"/>
        </w:rPr>
        <w:t>8</w:t>
      </w:r>
      <w:r w:rsidR="00E51139" w:rsidRPr="00C675E7">
        <w:rPr>
          <w:rFonts w:cs="Arial"/>
          <w:color w:val="auto"/>
          <w:sz w:val="20"/>
          <w:szCs w:val="20"/>
          <w:lang w:eastAsia="en-GB"/>
        </w:rPr>
        <w:t xml:space="preserve"> tha</w:t>
      </w:r>
      <w:r w:rsidR="003426EF" w:rsidRPr="00C675E7">
        <w:rPr>
          <w:rFonts w:cs="Arial"/>
          <w:color w:val="auto"/>
          <w:sz w:val="20"/>
          <w:szCs w:val="20"/>
          <w:lang w:eastAsia="en-GB"/>
        </w:rPr>
        <w:t>t</w:t>
      </w:r>
      <w:r w:rsidR="00E51139" w:rsidRPr="00C675E7">
        <w:rPr>
          <w:rFonts w:cs="Arial"/>
          <w:color w:val="auto"/>
          <w:sz w:val="20"/>
          <w:szCs w:val="20"/>
          <w:lang w:eastAsia="en-GB"/>
        </w:rPr>
        <w:t xml:space="preserve"> have not yet been determined by the valuation office. Torbay Council as a unitary authority </w:t>
      </w:r>
      <w:r w:rsidRPr="00C675E7">
        <w:rPr>
          <w:rFonts w:cs="Arial"/>
          <w:color w:val="auto"/>
          <w:sz w:val="20"/>
          <w:szCs w:val="20"/>
          <w:lang w:eastAsia="en-GB"/>
        </w:rPr>
        <w:t xml:space="preserve">is </w:t>
      </w:r>
      <w:r w:rsidR="00E51139" w:rsidRPr="00C675E7">
        <w:rPr>
          <w:rFonts w:cs="Arial"/>
          <w:color w:val="auto"/>
          <w:sz w:val="20"/>
          <w:szCs w:val="20"/>
          <w:lang w:eastAsia="en-GB"/>
        </w:rPr>
        <w:t xml:space="preserve">responsible for 49% of the NNDR income, Devon and Somerset Fire authority 1% and the Department of Communities and Local Government 50%. </w:t>
      </w:r>
    </w:p>
    <w:p w:rsidR="00E51139" w:rsidRPr="0005794A" w:rsidRDefault="00E51139" w:rsidP="006507E5">
      <w:pPr>
        <w:pStyle w:val="BodyTextIndent"/>
        <w:tabs>
          <w:tab w:val="left" w:pos="0"/>
        </w:tabs>
        <w:ind w:left="567"/>
        <w:rPr>
          <w:rFonts w:cs="Arial"/>
          <w:color w:val="548DD4" w:themeColor="text2" w:themeTint="99"/>
          <w:sz w:val="20"/>
          <w:szCs w:val="20"/>
          <w:lang w:eastAsia="en-GB"/>
        </w:rPr>
      </w:pPr>
    </w:p>
    <w:p w:rsidR="00FA207D" w:rsidRPr="0005794A" w:rsidRDefault="00FA207D" w:rsidP="006507E5">
      <w:pPr>
        <w:pStyle w:val="BodyTextIndent"/>
        <w:tabs>
          <w:tab w:val="left" w:pos="0"/>
        </w:tabs>
        <w:ind w:left="567"/>
        <w:rPr>
          <w:rFonts w:cs="Arial"/>
          <w:color w:val="548DD4" w:themeColor="text2" w:themeTint="99"/>
          <w:sz w:val="20"/>
          <w:szCs w:val="20"/>
          <w:lang w:eastAsia="en-GB"/>
        </w:rPr>
      </w:pPr>
    </w:p>
    <w:p w:rsidR="00E51139" w:rsidRPr="0005794A" w:rsidRDefault="00E51139" w:rsidP="001202F3">
      <w:pPr>
        <w:pStyle w:val="BodyTextIndent"/>
        <w:tabs>
          <w:tab w:val="left" w:pos="1350"/>
        </w:tabs>
        <w:ind w:left="630"/>
        <w:jc w:val="center"/>
        <w:rPr>
          <w:b/>
          <w:color w:val="548DD4" w:themeColor="text2" w:themeTint="99"/>
          <w:sz w:val="24"/>
          <w:szCs w:val="24"/>
        </w:rPr>
      </w:pPr>
    </w:p>
    <w:p w:rsidR="00E51139" w:rsidRPr="0005794A" w:rsidRDefault="00E51139" w:rsidP="005D121D">
      <w:pPr>
        <w:pStyle w:val="BodyText"/>
        <w:widowControl w:val="0"/>
        <w:jc w:val="center"/>
        <w:rPr>
          <w:rFonts w:cs="Arial"/>
          <w:b/>
          <w:color w:val="548DD4" w:themeColor="text2" w:themeTint="99"/>
          <w:sz w:val="32"/>
          <w:szCs w:val="32"/>
        </w:rPr>
      </w:pPr>
    </w:p>
    <w:p w:rsidR="00C73D8D" w:rsidRPr="0005794A" w:rsidRDefault="00C73D8D" w:rsidP="005D121D">
      <w:pPr>
        <w:pStyle w:val="BodyText"/>
        <w:widowControl w:val="0"/>
        <w:jc w:val="center"/>
        <w:rPr>
          <w:rFonts w:cs="Arial"/>
          <w:b/>
          <w:color w:val="548DD4" w:themeColor="text2" w:themeTint="99"/>
          <w:sz w:val="32"/>
          <w:szCs w:val="32"/>
        </w:rPr>
      </w:pPr>
    </w:p>
    <w:p w:rsidR="00C73D8D" w:rsidRPr="0005794A" w:rsidRDefault="00C73D8D" w:rsidP="005D121D">
      <w:pPr>
        <w:pStyle w:val="BodyText"/>
        <w:widowControl w:val="0"/>
        <w:jc w:val="center"/>
        <w:rPr>
          <w:rFonts w:cs="Arial"/>
          <w:b/>
          <w:color w:val="548DD4" w:themeColor="text2" w:themeTint="99"/>
          <w:sz w:val="32"/>
          <w:szCs w:val="32"/>
        </w:rPr>
      </w:pPr>
    </w:p>
    <w:p w:rsidR="00C73D8D" w:rsidRPr="0005794A" w:rsidRDefault="00C73D8D" w:rsidP="005D121D">
      <w:pPr>
        <w:pStyle w:val="BodyText"/>
        <w:widowControl w:val="0"/>
        <w:jc w:val="center"/>
        <w:rPr>
          <w:rFonts w:cs="Arial"/>
          <w:b/>
          <w:color w:val="548DD4" w:themeColor="text2" w:themeTint="99"/>
          <w:sz w:val="32"/>
          <w:szCs w:val="32"/>
        </w:rPr>
      </w:pPr>
    </w:p>
    <w:p w:rsidR="005C68D8" w:rsidRPr="0005794A" w:rsidRDefault="005C68D8" w:rsidP="001B40D8">
      <w:pPr>
        <w:pStyle w:val="BodyText"/>
        <w:widowControl w:val="0"/>
        <w:rPr>
          <w:rFonts w:cs="Arial"/>
          <w:b/>
          <w:color w:val="548DD4" w:themeColor="text2" w:themeTint="99"/>
          <w:sz w:val="32"/>
          <w:szCs w:val="32"/>
        </w:rPr>
      </w:pPr>
    </w:p>
    <w:p w:rsidR="005C68D8" w:rsidRPr="009D54C9" w:rsidRDefault="005C68D8" w:rsidP="00C73D8D">
      <w:pPr>
        <w:pStyle w:val="BodyText"/>
        <w:widowControl w:val="0"/>
        <w:jc w:val="center"/>
        <w:rPr>
          <w:rFonts w:cs="Arial"/>
          <w:b/>
          <w:color w:val="auto"/>
          <w:sz w:val="32"/>
          <w:szCs w:val="32"/>
        </w:rPr>
      </w:pPr>
    </w:p>
    <w:p w:rsidR="00C73D8D" w:rsidRPr="009D54C9" w:rsidRDefault="00C73D8D" w:rsidP="008D0906">
      <w:pPr>
        <w:pStyle w:val="BodyText"/>
        <w:widowControl w:val="0"/>
        <w:jc w:val="center"/>
        <w:outlineLvl w:val="0"/>
        <w:rPr>
          <w:rFonts w:cs="Arial"/>
          <w:b/>
          <w:color w:val="auto"/>
          <w:sz w:val="32"/>
          <w:szCs w:val="32"/>
        </w:rPr>
      </w:pPr>
      <w:r w:rsidRPr="009D54C9">
        <w:rPr>
          <w:rFonts w:cs="Arial"/>
          <w:b/>
          <w:color w:val="auto"/>
          <w:sz w:val="32"/>
          <w:szCs w:val="32"/>
        </w:rPr>
        <w:t>ANNUAL GOVERNANCE STATEMENT 201</w:t>
      </w:r>
      <w:r w:rsidR="00172C29" w:rsidRPr="009D54C9">
        <w:rPr>
          <w:rFonts w:cs="Arial"/>
          <w:b/>
          <w:color w:val="auto"/>
          <w:sz w:val="32"/>
          <w:szCs w:val="32"/>
        </w:rPr>
        <w:t>7</w:t>
      </w:r>
      <w:r w:rsidRPr="009D54C9">
        <w:rPr>
          <w:rFonts w:cs="Arial"/>
          <w:b/>
          <w:color w:val="auto"/>
          <w:sz w:val="32"/>
          <w:szCs w:val="32"/>
        </w:rPr>
        <w:t>/1</w:t>
      </w:r>
      <w:r w:rsidR="00172C29" w:rsidRPr="009D54C9">
        <w:rPr>
          <w:rFonts w:cs="Arial"/>
          <w:b/>
          <w:color w:val="auto"/>
          <w:sz w:val="32"/>
          <w:szCs w:val="32"/>
        </w:rPr>
        <w:t>8</w:t>
      </w:r>
    </w:p>
    <w:p w:rsidR="00C73D8D" w:rsidRPr="0005794A" w:rsidRDefault="00C73D8D" w:rsidP="00C73D8D">
      <w:pPr>
        <w:autoSpaceDE w:val="0"/>
        <w:autoSpaceDN w:val="0"/>
        <w:spacing w:line="360" w:lineRule="auto"/>
        <w:rPr>
          <w:rFonts w:cs="Arial"/>
          <w:color w:val="548DD4" w:themeColor="text2" w:themeTint="99"/>
          <w:sz w:val="20"/>
          <w:szCs w:val="20"/>
          <w:lang w:eastAsia="en-GB"/>
        </w:rPr>
      </w:pPr>
    </w:p>
    <w:p w:rsidR="00CC0392" w:rsidRPr="0005794A" w:rsidRDefault="00CC0392" w:rsidP="00C73D8D">
      <w:pPr>
        <w:autoSpaceDE w:val="0"/>
        <w:autoSpaceDN w:val="0"/>
        <w:spacing w:line="360" w:lineRule="auto"/>
        <w:rPr>
          <w:rFonts w:cs="Arial"/>
          <w:color w:val="548DD4" w:themeColor="text2" w:themeTint="99"/>
          <w:sz w:val="20"/>
          <w:szCs w:val="20"/>
          <w:lang w:eastAsia="en-GB"/>
        </w:rPr>
      </w:pPr>
    </w:p>
    <w:p w:rsidR="00ED762B" w:rsidRPr="0005794A" w:rsidRDefault="00ED762B" w:rsidP="00C73D8D">
      <w:pPr>
        <w:autoSpaceDE w:val="0"/>
        <w:autoSpaceDN w:val="0"/>
        <w:spacing w:line="360" w:lineRule="auto"/>
        <w:rPr>
          <w:rFonts w:cs="Arial"/>
          <w:color w:val="548DD4" w:themeColor="text2" w:themeTint="99"/>
          <w:sz w:val="20"/>
          <w:szCs w:val="20"/>
          <w:lang w:eastAsia="en-GB"/>
        </w:rPr>
      </w:pPr>
    </w:p>
    <w:p w:rsidR="00ED762B" w:rsidRPr="0005794A" w:rsidRDefault="00ED762B" w:rsidP="00C73D8D">
      <w:pPr>
        <w:autoSpaceDE w:val="0"/>
        <w:autoSpaceDN w:val="0"/>
        <w:spacing w:line="360" w:lineRule="auto"/>
        <w:rPr>
          <w:rFonts w:cs="Arial"/>
          <w:color w:val="548DD4" w:themeColor="text2" w:themeTint="99"/>
          <w:sz w:val="20"/>
          <w:szCs w:val="20"/>
          <w:lang w:eastAsia="en-GB"/>
        </w:rPr>
      </w:pPr>
    </w:p>
    <w:p w:rsidR="00ED762B" w:rsidRPr="0005794A" w:rsidRDefault="00ED762B" w:rsidP="00C73D8D">
      <w:pPr>
        <w:autoSpaceDE w:val="0"/>
        <w:autoSpaceDN w:val="0"/>
        <w:spacing w:line="360" w:lineRule="auto"/>
        <w:rPr>
          <w:rFonts w:cs="Arial"/>
          <w:color w:val="548DD4" w:themeColor="text2" w:themeTint="99"/>
          <w:sz w:val="20"/>
          <w:szCs w:val="20"/>
          <w:lang w:eastAsia="en-GB"/>
        </w:rPr>
      </w:pPr>
    </w:p>
    <w:p w:rsidR="00ED762B" w:rsidRPr="0005794A" w:rsidRDefault="00ED762B" w:rsidP="00C73D8D">
      <w:pPr>
        <w:autoSpaceDE w:val="0"/>
        <w:autoSpaceDN w:val="0"/>
        <w:spacing w:line="360" w:lineRule="auto"/>
        <w:rPr>
          <w:rFonts w:cs="Arial"/>
          <w:color w:val="548DD4" w:themeColor="text2" w:themeTint="99"/>
          <w:sz w:val="20"/>
          <w:szCs w:val="20"/>
          <w:lang w:eastAsia="en-GB"/>
        </w:rPr>
      </w:pPr>
    </w:p>
    <w:p w:rsidR="00ED762B" w:rsidRPr="0005794A" w:rsidRDefault="00ED762B" w:rsidP="00C73D8D">
      <w:pPr>
        <w:autoSpaceDE w:val="0"/>
        <w:autoSpaceDN w:val="0"/>
        <w:spacing w:line="360" w:lineRule="auto"/>
        <w:rPr>
          <w:rFonts w:cs="Arial"/>
          <w:color w:val="548DD4" w:themeColor="text2" w:themeTint="99"/>
          <w:sz w:val="20"/>
          <w:szCs w:val="20"/>
          <w:lang w:eastAsia="en-GB"/>
        </w:rPr>
      </w:pPr>
    </w:p>
    <w:p w:rsidR="00ED762B" w:rsidRPr="0005794A" w:rsidRDefault="00ED762B" w:rsidP="00C73D8D">
      <w:pPr>
        <w:autoSpaceDE w:val="0"/>
        <w:autoSpaceDN w:val="0"/>
        <w:spacing w:line="360" w:lineRule="auto"/>
        <w:rPr>
          <w:rFonts w:cs="Arial"/>
          <w:color w:val="548DD4" w:themeColor="text2" w:themeTint="99"/>
          <w:sz w:val="20"/>
          <w:szCs w:val="20"/>
          <w:lang w:eastAsia="en-GB"/>
        </w:rPr>
      </w:pPr>
    </w:p>
    <w:p w:rsidR="00ED762B" w:rsidRPr="0005794A" w:rsidRDefault="00ED762B" w:rsidP="00C73D8D">
      <w:pPr>
        <w:autoSpaceDE w:val="0"/>
        <w:autoSpaceDN w:val="0"/>
        <w:spacing w:line="360" w:lineRule="auto"/>
        <w:rPr>
          <w:rFonts w:cs="Arial"/>
          <w:color w:val="548DD4" w:themeColor="text2" w:themeTint="99"/>
          <w:sz w:val="20"/>
          <w:szCs w:val="20"/>
          <w:lang w:eastAsia="en-GB"/>
        </w:rPr>
      </w:pPr>
    </w:p>
    <w:p w:rsidR="00ED762B" w:rsidRPr="0005794A" w:rsidRDefault="00ED762B" w:rsidP="00C73D8D">
      <w:pPr>
        <w:autoSpaceDE w:val="0"/>
        <w:autoSpaceDN w:val="0"/>
        <w:spacing w:line="360" w:lineRule="auto"/>
        <w:rPr>
          <w:rFonts w:cs="Arial"/>
          <w:color w:val="548DD4" w:themeColor="text2" w:themeTint="99"/>
          <w:sz w:val="20"/>
          <w:szCs w:val="20"/>
          <w:lang w:eastAsia="en-GB"/>
        </w:rPr>
      </w:pPr>
    </w:p>
    <w:p w:rsidR="00F941E0" w:rsidRPr="0005794A" w:rsidRDefault="00F941E0" w:rsidP="00C73D8D">
      <w:pPr>
        <w:autoSpaceDE w:val="0"/>
        <w:autoSpaceDN w:val="0"/>
        <w:spacing w:line="360" w:lineRule="auto"/>
        <w:rPr>
          <w:rFonts w:cs="Arial"/>
          <w:color w:val="548DD4" w:themeColor="text2" w:themeTint="99"/>
          <w:sz w:val="20"/>
          <w:szCs w:val="20"/>
          <w:lang w:eastAsia="en-GB"/>
        </w:rPr>
      </w:pPr>
    </w:p>
    <w:p w:rsidR="000B0A5E" w:rsidRPr="0005794A" w:rsidRDefault="000B0A5E" w:rsidP="00C73D8D">
      <w:pPr>
        <w:autoSpaceDE w:val="0"/>
        <w:autoSpaceDN w:val="0"/>
        <w:spacing w:line="360" w:lineRule="auto"/>
        <w:rPr>
          <w:rFonts w:cs="Arial"/>
          <w:color w:val="548DD4" w:themeColor="text2" w:themeTint="99"/>
          <w:sz w:val="20"/>
          <w:szCs w:val="20"/>
          <w:lang w:eastAsia="en-GB"/>
        </w:rPr>
        <w:sectPr w:rsidR="000B0A5E" w:rsidRPr="0005794A" w:rsidSect="00827092">
          <w:headerReference w:type="first" r:id="rId47"/>
          <w:pgSz w:w="11906" w:h="16838" w:code="9"/>
          <w:pgMar w:top="1440" w:right="1440" w:bottom="1440" w:left="1440" w:header="544" w:footer="544" w:gutter="0"/>
          <w:cols w:space="708"/>
          <w:titlePg/>
          <w:docGrid w:linePitch="360"/>
        </w:sectPr>
      </w:pPr>
    </w:p>
    <w:p w:rsidR="00360B9A" w:rsidRPr="00FF709E" w:rsidRDefault="00360B9A" w:rsidP="00360B9A">
      <w:pPr>
        <w:autoSpaceDE w:val="0"/>
        <w:autoSpaceDN w:val="0"/>
        <w:adjustRightInd w:val="0"/>
        <w:rPr>
          <w:rFonts w:asciiTheme="minorHAnsi" w:hAnsiTheme="minorHAnsi" w:cs="Arial"/>
          <w:color w:val="auto"/>
          <w:sz w:val="24"/>
          <w:szCs w:val="24"/>
        </w:rPr>
      </w:pPr>
      <w:r w:rsidRPr="00FF709E">
        <w:rPr>
          <w:rFonts w:asciiTheme="minorHAnsi" w:hAnsiTheme="minorHAnsi" w:cs="Arial"/>
          <w:b/>
          <w:bCs/>
          <w:color w:val="auto"/>
          <w:sz w:val="24"/>
          <w:szCs w:val="24"/>
        </w:rPr>
        <w:lastRenderedPageBreak/>
        <w:t>ANNUAL GOVERNANCE STATEMENT FOR THE FINANCIAL YEAR 201</w:t>
      </w:r>
      <w:r>
        <w:rPr>
          <w:rFonts w:asciiTheme="minorHAnsi" w:hAnsiTheme="minorHAnsi" w:cs="Arial"/>
          <w:b/>
          <w:bCs/>
          <w:color w:val="auto"/>
          <w:sz w:val="24"/>
          <w:szCs w:val="24"/>
        </w:rPr>
        <w:t>7/2018</w:t>
      </w:r>
    </w:p>
    <w:p w:rsidR="00360B9A" w:rsidRPr="00AC42C5" w:rsidRDefault="00360B9A" w:rsidP="00360B9A">
      <w:pPr>
        <w:autoSpaceDE w:val="0"/>
        <w:autoSpaceDN w:val="0"/>
        <w:adjustRightInd w:val="0"/>
        <w:rPr>
          <w:rFonts w:asciiTheme="minorHAnsi" w:hAnsiTheme="minorHAnsi" w:cs="Arial"/>
          <w:sz w:val="24"/>
          <w:szCs w:val="24"/>
        </w:rPr>
      </w:pPr>
      <w:r w:rsidRPr="00AC42C5">
        <w:rPr>
          <w:rFonts w:asciiTheme="minorHAnsi" w:hAnsiTheme="minorHAnsi" w:cs="Arial"/>
          <w:b/>
          <w:bCs/>
          <w:sz w:val="24"/>
          <w:szCs w:val="24"/>
        </w:rPr>
        <w:t xml:space="preserve">Scope of responsibility </w:t>
      </w:r>
    </w:p>
    <w:p w:rsidR="00360B9A" w:rsidRPr="00CA21A8" w:rsidRDefault="00360B9A" w:rsidP="00360B9A">
      <w:pPr>
        <w:autoSpaceDE w:val="0"/>
        <w:autoSpaceDN w:val="0"/>
        <w:adjustRightInd w:val="0"/>
        <w:rPr>
          <w:rFonts w:asciiTheme="minorHAnsi" w:hAnsiTheme="minorHAnsi" w:cs="Arial"/>
          <w:color w:val="auto"/>
          <w:sz w:val="24"/>
          <w:szCs w:val="24"/>
        </w:rPr>
      </w:pPr>
      <w:r w:rsidRPr="00CA21A8">
        <w:rPr>
          <w:rFonts w:asciiTheme="minorHAnsi" w:hAnsiTheme="minorHAnsi" w:cs="Arial"/>
          <w:color w:val="auto"/>
          <w:sz w:val="24"/>
          <w:szCs w:val="24"/>
        </w:rPr>
        <w:t xml:space="preserve">Torbay Council is responsible for ensuring that its business is conducted in accordance with the law and proper standards, and that public money is safeguarded, properly accounted for and used economically, efficiently and effectively.  Torbay Council also has a duty under the Local Government Act 1999 to make arrangements to secure continuous improvement in the way in which its functions are exercised, having regard to a combination of economy, efficiency and effectiveness. </w:t>
      </w:r>
    </w:p>
    <w:p w:rsidR="00360B9A" w:rsidRPr="00CA21A8" w:rsidRDefault="00360B9A" w:rsidP="00360B9A">
      <w:pPr>
        <w:autoSpaceDE w:val="0"/>
        <w:autoSpaceDN w:val="0"/>
        <w:adjustRightInd w:val="0"/>
        <w:rPr>
          <w:rFonts w:asciiTheme="minorHAnsi" w:hAnsiTheme="minorHAnsi" w:cs="Arial"/>
          <w:color w:val="auto"/>
          <w:sz w:val="24"/>
          <w:szCs w:val="24"/>
        </w:rPr>
      </w:pPr>
      <w:r w:rsidRPr="00CA21A8">
        <w:rPr>
          <w:rFonts w:asciiTheme="minorHAnsi" w:hAnsiTheme="minorHAnsi" w:cs="Arial"/>
          <w:color w:val="auto"/>
          <w:sz w:val="24"/>
          <w:szCs w:val="24"/>
        </w:rPr>
        <w:t xml:space="preserve">In discharging this overall responsibility, the Council is also responsible for putting in place proper arrangements for the governance of its affairs, facilitating the effective exercise of its functions, which includes arrangements for the management of risk. </w:t>
      </w:r>
    </w:p>
    <w:p w:rsidR="00360B9A" w:rsidRDefault="00360B9A" w:rsidP="00360B9A">
      <w:pPr>
        <w:autoSpaceDE w:val="0"/>
        <w:autoSpaceDN w:val="0"/>
        <w:adjustRightInd w:val="0"/>
        <w:rPr>
          <w:rFonts w:asciiTheme="minorHAnsi" w:hAnsiTheme="minorHAnsi" w:cs="Arial"/>
          <w:color w:val="auto"/>
          <w:sz w:val="24"/>
          <w:szCs w:val="24"/>
        </w:rPr>
      </w:pPr>
      <w:r w:rsidRPr="00CA21A8">
        <w:rPr>
          <w:rFonts w:asciiTheme="minorHAnsi" w:hAnsiTheme="minorHAnsi" w:cs="Arial"/>
          <w:color w:val="auto"/>
          <w:sz w:val="24"/>
          <w:szCs w:val="24"/>
        </w:rPr>
        <w:t xml:space="preserve">Torbay Council has approved and adopted a code of corporate governance, which is consistent with the principles of the CIPFA/SOLACE Framework </w:t>
      </w:r>
      <w:r w:rsidRPr="00CA21A8">
        <w:rPr>
          <w:rFonts w:asciiTheme="minorHAnsi" w:hAnsiTheme="minorHAnsi" w:cs="Arial"/>
          <w:i/>
          <w:iCs/>
          <w:color w:val="auto"/>
          <w:sz w:val="24"/>
          <w:szCs w:val="24"/>
        </w:rPr>
        <w:t xml:space="preserve">Delivering Good Governance in Local Government.  </w:t>
      </w:r>
      <w:r>
        <w:rPr>
          <w:rFonts w:asciiTheme="minorHAnsi" w:hAnsiTheme="minorHAnsi" w:cs="Arial"/>
          <w:iCs/>
          <w:color w:val="auto"/>
          <w:sz w:val="24"/>
          <w:szCs w:val="24"/>
        </w:rPr>
        <w:t xml:space="preserve">The code is included in the Council’s Constitution which is available </w:t>
      </w:r>
      <w:r w:rsidRPr="00CA21A8">
        <w:rPr>
          <w:rFonts w:asciiTheme="minorHAnsi" w:hAnsiTheme="minorHAnsi" w:cs="Arial"/>
          <w:color w:val="auto"/>
          <w:sz w:val="24"/>
          <w:szCs w:val="24"/>
        </w:rPr>
        <w:t>on the Council’s website at</w:t>
      </w:r>
      <w:r>
        <w:rPr>
          <w:rFonts w:asciiTheme="minorHAnsi" w:hAnsiTheme="minorHAnsi" w:cs="Arial"/>
          <w:color w:val="auto"/>
          <w:sz w:val="24"/>
          <w:szCs w:val="24"/>
        </w:rPr>
        <w:t xml:space="preserve"> </w:t>
      </w:r>
      <w:hyperlink r:id="rId48" w:history="1">
        <w:r w:rsidRPr="00D82AF5">
          <w:rPr>
            <w:rStyle w:val="Hyperlink"/>
            <w:rFonts w:asciiTheme="minorHAnsi" w:hAnsiTheme="minorHAnsi" w:cs="Arial"/>
            <w:sz w:val="24"/>
            <w:szCs w:val="24"/>
          </w:rPr>
          <w:t>http://www.torbay.gov.uk/DemocraticServices/ieListMeetings.aspx?CId=458&amp;info=1</w:t>
        </w:r>
      </w:hyperlink>
      <w:r>
        <w:rPr>
          <w:rFonts w:asciiTheme="minorHAnsi" w:hAnsiTheme="minorHAnsi" w:cs="Arial"/>
          <w:color w:val="auto"/>
          <w:sz w:val="24"/>
          <w:szCs w:val="24"/>
        </w:rPr>
        <w:t xml:space="preserve"> </w:t>
      </w:r>
    </w:p>
    <w:p w:rsidR="00360B9A" w:rsidRPr="00AC42C5" w:rsidRDefault="00360B9A" w:rsidP="00360B9A">
      <w:pPr>
        <w:autoSpaceDE w:val="0"/>
        <w:autoSpaceDN w:val="0"/>
        <w:adjustRightInd w:val="0"/>
        <w:rPr>
          <w:rFonts w:asciiTheme="minorHAnsi" w:hAnsiTheme="minorHAnsi" w:cs="Arial"/>
          <w:sz w:val="24"/>
          <w:szCs w:val="24"/>
        </w:rPr>
      </w:pPr>
      <w:r w:rsidRPr="00B45D11">
        <w:rPr>
          <w:rFonts w:asciiTheme="minorHAnsi" w:hAnsiTheme="minorHAnsi" w:cs="Arial"/>
          <w:color w:val="auto"/>
          <w:sz w:val="24"/>
          <w:szCs w:val="24"/>
        </w:rPr>
        <w:t>This statement explains how Torbay Council has complied with the code and also meets the requirements of the Accounts and Audit (England) Regulations 2015 in relation to the publication of a statement on internal control.</w:t>
      </w:r>
      <w:r w:rsidRPr="00AC42C5">
        <w:rPr>
          <w:rFonts w:asciiTheme="minorHAnsi" w:hAnsiTheme="minorHAnsi" w:cs="Arial"/>
          <w:sz w:val="24"/>
          <w:szCs w:val="24"/>
        </w:rPr>
        <w:t xml:space="preserve"> </w:t>
      </w:r>
    </w:p>
    <w:p w:rsidR="00360B9A" w:rsidRPr="00AC42C5" w:rsidRDefault="00360B9A" w:rsidP="00360B9A">
      <w:pPr>
        <w:autoSpaceDE w:val="0"/>
        <w:autoSpaceDN w:val="0"/>
        <w:adjustRightInd w:val="0"/>
        <w:rPr>
          <w:rFonts w:asciiTheme="minorHAnsi" w:hAnsiTheme="minorHAnsi" w:cs="Arial"/>
          <w:sz w:val="24"/>
          <w:szCs w:val="24"/>
        </w:rPr>
      </w:pPr>
      <w:r w:rsidRPr="00AC42C5">
        <w:rPr>
          <w:rFonts w:asciiTheme="minorHAnsi" w:hAnsiTheme="minorHAnsi" w:cs="Arial"/>
          <w:b/>
          <w:bCs/>
          <w:sz w:val="24"/>
          <w:szCs w:val="24"/>
        </w:rPr>
        <w:t xml:space="preserve">The purpose of the governance framework </w:t>
      </w:r>
    </w:p>
    <w:p w:rsidR="00360B9A" w:rsidRPr="00043AFD" w:rsidRDefault="00360B9A" w:rsidP="00360B9A">
      <w:pPr>
        <w:autoSpaceDE w:val="0"/>
        <w:autoSpaceDN w:val="0"/>
        <w:adjustRightInd w:val="0"/>
        <w:rPr>
          <w:rFonts w:asciiTheme="minorHAnsi" w:hAnsiTheme="minorHAnsi" w:cs="Arial"/>
          <w:color w:val="auto"/>
          <w:sz w:val="24"/>
          <w:szCs w:val="24"/>
        </w:rPr>
      </w:pPr>
      <w:r w:rsidRPr="00043AFD">
        <w:rPr>
          <w:rFonts w:asciiTheme="minorHAnsi" w:hAnsiTheme="minorHAnsi" w:cs="Arial"/>
          <w:color w:val="auto"/>
          <w:sz w:val="24"/>
          <w:szCs w:val="24"/>
        </w:rPr>
        <w:t>The governance framework comprises the systems, processes, culture and values, by which the authority is directed and controlled</w:t>
      </w:r>
      <w:r>
        <w:rPr>
          <w:rFonts w:asciiTheme="minorHAnsi" w:hAnsiTheme="minorHAnsi" w:cs="Arial"/>
          <w:color w:val="auto"/>
          <w:sz w:val="24"/>
          <w:szCs w:val="24"/>
        </w:rPr>
        <w:t>,</w:t>
      </w:r>
      <w:r w:rsidRPr="00043AFD">
        <w:rPr>
          <w:rFonts w:asciiTheme="minorHAnsi" w:hAnsiTheme="minorHAnsi" w:cs="Arial"/>
          <w:color w:val="auto"/>
          <w:sz w:val="24"/>
          <w:szCs w:val="24"/>
        </w:rPr>
        <w:t xml:space="preserve"> and its</w:t>
      </w:r>
      <w:r w:rsidRPr="00043AFD">
        <w:rPr>
          <w:rFonts w:asciiTheme="minorHAnsi" w:hAnsiTheme="minorHAnsi" w:cs="Arial"/>
          <w:i/>
          <w:color w:val="auto"/>
          <w:sz w:val="24"/>
          <w:szCs w:val="24"/>
        </w:rPr>
        <w:t xml:space="preserve"> </w:t>
      </w:r>
      <w:r w:rsidRPr="00043AFD">
        <w:rPr>
          <w:rFonts w:asciiTheme="minorHAnsi" w:hAnsiTheme="minorHAnsi" w:cs="Arial"/>
          <w:color w:val="auto"/>
          <w:sz w:val="24"/>
          <w:szCs w:val="24"/>
        </w:rPr>
        <w:t xml:space="preserve">activities through which it accounts to, engages with and leads the community. It enables the authority to monitor the achievement of its strategic objectives and to consider whether those objectives have led to the delivery of appropriate, cost effective services. </w:t>
      </w:r>
    </w:p>
    <w:p w:rsidR="00360B9A" w:rsidRPr="00043AFD" w:rsidRDefault="00360B9A" w:rsidP="00360B9A">
      <w:pPr>
        <w:autoSpaceDE w:val="0"/>
        <w:autoSpaceDN w:val="0"/>
        <w:adjustRightInd w:val="0"/>
        <w:spacing w:after="120"/>
        <w:rPr>
          <w:rFonts w:asciiTheme="minorHAnsi" w:hAnsiTheme="minorHAnsi" w:cs="Arial"/>
          <w:color w:val="auto"/>
          <w:sz w:val="24"/>
          <w:szCs w:val="24"/>
        </w:rPr>
      </w:pPr>
      <w:r w:rsidRPr="00043AFD">
        <w:rPr>
          <w:rFonts w:asciiTheme="minorHAnsi" w:hAnsiTheme="minorHAnsi" w:cs="Arial"/>
          <w:color w:val="auto"/>
          <w:sz w:val="24"/>
          <w:szCs w:val="24"/>
        </w:rPr>
        <w:t xml:space="preserve">The system of internal control is a significant part of that framework and is designed to manage risk to a reasonable level rather than to eliminate all risk of failure to achieve policies, aims and objectives; it can, therefore, only provide reasonable and not absolute assurance of effectiveness. The system of internal control is based on an ongoing process designed to identify and prioritise the risks to the achievement of Torbay Council’s policies, aims and objectives, to evaluate the likelihood of those risks being realised and the impact should they be realised, and to manage them efficiently, effectively and economically. </w:t>
      </w:r>
    </w:p>
    <w:p w:rsidR="00360B9A" w:rsidRPr="00043AFD" w:rsidRDefault="00360B9A" w:rsidP="00360B9A">
      <w:pPr>
        <w:autoSpaceDE w:val="0"/>
        <w:autoSpaceDN w:val="0"/>
        <w:adjustRightInd w:val="0"/>
        <w:spacing w:after="120"/>
        <w:rPr>
          <w:rFonts w:asciiTheme="minorHAnsi" w:hAnsiTheme="minorHAnsi" w:cs="Arial"/>
          <w:color w:val="auto"/>
          <w:sz w:val="24"/>
          <w:szCs w:val="24"/>
        </w:rPr>
      </w:pPr>
      <w:r w:rsidRPr="00043AFD">
        <w:rPr>
          <w:rFonts w:asciiTheme="minorHAnsi" w:hAnsiTheme="minorHAnsi" w:cs="Arial"/>
          <w:color w:val="auto"/>
          <w:sz w:val="24"/>
          <w:szCs w:val="24"/>
        </w:rPr>
        <w:t>The governance framework has been in place at Torbay Council throughout the year ended 31 March 201</w:t>
      </w:r>
      <w:r>
        <w:rPr>
          <w:rFonts w:asciiTheme="minorHAnsi" w:hAnsiTheme="minorHAnsi" w:cs="Arial"/>
          <w:color w:val="auto"/>
          <w:sz w:val="24"/>
          <w:szCs w:val="24"/>
        </w:rPr>
        <w:t>8</w:t>
      </w:r>
      <w:r w:rsidRPr="00043AFD">
        <w:rPr>
          <w:rFonts w:asciiTheme="minorHAnsi" w:hAnsiTheme="minorHAnsi" w:cs="Arial"/>
          <w:color w:val="auto"/>
          <w:sz w:val="24"/>
          <w:szCs w:val="24"/>
        </w:rPr>
        <w:t xml:space="preserve"> and up to the date of approval of the statement of accounts. </w:t>
      </w:r>
    </w:p>
    <w:p w:rsidR="00360B9A" w:rsidRDefault="00360B9A" w:rsidP="00360B9A">
      <w:pPr>
        <w:keepNext/>
        <w:keepLines/>
        <w:widowControl w:val="0"/>
        <w:autoSpaceDE w:val="0"/>
        <w:autoSpaceDN w:val="0"/>
        <w:adjustRightInd w:val="0"/>
        <w:spacing w:after="120"/>
        <w:rPr>
          <w:rFonts w:asciiTheme="minorHAnsi" w:hAnsiTheme="minorHAnsi" w:cs="Arial"/>
          <w:b/>
          <w:bCs/>
          <w:sz w:val="24"/>
          <w:szCs w:val="24"/>
        </w:rPr>
      </w:pPr>
      <w:r w:rsidRPr="00AC42C5">
        <w:rPr>
          <w:rFonts w:asciiTheme="minorHAnsi" w:hAnsiTheme="minorHAnsi" w:cs="Arial"/>
          <w:b/>
          <w:bCs/>
          <w:sz w:val="24"/>
          <w:szCs w:val="24"/>
        </w:rPr>
        <w:lastRenderedPageBreak/>
        <w:t xml:space="preserve">The Governance Framework </w:t>
      </w:r>
    </w:p>
    <w:p w:rsidR="00360B9A" w:rsidRPr="004D5963" w:rsidRDefault="00360B9A" w:rsidP="00360B9A">
      <w:pPr>
        <w:keepNext/>
        <w:keepLines/>
        <w:rPr>
          <w:rFonts w:asciiTheme="minorHAnsi" w:eastAsia="Times New Roman" w:hAnsiTheme="minorHAnsi"/>
          <w:color w:val="auto"/>
          <w:sz w:val="24"/>
          <w:szCs w:val="24"/>
          <w:u w:val="single"/>
        </w:rPr>
      </w:pPr>
      <w:r w:rsidRPr="004D5963">
        <w:rPr>
          <w:rFonts w:asciiTheme="minorHAnsi" w:eastAsia="Times New Roman" w:hAnsiTheme="minorHAnsi"/>
          <w:color w:val="auto"/>
          <w:sz w:val="24"/>
          <w:szCs w:val="24"/>
          <w:u w:val="single"/>
        </w:rPr>
        <w:t>The Constitution</w:t>
      </w:r>
    </w:p>
    <w:p w:rsidR="00360B9A" w:rsidRPr="004D5963" w:rsidRDefault="00360B9A" w:rsidP="00360B9A">
      <w:pPr>
        <w:keepNext/>
        <w:keepLines/>
        <w:rPr>
          <w:rFonts w:asciiTheme="minorHAnsi" w:eastAsia="Times New Roman" w:hAnsiTheme="minorHAnsi"/>
          <w:color w:val="auto"/>
          <w:sz w:val="24"/>
          <w:szCs w:val="24"/>
        </w:rPr>
      </w:pPr>
      <w:r w:rsidRPr="004D5963">
        <w:rPr>
          <w:rFonts w:asciiTheme="minorHAnsi" w:eastAsia="Times New Roman" w:hAnsiTheme="minorHAnsi"/>
          <w:color w:val="auto"/>
          <w:sz w:val="24"/>
          <w:szCs w:val="24"/>
        </w:rPr>
        <w:t xml:space="preserve">The Constitution sets out the main elements of the governance framework of Torbay Council, in particular how decisions are made and the procedures which are followed to ensure that these are efficient and transparent and that decision makers are accountable to local people.  It explains that the Council is made up of the Elected Mayor and 36 Councillors who, together, are responsible for approving the Council’s Budget and Policy Framework.  The </w:t>
      </w:r>
      <w:r>
        <w:rPr>
          <w:rFonts w:asciiTheme="minorHAnsi" w:eastAsia="Times New Roman" w:hAnsiTheme="minorHAnsi"/>
          <w:color w:val="auto"/>
          <w:sz w:val="24"/>
          <w:szCs w:val="24"/>
        </w:rPr>
        <w:t xml:space="preserve">Elected </w:t>
      </w:r>
      <w:r w:rsidRPr="004D5963">
        <w:rPr>
          <w:rFonts w:asciiTheme="minorHAnsi" w:eastAsia="Times New Roman" w:hAnsiTheme="minorHAnsi"/>
          <w:color w:val="auto"/>
          <w:sz w:val="24"/>
          <w:szCs w:val="24"/>
        </w:rPr>
        <w:t xml:space="preserve">Mayor is responsible for decisions </w:t>
      </w:r>
      <w:r>
        <w:rPr>
          <w:rFonts w:asciiTheme="minorHAnsi" w:eastAsia="Times New Roman" w:hAnsiTheme="minorHAnsi"/>
          <w:color w:val="auto"/>
          <w:sz w:val="24"/>
          <w:szCs w:val="24"/>
        </w:rPr>
        <w:t>which are consistent with the</w:t>
      </w:r>
      <w:r w:rsidRPr="004D5963">
        <w:rPr>
          <w:rFonts w:asciiTheme="minorHAnsi" w:eastAsia="Times New Roman" w:hAnsiTheme="minorHAnsi"/>
          <w:color w:val="auto"/>
          <w:sz w:val="24"/>
          <w:szCs w:val="24"/>
        </w:rPr>
        <w:t xml:space="preserve"> Budget and Policy Framework and is supported by Executive Lead Members who oversee and </w:t>
      </w:r>
      <w:proofErr w:type="gramStart"/>
      <w:r w:rsidRPr="004D5963">
        <w:rPr>
          <w:rFonts w:asciiTheme="minorHAnsi" w:eastAsia="Times New Roman" w:hAnsiTheme="minorHAnsi"/>
          <w:color w:val="auto"/>
          <w:sz w:val="24"/>
          <w:szCs w:val="24"/>
        </w:rPr>
        <w:t>advise</w:t>
      </w:r>
      <w:proofErr w:type="gramEnd"/>
      <w:r w:rsidRPr="004D5963">
        <w:rPr>
          <w:rFonts w:asciiTheme="minorHAnsi" w:eastAsia="Times New Roman" w:hAnsiTheme="minorHAnsi"/>
          <w:color w:val="auto"/>
          <w:sz w:val="24"/>
          <w:szCs w:val="24"/>
        </w:rPr>
        <w:t xml:space="preserve"> on specific areas.  Matters outside the Budget and Policy Framework are referred to the Council for decision.</w:t>
      </w:r>
    </w:p>
    <w:p w:rsidR="00360B9A" w:rsidRPr="004D5963" w:rsidRDefault="00360B9A" w:rsidP="00360B9A">
      <w:pPr>
        <w:rPr>
          <w:rFonts w:asciiTheme="minorHAnsi" w:eastAsia="Times New Roman" w:hAnsiTheme="minorHAnsi"/>
          <w:color w:val="auto"/>
          <w:sz w:val="24"/>
          <w:szCs w:val="24"/>
        </w:rPr>
      </w:pPr>
      <w:r w:rsidRPr="004D5963">
        <w:rPr>
          <w:rFonts w:asciiTheme="minorHAnsi" w:eastAsia="Times New Roman" w:hAnsiTheme="minorHAnsi"/>
          <w:color w:val="auto"/>
          <w:sz w:val="24"/>
          <w:szCs w:val="24"/>
        </w:rPr>
        <w:t xml:space="preserve">The Constitution includes Standing Orders, Financial Regulations and the Scheme of Delegated Powers and is available on the Council’s website.  It is underpinned by Codes of Conduct for Members and Employees and a range of local protocols.  The Constitution includes the Council’s Code of Corporate Governance.  </w:t>
      </w:r>
    </w:p>
    <w:p w:rsidR="00360B9A" w:rsidRPr="004D5963" w:rsidRDefault="00360B9A" w:rsidP="00360B9A">
      <w:pPr>
        <w:rPr>
          <w:rFonts w:asciiTheme="minorHAnsi" w:eastAsia="Times New Roman" w:hAnsiTheme="minorHAnsi"/>
          <w:color w:val="auto"/>
          <w:sz w:val="24"/>
          <w:szCs w:val="24"/>
        </w:rPr>
      </w:pPr>
      <w:r w:rsidRPr="004D5963">
        <w:rPr>
          <w:rFonts w:asciiTheme="minorHAnsi" w:eastAsia="Times New Roman" w:hAnsiTheme="minorHAnsi"/>
          <w:color w:val="auto"/>
          <w:sz w:val="24"/>
          <w:szCs w:val="24"/>
        </w:rPr>
        <w:t>The Overview and Scrutiny Board is responsible for the overview and scrutiny function of the Council.  It assists in the development of policy and holds decision makers to account.  In addition, any five members of the Council can “call-in” executive decisions to the Overview and Scrutiny Board for further debate.</w:t>
      </w:r>
    </w:p>
    <w:p w:rsidR="00360B9A" w:rsidRPr="00C84938" w:rsidRDefault="00360B9A" w:rsidP="00360B9A">
      <w:pPr>
        <w:rPr>
          <w:rFonts w:asciiTheme="minorHAnsi" w:eastAsia="Times New Roman" w:hAnsiTheme="minorHAnsi"/>
          <w:color w:val="auto"/>
          <w:sz w:val="24"/>
          <w:szCs w:val="24"/>
          <w:highlight w:val="yellow"/>
        </w:rPr>
      </w:pPr>
      <w:r w:rsidRPr="00C84938">
        <w:rPr>
          <w:rFonts w:asciiTheme="minorHAnsi" w:eastAsia="Times New Roman" w:hAnsiTheme="minorHAnsi"/>
          <w:color w:val="auto"/>
          <w:sz w:val="24"/>
          <w:szCs w:val="24"/>
        </w:rPr>
        <w:t>The Audit Committee is responsible for all internal and external audit matters</w:t>
      </w:r>
      <w:r>
        <w:rPr>
          <w:rFonts w:asciiTheme="minorHAnsi" w:eastAsia="Times New Roman" w:hAnsiTheme="minorHAnsi"/>
          <w:color w:val="auto"/>
          <w:sz w:val="24"/>
          <w:szCs w:val="24"/>
        </w:rPr>
        <w:t>,</w:t>
      </w:r>
      <w:r w:rsidRPr="00C84938">
        <w:rPr>
          <w:rFonts w:asciiTheme="minorHAnsi" w:eastAsia="Times New Roman" w:hAnsiTheme="minorHAnsi"/>
          <w:color w:val="auto"/>
          <w:sz w:val="24"/>
          <w:szCs w:val="24"/>
        </w:rPr>
        <w:t xml:space="preserve"> </w:t>
      </w:r>
      <w:r>
        <w:rPr>
          <w:rFonts w:asciiTheme="minorHAnsi" w:eastAsia="Times New Roman" w:hAnsiTheme="minorHAnsi"/>
          <w:color w:val="auto"/>
          <w:sz w:val="24"/>
          <w:szCs w:val="24"/>
        </w:rPr>
        <w:t xml:space="preserve">treasury management </w:t>
      </w:r>
      <w:r w:rsidRPr="00C84938">
        <w:rPr>
          <w:rFonts w:asciiTheme="minorHAnsi" w:eastAsia="Times New Roman" w:hAnsiTheme="minorHAnsi"/>
          <w:color w:val="auto"/>
          <w:sz w:val="24"/>
          <w:szCs w:val="24"/>
        </w:rPr>
        <w:t>as well as monitoring the effective development and operation of performance and risk management and corporate governance in the Council.  It meets on a bi-monthly basis.</w:t>
      </w:r>
    </w:p>
    <w:p w:rsidR="00360B9A" w:rsidRPr="00281AF1" w:rsidRDefault="00360B9A" w:rsidP="00360B9A">
      <w:pPr>
        <w:rPr>
          <w:rFonts w:asciiTheme="minorHAnsi" w:eastAsia="Times New Roman" w:hAnsiTheme="minorHAnsi"/>
          <w:color w:val="auto"/>
          <w:sz w:val="24"/>
          <w:szCs w:val="24"/>
        </w:rPr>
      </w:pPr>
      <w:r w:rsidRPr="00D11A0C">
        <w:rPr>
          <w:rFonts w:asciiTheme="minorHAnsi" w:eastAsia="Times New Roman" w:hAnsiTheme="minorHAnsi"/>
          <w:color w:val="auto"/>
          <w:sz w:val="24"/>
          <w:szCs w:val="24"/>
        </w:rPr>
        <w:t>The Standards Committee’s remit includes the conduct of members and investigating complaints in respect of individual members.  The Standards Committee promotes and embeds ethical standards for members.</w:t>
      </w:r>
    </w:p>
    <w:p w:rsidR="00360B9A" w:rsidRPr="004D5963" w:rsidRDefault="00360B9A" w:rsidP="00360B9A">
      <w:pPr>
        <w:rPr>
          <w:rFonts w:asciiTheme="minorHAnsi" w:eastAsia="Times New Roman" w:hAnsiTheme="minorHAnsi"/>
          <w:color w:val="auto"/>
          <w:sz w:val="24"/>
          <w:szCs w:val="24"/>
        </w:rPr>
      </w:pPr>
      <w:r w:rsidRPr="004D5963">
        <w:rPr>
          <w:rFonts w:asciiTheme="minorHAnsi" w:eastAsia="Times New Roman" w:hAnsiTheme="minorHAnsi"/>
          <w:color w:val="auto"/>
          <w:sz w:val="24"/>
          <w:szCs w:val="24"/>
        </w:rPr>
        <w:t>Some regulatory functions remain the responsibility of the Council rather than the Mayor and most of these are delegated to a small number of committees appointed annually by the Council.</w:t>
      </w:r>
    </w:p>
    <w:p w:rsidR="00360B9A" w:rsidRPr="004D5963" w:rsidRDefault="00360B9A" w:rsidP="00360B9A">
      <w:pPr>
        <w:autoSpaceDE w:val="0"/>
        <w:autoSpaceDN w:val="0"/>
        <w:adjustRightInd w:val="0"/>
        <w:spacing w:line="240" w:lineRule="auto"/>
        <w:rPr>
          <w:rFonts w:asciiTheme="minorHAnsi" w:hAnsiTheme="minorHAnsi" w:cs="Arial"/>
          <w:color w:val="auto"/>
          <w:sz w:val="24"/>
          <w:szCs w:val="24"/>
        </w:rPr>
      </w:pPr>
      <w:r w:rsidRPr="004D5963">
        <w:rPr>
          <w:rFonts w:asciiTheme="minorHAnsi" w:hAnsiTheme="minorHAnsi" w:cs="Arial"/>
          <w:color w:val="auto"/>
          <w:sz w:val="24"/>
          <w:szCs w:val="24"/>
        </w:rPr>
        <w:t xml:space="preserve">All members are inducted into the importance and processes of good governance and have informal and, if required, formal ways of raising governance issues with the Chief Executive, Monitoring Officer, Chief Finance Officer and the Senior Leadership Team. </w:t>
      </w:r>
    </w:p>
    <w:p w:rsidR="00360B9A" w:rsidRPr="004E6599" w:rsidRDefault="00360B9A" w:rsidP="00360B9A">
      <w:pPr>
        <w:rPr>
          <w:rFonts w:asciiTheme="minorHAnsi" w:eastAsia="Times New Roman" w:hAnsiTheme="minorHAnsi"/>
          <w:color w:val="auto"/>
          <w:sz w:val="24"/>
          <w:szCs w:val="24"/>
          <w:u w:val="single"/>
        </w:rPr>
      </w:pPr>
      <w:r w:rsidRPr="004E6599">
        <w:rPr>
          <w:rFonts w:asciiTheme="minorHAnsi" w:eastAsia="Times New Roman" w:hAnsiTheme="minorHAnsi"/>
          <w:color w:val="auto"/>
          <w:sz w:val="24"/>
          <w:szCs w:val="24"/>
          <w:u w:val="single"/>
        </w:rPr>
        <w:t>The Corporate Plan and Decision-making</w:t>
      </w:r>
    </w:p>
    <w:p w:rsidR="00360B9A" w:rsidRDefault="00360B9A" w:rsidP="00360B9A">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Included within the Policy Framework is the Council’s Corporate Plan which</w:t>
      </w:r>
      <w:r>
        <w:rPr>
          <w:rFonts w:asciiTheme="minorHAnsi" w:eastAsia="Times New Roman" w:hAnsiTheme="minorHAnsi"/>
          <w:color w:val="auto"/>
          <w:sz w:val="24"/>
          <w:szCs w:val="24"/>
        </w:rPr>
        <w:t xml:space="preserve"> is the main strategic document under which all other Policy Framework documents sit.  The Delivery Plans associated with the Corporate Plan continue to be delivered.</w:t>
      </w:r>
      <w:r w:rsidRPr="004E6599">
        <w:rPr>
          <w:rFonts w:asciiTheme="minorHAnsi" w:eastAsia="Times New Roman" w:hAnsiTheme="minorHAnsi"/>
          <w:color w:val="auto"/>
          <w:sz w:val="24"/>
          <w:szCs w:val="24"/>
        </w:rPr>
        <w:t xml:space="preserve">  The Council also has a Medium Term Resource Plan which is reviewed on an on-going basis to take into account new information and changed circumstances.  Both of </w:t>
      </w:r>
      <w:r w:rsidRPr="004E6599">
        <w:rPr>
          <w:rFonts w:asciiTheme="minorHAnsi" w:eastAsia="Times New Roman" w:hAnsiTheme="minorHAnsi"/>
          <w:color w:val="auto"/>
          <w:sz w:val="24"/>
          <w:szCs w:val="24"/>
        </w:rPr>
        <w:lastRenderedPageBreak/>
        <w:t>these documents provide a framework for planning and monitoring resource requirements.</w:t>
      </w:r>
      <w:r>
        <w:rPr>
          <w:rFonts w:asciiTheme="minorHAnsi" w:eastAsia="Times New Roman" w:hAnsiTheme="minorHAnsi"/>
          <w:color w:val="auto"/>
          <w:sz w:val="24"/>
          <w:szCs w:val="24"/>
        </w:rPr>
        <w:t xml:space="preserve">  </w:t>
      </w:r>
    </w:p>
    <w:p w:rsidR="00360B9A" w:rsidRPr="008B1480" w:rsidRDefault="00360B9A" w:rsidP="00360B9A">
      <w:pPr>
        <w:rPr>
          <w:rFonts w:asciiTheme="minorHAnsi" w:eastAsia="Times New Roman" w:hAnsiTheme="minorHAnsi"/>
          <w:color w:val="auto"/>
          <w:sz w:val="24"/>
          <w:szCs w:val="24"/>
        </w:rPr>
      </w:pPr>
      <w:r>
        <w:rPr>
          <w:rFonts w:asciiTheme="minorHAnsi" w:eastAsia="Times New Roman" w:hAnsiTheme="minorHAnsi"/>
          <w:color w:val="auto"/>
          <w:sz w:val="24"/>
          <w:szCs w:val="24"/>
        </w:rPr>
        <w:t xml:space="preserve">The Council’s Transformation Programme has continued to be delivered during 2017/2018.  This aims to ensure that the ambitions within the Council’s Corporate Plan are met whilst seeking to maximise efficiencies, income and savings (in accordance with the requirements of the Medium Term Resource Plan and create service resilience.  </w:t>
      </w:r>
      <w:r w:rsidRPr="008B1480">
        <w:rPr>
          <w:rFonts w:asciiTheme="minorHAnsi" w:eastAsia="Times New Roman" w:hAnsiTheme="minorHAnsi"/>
          <w:color w:val="auto"/>
          <w:sz w:val="24"/>
          <w:szCs w:val="24"/>
        </w:rPr>
        <w:t xml:space="preserve">The </w:t>
      </w:r>
      <w:r>
        <w:rPr>
          <w:rFonts w:asciiTheme="minorHAnsi" w:eastAsia="Times New Roman" w:hAnsiTheme="minorHAnsi"/>
          <w:color w:val="auto"/>
          <w:sz w:val="24"/>
          <w:szCs w:val="24"/>
        </w:rPr>
        <w:t xml:space="preserve">Elected </w:t>
      </w:r>
      <w:r w:rsidRPr="008B1480">
        <w:rPr>
          <w:rFonts w:asciiTheme="minorHAnsi" w:eastAsia="Times New Roman" w:hAnsiTheme="minorHAnsi"/>
          <w:color w:val="auto"/>
          <w:sz w:val="24"/>
          <w:szCs w:val="24"/>
        </w:rPr>
        <w:t>Mayor</w:t>
      </w:r>
      <w:r>
        <w:rPr>
          <w:rFonts w:asciiTheme="minorHAnsi" w:eastAsia="Times New Roman" w:hAnsiTheme="minorHAnsi"/>
          <w:color w:val="auto"/>
          <w:sz w:val="24"/>
          <w:szCs w:val="24"/>
        </w:rPr>
        <w:t xml:space="preserve">’s </w:t>
      </w:r>
      <w:r w:rsidRPr="008B1480">
        <w:rPr>
          <w:rFonts w:asciiTheme="minorHAnsi" w:eastAsia="Times New Roman" w:hAnsiTheme="minorHAnsi"/>
          <w:color w:val="auto"/>
          <w:sz w:val="24"/>
          <w:szCs w:val="24"/>
        </w:rPr>
        <w:t xml:space="preserve">Policy Development and Decision Groups receive reports and make recommendations to </w:t>
      </w:r>
      <w:r>
        <w:rPr>
          <w:rFonts w:asciiTheme="minorHAnsi" w:eastAsia="Times New Roman" w:hAnsiTheme="minorHAnsi"/>
          <w:color w:val="auto"/>
          <w:sz w:val="24"/>
          <w:szCs w:val="24"/>
        </w:rPr>
        <w:t>him</w:t>
      </w:r>
      <w:r w:rsidRPr="008B1480">
        <w:rPr>
          <w:rFonts w:asciiTheme="minorHAnsi" w:eastAsia="Times New Roman" w:hAnsiTheme="minorHAnsi"/>
          <w:color w:val="auto"/>
          <w:sz w:val="24"/>
          <w:szCs w:val="24"/>
        </w:rPr>
        <w:t xml:space="preserve"> on Executive decisions.  The </w:t>
      </w:r>
      <w:r>
        <w:rPr>
          <w:rFonts w:asciiTheme="minorHAnsi" w:eastAsia="Times New Roman" w:hAnsiTheme="minorHAnsi"/>
          <w:color w:val="auto"/>
          <w:sz w:val="24"/>
          <w:szCs w:val="24"/>
        </w:rPr>
        <w:t xml:space="preserve">Elected </w:t>
      </w:r>
      <w:r w:rsidRPr="008B1480">
        <w:rPr>
          <w:rFonts w:asciiTheme="minorHAnsi" w:eastAsia="Times New Roman" w:hAnsiTheme="minorHAnsi"/>
          <w:color w:val="auto"/>
          <w:sz w:val="24"/>
          <w:szCs w:val="24"/>
        </w:rPr>
        <w:t xml:space="preserve">Mayor then, in the majority of cases, takes those decisions at meetings of the Policy Development and Decision Group.  All reports to members include sections on the financial and legal implications and the risks of the proposed decision.  Prior to publication, these reports are cleared by the </w:t>
      </w:r>
      <w:r>
        <w:rPr>
          <w:rFonts w:asciiTheme="minorHAnsi" w:eastAsia="Times New Roman" w:hAnsiTheme="minorHAnsi"/>
          <w:color w:val="auto"/>
          <w:sz w:val="24"/>
          <w:szCs w:val="24"/>
        </w:rPr>
        <w:t xml:space="preserve">Chief Executive, </w:t>
      </w:r>
      <w:r w:rsidRPr="008B1480">
        <w:rPr>
          <w:rFonts w:asciiTheme="minorHAnsi" w:eastAsia="Times New Roman" w:hAnsiTheme="minorHAnsi"/>
          <w:color w:val="auto"/>
          <w:sz w:val="24"/>
          <w:szCs w:val="24"/>
        </w:rPr>
        <w:t>Chief Finance Officer and the Monitoring Officer or one of their senior staff.</w:t>
      </w:r>
    </w:p>
    <w:p w:rsidR="00360B9A" w:rsidRDefault="00360B9A" w:rsidP="00360B9A">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 xml:space="preserve">All meetings </w:t>
      </w:r>
      <w:r>
        <w:rPr>
          <w:rFonts w:asciiTheme="minorHAnsi" w:eastAsia="Times New Roman" w:hAnsiTheme="minorHAnsi"/>
          <w:color w:val="auto"/>
          <w:sz w:val="24"/>
          <w:szCs w:val="24"/>
        </w:rPr>
        <w:t xml:space="preserve">of the council and its committees </w:t>
      </w:r>
      <w:r w:rsidRPr="004E6599">
        <w:rPr>
          <w:rFonts w:asciiTheme="minorHAnsi" w:eastAsia="Times New Roman" w:hAnsiTheme="minorHAnsi"/>
          <w:color w:val="auto"/>
          <w:sz w:val="24"/>
          <w:szCs w:val="24"/>
        </w:rPr>
        <w:t xml:space="preserve">are open to the public but a small number of matters are considered in private when the press and public are formally excluded from meetings.  It is the Council’s objective to keep these private matters to a minimum with only those elements of reports that are considered exempt from publication being included within appendices.  This </w:t>
      </w:r>
      <w:r>
        <w:rPr>
          <w:rFonts w:asciiTheme="minorHAnsi" w:eastAsia="Times New Roman" w:hAnsiTheme="minorHAnsi"/>
          <w:color w:val="auto"/>
          <w:sz w:val="24"/>
          <w:szCs w:val="24"/>
        </w:rPr>
        <w:t xml:space="preserve">aims to </w:t>
      </w:r>
      <w:r w:rsidRPr="004E6599">
        <w:rPr>
          <w:rFonts w:asciiTheme="minorHAnsi" w:eastAsia="Times New Roman" w:hAnsiTheme="minorHAnsi"/>
          <w:color w:val="auto"/>
          <w:sz w:val="24"/>
          <w:szCs w:val="24"/>
        </w:rPr>
        <w:t>ensure open and transparent decision making is undertaken at all times.</w:t>
      </w:r>
    </w:p>
    <w:p w:rsidR="00360B9A" w:rsidRPr="004E6599" w:rsidRDefault="00360B9A" w:rsidP="00360B9A">
      <w:pPr>
        <w:rPr>
          <w:rFonts w:asciiTheme="minorHAnsi" w:eastAsia="Times New Roman" w:hAnsiTheme="minorHAnsi"/>
          <w:color w:val="auto"/>
          <w:sz w:val="24"/>
          <w:szCs w:val="24"/>
        </w:rPr>
      </w:pPr>
      <w:r w:rsidRPr="00C84938">
        <w:rPr>
          <w:rFonts w:asciiTheme="minorHAnsi" w:eastAsia="Times New Roman" w:hAnsiTheme="minorHAnsi"/>
          <w:color w:val="auto"/>
          <w:sz w:val="24"/>
          <w:szCs w:val="24"/>
        </w:rPr>
        <w:t xml:space="preserve">The Member Development Programme provides a structured approach to member development to </w:t>
      </w:r>
      <w:r>
        <w:rPr>
          <w:rFonts w:asciiTheme="minorHAnsi" w:eastAsia="Times New Roman" w:hAnsiTheme="minorHAnsi"/>
          <w:color w:val="auto"/>
          <w:sz w:val="24"/>
          <w:szCs w:val="24"/>
        </w:rPr>
        <w:t xml:space="preserve">support </w:t>
      </w:r>
      <w:r w:rsidRPr="00C84938">
        <w:rPr>
          <w:rFonts w:asciiTheme="minorHAnsi" w:eastAsia="Times New Roman" w:hAnsiTheme="minorHAnsi"/>
          <w:color w:val="auto"/>
          <w:sz w:val="24"/>
          <w:szCs w:val="24"/>
        </w:rPr>
        <w:t>members in their roles.  In addition to the Personal Development Plans</w:t>
      </w:r>
      <w:r>
        <w:rPr>
          <w:rFonts w:asciiTheme="minorHAnsi" w:eastAsia="Times New Roman" w:hAnsiTheme="minorHAnsi"/>
          <w:color w:val="auto"/>
          <w:sz w:val="24"/>
          <w:szCs w:val="24"/>
        </w:rPr>
        <w:t xml:space="preserve">, </w:t>
      </w:r>
      <w:r w:rsidRPr="00C84938">
        <w:rPr>
          <w:rFonts w:asciiTheme="minorHAnsi" w:eastAsia="Times New Roman" w:hAnsiTheme="minorHAnsi"/>
          <w:color w:val="auto"/>
          <w:sz w:val="24"/>
          <w:szCs w:val="24"/>
        </w:rPr>
        <w:t>Members ha</w:t>
      </w:r>
      <w:r>
        <w:rPr>
          <w:rFonts w:asciiTheme="minorHAnsi" w:eastAsia="Times New Roman" w:hAnsiTheme="minorHAnsi"/>
          <w:color w:val="auto"/>
          <w:sz w:val="24"/>
          <w:szCs w:val="24"/>
        </w:rPr>
        <w:t>ve t</w:t>
      </w:r>
      <w:r w:rsidRPr="00C84938">
        <w:rPr>
          <w:rFonts w:asciiTheme="minorHAnsi" w:eastAsia="Times New Roman" w:hAnsiTheme="minorHAnsi"/>
          <w:color w:val="auto"/>
          <w:sz w:val="24"/>
          <w:szCs w:val="24"/>
        </w:rPr>
        <w:t>he opportunity to have a one to one Councillor Development discussion with their Group Leader.  The purpose of th</w:t>
      </w:r>
      <w:r>
        <w:rPr>
          <w:rFonts w:asciiTheme="minorHAnsi" w:eastAsia="Times New Roman" w:hAnsiTheme="minorHAnsi"/>
          <w:color w:val="auto"/>
          <w:sz w:val="24"/>
          <w:szCs w:val="24"/>
        </w:rPr>
        <w:t xml:space="preserve">ese </w:t>
      </w:r>
      <w:r w:rsidRPr="00C84938">
        <w:rPr>
          <w:rFonts w:asciiTheme="minorHAnsi" w:eastAsia="Times New Roman" w:hAnsiTheme="minorHAnsi"/>
          <w:color w:val="auto"/>
          <w:sz w:val="24"/>
          <w:szCs w:val="24"/>
        </w:rPr>
        <w:t>review</w:t>
      </w:r>
      <w:r>
        <w:rPr>
          <w:rFonts w:asciiTheme="minorHAnsi" w:eastAsia="Times New Roman" w:hAnsiTheme="minorHAnsi"/>
          <w:color w:val="auto"/>
          <w:sz w:val="24"/>
          <w:szCs w:val="24"/>
        </w:rPr>
        <w:t>s is</w:t>
      </w:r>
      <w:r w:rsidRPr="00C84938">
        <w:rPr>
          <w:rFonts w:asciiTheme="minorHAnsi" w:eastAsia="Times New Roman" w:hAnsiTheme="minorHAnsi"/>
          <w:color w:val="auto"/>
          <w:sz w:val="24"/>
          <w:szCs w:val="24"/>
        </w:rPr>
        <w:t xml:space="preserve"> to discuss each member</w:t>
      </w:r>
      <w:r>
        <w:rPr>
          <w:rFonts w:asciiTheme="minorHAnsi" w:eastAsia="Times New Roman" w:hAnsiTheme="minorHAnsi"/>
          <w:color w:val="auto"/>
          <w:sz w:val="24"/>
          <w:szCs w:val="24"/>
        </w:rPr>
        <w:t>’</w:t>
      </w:r>
      <w:r w:rsidRPr="00C84938">
        <w:rPr>
          <w:rFonts w:asciiTheme="minorHAnsi" w:eastAsia="Times New Roman" w:hAnsiTheme="minorHAnsi"/>
          <w:color w:val="auto"/>
          <w:sz w:val="24"/>
          <w:szCs w:val="24"/>
        </w:rPr>
        <w:t>s progress and how they can contribute in meeting the Council’s prio</w:t>
      </w:r>
      <w:r>
        <w:rPr>
          <w:rFonts w:asciiTheme="minorHAnsi" w:eastAsia="Times New Roman" w:hAnsiTheme="minorHAnsi"/>
          <w:color w:val="auto"/>
          <w:sz w:val="24"/>
          <w:szCs w:val="24"/>
        </w:rPr>
        <w:t>rities.</w:t>
      </w:r>
    </w:p>
    <w:p w:rsidR="00360B9A" w:rsidRPr="004E6599" w:rsidRDefault="00360B9A" w:rsidP="00360B9A">
      <w:pPr>
        <w:keepNext/>
        <w:rPr>
          <w:rFonts w:asciiTheme="minorHAnsi" w:eastAsia="Times New Roman" w:hAnsiTheme="minorHAnsi"/>
          <w:color w:val="auto"/>
          <w:sz w:val="24"/>
          <w:szCs w:val="24"/>
          <w:u w:val="single"/>
        </w:rPr>
      </w:pPr>
      <w:r w:rsidRPr="004E6599">
        <w:rPr>
          <w:rFonts w:asciiTheme="minorHAnsi" w:eastAsia="Times New Roman" w:hAnsiTheme="minorHAnsi"/>
          <w:color w:val="auto"/>
          <w:sz w:val="24"/>
          <w:szCs w:val="24"/>
          <w:u w:val="single"/>
        </w:rPr>
        <w:t>Community and Service User Engagement</w:t>
      </w:r>
    </w:p>
    <w:p w:rsidR="00360B9A" w:rsidRPr="00536A44" w:rsidRDefault="00360B9A" w:rsidP="00360B9A">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 xml:space="preserve">There are a number of Community Partnerships across Torbay which provide an opportunity for people who live or work in the </w:t>
      </w:r>
      <w:r>
        <w:rPr>
          <w:rFonts w:asciiTheme="minorHAnsi" w:eastAsia="Times New Roman" w:hAnsiTheme="minorHAnsi"/>
          <w:color w:val="auto"/>
          <w:sz w:val="24"/>
          <w:szCs w:val="24"/>
        </w:rPr>
        <w:t xml:space="preserve">those </w:t>
      </w:r>
      <w:r w:rsidRPr="00536A44">
        <w:rPr>
          <w:rFonts w:asciiTheme="minorHAnsi" w:eastAsia="Times New Roman" w:hAnsiTheme="minorHAnsi"/>
          <w:color w:val="auto"/>
          <w:sz w:val="24"/>
          <w:szCs w:val="24"/>
        </w:rPr>
        <w:t xml:space="preserve">parts of Torbay to discuss issues of common concern, influence the way in which services are provided and improve their local area. </w:t>
      </w:r>
    </w:p>
    <w:p w:rsidR="00360B9A" w:rsidRPr="004E6599" w:rsidRDefault="00360B9A" w:rsidP="00360B9A">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In developing proposals for service change, consultation with service users and the public is undertaken.  In particular, the impact on vulnerable groups and those with characteristics protected under the Equality Act 2012 is assessed and documented in Equality Impact Assessments which are considered by decision-makers prior to decisions being made.</w:t>
      </w:r>
    </w:p>
    <w:p w:rsidR="00360B9A" w:rsidRPr="004E6599" w:rsidRDefault="00360B9A" w:rsidP="00360B9A">
      <w:pPr>
        <w:keepNext/>
        <w:rPr>
          <w:rFonts w:asciiTheme="minorHAnsi" w:eastAsia="Times New Roman" w:hAnsiTheme="minorHAnsi"/>
          <w:color w:val="auto"/>
          <w:sz w:val="24"/>
          <w:szCs w:val="24"/>
          <w:u w:val="single"/>
        </w:rPr>
      </w:pPr>
      <w:r w:rsidRPr="004E6599">
        <w:rPr>
          <w:rFonts w:asciiTheme="minorHAnsi" w:eastAsia="Times New Roman" w:hAnsiTheme="minorHAnsi"/>
          <w:color w:val="auto"/>
          <w:sz w:val="24"/>
          <w:szCs w:val="24"/>
          <w:u w:val="single"/>
        </w:rPr>
        <w:t>Partnership Working</w:t>
      </w:r>
    </w:p>
    <w:p w:rsidR="00360B9A" w:rsidRDefault="00360B9A" w:rsidP="00360B9A">
      <w:pPr>
        <w:rPr>
          <w:rFonts w:asciiTheme="minorHAnsi" w:eastAsia="Times New Roman" w:hAnsiTheme="minorHAnsi"/>
          <w:color w:val="auto"/>
          <w:sz w:val="24"/>
          <w:szCs w:val="24"/>
        </w:rPr>
      </w:pPr>
      <w:r>
        <w:rPr>
          <w:rFonts w:asciiTheme="minorHAnsi" w:eastAsia="Times New Roman" w:hAnsiTheme="minorHAnsi"/>
          <w:color w:val="auto"/>
          <w:sz w:val="24"/>
          <w:szCs w:val="24"/>
        </w:rPr>
        <w:t>The Torbay Strategic Partnership has met throughout the year  and the Council and its partners have agreed ”Your Torbay, Your Future”  which sets out the Partnership’s vision for Torbay in the future.</w:t>
      </w:r>
    </w:p>
    <w:p w:rsidR="00360B9A" w:rsidRPr="004E6599" w:rsidRDefault="00360B9A" w:rsidP="00360B9A">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lastRenderedPageBreak/>
        <w:t>The Health and Wellbeing Board and the Community Safety Partnership provide forum</w:t>
      </w:r>
      <w:r>
        <w:rPr>
          <w:rFonts w:asciiTheme="minorHAnsi" w:eastAsia="Times New Roman" w:hAnsiTheme="minorHAnsi"/>
          <w:color w:val="auto"/>
          <w:sz w:val="24"/>
          <w:szCs w:val="24"/>
        </w:rPr>
        <w:t>s where multi-agency issues which</w:t>
      </w:r>
      <w:r w:rsidRPr="004E6599">
        <w:rPr>
          <w:rFonts w:asciiTheme="minorHAnsi" w:eastAsia="Times New Roman" w:hAnsiTheme="minorHAnsi"/>
          <w:color w:val="auto"/>
          <w:sz w:val="24"/>
          <w:szCs w:val="24"/>
        </w:rPr>
        <w:t xml:space="preserve"> impact on the Torbay population can be debated.  Safeguarding Boards are also in place for both children and adults.</w:t>
      </w:r>
    </w:p>
    <w:p w:rsidR="00360B9A" w:rsidRPr="00BB2ADF" w:rsidRDefault="00360B9A" w:rsidP="00360B9A">
      <w:pPr>
        <w:rPr>
          <w:rFonts w:asciiTheme="minorHAnsi" w:eastAsia="Times New Roman" w:hAnsiTheme="minorHAnsi"/>
          <w:color w:val="auto"/>
          <w:sz w:val="24"/>
          <w:szCs w:val="24"/>
        </w:rPr>
      </w:pPr>
      <w:r w:rsidRPr="00BB2ADF">
        <w:rPr>
          <w:rFonts w:asciiTheme="minorHAnsi" w:eastAsia="Times New Roman" w:hAnsiTheme="minorHAnsi"/>
          <w:color w:val="auto"/>
          <w:sz w:val="24"/>
          <w:szCs w:val="24"/>
        </w:rPr>
        <w:t>The Council owns (either in its own right or with partners) a number of companies, namely the Torbay Economic Development Company (TDA), TOR2, Careers South West</w:t>
      </w:r>
      <w:r>
        <w:rPr>
          <w:rFonts w:asciiTheme="minorHAnsi" w:eastAsia="Times New Roman" w:hAnsiTheme="minorHAnsi"/>
          <w:color w:val="auto"/>
          <w:sz w:val="24"/>
          <w:szCs w:val="24"/>
        </w:rPr>
        <w:t>, Torbay Housing Company Ltd</w:t>
      </w:r>
      <w:r w:rsidRPr="00BB2ADF">
        <w:rPr>
          <w:rFonts w:asciiTheme="minorHAnsi" w:eastAsia="Times New Roman" w:hAnsiTheme="minorHAnsi"/>
          <w:color w:val="auto"/>
          <w:sz w:val="24"/>
          <w:szCs w:val="24"/>
        </w:rPr>
        <w:t xml:space="preserve"> and </w:t>
      </w:r>
      <w:proofErr w:type="spellStart"/>
      <w:r w:rsidRPr="00BB2ADF">
        <w:rPr>
          <w:rFonts w:asciiTheme="minorHAnsi" w:eastAsia="Times New Roman" w:hAnsiTheme="minorHAnsi"/>
          <w:color w:val="auto"/>
          <w:sz w:val="24"/>
          <w:szCs w:val="24"/>
        </w:rPr>
        <w:t>Oldway</w:t>
      </w:r>
      <w:proofErr w:type="spellEnd"/>
      <w:r w:rsidRPr="00BB2ADF">
        <w:rPr>
          <w:rFonts w:asciiTheme="minorHAnsi" w:eastAsia="Times New Roman" w:hAnsiTheme="minorHAnsi"/>
          <w:color w:val="auto"/>
          <w:sz w:val="24"/>
          <w:szCs w:val="24"/>
        </w:rPr>
        <w:t xml:space="preserve"> Management Company.  The Council has representatives on the Boards of these companies together with a number of reserved matters which are set out in the Articles of Association and Memorandum of Understanding.  </w:t>
      </w:r>
    </w:p>
    <w:p w:rsidR="00360B9A" w:rsidRDefault="00360B9A" w:rsidP="00360B9A">
      <w:pPr>
        <w:rPr>
          <w:rFonts w:asciiTheme="minorHAnsi" w:eastAsia="Times New Roman" w:hAnsiTheme="minorHAnsi"/>
          <w:color w:val="auto"/>
          <w:sz w:val="24"/>
          <w:szCs w:val="24"/>
        </w:rPr>
      </w:pPr>
      <w:r>
        <w:rPr>
          <w:rFonts w:asciiTheme="minorHAnsi" w:eastAsia="Times New Roman" w:hAnsiTheme="minorHAnsi"/>
          <w:color w:val="auto"/>
          <w:sz w:val="24"/>
          <w:szCs w:val="24"/>
        </w:rPr>
        <w:t>P</w:t>
      </w:r>
      <w:r w:rsidRPr="00BB2ADF">
        <w:rPr>
          <w:rFonts w:asciiTheme="minorHAnsi" w:eastAsia="Times New Roman" w:hAnsiTheme="minorHAnsi"/>
          <w:color w:val="auto"/>
          <w:sz w:val="24"/>
          <w:szCs w:val="24"/>
        </w:rPr>
        <w:t>erformance and monitoring arrangements are in place in respect of service specific partnerships such as the Torbay and South Devon NHS Foundation Trust and the Torbay Coast and Countryside Trust.</w:t>
      </w:r>
    </w:p>
    <w:p w:rsidR="00360B9A" w:rsidRDefault="00360B9A" w:rsidP="00360B9A">
      <w:pPr>
        <w:pStyle w:val="Body"/>
        <w:rPr>
          <w:rFonts w:ascii="Calibri" w:eastAsia="Calibri" w:hAnsi="Calibri" w:cs="Calibri"/>
          <w:sz w:val="24"/>
          <w:szCs w:val="24"/>
          <w:shd w:val="clear" w:color="auto" w:fill="FFFF00"/>
        </w:rPr>
      </w:pPr>
      <w:r w:rsidRPr="00536A44">
        <w:rPr>
          <w:rFonts w:asciiTheme="minorHAnsi" w:eastAsia="Times New Roman" w:hAnsiTheme="minorHAnsi"/>
          <w:color w:val="auto"/>
          <w:sz w:val="24"/>
          <w:szCs w:val="24"/>
        </w:rPr>
        <w:t xml:space="preserve">The Council is </w:t>
      </w:r>
      <w:r>
        <w:rPr>
          <w:rFonts w:asciiTheme="minorHAnsi" w:eastAsia="Times New Roman" w:hAnsiTheme="minorHAnsi"/>
          <w:color w:val="auto"/>
          <w:sz w:val="24"/>
          <w:szCs w:val="24"/>
        </w:rPr>
        <w:t xml:space="preserve">a member of the Heart of the South West Joint Committee which will be delivering the Productivity Strategy for the region and maximising the opportunities for Government funding in Devon and Somerset.  The Council is </w:t>
      </w:r>
      <w:r w:rsidRPr="00536A44">
        <w:rPr>
          <w:rFonts w:asciiTheme="minorHAnsi" w:eastAsia="Times New Roman" w:hAnsiTheme="minorHAnsi"/>
          <w:color w:val="auto"/>
          <w:sz w:val="24"/>
          <w:szCs w:val="24"/>
        </w:rPr>
        <w:t>also pursuing other partnership opportunities such as the Plymouth and South West Peninsula City Deal</w:t>
      </w:r>
      <w:r>
        <w:rPr>
          <w:rFonts w:asciiTheme="minorHAnsi" w:eastAsia="Times New Roman" w:hAnsiTheme="minorHAnsi"/>
          <w:color w:val="auto"/>
          <w:sz w:val="24"/>
          <w:szCs w:val="24"/>
        </w:rPr>
        <w:t xml:space="preserve">.  In addition, the Council is working with partners on </w:t>
      </w:r>
      <w:r w:rsidRPr="006D658B">
        <w:rPr>
          <w:rFonts w:asciiTheme="minorHAnsi" w:eastAsia="Times New Roman" w:hAnsiTheme="minorHAnsi"/>
          <w:color w:val="auto"/>
          <w:sz w:val="24"/>
          <w:szCs w:val="24"/>
        </w:rPr>
        <w:t>the Wider Devon Sustainability and Transformation Pl</w:t>
      </w:r>
      <w:r>
        <w:rPr>
          <w:rFonts w:asciiTheme="minorHAnsi" w:eastAsia="Times New Roman" w:hAnsiTheme="minorHAnsi"/>
          <w:color w:val="auto"/>
          <w:sz w:val="24"/>
          <w:szCs w:val="24"/>
        </w:rPr>
        <w:t xml:space="preserve">an and the Better Care Fund together with other initiatives with Devon County Council, Plymouth City Council and local district councils, including the Devon-wide National Non-Domestic Rates pilot scheme.  </w:t>
      </w:r>
      <w:r>
        <w:rPr>
          <w:rFonts w:ascii="Calibri" w:eastAsia="Calibri" w:hAnsi="Calibri" w:cs="Calibri"/>
          <w:sz w:val="24"/>
          <w:szCs w:val="24"/>
          <w:lang w:val="en-US"/>
        </w:rPr>
        <w:t xml:space="preserve">Significantly 2017/18 saw preparations for the revised arrangements for Children’s Services with Plymouth City Council which came into effect on 1 April 2018. </w:t>
      </w:r>
    </w:p>
    <w:p w:rsidR="00360B9A" w:rsidRPr="00A569FC" w:rsidRDefault="00360B9A" w:rsidP="00360B9A">
      <w:pPr>
        <w:keepNext/>
        <w:rPr>
          <w:rFonts w:asciiTheme="minorHAnsi" w:eastAsia="Times New Roman" w:hAnsiTheme="minorHAnsi"/>
          <w:color w:val="auto"/>
          <w:sz w:val="24"/>
          <w:szCs w:val="24"/>
          <w:u w:val="single"/>
        </w:rPr>
      </w:pPr>
      <w:r>
        <w:rPr>
          <w:rFonts w:asciiTheme="minorHAnsi" w:eastAsia="Times New Roman" w:hAnsiTheme="minorHAnsi"/>
          <w:color w:val="auto"/>
          <w:sz w:val="24"/>
          <w:szCs w:val="24"/>
          <w:u w:val="single"/>
        </w:rPr>
        <w:t>P</w:t>
      </w:r>
      <w:r w:rsidRPr="00A569FC">
        <w:rPr>
          <w:rFonts w:asciiTheme="minorHAnsi" w:eastAsia="Times New Roman" w:hAnsiTheme="minorHAnsi"/>
          <w:color w:val="auto"/>
          <w:sz w:val="24"/>
          <w:szCs w:val="24"/>
          <w:u w:val="single"/>
        </w:rPr>
        <w:t>erformance and Risk Management</w:t>
      </w:r>
    </w:p>
    <w:p w:rsidR="00360B9A" w:rsidRDefault="00360B9A" w:rsidP="00360B9A">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 xml:space="preserve">The Council records performance information using performance-reporting software called SPAR.net.  The Senior Leadership Team </w:t>
      </w:r>
      <w:r>
        <w:rPr>
          <w:rFonts w:asciiTheme="minorHAnsi" w:eastAsia="Times New Roman" w:hAnsiTheme="minorHAnsi"/>
          <w:color w:val="auto"/>
          <w:sz w:val="24"/>
          <w:szCs w:val="24"/>
        </w:rPr>
        <w:t xml:space="preserve">continuously monitors the Council’s performance and risks and </w:t>
      </w:r>
      <w:r w:rsidRPr="00536A44">
        <w:rPr>
          <w:rFonts w:asciiTheme="minorHAnsi" w:eastAsia="Times New Roman" w:hAnsiTheme="minorHAnsi"/>
          <w:color w:val="auto"/>
          <w:sz w:val="24"/>
          <w:szCs w:val="24"/>
        </w:rPr>
        <w:t>receive</w:t>
      </w:r>
      <w:r>
        <w:rPr>
          <w:rFonts w:asciiTheme="minorHAnsi" w:eastAsia="Times New Roman" w:hAnsiTheme="minorHAnsi"/>
          <w:color w:val="auto"/>
          <w:sz w:val="24"/>
          <w:szCs w:val="24"/>
        </w:rPr>
        <w:t>s</w:t>
      </w:r>
      <w:r w:rsidRPr="00536A44">
        <w:rPr>
          <w:rFonts w:asciiTheme="minorHAnsi" w:eastAsia="Times New Roman" w:hAnsiTheme="minorHAnsi"/>
          <w:color w:val="auto"/>
          <w:sz w:val="24"/>
          <w:szCs w:val="24"/>
        </w:rPr>
        <w:t xml:space="preserve"> </w:t>
      </w:r>
      <w:r>
        <w:rPr>
          <w:rFonts w:asciiTheme="minorHAnsi" w:eastAsia="Times New Roman" w:hAnsiTheme="minorHAnsi"/>
          <w:color w:val="auto"/>
          <w:sz w:val="24"/>
          <w:szCs w:val="24"/>
        </w:rPr>
        <w:t xml:space="preserve">formal updates on a </w:t>
      </w:r>
      <w:r w:rsidRPr="00536A44">
        <w:rPr>
          <w:rFonts w:asciiTheme="minorHAnsi" w:eastAsia="Times New Roman" w:hAnsiTheme="minorHAnsi"/>
          <w:color w:val="auto"/>
          <w:sz w:val="24"/>
          <w:szCs w:val="24"/>
        </w:rPr>
        <w:t xml:space="preserve">quarterly </w:t>
      </w:r>
      <w:r>
        <w:rPr>
          <w:rFonts w:asciiTheme="minorHAnsi" w:eastAsia="Times New Roman" w:hAnsiTheme="minorHAnsi"/>
          <w:color w:val="auto"/>
          <w:sz w:val="24"/>
          <w:szCs w:val="24"/>
        </w:rPr>
        <w:t>basis.  These updates are shared with the Elected Mayor and Executive, Group Leaders and the Audit Committee.  Any a</w:t>
      </w:r>
      <w:r w:rsidRPr="00536A44">
        <w:rPr>
          <w:rFonts w:asciiTheme="minorHAnsi" w:eastAsia="Times New Roman" w:hAnsiTheme="minorHAnsi"/>
          <w:color w:val="auto"/>
          <w:sz w:val="24"/>
          <w:szCs w:val="24"/>
        </w:rPr>
        <w:t>reas of concern are highlighted</w:t>
      </w:r>
      <w:r>
        <w:rPr>
          <w:rFonts w:asciiTheme="minorHAnsi" w:eastAsia="Times New Roman" w:hAnsiTheme="minorHAnsi"/>
          <w:color w:val="auto"/>
          <w:sz w:val="24"/>
          <w:szCs w:val="24"/>
        </w:rPr>
        <w:t xml:space="preserve"> and </w:t>
      </w:r>
      <w:r w:rsidRPr="00536A44">
        <w:rPr>
          <w:rFonts w:asciiTheme="minorHAnsi" w:eastAsia="Times New Roman" w:hAnsiTheme="minorHAnsi"/>
          <w:color w:val="auto"/>
          <w:sz w:val="24"/>
          <w:szCs w:val="24"/>
        </w:rPr>
        <w:t>appropriate corrective action will be considered, scrutinised and monitored.  The Council uses a range of benchmarking information to measure performance against comparators and to identify authorities from whom the Council could learn.</w:t>
      </w:r>
    </w:p>
    <w:p w:rsidR="00360B9A" w:rsidRPr="00536A44" w:rsidRDefault="00360B9A" w:rsidP="00360B9A">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The Senior Leadership Team is responsible for the implementation and monitoring of the Performance and Risk Framework.  A Strategic Risk Register is maintained which identifies strategic risks facing the Authority together with clearly identified measures for mitigation.  Directors and Executive Heads are responsible for managing risk within their Business Units.</w:t>
      </w:r>
    </w:p>
    <w:p w:rsidR="00360B9A" w:rsidRPr="004E6599" w:rsidRDefault="00360B9A" w:rsidP="00360B9A">
      <w:pPr>
        <w:keepNext/>
        <w:rPr>
          <w:rFonts w:asciiTheme="minorHAnsi" w:eastAsia="Times New Roman" w:hAnsiTheme="minorHAnsi"/>
          <w:color w:val="auto"/>
          <w:sz w:val="24"/>
          <w:szCs w:val="24"/>
          <w:u w:val="single"/>
        </w:rPr>
      </w:pPr>
      <w:r w:rsidRPr="004E6599">
        <w:rPr>
          <w:rFonts w:asciiTheme="minorHAnsi" w:eastAsia="Times New Roman" w:hAnsiTheme="minorHAnsi"/>
          <w:color w:val="auto"/>
          <w:sz w:val="24"/>
          <w:szCs w:val="24"/>
          <w:u w:val="single"/>
        </w:rPr>
        <w:t>Senior Management</w:t>
      </w:r>
    </w:p>
    <w:p w:rsidR="00360B9A" w:rsidRPr="004E6599" w:rsidRDefault="00360B9A" w:rsidP="00360B9A">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 xml:space="preserve">The </w:t>
      </w:r>
      <w:r w:rsidRPr="004E6599">
        <w:rPr>
          <w:rFonts w:asciiTheme="minorHAnsi" w:eastAsia="Times New Roman" w:hAnsiTheme="minorHAnsi"/>
          <w:b/>
          <w:color w:val="auto"/>
          <w:sz w:val="24"/>
          <w:szCs w:val="24"/>
        </w:rPr>
        <w:t>Head of the Paid Service</w:t>
      </w:r>
      <w:r w:rsidRPr="004E6599">
        <w:rPr>
          <w:rFonts w:asciiTheme="minorHAnsi" w:eastAsia="Times New Roman" w:hAnsiTheme="minorHAnsi"/>
          <w:color w:val="auto"/>
          <w:sz w:val="24"/>
          <w:szCs w:val="24"/>
        </w:rPr>
        <w:t xml:space="preserve"> is the Chief Executive who is responsible and accountable to the Council for all aspects of operational management.</w:t>
      </w:r>
    </w:p>
    <w:p w:rsidR="00360B9A" w:rsidRPr="004E6599" w:rsidRDefault="00360B9A" w:rsidP="00360B9A">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lastRenderedPageBreak/>
        <w:t xml:space="preserve">The Head of Finance is the </w:t>
      </w:r>
      <w:r w:rsidRPr="004E6599">
        <w:rPr>
          <w:rFonts w:asciiTheme="minorHAnsi" w:eastAsia="Times New Roman" w:hAnsiTheme="minorHAnsi"/>
          <w:b/>
          <w:color w:val="auto"/>
          <w:sz w:val="24"/>
          <w:szCs w:val="24"/>
        </w:rPr>
        <w:t xml:space="preserve">Chief Financial Officer.  </w:t>
      </w:r>
      <w:r w:rsidRPr="004E6599">
        <w:rPr>
          <w:rFonts w:asciiTheme="minorHAnsi" w:eastAsia="Times New Roman" w:hAnsiTheme="minorHAnsi"/>
          <w:color w:val="auto"/>
          <w:sz w:val="24"/>
          <w:szCs w:val="24"/>
        </w:rPr>
        <w:t xml:space="preserve">He has direct access to all members, the Chief Executive and senior officers of the Council.  He works with Directors and Executive Heads to identify any financial issues which may require management action.  Regular discussions are held with the </w:t>
      </w:r>
      <w:r>
        <w:rPr>
          <w:rFonts w:asciiTheme="minorHAnsi" w:eastAsia="Times New Roman" w:hAnsiTheme="minorHAnsi"/>
          <w:color w:val="auto"/>
          <w:sz w:val="24"/>
          <w:szCs w:val="24"/>
        </w:rPr>
        <w:t xml:space="preserve">Elected </w:t>
      </w:r>
      <w:r w:rsidRPr="004E6599">
        <w:rPr>
          <w:rFonts w:asciiTheme="minorHAnsi" w:eastAsia="Times New Roman" w:hAnsiTheme="minorHAnsi"/>
          <w:color w:val="auto"/>
          <w:sz w:val="24"/>
          <w:szCs w:val="24"/>
        </w:rPr>
        <w:t xml:space="preserve">Mayor who is the Executive Member with responsibility for finance.  The Chief Finance Officer has responsibility for ensuring the Council operates secure and reliable financial and accounting systems.  </w:t>
      </w:r>
    </w:p>
    <w:p w:rsidR="00360B9A" w:rsidRPr="004E6599" w:rsidRDefault="00360B9A" w:rsidP="00360B9A">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Members are briefed on key financial issues with revenue and capital budget monitoring reports being considered by the Overview and Scrutin</w:t>
      </w:r>
      <w:r>
        <w:rPr>
          <w:rFonts w:asciiTheme="minorHAnsi" w:eastAsia="Times New Roman" w:hAnsiTheme="minorHAnsi"/>
          <w:color w:val="auto"/>
          <w:sz w:val="24"/>
          <w:szCs w:val="24"/>
        </w:rPr>
        <w:t>y Board and the Council on a regular</w:t>
      </w:r>
      <w:r w:rsidRPr="004E6599">
        <w:rPr>
          <w:rFonts w:asciiTheme="minorHAnsi" w:eastAsia="Times New Roman" w:hAnsiTheme="minorHAnsi"/>
          <w:color w:val="auto"/>
          <w:sz w:val="24"/>
          <w:szCs w:val="24"/>
        </w:rPr>
        <w:t xml:space="preserve"> basis.  The Council agrees the Treasury Management Strategy on an annual basis on the recommendation of the Audit Committee.</w:t>
      </w:r>
    </w:p>
    <w:p w:rsidR="00360B9A" w:rsidRPr="004E6599" w:rsidRDefault="00360B9A" w:rsidP="00360B9A">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The Director</w:t>
      </w:r>
      <w:r>
        <w:rPr>
          <w:rFonts w:asciiTheme="minorHAnsi" w:eastAsia="Times New Roman" w:hAnsiTheme="minorHAnsi"/>
          <w:color w:val="auto"/>
          <w:sz w:val="24"/>
          <w:szCs w:val="24"/>
        </w:rPr>
        <w:t xml:space="preserve"> of </w:t>
      </w:r>
      <w:r w:rsidRPr="004E6599">
        <w:rPr>
          <w:rFonts w:asciiTheme="minorHAnsi" w:eastAsia="Times New Roman" w:hAnsiTheme="minorHAnsi"/>
          <w:color w:val="auto"/>
          <w:sz w:val="24"/>
          <w:szCs w:val="24"/>
        </w:rPr>
        <w:t>Corporate Services</w:t>
      </w:r>
      <w:r>
        <w:rPr>
          <w:rFonts w:asciiTheme="minorHAnsi" w:eastAsia="Times New Roman" w:hAnsiTheme="minorHAnsi"/>
          <w:color w:val="auto"/>
          <w:sz w:val="24"/>
          <w:szCs w:val="24"/>
        </w:rPr>
        <w:t xml:space="preserve"> and Operations</w:t>
      </w:r>
      <w:r w:rsidRPr="004E6599">
        <w:rPr>
          <w:rFonts w:asciiTheme="minorHAnsi" w:eastAsia="Times New Roman" w:hAnsiTheme="minorHAnsi"/>
          <w:color w:val="auto"/>
          <w:sz w:val="24"/>
          <w:szCs w:val="24"/>
        </w:rPr>
        <w:t xml:space="preserve"> is the </w:t>
      </w:r>
      <w:r w:rsidRPr="004E6599">
        <w:rPr>
          <w:rFonts w:asciiTheme="minorHAnsi" w:eastAsia="Times New Roman" w:hAnsiTheme="minorHAnsi"/>
          <w:b/>
          <w:color w:val="auto"/>
          <w:sz w:val="24"/>
          <w:szCs w:val="24"/>
        </w:rPr>
        <w:t>Monitoring Officer.</w:t>
      </w:r>
      <w:r w:rsidRPr="004E6599">
        <w:rPr>
          <w:rFonts w:asciiTheme="minorHAnsi" w:eastAsia="Times New Roman" w:hAnsiTheme="minorHAnsi"/>
          <w:color w:val="auto"/>
          <w:sz w:val="24"/>
          <w:szCs w:val="24"/>
        </w:rPr>
        <w:t xml:space="preserve">  She is responsible to the Council for ensuring that agreed procedures and protocols are followed and that all applicable Statutes and Regulations are complied with.</w:t>
      </w:r>
    </w:p>
    <w:p w:rsidR="00360B9A" w:rsidRPr="004E6599" w:rsidRDefault="00360B9A" w:rsidP="00360B9A">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The Head of the Paid Service, Chief Financial Officer and Monitoring Officer meet on a monthly basis to ensure that appropriate governance arrangements are in place.</w:t>
      </w:r>
    </w:p>
    <w:p w:rsidR="00360B9A" w:rsidRPr="004E6599" w:rsidRDefault="00360B9A" w:rsidP="00360B9A">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Officers in politically restricted posts and those responsible for negotiating contracts are required to register their personal interests.</w:t>
      </w:r>
    </w:p>
    <w:p w:rsidR="00360B9A" w:rsidRPr="00832252" w:rsidRDefault="00360B9A" w:rsidP="00360B9A">
      <w:pPr>
        <w:keepNext/>
        <w:rPr>
          <w:rFonts w:asciiTheme="minorHAnsi" w:eastAsia="Times New Roman" w:hAnsiTheme="minorHAnsi"/>
          <w:color w:val="auto"/>
          <w:sz w:val="24"/>
          <w:szCs w:val="24"/>
          <w:u w:val="single"/>
        </w:rPr>
      </w:pPr>
      <w:r w:rsidRPr="00832252">
        <w:rPr>
          <w:rFonts w:asciiTheme="minorHAnsi" w:eastAsia="Times New Roman" w:hAnsiTheme="minorHAnsi"/>
          <w:color w:val="auto"/>
          <w:sz w:val="24"/>
          <w:szCs w:val="24"/>
          <w:u w:val="single"/>
        </w:rPr>
        <w:t>Training and Information</w:t>
      </w:r>
    </w:p>
    <w:p w:rsidR="00360B9A" w:rsidRPr="00832252" w:rsidRDefault="00360B9A" w:rsidP="00360B9A">
      <w:pPr>
        <w:autoSpaceDE w:val="0"/>
        <w:autoSpaceDN w:val="0"/>
        <w:adjustRightInd w:val="0"/>
        <w:spacing w:line="240" w:lineRule="auto"/>
        <w:rPr>
          <w:rFonts w:asciiTheme="minorHAnsi" w:hAnsiTheme="minorHAnsi" w:cs="Arial"/>
          <w:color w:val="auto"/>
          <w:sz w:val="24"/>
          <w:szCs w:val="24"/>
        </w:rPr>
      </w:pPr>
      <w:r w:rsidRPr="00832252">
        <w:rPr>
          <w:rFonts w:asciiTheme="minorHAnsi" w:hAnsiTheme="minorHAnsi" w:cs="Arial"/>
          <w:color w:val="auto"/>
          <w:sz w:val="24"/>
          <w:szCs w:val="24"/>
        </w:rPr>
        <w:t>The Torbay Managers Forum meets on a quarterly basis enabling all managers to be briefed on current issues, reflect on achievements and engage in the development of action plans</w:t>
      </w:r>
      <w:r>
        <w:rPr>
          <w:rFonts w:asciiTheme="minorHAnsi" w:hAnsiTheme="minorHAnsi" w:cs="Arial"/>
          <w:color w:val="auto"/>
          <w:sz w:val="24"/>
          <w:szCs w:val="24"/>
        </w:rPr>
        <w:t>,</w:t>
      </w:r>
      <w:r w:rsidRPr="00832252">
        <w:rPr>
          <w:rFonts w:asciiTheme="minorHAnsi" w:hAnsiTheme="minorHAnsi" w:cs="Arial"/>
          <w:color w:val="auto"/>
          <w:sz w:val="24"/>
          <w:szCs w:val="24"/>
        </w:rPr>
        <w:t xml:space="preserve"> ensuring that best practice across the Authority is shared and that plans for the future are collectively owned.  </w:t>
      </w:r>
      <w:r>
        <w:rPr>
          <w:rFonts w:asciiTheme="minorHAnsi" w:hAnsiTheme="minorHAnsi" w:cs="Arial"/>
          <w:color w:val="auto"/>
          <w:sz w:val="24"/>
          <w:szCs w:val="24"/>
        </w:rPr>
        <w:t>E</w:t>
      </w:r>
      <w:r w:rsidRPr="00832252">
        <w:rPr>
          <w:rFonts w:asciiTheme="minorHAnsi" w:hAnsiTheme="minorHAnsi" w:cs="Arial"/>
          <w:color w:val="auto"/>
          <w:sz w:val="24"/>
          <w:szCs w:val="24"/>
        </w:rPr>
        <w:t xml:space="preserve">vents </w:t>
      </w:r>
      <w:r>
        <w:rPr>
          <w:rFonts w:asciiTheme="minorHAnsi" w:hAnsiTheme="minorHAnsi" w:cs="Arial"/>
          <w:color w:val="auto"/>
          <w:sz w:val="24"/>
          <w:szCs w:val="24"/>
        </w:rPr>
        <w:t xml:space="preserve">known as “Connect” </w:t>
      </w:r>
      <w:r w:rsidRPr="00832252">
        <w:rPr>
          <w:rFonts w:asciiTheme="minorHAnsi" w:hAnsiTheme="minorHAnsi" w:cs="Arial"/>
          <w:color w:val="auto"/>
          <w:sz w:val="24"/>
          <w:szCs w:val="24"/>
        </w:rPr>
        <w:t>are routinely held which are open for all members of staff to attend to share their view</w:t>
      </w:r>
      <w:r>
        <w:rPr>
          <w:rFonts w:asciiTheme="minorHAnsi" w:hAnsiTheme="minorHAnsi" w:cs="Arial"/>
          <w:color w:val="auto"/>
          <w:sz w:val="24"/>
          <w:szCs w:val="24"/>
        </w:rPr>
        <w:t>s</w:t>
      </w:r>
      <w:r w:rsidRPr="00832252">
        <w:rPr>
          <w:rFonts w:asciiTheme="minorHAnsi" w:hAnsiTheme="minorHAnsi" w:cs="Arial"/>
          <w:color w:val="auto"/>
          <w:sz w:val="24"/>
          <w:szCs w:val="24"/>
        </w:rPr>
        <w:t xml:space="preserve"> with the Chief Executive and members of the Senior Leadership Team.</w:t>
      </w:r>
      <w:r>
        <w:rPr>
          <w:rFonts w:asciiTheme="minorHAnsi" w:hAnsiTheme="minorHAnsi" w:cs="Arial"/>
          <w:color w:val="auto"/>
          <w:sz w:val="24"/>
          <w:szCs w:val="24"/>
        </w:rPr>
        <w:t xml:space="preserve">  The Elected Mayor also holds Mayoral Connect Forums to enable members of staff to hear directly from the Elected Mayor and to share their views with him.</w:t>
      </w:r>
    </w:p>
    <w:p w:rsidR="00360B9A" w:rsidRPr="00985983" w:rsidRDefault="00360B9A" w:rsidP="00360B9A">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 xml:space="preserve">Internal communication approaches </w:t>
      </w:r>
      <w:r>
        <w:rPr>
          <w:rFonts w:asciiTheme="minorHAnsi" w:eastAsia="Times New Roman" w:hAnsiTheme="minorHAnsi"/>
          <w:color w:val="auto"/>
          <w:sz w:val="24"/>
          <w:szCs w:val="24"/>
        </w:rPr>
        <w:t xml:space="preserve">are in place </w:t>
      </w:r>
      <w:r w:rsidRPr="00985983">
        <w:rPr>
          <w:rFonts w:asciiTheme="minorHAnsi" w:eastAsia="Times New Roman" w:hAnsiTheme="minorHAnsi"/>
          <w:color w:val="auto"/>
          <w:sz w:val="24"/>
          <w:szCs w:val="24"/>
        </w:rPr>
        <w:t xml:space="preserve">to ensure all </w:t>
      </w:r>
      <w:r>
        <w:rPr>
          <w:rFonts w:asciiTheme="minorHAnsi" w:eastAsia="Times New Roman" w:hAnsiTheme="minorHAnsi"/>
          <w:color w:val="auto"/>
          <w:sz w:val="24"/>
          <w:szCs w:val="24"/>
        </w:rPr>
        <w:t>staff are aware of</w:t>
      </w:r>
      <w:r w:rsidRPr="00985983">
        <w:rPr>
          <w:rFonts w:asciiTheme="minorHAnsi" w:eastAsia="Times New Roman" w:hAnsiTheme="minorHAnsi"/>
          <w:color w:val="auto"/>
          <w:sz w:val="24"/>
          <w:szCs w:val="24"/>
        </w:rPr>
        <w:t xml:space="preserve"> issues and new policies and practices.  Newsletters and daily updates are sent to all staff to advise them of relevant information, HR policy and legislation changes.  Learning and Development courses that are available and support for staff are also included within these.  </w:t>
      </w:r>
    </w:p>
    <w:p w:rsidR="00360B9A" w:rsidRPr="00985983" w:rsidRDefault="00360B9A" w:rsidP="00360B9A">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There is a positive working relationship with Trades Unions through quarterly formal meetings and informal meetings with the Director</w:t>
      </w:r>
      <w:r>
        <w:rPr>
          <w:rFonts w:asciiTheme="minorHAnsi" w:eastAsia="Times New Roman" w:hAnsiTheme="minorHAnsi"/>
          <w:color w:val="auto"/>
          <w:sz w:val="24"/>
          <w:szCs w:val="24"/>
        </w:rPr>
        <w:t xml:space="preserve"> of Corporate </w:t>
      </w:r>
      <w:r w:rsidRPr="00985983">
        <w:rPr>
          <w:rFonts w:asciiTheme="minorHAnsi" w:eastAsia="Times New Roman" w:hAnsiTheme="minorHAnsi"/>
          <w:color w:val="auto"/>
          <w:sz w:val="24"/>
          <w:szCs w:val="24"/>
        </w:rPr>
        <w:t>Services</w:t>
      </w:r>
      <w:r>
        <w:rPr>
          <w:rFonts w:asciiTheme="minorHAnsi" w:eastAsia="Times New Roman" w:hAnsiTheme="minorHAnsi"/>
          <w:color w:val="auto"/>
          <w:sz w:val="24"/>
          <w:szCs w:val="24"/>
        </w:rPr>
        <w:t xml:space="preserve"> and Operations</w:t>
      </w:r>
      <w:r w:rsidRPr="00985983">
        <w:rPr>
          <w:rFonts w:asciiTheme="minorHAnsi" w:eastAsia="Times New Roman" w:hAnsiTheme="minorHAnsi"/>
          <w:color w:val="auto"/>
          <w:sz w:val="24"/>
          <w:szCs w:val="24"/>
        </w:rPr>
        <w:t xml:space="preserve"> and consultation where appropriate.</w:t>
      </w:r>
    </w:p>
    <w:p w:rsidR="00360B9A" w:rsidRPr="00985983" w:rsidRDefault="00360B9A" w:rsidP="00360B9A">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 xml:space="preserve">The Council’s intranet contains a range of policies, procedures and guidance for all staff including </w:t>
      </w:r>
      <w:proofErr w:type="spellStart"/>
      <w:r w:rsidRPr="00985983">
        <w:rPr>
          <w:rFonts w:asciiTheme="minorHAnsi" w:eastAsia="Times New Roman" w:hAnsiTheme="minorHAnsi"/>
          <w:color w:val="auto"/>
          <w:sz w:val="24"/>
          <w:szCs w:val="24"/>
        </w:rPr>
        <w:t>i</w:t>
      </w:r>
      <w:proofErr w:type="spellEnd"/>
      <w:r w:rsidRPr="00985983">
        <w:rPr>
          <w:rFonts w:asciiTheme="minorHAnsi" w:eastAsia="Times New Roman" w:hAnsiTheme="minorHAnsi"/>
          <w:color w:val="auto"/>
          <w:sz w:val="24"/>
          <w:szCs w:val="24"/>
        </w:rPr>
        <w:t xml:space="preserve">-Learn training modules, Information Governance Policies, Code of Conduct, Freedom of Information Policy, Data Protection Policy and the Corporate </w:t>
      </w:r>
      <w:r w:rsidRPr="00985983">
        <w:rPr>
          <w:rFonts w:asciiTheme="minorHAnsi" w:eastAsia="Times New Roman" w:hAnsiTheme="minorHAnsi"/>
          <w:color w:val="auto"/>
          <w:sz w:val="24"/>
          <w:szCs w:val="24"/>
        </w:rPr>
        <w:lastRenderedPageBreak/>
        <w:t>Plan and Constitution.</w:t>
      </w:r>
      <w:r>
        <w:rPr>
          <w:rFonts w:asciiTheme="minorHAnsi" w:eastAsia="Times New Roman" w:hAnsiTheme="minorHAnsi"/>
          <w:color w:val="auto"/>
          <w:sz w:val="24"/>
          <w:szCs w:val="24"/>
        </w:rPr>
        <w:t xml:space="preserve">  Human Resources (HR) Policies are available to all staff via the </w:t>
      </w:r>
      <w:proofErr w:type="spellStart"/>
      <w:r>
        <w:rPr>
          <w:rFonts w:asciiTheme="minorHAnsi" w:eastAsia="Times New Roman" w:hAnsiTheme="minorHAnsi"/>
          <w:color w:val="auto"/>
          <w:sz w:val="24"/>
          <w:szCs w:val="24"/>
        </w:rPr>
        <w:t>MyView</w:t>
      </w:r>
      <w:proofErr w:type="spellEnd"/>
      <w:r>
        <w:rPr>
          <w:rFonts w:asciiTheme="minorHAnsi" w:eastAsia="Times New Roman" w:hAnsiTheme="minorHAnsi"/>
          <w:color w:val="auto"/>
          <w:sz w:val="24"/>
          <w:szCs w:val="24"/>
        </w:rPr>
        <w:t xml:space="preserve"> web platform.</w:t>
      </w:r>
    </w:p>
    <w:p w:rsidR="00360B9A" w:rsidRDefault="00360B9A" w:rsidP="00360B9A">
      <w:pPr>
        <w:rPr>
          <w:rFonts w:asciiTheme="minorHAnsi" w:eastAsia="Times New Roman" w:hAnsiTheme="minorHAnsi"/>
          <w:color w:val="auto"/>
          <w:sz w:val="24"/>
          <w:szCs w:val="24"/>
        </w:rPr>
      </w:pPr>
      <w:r w:rsidRPr="00FF709E">
        <w:rPr>
          <w:rFonts w:asciiTheme="minorHAnsi" w:eastAsia="Times New Roman" w:hAnsiTheme="minorHAnsi"/>
          <w:color w:val="auto"/>
          <w:sz w:val="24"/>
          <w:szCs w:val="24"/>
        </w:rPr>
        <w:t>The Council has a Counter Fraud and Corruption Policy which is reviewed regularly and has been communicated to all staff and is available on the Council’s Intranet.</w:t>
      </w:r>
      <w:r>
        <w:rPr>
          <w:rFonts w:asciiTheme="minorHAnsi" w:eastAsia="Times New Roman" w:hAnsiTheme="minorHAnsi"/>
          <w:color w:val="auto"/>
          <w:sz w:val="24"/>
          <w:szCs w:val="24"/>
        </w:rPr>
        <w:t xml:space="preserve"> </w:t>
      </w:r>
    </w:p>
    <w:p w:rsidR="00360B9A" w:rsidRPr="00985983" w:rsidRDefault="00360B9A" w:rsidP="00360B9A">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Corporate training needs are identified through the Senior Leadership Team.  The Council has strongly supported staff development, particularly through programmes such as the Institute of Leadership and Management to develop Team Leaders and Managers.</w:t>
      </w:r>
    </w:p>
    <w:p w:rsidR="00360B9A" w:rsidRPr="00985983" w:rsidRDefault="00360B9A" w:rsidP="00360B9A">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 xml:space="preserve">Change management training has been communicated to all staff, including senior management, to support their understanding and implementation of change.  Coaching and counselling are also offered as an additional means of support to individuals.  </w:t>
      </w:r>
    </w:p>
    <w:p w:rsidR="00360B9A" w:rsidRPr="00985983" w:rsidRDefault="00360B9A" w:rsidP="00360B9A">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 xml:space="preserve">The Corporate Induction module on </w:t>
      </w:r>
      <w:proofErr w:type="spellStart"/>
      <w:r w:rsidRPr="00985983">
        <w:rPr>
          <w:rFonts w:asciiTheme="minorHAnsi" w:eastAsia="Times New Roman" w:hAnsiTheme="minorHAnsi"/>
          <w:color w:val="auto"/>
          <w:sz w:val="24"/>
          <w:szCs w:val="24"/>
        </w:rPr>
        <w:t>i</w:t>
      </w:r>
      <w:proofErr w:type="spellEnd"/>
      <w:r w:rsidRPr="00985983">
        <w:rPr>
          <w:rFonts w:asciiTheme="minorHAnsi" w:eastAsia="Times New Roman" w:hAnsiTheme="minorHAnsi"/>
          <w:color w:val="auto"/>
          <w:sz w:val="24"/>
          <w:szCs w:val="24"/>
        </w:rPr>
        <w:t>-Learn signposts and informs new employees about the range of policies and procedures they need to be aware of, including the Code of Conduct, Information Governance, Acceptable Behaviour, Driver’s Policy and Handbook and Whistleblowing Policies.  Managers are responsible for local induction arrangements with corporate induction courses being run on a regular basis.</w:t>
      </w:r>
    </w:p>
    <w:p w:rsidR="00360B9A" w:rsidRPr="00536A44" w:rsidRDefault="00360B9A" w:rsidP="00360B9A">
      <w:pPr>
        <w:keepNext/>
        <w:rPr>
          <w:rFonts w:asciiTheme="minorHAnsi" w:eastAsia="Times New Roman" w:hAnsiTheme="minorHAnsi"/>
          <w:color w:val="auto"/>
          <w:sz w:val="24"/>
          <w:szCs w:val="24"/>
        </w:rPr>
      </w:pPr>
      <w:r w:rsidRPr="00536A44">
        <w:rPr>
          <w:rFonts w:asciiTheme="minorHAnsi" w:eastAsia="Times New Roman" w:hAnsiTheme="minorHAnsi"/>
          <w:color w:val="auto"/>
          <w:sz w:val="24"/>
          <w:szCs w:val="24"/>
          <w:u w:val="single"/>
        </w:rPr>
        <w:t>Customer Feedback</w:t>
      </w:r>
      <w:r>
        <w:rPr>
          <w:rFonts w:asciiTheme="minorHAnsi" w:eastAsia="Times New Roman" w:hAnsiTheme="minorHAnsi"/>
          <w:color w:val="auto"/>
          <w:sz w:val="24"/>
          <w:szCs w:val="24"/>
          <w:u w:val="single"/>
        </w:rPr>
        <w:t xml:space="preserve">, </w:t>
      </w:r>
      <w:r w:rsidRPr="00536A44">
        <w:rPr>
          <w:rFonts w:asciiTheme="minorHAnsi" w:eastAsia="Times New Roman" w:hAnsiTheme="minorHAnsi"/>
          <w:color w:val="auto"/>
          <w:sz w:val="24"/>
          <w:szCs w:val="24"/>
          <w:u w:val="single"/>
        </w:rPr>
        <w:t>Whistleblowing</w:t>
      </w:r>
      <w:r>
        <w:rPr>
          <w:rFonts w:asciiTheme="minorHAnsi" w:eastAsia="Times New Roman" w:hAnsiTheme="minorHAnsi"/>
          <w:color w:val="auto"/>
          <w:sz w:val="24"/>
          <w:szCs w:val="24"/>
          <w:u w:val="single"/>
        </w:rPr>
        <w:t xml:space="preserve"> and Prevention of Fraud</w:t>
      </w:r>
    </w:p>
    <w:p w:rsidR="00360B9A" w:rsidRPr="00536A44" w:rsidRDefault="00360B9A" w:rsidP="00360B9A">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The Council has a customer feedback recording, tracking and reporting system to which all staff have access via the Intranet.  The system captures compliments, complaints, queries, enquiries and Local Government Ombudsman complaints. Letters from Members of Parliament as well as enquiries made through local councillors are also recorded through this system.</w:t>
      </w:r>
    </w:p>
    <w:p w:rsidR="00360B9A" w:rsidRPr="00536A44" w:rsidRDefault="00360B9A" w:rsidP="00360B9A">
      <w:pPr>
        <w:rPr>
          <w:rFonts w:cs="Arial"/>
          <w:color w:val="auto"/>
        </w:rPr>
      </w:pPr>
      <w:r w:rsidRPr="00536A44">
        <w:rPr>
          <w:rFonts w:asciiTheme="minorHAnsi" w:eastAsia="Times New Roman" w:hAnsiTheme="minorHAnsi"/>
          <w:color w:val="auto"/>
          <w:sz w:val="24"/>
          <w:szCs w:val="24"/>
        </w:rPr>
        <w:t>The system enables all complaints to be recorded and tracked with root causes identified providing the Council with a useful analysis of why complaints are being received.  It also enables the tracking of the implementation of recommendations and actions.</w:t>
      </w:r>
    </w:p>
    <w:p w:rsidR="00360B9A" w:rsidRPr="00536A44" w:rsidRDefault="00360B9A" w:rsidP="00360B9A">
      <w:pPr>
        <w:rPr>
          <w:rFonts w:asciiTheme="minorHAnsi" w:eastAsia="Times New Roman" w:hAnsiTheme="minorHAnsi"/>
          <w:color w:val="auto"/>
          <w:sz w:val="24"/>
          <w:szCs w:val="24"/>
        </w:rPr>
      </w:pPr>
      <w:r w:rsidRPr="00A23BC5">
        <w:rPr>
          <w:rFonts w:asciiTheme="minorHAnsi" w:eastAsia="Times New Roman" w:hAnsiTheme="minorHAnsi"/>
          <w:color w:val="auto"/>
          <w:sz w:val="24"/>
          <w:szCs w:val="24"/>
        </w:rPr>
        <w:t>The Information Compliance Team report to the Senior Leadership Team on a quarterly basis, these reports include the type of complaint, service area, outcomes and any learning points.  This results in further actions being identified and implemented.</w:t>
      </w:r>
      <w:r>
        <w:rPr>
          <w:rFonts w:asciiTheme="minorHAnsi" w:eastAsia="Times New Roman" w:hAnsiTheme="minorHAnsi"/>
          <w:color w:val="auto"/>
          <w:sz w:val="24"/>
          <w:szCs w:val="24"/>
        </w:rPr>
        <w:t xml:space="preserve">  </w:t>
      </w:r>
      <w:r>
        <w:rPr>
          <w:rFonts w:ascii="Calibri" w:eastAsia="Calibri" w:hAnsi="Calibri" w:cs="Calibri"/>
          <w:sz w:val="24"/>
          <w:szCs w:val="24"/>
          <w:u w:color="000000"/>
          <w:lang w:val="en-US"/>
        </w:rPr>
        <w:t>This Team has also been undertaking the actions necessary in respect of the implementation of General Data Protection Regulation.</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sidRPr="00985983">
        <w:rPr>
          <w:rFonts w:asciiTheme="minorHAnsi" w:eastAsia="Times New Roman" w:hAnsiTheme="minorHAnsi"/>
          <w:color w:val="auto"/>
          <w:sz w:val="24"/>
          <w:szCs w:val="24"/>
        </w:rPr>
        <w:t xml:space="preserve">The Council’s Whistleblowing Policy was agreed in July 2013 and is available on the Council’s website and intranet site.  The Council has an established phone line that any whistleblowing call can be made to and which goes directly to Internal Audit which has responsibility for dealing with these issues in the first instance.  </w:t>
      </w:r>
      <w:r>
        <w:rPr>
          <w:rFonts w:asciiTheme="minorHAnsi" w:eastAsia="Times New Roman" w:hAnsiTheme="minorHAnsi"/>
          <w:color w:val="auto"/>
          <w:sz w:val="24"/>
          <w:szCs w:val="24"/>
        </w:rPr>
        <w:t>T</w:t>
      </w:r>
      <w:r w:rsidRPr="005022AD">
        <w:rPr>
          <w:rFonts w:asciiTheme="minorHAnsi" w:hAnsiTheme="minorHAnsi" w:cs="Arial"/>
          <w:color w:val="auto"/>
          <w:sz w:val="24"/>
          <w:szCs w:val="24"/>
        </w:rPr>
        <w:t xml:space="preserve">he Probity and Ethics Group; comprising of the Monitoring Officer, the Chief Finance Officer, Internal Audit and the Head of Human Resources, </w:t>
      </w:r>
      <w:r>
        <w:rPr>
          <w:rFonts w:asciiTheme="minorHAnsi" w:hAnsiTheme="minorHAnsi" w:cs="Arial"/>
          <w:color w:val="auto"/>
          <w:sz w:val="24"/>
          <w:szCs w:val="24"/>
        </w:rPr>
        <w:t xml:space="preserve">continue to </w:t>
      </w:r>
      <w:r w:rsidRPr="005022AD">
        <w:rPr>
          <w:rFonts w:asciiTheme="minorHAnsi" w:hAnsiTheme="minorHAnsi" w:cs="Arial"/>
          <w:color w:val="auto"/>
          <w:sz w:val="24"/>
          <w:szCs w:val="24"/>
        </w:rPr>
        <w:t>meet to consider and progress as appropriate all matters of concern.</w:t>
      </w:r>
    </w:p>
    <w:p w:rsidR="00360B9A" w:rsidRPr="005022AD" w:rsidRDefault="00360B9A" w:rsidP="00360B9A">
      <w:pPr>
        <w:autoSpaceDE w:val="0"/>
        <w:autoSpaceDN w:val="0"/>
        <w:adjustRightInd w:val="0"/>
        <w:spacing w:line="240" w:lineRule="auto"/>
        <w:rPr>
          <w:rFonts w:asciiTheme="minorHAnsi" w:eastAsia="Times New Roman" w:hAnsiTheme="minorHAnsi"/>
          <w:color w:val="auto"/>
          <w:sz w:val="24"/>
          <w:szCs w:val="24"/>
        </w:rPr>
      </w:pPr>
      <w:r>
        <w:rPr>
          <w:rFonts w:asciiTheme="minorHAnsi" w:hAnsiTheme="minorHAnsi" w:cs="Arial"/>
          <w:color w:val="auto"/>
          <w:sz w:val="24"/>
          <w:szCs w:val="24"/>
        </w:rPr>
        <w:lastRenderedPageBreak/>
        <w:t>The Council has a Fraud and Counter Corruption Officer who is accountable to the Head of Finance.  The Council’s website enables members of the public to report any suspicions of anyone committing fraud or corruption.</w:t>
      </w:r>
    </w:p>
    <w:p w:rsidR="00360B9A" w:rsidRPr="00536A44" w:rsidRDefault="00360B9A" w:rsidP="00360B9A">
      <w:pPr>
        <w:keepNext/>
        <w:rPr>
          <w:rFonts w:asciiTheme="minorHAnsi" w:eastAsia="Times New Roman" w:hAnsiTheme="minorHAnsi"/>
          <w:color w:val="auto"/>
          <w:sz w:val="24"/>
          <w:szCs w:val="24"/>
          <w:u w:val="single"/>
        </w:rPr>
      </w:pPr>
      <w:r w:rsidRPr="00536A44">
        <w:rPr>
          <w:rFonts w:asciiTheme="minorHAnsi" w:eastAsia="Times New Roman" w:hAnsiTheme="minorHAnsi"/>
          <w:color w:val="auto"/>
          <w:sz w:val="24"/>
          <w:szCs w:val="24"/>
          <w:u w:val="single"/>
        </w:rPr>
        <w:t>Information Management</w:t>
      </w:r>
    </w:p>
    <w:p w:rsidR="00360B9A" w:rsidRPr="00536A44" w:rsidRDefault="00360B9A" w:rsidP="00360B9A">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 xml:space="preserve">The Council holds and processes a significant amount of information.  It is critical that the information held is of good-quality, accurate and kept up-to-date to inform decision making.  Equally important is the requirement to process personal and sensitive information in accordance with the Data Protection Act 1998.  To support this, there is an Information Governance </w:t>
      </w:r>
      <w:r>
        <w:rPr>
          <w:rFonts w:asciiTheme="minorHAnsi" w:eastAsia="Times New Roman" w:hAnsiTheme="minorHAnsi"/>
          <w:color w:val="auto"/>
          <w:sz w:val="24"/>
          <w:szCs w:val="24"/>
        </w:rPr>
        <w:t xml:space="preserve">Steering Group, which consists of the Information Governance Lead, the Senior Information Risk Owner (SIRO) and the Council’s </w:t>
      </w:r>
      <w:proofErr w:type="spellStart"/>
      <w:r>
        <w:rPr>
          <w:rFonts w:asciiTheme="minorHAnsi" w:eastAsia="Times New Roman" w:hAnsiTheme="minorHAnsi"/>
          <w:color w:val="auto"/>
          <w:sz w:val="24"/>
          <w:szCs w:val="24"/>
        </w:rPr>
        <w:t>Caldicott</w:t>
      </w:r>
      <w:proofErr w:type="spellEnd"/>
      <w:r>
        <w:rPr>
          <w:rFonts w:asciiTheme="minorHAnsi" w:eastAsia="Times New Roman" w:hAnsiTheme="minorHAnsi"/>
          <w:color w:val="auto"/>
          <w:sz w:val="24"/>
          <w:szCs w:val="24"/>
        </w:rPr>
        <w:t xml:space="preserve"> Guardian.  This Group reviews </w:t>
      </w:r>
      <w:r w:rsidRPr="00536A44">
        <w:rPr>
          <w:rFonts w:asciiTheme="minorHAnsi" w:eastAsia="Times New Roman" w:hAnsiTheme="minorHAnsi"/>
          <w:color w:val="auto"/>
          <w:sz w:val="24"/>
          <w:szCs w:val="24"/>
        </w:rPr>
        <w:t xml:space="preserve">the Council’s approach to information management and sharing.  </w:t>
      </w:r>
      <w:r>
        <w:rPr>
          <w:rFonts w:asciiTheme="minorHAnsi" w:eastAsia="Times New Roman" w:hAnsiTheme="minorHAnsi"/>
          <w:color w:val="auto"/>
          <w:sz w:val="24"/>
          <w:szCs w:val="24"/>
        </w:rPr>
        <w:t xml:space="preserve">There is also an Information Security Group which is made up of operational staff to review and update processes to ensure that the day to day handling of information is carried out in accordance with legislative requirements.  </w:t>
      </w:r>
      <w:r w:rsidRPr="00536A44">
        <w:rPr>
          <w:rFonts w:asciiTheme="minorHAnsi" w:eastAsia="Times New Roman" w:hAnsiTheme="minorHAnsi"/>
          <w:color w:val="auto"/>
          <w:sz w:val="24"/>
          <w:szCs w:val="24"/>
        </w:rPr>
        <w:t>Under this framework there are a number of operational policies and procedures including a suite of information security policies. These policies are subject to regular review and updates communicated to all staff.</w:t>
      </w:r>
    </w:p>
    <w:p w:rsidR="00360B9A" w:rsidRPr="00536A44" w:rsidRDefault="00360B9A" w:rsidP="00360B9A">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 xml:space="preserve">The Council </w:t>
      </w:r>
      <w:r>
        <w:rPr>
          <w:rFonts w:asciiTheme="minorHAnsi" w:eastAsia="Times New Roman" w:hAnsiTheme="minorHAnsi"/>
          <w:color w:val="auto"/>
          <w:sz w:val="24"/>
          <w:szCs w:val="24"/>
        </w:rPr>
        <w:t xml:space="preserve">has in place a General Data Protection Regulation (GDPR) project plan and team, who are working towards ensuring that information management across all departments complies with the forthcoming change to data protection law.  Part of this work is to </w:t>
      </w:r>
      <w:r w:rsidRPr="00536A44">
        <w:rPr>
          <w:rFonts w:asciiTheme="minorHAnsi" w:eastAsia="Times New Roman" w:hAnsiTheme="minorHAnsi"/>
          <w:color w:val="auto"/>
          <w:sz w:val="24"/>
          <w:szCs w:val="24"/>
        </w:rPr>
        <w:t>review and updat</w:t>
      </w:r>
      <w:r>
        <w:rPr>
          <w:rFonts w:asciiTheme="minorHAnsi" w:eastAsia="Times New Roman" w:hAnsiTheme="minorHAnsi"/>
          <w:color w:val="auto"/>
          <w:sz w:val="24"/>
          <w:szCs w:val="24"/>
        </w:rPr>
        <w:t>e the</w:t>
      </w:r>
      <w:r w:rsidRPr="00536A44">
        <w:rPr>
          <w:rFonts w:asciiTheme="minorHAnsi" w:eastAsia="Times New Roman" w:hAnsiTheme="minorHAnsi"/>
          <w:color w:val="auto"/>
          <w:sz w:val="24"/>
          <w:szCs w:val="24"/>
        </w:rPr>
        <w:t xml:space="preserve"> Information Asset Register which specifies the information assets held across all Council departments and allows the Council to understand the risks associated with different information assets. </w:t>
      </w:r>
    </w:p>
    <w:p w:rsidR="00360B9A" w:rsidRPr="00CA21A8" w:rsidRDefault="00360B9A" w:rsidP="00360B9A">
      <w:pPr>
        <w:keepNext/>
        <w:rPr>
          <w:rFonts w:asciiTheme="minorHAnsi" w:eastAsia="Times New Roman" w:hAnsiTheme="minorHAnsi"/>
          <w:color w:val="auto"/>
          <w:sz w:val="24"/>
          <w:szCs w:val="24"/>
          <w:u w:val="single"/>
        </w:rPr>
      </w:pPr>
      <w:r w:rsidRPr="00CA21A8">
        <w:rPr>
          <w:rFonts w:asciiTheme="minorHAnsi" w:eastAsia="Times New Roman" w:hAnsiTheme="minorHAnsi"/>
          <w:color w:val="auto"/>
          <w:sz w:val="24"/>
          <w:szCs w:val="24"/>
          <w:u w:val="single"/>
        </w:rPr>
        <w:t>Internal Audit</w:t>
      </w:r>
    </w:p>
    <w:p w:rsidR="00360B9A" w:rsidRPr="009E67A1" w:rsidRDefault="00360B9A" w:rsidP="00360B9A">
      <w:pPr>
        <w:autoSpaceDE w:val="0"/>
        <w:autoSpaceDN w:val="0"/>
        <w:adjustRightInd w:val="0"/>
        <w:spacing w:line="240" w:lineRule="auto"/>
        <w:rPr>
          <w:rFonts w:asciiTheme="minorHAnsi" w:hAnsiTheme="minorHAnsi" w:cs="Arial"/>
          <w:color w:val="auto"/>
          <w:sz w:val="24"/>
          <w:szCs w:val="24"/>
        </w:rPr>
      </w:pPr>
      <w:r w:rsidRPr="009E67A1">
        <w:rPr>
          <w:rFonts w:asciiTheme="minorHAnsi" w:hAnsiTheme="minorHAnsi" w:cs="Arial"/>
          <w:color w:val="auto"/>
          <w:sz w:val="24"/>
          <w:szCs w:val="24"/>
        </w:rPr>
        <w:t>The internal audit service is provided by Devon Audit Partnership (DAP). This is a shared service arrangement between Torbay, Torridge District, Plymouth City and Devon County Councils and is constituted under section 20 of the Local Government Act 2000.  Devon Audit Partnership undertakes the role of auditing the Council’s systems to give assurance to the organisation.</w:t>
      </w:r>
    </w:p>
    <w:p w:rsidR="00360B9A" w:rsidRPr="009E67A1" w:rsidRDefault="00360B9A" w:rsidP="00360B9A">
      <w:pPr>
        <w:autoSpaceDE w:val="0"/>
        <w:autoSpaceDN w:val="0"/>
        <w:adjustRightInd w:val="0"/>
        <w:spacing w:line="240" w:lineRule="auto"/>
        <w:rPr>
          <w:rFonts w:asciiTheme="minorHAnsi" w:hAnsiTheme="minorHAnsi" w:cs="Arial"/>
          <w:color w:val="auto"/>
          <w:sz w:val="24"/>
          <w:szCs w:val="24"/>
        </w:rPr>
      </w:pPr>
      <w:r w:rsidRPr="009E67A1">
        <w:rPr>
          <w:rFonts w:asciiTheme="minorHAnsi" w:hAnsiTheme="minorHAnsi" w:cs="Arial"/>
          <w:color w:val="auto"/>
          <w:sz w:val="24"/>
          <w:szCs w:val="24"/>
        </w:rPr>
        <w:t xml:space="preserve">The Council’s Internal Audit Plan, which is risk based, is agreed annually by the Head of Finance, Senior Leadership Team and the Council’s Audit Committee. This provides the basis for the review of internal control and governance within the Council and includes the following: - </w:t>
      </w:r>
    </w:p>
    <w:p w:rsidR="00360B9A" w:rsidRPr="009E67A1" w:rsidRDefault="00360B9A" w:rsidP="00360B9A">
      <w:pPr>
        <w:numPr>
          <w:ilvl w:val="1"/>
          <w:numId w:val="37"/>
        </w:numPr>
        <w:autoSpaceDE w:val="0"/>
        <w:autoSpaceDN w:val="0"/>
        <w:adjustRightInd w:val="0"/>
        <w:spacing w:line="240" w:lineRule="auto"/>
        <w:ind w:left="1080"/>
        <w:rPr>
          <w:rFonts w:asciiTheme="minorHAnsi" w:hAnsiTheme="minorHAnsi" w:cs="Arial"/>
          <w:color w:val="auto"/>
          <w:sz w:val="24"/>
          <w:szCs w:val="24"/>
        </w:rPr>
      </w:pPr>
      <w:r w:rsidRPr="009E67A1">
        <w:rPr>
          <w:rFonts w:asciiTheme="minorHAnsi" w:hAnsiTheme="minorHAnsi" w:cs="Arial"/>
          <w:color w:val="auto"/>
          <w:sz w:val="24"/>
          <w:szCs w:val="24"/>
        </w:rPr>
        <w:t xml:space="preserve">Annual reviews of the Council’s key financial systems by Internal Audit against known and evolving risks. </w:t>
      </w:r>
    </w:p>
    <w:p w:rsidR="00360B9A" w:rsidRPr="009E67A1" w:rsidRDefault="00360B9A" w:rsidP="00360B9A">
      <w:pPr>
        <w:numPr>
          <w:ilvl w:val="1"/>
          <w:numId w:val="37"/>
        </w:numPr>
        <w:autoSpaceDE w:val="0"/>
        <w:autoSpaceDN w:val="0"/>
        <w:adjustRightInd w:val="0"/>
        <w:spacing w:line="240" w:lineRule="auto"/>
        <w:ind w:left="1080"/>
        <w:rPr>
          <w:rFonts w:asciiTheme="minorHAnsi" w:hAnsiTheme="minorHAnsi" w:cs="Arial"/>
          <w:color w:val="auto"/>
          <w:sz w:val="24"/>
          <w:szCs w:val="24"/>
        </w:rPr>
      </w:pPr>
      <w:r w:rsidRPr="009E67A1">
        <w:rPr>
          <w:rFonts w:asciiTheme="minorHAnsi" w:hAnsiTheme="minorHAnsi" w:cs="Arial"/>
          <w:color w:val="auto"/>
          <w:sz w:val="24"/>
          <w:szCs w:val="24"/>
        </w:rPr>
        <w:t>Reviews of internal controls in operation within each service area against known and evolving risks based on a detailed risk assessment.  These reviews consider the strategic and operational risks identified in the Corporate Risk Register, as well as materiality, sensitivity and previous audit and inspection findings.</w:t>
      </w:r>
    </w:p>
    <w:p w:rsidR="00360B9A" w:rsidRPr="009E67A1" w:rsidRDefault="00360B9A" w:rsidP="00360B9A">
      <w:pPr>
        <w:numPr>
          <w:ilvl w:val="1"/>
          <w:numId w:val="37"/>
        </w:numPr>
        <w:autoSpaceDE w:val="0"/>
        <w:autoSpaceDN w:val="0"/>
        <w:adjustRightInd w:val="0"/>
        <w:spacing w:line="240" w:lineRule="auto"/>
        <w:ind w:left="1080"/>
        <w:rPr>
          <w:rFonts w:asciiTheme="minorHAnsi" w:hAnsiTheme="minorHAnsi" w:cs="Arial"/>
          <w:color w:val="auto"/>
          <w:sz w:val="24"/>
          <w:szCs w:val="24"/>
        </w:rPr>
      </w:pPr>
      <w:r w:rsidRPr="009E67A1">
        <w:rPr>
          <w:rFonts w:asciiTheme="minorHAnsi" w:hAnsiTheme="minorHAnsi" w:cs="Arial"/>
          <w:color w:val="auto"/>
          <w:sz w:val="24"/>
          <w:szCs w:val="24"/>
        </w:rPr>
        <w:lastRenderedPageBreak/>
        <w:t xml:space="preserve">Work in relation to the investigation of any potential irregularities identified either from audit work or through the Council’s whistle-blowing policy. </w:t>
      </w:r>
    </w:p>
    <w:p w:rsidR="00360B9A" w:rsidRPr="009E67A1" w:rsidRDefault="00360B9A" w:rsidP="00360B9A">
      <w:pPr>
        <w:numPr>
          <w:ilvl w:val="1"/>
          <w:numId w:val="37"/>
        </w:numPr>
        <w:autoSpaceDE w:val="0"/>
        <w:autoSpaceDN w:val="0"/>
        <w:adjustRightInd w:val="0"/>
        <w:spacing w:line="240" w:lineRule="auto"/>
        <w:ind w:left="1080"/>
        <w:rPr>
          <w:rFonts w:asciiTheme="minorHAnsi" w:hAnsiTheme="minorHAnsi" w:cs="Arial"/>
          <w:color w:val="auto"/>
          <w:sz w:val="24"/>
          <w:szCs w:val="24"/>
        </w:rPr>
      </w:pPr>
      <w:r w:rsidRPr="009E67A1">
        <w:rPr>
          <w:rFonts w:asciiTheme="minorHAnsi" w:hAnsiTheme="minorHAnsi" w:cs="Arial"/>
          <w:color w:val="auto"/>
          <w:sz w:val="24"/>
          <w:szCs w:val="24"/>
        </w:rPr>
        <w:t>Advice and support to ensure future safeguards when implementing new systems.</w:t>
      </w:r>
    </w:p>
    <w:p w:rsidR="00360B9A" w:rsidRPr="009E67A1" w:rsidRDefault="00360B9A" w:rsidP="00360B9A">
      <w:pPr>
        <w:numPr>
          <w:ilvl w:val="1"/>
          <w:numId w:val="37"/>
        </w:numPr>
        <w:autoSpaceDE w:val="0"/>
        <w:autoSpaceDN w:val="0"/>
        <w:adjustRightInd w:val="0"/>
        <w:spacing w:line="240" w:lineRule="auto"/>
        <w:ind w:left="1080"/>
        <w:rPr>
          <w:rFonts w:asciiTheme="minorHAnsi" w:hAnsiTheme="minorHAnsi" w:cs="Arial"/>
          <w:color w:val="auto"/>
          <w:sz w:val="24"/>
          <w:szCs w:val="24"/>
        </w:rPr>
      </w:pPr>
      <w:r w:rsidRPr="009E67A1">
        <w:rPr>
          <w:rFonts w:asciiTheme="minorHAnsi" w:hAnsiTheme="minorHAnsi" w:cs="Arial"/>
          <w:color w:val="auto"/>
          <w:sz w:val="24"/>
          <w:szCs w:val="24"/>
        </w:rPr>
        <w:t>Value for money work in relation to assessing the efficiency, economy and effectiveness of the Council’s operations and recommending improvements as necessary.</w:t>
      </w:r>
    </w:p>
    <w:p w:rsidR="00360B9A" w:rsidRPr="009E67A1" w:rsidRDefault="00360B9A" w:rsidP="00360B9A">
      <w:pPr>
        <w:autoSpaceDE w:val="0"/>
        <w:autoSpaceDN w:val="0"/>
        <w:adjustRightInd w:val="0"/>
        <w:spacing w:line="240" w:lineRule="auto"/>
        <w:rPr>
          <w:rFonts w:asciiTheme="minorHAnsi" w:hAnsiTheme="minorHAnsi" w:cs="Arial"/>
          <w:color w:val="auto"/>
          <w:sz w:val="24"/>
          <w:szCs w:val="24"/>
        </w:rPr>
      </w:pPr>
      <w:r w:rsidRPr="009E67A1">
        <w:rPr>
          <w:rFonts w:asciiTheme="minorHAnsi" w:hAnsiTheme="minorHAnsi" w:cs="Arial"/>
          <w:color w:val="auto"/>
          <w:sz w:val="24"/>
          <w:szCs w:val="24"/>
        </w:rPr>
        <w:t>The Council also receives assurance from the NHS Internal Audit Confederation (Audit South West) over the controls in operation at Torbay and Southern Devon NHS Foundation Trust which covers the provision of adult social care services.</w:t>
      </w:r>
    </w:p>
    <w:p w:rsidR="00360B9A" w:rsidRPr="009E67A1" w:rsidRDefault="00360B9A" w:rsidP="00360B9A">
      <w:pPr>
        <w:autoSpaceDE w:val="0"/>
        <w:autoSpaceDN w:val="0"/>
        <w:adjustRightInd w:val="0"/>
        <w:spacing w:line="240" w:lineRule="auto"/>
        <w:rPr>
          <w:rFonts w:asciiTheme="minorHAnsi" w:hAnsiTheme="minorHAnsi" w:cs="Arial"/>
          <w:color w:val="auto"/>
          <w:sz w:val="24"/>
          <w:szCs w:val="24"/>
        </w:rPr>
      </w:pPr>
      <w:r w:rsidRPr="009E67A1">
        <w:rPr>
          <w:rFonts w:asciiTheme="minorHAnsi" w:hAnsiTheme="minorHAnsi" w:cs="Arial"/>
          <w:color w:val="auto"/>
          <w:sz w:val="24"/>
          <w:szCs w:val="24"/>
        </w:rPr>
        <w:t>Achievement against the Audit Plan is reported to the Audit Committee on a twice yearly basis. This report also includes an opinion and assurance about the system of internal control throughout the Council.</w:t>
      </w:r>
    </w:p>
    <w:p w:rsidR="00360B9A" w:rsidRPr="00DC37B9" w:rsidRDefault="00360B9A" w:rsidP="00360B9A">
      <w:pPr>
        <w:autoSpaceDE w:val="0"/>
        <w:autoSpaceDN w:val="0"/>
        <w:adjustRightInd w:val="0"/>
        <w:spacing w:line="240" w:lineRule="auto"/>
        <w:rPr>
          <w:rFonts w:asciiTheme="minorHAnsi" w:hAnsiTheme="minorHAnsi" w:cs="Arial"/>
          <w:color w:val="auto"/>
          <w:sz w:val="24"/>
          <w:szCs w:val="24"/>
        </w:rPr>
      </w:pPr>
      <w:r w:rsidRPr="009E67A1">
        <w:rPr>
          <w:rFonts w:asciiTheme="minorHAnsi" w:hAnsiTheme="minorHAnsi" w:cs="Arial"/>
          <w:color w:val="auto"/>
          <w:sz w:val="24"/>
          <w:szCs w:val="24"/>
        </w:rPr>
        <w:t>Regular meetings are held between the Chief Finance Officer and a representative of the Devon Audit Partnership to discuss specific issues that have arisen.</w:t>
      </w:r>
    </w:p>
    <w:p w:rsidR="00360B9A" w:rsidRPr="004E6599" w:rsidRDefault="00360B9A" w:rsidP="00360B9A">
      <w:pPr>
        <w:keepNext/>
        <w:autoSpaceDE w:val="0"/>
        <w:autoSpaceDN w:val="0"/>
        <w:adjustRightInd w:val="0"/>
        <w:rPr>
          <w:rFonts w:asciiTheme="minorHAnsi" w:hAnsiTheme="minorHAnsi" w:cs="Arial"/>
          <w:color w:val="auto"/>
          <w:sz w:val="24"/>
          <w:szCs w:val="24"/>
        </w:rPr>
      </w:pPr>
      <w:r w:rsidRPr="004E6599">
        <w:rPr>
          <w:rFonts w:asciiTheme="minorHAnsi" w:hAnsiTheme="minorHAnsi" w:cs="Arial"/>
          <w:b/>
          <w:bCs/>
          <w:color w:val="auto"/>
          <w:sz w:val="24"/>
          <w:szCs w:val="24"/>
        </w:rPr>
        <w:t xml:space="preserve">Review of Effectiveness </w:t>
      </w:r>
    </w:p>
    <w:p w:rsidR="00360B9A" w:rsidRPr="004E6599" w:rsidRDefault="00360B9A" w:rsidP="00360B9A">
      <w:pPr>
        <w:autoSpaceDE w:val="0"/>
        <w:autoSpaceDN w:val="0"/>
        <w:adjustRightInd w:val="0"/>
        <w:spacing w:line="240" w:lineRule="auto"/>
        <w:rPr>
          <w:rFonts w:asciiTheme="minorHAnsi" w:hAnsiTheme="minorHAnsi" w:cs="Arial"/>
          <w:color w:val="auto"/>
          <w:sz w:val="24"/>
          <w:szCs w:val="24"/>
        </w:rPr>
      </w:pPr>
      <w:r w:rsidRPr="004E6599">
        <w:rPr>
          <w:rFonts w:asciiTheme="minorHAnsi" w:hAnsiTheme="minorHAnsi" w:cs="Arial"/>
          <w:color w:val="auto"/>
          <w:sz w:val="24"/>
          <w:szCs w:val="24"/>
        </w:rPr>
        <w:t>Torbay Council has responsibility for conducting, at least annually, a review of the effectiveness of its governance framework including the system of internal control. The review of effectiveness is informed by the work of the executive managers within the Authority who have responsibility for the development and maintenance of the governance environment, the Head of the Devon Audit Partnership’s annual report, and also by comments made by the External Auditors and other review agencies and inspectorates.  This review is demonstrated through the Annual Governance Statement.</w:t>
      </w:r>
    </w:p>
    <w:p w:rsidR="00360B9A" w:rsidRPr="004E6599" w:rsidRDefault="00360B9A" w:rsidP="00360B9A">
      <w:pPr>
        <w:autoSpaceDE w:val="0"/>
        <w:autoSpaceDN w:val="0"/>
        <w:adjustRightInd w:val="0"/>
        <w:spacing w:line="240" w:lineRule="auto"/>
        <w:rPr>
          <w:rFonts w:asciiTheme="minorHAnsi" w:hAnsiTheme="minorHAnsi" w:cs="Arial"/>
          <w:color w:val="auto"/>
          <w:sz w:val="24"/>
          <w:szCs w:val="24"/>
        </w:rPr>
      </w:pPr>
      <w:r w:rsidRPr="004E6599">
        <w:rPr>
          <w:rFonts w:asciiTheme="minorHAnsi" w:hAnsiTheme="minorHAnsi" w:cs="Arial"/>
          <w:color w:val="auto"/>
          <w:sz w:val="24"/>
          <w:szCs w:val="24"/>
        </w:rPr>
        <w:t>As in previous years, Devon Audit Partnership undertook certain assurance work on behalf of the Council and to give assurance to the external auditors as part their audit opinion.</w:t>
      </w:r>
    </w:p>
    <w:p w:rsidR="00360B9A" w:rsidRPr="00985983" w:rsidRDefault="00360B9A" w:rsidP="00360B9A">
      <w:pPr>
        <w:autoSpaceDE w:val="0"/>
        <w:autoSpaceDN w:val="0"/>
        <w:adjustRightInd w:val="0"/>
        <w:spacing w:line="240" w:lineRule="auto"/>
        <w:rPr>
          <w:rFonts w:asciiTheme="minorHAnsi" w:hAnsiTheme="minorHAnsi" w:cs="Arial"/>
          <w:color w:val="auto"/>
          <w:sz w:val="24"/>
          <w:szCs w:val="24"/>
        </w:rPr>
      </w:pPr>
      <w:r w:rsidRPr="00985983">
        <w:rPr>
          <w:rFonts w:asciiTheme="minorHAnsi" w:hAnsiTheme="minorHAnsi" w:cs="Arial"/>
          <w:color w:val="auto"/>
          <w:sz w:val="24"/>
          <w:szCs w:val="24"/>
        </w:rPr>
        <w:t xml:space="preserve">The effectiveness of the governance framework has been evaluated over the course of the year against the seven core principles within Torbay Council’s Code of Corporate Governance.  </w:t>
      </w:r>
      <w:r>
        <w:rPr>
          <w:rFonts w:asciiTheme="minorHAnsi" w:hAnsiTheme="minorHAnsi" w:cs="Arial"/>
          <w:color w:val="auto"/>
          <w:sz w:val="24"/>
          <w:szCs w:val="24"/>
        </w:rPr>
        <w:t>Details of the evaluation is</w:t>
      </w:r>
      <w:r w:rsidRPr="00985983">
        <w:rPr>
          <w:rFonts w:asciiTheme="minorHAnsi" w:hAnsiTheme="minorHAnsi" w:cs="Arial"/>
          <w:color w:val="auto"/>
          <w:sz w:val="24"/>
          <w:szCs w:val="24"/>
        </w:rPr>
        <w:t xml:space="preserve"> included in the sections which follow.  </w:t>
      </w:r>
      <w:r w:rsidRPr="00762BCE">
        <w:rPr>
          <w:rFonts w:asciiTheme="minorHAnsi" w:hAnsiTheme="minorHAnsi" w:cs="Arial"/>
          <w:color w:val="auto"/>
          <w:sz w:val="24"/>
          <w:szCs w:val="24"/>
        </w:rPr>
        <w:t>Whilst som</w:t>
      </w:r>
      <w:r>
        <w:rPr>
          <w:rFonts w:asciiTheme="minorHAnsi" w:hAnsiTheme="minorHAnsi" w:cs="Arial"/>
          <w:color w:val="auto"/>
          <w:sz w:val="24"/>
          <w:szCs w:val="24"/>
        </w:rPr>
        <w:t>e</w:t>
      </w:r>
      <w:r w:rsidRPr="00762BCE">
        <w:rPr>
          <w:rFonts w:asciiTheme="minorHAnsi" w:hAnsiTheme="minorHAnsi" w:cs="Arial"/>
          <w:color w:val="auto"/>
          <w:sz w:val="24"/>
          <w:szCs w:val="24"/>
        </w:rPr>
        <w:t xml:space="preserve"> governance i</w:t>
      </w:r>
      <w:r>
        <w:rPr>
          <w:rFonts w:asciiTheme="minorHAnsi" w:hAnsiTheme="minorHAnsi" w:cs="Arial"/>
          <w:color w:val="auto"/>
          <w:sz w:val="24"/>
          <w:szCs w:val="24"/>
        </w:rPr>
        <w:t xml:space="preserve">ssues have been identified (and </w:t>
      </w:r>
      <w:r w:rsidRPr="00762BCE">
        <w:rPr>
          <w:rFonts w:asciiTheme="minorHAnsi" w:hAnsiTheme="minorHAnsi" w:cs="Arial"/>
          <w:color w:val="auto"/>
          <w:sz w:val="24"/>
          <w:szCs w:val="24"/>
        </w:rPr>
        <w:t>are detailed below), the Council believes that its arrangements continue to be regarded as fit for purpose in accordance with the governance framework.</w:t>
      </w:r>
    </w:p>
    <w:p w:rsidR="00360B9A" w:rsidRPr="00985983" w:rsidRDefault="00360B9A" w:rsidP="00360B9A">
      <w:pPr>
        <w:autoSpaceDE w:val="0"/>
        <w:autoSpaceDN w:val="0"/>
        <w:adjustRightInd w:val="0"/>
        <w:spacing w:line="240" w:lineRule="auto"/>
        <w:rPr>
          <w:rFonts w:asciiTheme="minorHAnsi" w:hAnsiTheme="minorHAnsi" w:cs="Arial"/>
          <w:color w:val="auto"/>
          <w:sz w:val="24"/>
          <w:szCs w:val="24"/>
          <w:u w:val="single"/>
        </w:rPr>
      </w:pPr>
      <w:r w:rsidRPr="00985983">
        <w:rPr>
          <w:rFonts w:asciiTheme="minorHAnsi" w:hAnsiTheme="minorHAnsi" w:cs="Arial"/>
          <w:color w:val="auto"/>
          <w:sz w:val="24"/>
          <w:szCs w:val="24"/>
          <w:u w:val="single"/>
        </w:rPr>
        <w:t>Focusing on the purpose of the authority and on outcomes for the local community and creating and implementing a vision for the local area</w:t>
      </w:r>
    </w:p>
    <w:p w:rsidR="00360B9A" w:rsidRPr="0052252B" w:rsidRDefault="00360B9A" w:rsidP="00360B9A">
      <w:pPr>
        <w:autoSpaceDE w:val="0"/>
        <w:autoSpaceDN w:val="0"/>
        <w:adjustRightInd w:val="0"/>
        <w:spacing w:line="240" w:lineRule="auto"/>
        <w:rPr>
          <w:rFonts w:asciiTheme="minorHAnsi" w:hAnsiTheme="minorHAnsi" w:cs="Arial"/>
          <w:color w:val="auto"/>
          <w:sz w:val="24"/>
          <w:szCs w:val="24"/>
        </w:rPr>
      </w:pPr>
      <w:r w:rsidRPr="0052252B">
        <w:rPr>
          <w:rFonts w:asciiTheme="minorHAnsi" w:hAnsiTheme="minorHAnsi" w:cs="Arial"/>
          <w:color w:val="auto"/>
          <w:sz w:val="24"/>
          <w:szCs w:val="24"/>
        </w:rPr>
        <w:lastRenderedPageBreak/>
        <w:t xml:space="preserve">The Council’s Corporate Plan was adopted in </w:t>
      </w:r>
      <w:r>
        <w:rPr>
          <w:rFonts w:asciiTheme="minorHAnsi" w:hAnsiTheme="minorHAnsi" w:cs="Arial"/>
          <w:color w:val="auto"/>
          <w:sz w:val="24"/>
          <w:szCs w:val="24"/>
        </w:rPr>
        <w:t>September 2015</w:t>
      </w:r>
      <w:r w:rsidRPr="0052252B">
        <w:rPr>
          <w:rFonts w:asciiTheme="minorHAnsi" w:hAnsiTheme="minorHAnsi" w:cs="Arial"/>
          <w:color w:val="auto"/>
          <w:sz w:val="24"/>
          <w:szCs w:val="24"/>
        </w:rPr>
        <w:t xml:space="preserve"> with the associated De</w:t>
      </w:r>
      <w:r>
        <w:rPr>
          <w:rFonts w:asciiTheme="minorHAnsi" w:hAnsiTheme="minorHAnsi" w:cs="Arial"/>
          <w:color w:val="auto"/>
          <w:sz w:val="24"/>
          <w:szCs w:val="24"/>
        </w:rPr>
        <w:t>livery Plans adopted in May 2016</w:t>
      </w:r>
      <w:r w:rsidRPr="0052252B">
        <w:rPr>
          <w:rFonts w:asciiTheme="minorHAnsi" w:hAnsiTheme="minorHAnsi" w:cs="Arial"/>
          <w:color w:val="auto"/>
          <w:sz w:val="24"/>
          <w:szCs w:val="24"/>
        </w:rPr>
        <w:t xml:space="preserve">.  The Delivery Plans </w:t>
      </w:r>
      <w:r>
        <w:rPr>
          <w:rFonts w:asciiTheme="minorHAnsi" w:hAnsiTheme="minorHAnsi" w:cs="Arial"/>
          <w:color w:val="auto"/>
          <w:sz w:val="24"/>
          <w:szCs w:val="24"/>
        </w:rPr>
        <w:t xml:space="preserve">set out the challenges faced by the Council, where it aims to be in 2019 and the areas on which the Council will focus.  </w:t>
      </w:r>
      <w:r w:rsidRPr="0052252B">
        <w:rPr>
          <w:rFonts w:asciiTheme="minorHAnsi" w:hAnsiTheme="minorHAnsi" w:cs="Arial"/>
          <w:color w:val="auto"/>
          <w:sz w:val="24"/>
          <w:szCs w:val="24"/>
        </w:rPr>
        <w:t>The Performance and Risk Dashboards set out how the Council will measure its performance towards meeting th</w:t>
      </w:r>
      <w:r>
        <w:rPr>
          <w:rFonts w:asciiTheme="minorHAnsi" w:hAnsiTheme="minorHAnsi" w:cs="Arial"/>
          <w:color w:val="auto"/>
          <w:sz w:val="24"/>
          <w:szCs w:val="24"/>
        </w:rPr>
        <w:t xml:space="preserve">e </w:t>
      </w:r>
      <w:r w:rsidRPr="0052252B">
        <w:rPr>
          <w:rFonts w:asciiTheme="minorHAnsi" w:hAnsiTheme="minorHAnsi" w:cs="Arial"/>
          <w:color w:val="auto"/>
          <w:sz w:val="24"/>
          <w:szCs w:val="24"/>
        </w:rPr>
        <w:t>ambitions</w:t>
      </w:r>
      <w:r>
        <w:rPr>
          <w:rFonts w:asciiTheme="minorHAnsi" w:hAnsiTheme="minorHAnsi" w:cs="Arial"/>
          <w:color w:val="auto"/>
          <w:sz w:val="24"/>
          <w:szCs w:val="24"/>
        </w:rPr>
        <w:t xml:space="preserve"> of the Corporate Plan and the actions in the Delivery Plans</w:t>
      </w:r>
      <w:r w:rsidRPr="0052252B">
        <w:rPr>
          <w:rFonts w:asciiTheme="minorHAnsi" w:hAnsiTheme="minorHAnsi" w:cs="Arial"/>
          <w:color w:val="auto"/>
          <w:sz w:val="24"/>
          <w:szCs w:val="24"/>
        </w:rPr>
        <w:t>.</w:t>
      </w:r>
      <w:r>
        <w:rPr>
          <w:rFonts w:asciiTheme="minorHAnsi" w:hAnsiTheme="minorHAnsi" w:cs="Arial"/>
          <w:color w:val="auto"/>
          <w:sz w:val="24"/>
          <w:szCs w:val="24"/>
        </w:rPr>
        <w:t xml:space="preserve">  This will include progress against each action within the Delivery Plans and an identification of the priorities for the coming months.</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sidRPr="0052252B">
        <w:rPr>
          <w:rFonts w:asciiTheme="minorHAnsi" w:hAnsiTheme="minorHAnsi" w:cs="Arial"/>
          <w:color w:val="auto"/>
          <w:sz w:val="24"/>
          <w:szCs w:val="24"/>
        </w:rPr>
        <w:t xml:space="preserve">The Council has </w:t>
      </w:r>
      <w:r>
        <w:rPr>
          <w:rFonts w:asciiTheme="minorHAnsi" w:hAnsiTheme="minorHAnsi" w:cs="Arial"/>
          <w:color w:val="auto"/>
          <w:sz w:val="24"/>
          <w:szCs w:val="24"/>
        </w:rPr>
        <w:t xml:space="preserve">established </w:t>
      </w:r>
      <w:r w:rsidRPr="0052252B">
        <w:rPr>
          <w:rFonts w:asciiTheme="minorHAnsi" w:hAnsiTheme="minorHAnsi" w:cs="Arial"/>
          <w:color w:val="auto"/>
          <w:sz w:val="24"/>
          <w:szCs w:val="24"/>
        </w:rPr>
        <w:t>a Strategic Partnership for Torbay and develop</w:t>
      </w:r>
      <w:r>
        <w:rPr>
          <w:rFonts w:asciiTheme="minorHAnsi" w:hAnsiTheme="minorHAnsi" w:cs="Arial"/>
          <w:color w:val="auto"/>
          <w:sz w:val="24"/>
          <w:szCs w:val="24"/>
        </w:rPr>
        <w:t>ed</w:t>
      </w:r>
      <w:r w:rsidRPr="0052252B">
        <w:rPr>
          <w:rFonts w:asciiTheme="minorHAnsi" w:hAnsiTheme="minorHAnsi" w:cs="Arial"/>
          <w:color w:val="auto"/>
          <w:sz w:val="24"/>
          <w:szCs w:val="24"/>
        </w:rPr>
        <w:t xml:space="preserve"> </w:t>
      </w:r>
      <w:r w:rsidRPr="00A23BC5">
        <w:rPr>
          <w:rFonts w:asciiTheme="minorHAnsi" w:hAnsiTheme="minorHAnsi" w:cs="Arial"/>
          <w:color w:val="auto"/>
          <w:sz w:val="24"/>
          <w:szCs w:val="24"/>
        </w:rPr>
        <w:t>“</w:t>
      </w:r>
      <w:r>
        <w:rPr>
          <w:rFonts w:asciiTheme="minorHAnsi" w:hAnsiTheme="minorHAnsi" w:cs="Arial"/>
          <w:color w:val="auto"/>
          <w:sz w:val="24"/>
          <w:szCs w:val="24"/>
        </w:rPr>
        <w:t>Your Torbay, Your Future</w:t>
      </w:r>
      <w:r w:rsidRPr="00A23BC5">
        <w:rPr>
          <w:rFonts w:asciiTheme="minorHAnsi" w:hAnsiTheme="minorHAnsi" w:cs="Arial"/>
          <w:color w:val="auto"/>
          <w:sz w:val="24"/>
          <w:szCs w:val="24"/>
        </w:rPr>
        <w:t xml:space="preserve">” which sets out the long term aspirations for Torbay.  </w:t>
      </w:r>
      <w:r>
        <w:rPr>
          <w:rFonts w:asciiTheme="minorHAnsi" w:hAnsiTheme="minorHAnsi" w:cs="Arial"/>
          <w:color w:val="auto"/>
          <w:sz w:val="24"/>
          <w:szCs w:val="24"/>
        </w:rPr>
        <w:t>This was adopted by the Council in June 2017 as an Annex to the Council’s Corporate Plan.</w:t>
      </w:r>
      <w:r w:rsidRPr="0052252B">
        <w:rPr>
          <w:rFonts w:asciiTheme="minorHAnsi" w:hAnsiTheme="minorHAnsi" w:cs="Arial"/>
          <w:color w:val="auto"/>
          <w:sz w:val="24"/>
          <w:szCs w:val="24"/>
        </w:rPr>
        <w:t xml:space="preserve"> </w:t>
      </w:r>
    </w:p>
    <w:p w:rsidR="00360B9A" w:rsidRPr="0052252B"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 xml:space="preserve">A revised Risk Share Agreement in respect of the Integrated Care Organisation was agreed during 2017/2018 </w:t>
      </w:r>
      <w:r w:rsidRPr="00807F5A">
        <w:rPr>
          <w:rFonts w:asciiTheme="minorHAnsi" w:hAnsiTheme="minorHAnsi" w:cs="Arial"/>
          <w:color w:val="auto"/>
          <w:sz w:val="24"/>
          <w:szCs w:val="24"/>
        </w:rPr>
        <w:t xml:space="preserve">whereby the Council </w:t>
      </w:r>
      <w:r>
        <w:rPr>
          <w:rFonts w:asciiTheme="minorHAnsi" w:hAnsiTheme="minorHAnsi" w:cs="Arial"/>
          <w:color w:val="auto"/>
          <w:sz w:val="24"/>
          <w:szCs w:val="24"/>
        </w:rPr>
        <w:t>“bought</w:t>
      </w:r>
      <w:r w:rsidRPr="00807F5A">
        <w:rPr>
          <w:rFonts w:asciiTheme="minorHAnsi" w:hAnsiTheme="minorHAnsi" w:cs="Arial"/>
          <w:color w:val="auto"/>
          <w:sz w:val="24"/>
          <w:szCs w:val="24"/>
        </w:rPr>
        <w:t>-out” its share of the risk at a set amount for the remainder of the agreement.  This involve</w:t>
      </w:r>
      <w:r>
        <w:rPr>
          <w:rFonts w:asciiTheme="minorHAnsi" w:hAnsiTheme="minorHAnsi" w:cs="Arial"/>
          <w:color w:val="auto"/>
          <w:sz w:val="24"/>
          <w:szCs w:val="24"/>
        </w:rPr>
        <w:t>d</w:t>
      </w:r>
      <w:r w:rsidRPr="00807F5A">
        <w:rPr>
          <w:rFonts w:asciiTheme="minorHAnsi" w:hAnsiTheme="minorHAnsi" w:cs="Arial"/>
          <w:color w:val="auto"/>
          <w:sz w:val="24"/>
          <w:szCs w:val="24"/>
        </w:rPr>
        <w:t xml:space="preserve"> the Council providing a higher amount of funding to the</w:t>
      </w:r>
      <w:r>
        <w:rPr>
          <w:rFonts w:asciiTheme="minorHAnsi" w:hAnsiTheme="minorHAnsi" w:cs="Arial"/>
          <w:color w:val="auto"/>
          <w:sz w:val="24"/>
          <w:szCs w:val="24"/>
        </w:rPr>
        <w:t xml:space="preserve"> Torbay and</w:t>
      </w:r>
      <w:r w:rsidRPr="00807F5A">
        <w:rPr>
          <w:rFonts w:asciiTheme="minorHAnsi" w:hAnsiTheme="minorHAnsi" w:cs="Arial"/>
          <w:color w:val="auto"/>
          <w:sz w:val="24"/>
          <w:szCs w:val="24"/>
        </w:rPr>
        <w:t xml:space="preserve"> </w:t>
      </w:r>
      <w:r>
        <w:rPr>
          <w:rFonts w:asciiTheme="minorHAnsi" w:hAnsiTheme="minorHAnsi" w:cs="Arial"/>
          <w:color w:val="auto"/>
          <w:sz w:val="24"/>
          <w:szCs w:val="24"/>
        </w:rPr>
        <w:t xml:space="preserve">South Devon NHS Foundation </w:t>
      </w:r>
      <w:r w:rsidRPr="00807F5A">
        <w:rPr>
          <w:rFonts w:asciiTheme="minorHAnsi" w:hAnsiTheme="minorHAnsi" w:cs="Arial"/>
          <w:color w:val="auto"/>
          <w:sz w:val="24"/>
          <w:szCs w:val="24"/>
        </w:rPr>
        <w:t xml:space="preserve">Trust than the core funding </w:t>
      </w:r>
      <w:r>
        <w:rPr>
          <w:rFonts w:asciiTheme="minorHAnsi" w:hAnsiTheme="minorHAnsi" w:cs="Arial"/>
          <w:color w:val="auto"/>
          <w:sz w:val="24"/>
          <w:szCs w:val="24"/>
        </w:rPr>
        <w:t>previously</w:t>
      </w:r>
      <w:r w:rsidRPr="00807F5A">
        <w:rPr>
          <w:rFonts w:asciiTheme="minorHAnsi" w:hAnsiTheme="minorHAnsi" w:cs="Arial"/>
          <w:color w:val="auto"/>
          <w:sz w:val="24"/>
          <w:szCs w:val="24"/>
        </w:rPr>
        <w:t xml:space="preserve"> provided.  The </w:t>
      </w:r>
      <w:r>
        <w:rPr>
          <w:rFonts w:asciiTheme="minorHAnsi" w:hAnsiTheme="minorHAnsi" w:cs="Arial"/>
          <w:color w:val="auto"/>
          <w:sz w:val="24"/>
          <w:szCs w:val="24"/>
        </w:rPr>
        <w:t>revised Risk Share Agreement provides</w:t>
      </w:r>
      <w:r w:rsidRPr="00807F5A">
        <w:rPr>
          <w:rFonts w:asciiTheme="minorHAnsi" w:hAnsiTheme="minorHAnsi" w:cs="Arial"/>
          <w:color w:val="auto"/>
          <w:sz w:val="24"/>
          <w:szCs w:val="24"/>
        </w:rPr>
        <w:t xml:space="preserve"> </w:t>
      </w:r>
      <w:r>
        <w:rPr>
          <w:rFonts w:asciiTheme="minorHAnsi" w:hAnsiTheme="minorHAnsi" w:cs="Arial"/>
          <w:color w:val="auto"/>
          <w:sz w:val="24"/>
          <w:szCs w:val="24"/>
        </w:rPr>
        <w:t xml:space="preserve">budget </w:t>
      </w:r>
      <w:r w:rsidRPr="00807F5A">
        <w:rPr>
          <w:rFonts w:asciiTheme="minorHAnsi" w:hAnsiTheme="minorHAnsi" w:cs="Arial"/>
          <w:color w:val="auto"/>
          <w:sz w:val="24"/>
          <w:szCs w:val="24"/>
        </w:rPr>
        <w:t xml:space="preserve">certainty </w:t>
      </w:r>
      <w:r>
        <w:rPr>
          <w:rFonts w:asciiTheme="minorHAnsi" w:hAnsiTheme="minorHAnsi" w:cs="Arial"/>
          <w:color w:val="auto"/>
          <w:sz w:val="24"/>
          <w:szCs w:val="24"/>
        </w:rPr>
        <w:t xml:space="preserve">in respect of Adult Social Care </w:t>
      </w:r>
      <w:r w:rsidRPr="00807F5A">
        <w:rPr>
          <w:rFonts w:asciiTheme="minorHAnsi" w:hAnsiTheme="minorHAnsi" w:cs="Arial"/>
          <w:color w:val="auto"/>
          <w:sz w:val="24"/>
          <w:szCs w:val="24"/>
        </w:rPr>
        <w:t>for the Council moving forward.</w:t>
      </w:r>
      <w:r>
        <w:rPr>
          <w:rFonts w:asciiTheme="minorHAnsi" w:hAnsiTheme="minorHAnsi" w:cs="Arial"/>
          <w:color w:val="auto"/>
          <w:sz w:val="24"/>
          <w:szCs w:val="24"/>
        </w:rPr>
        <w:t xml:space="preserve">  Discussions will take place during 2018/2019 on the future arrangements, once the current Agreement comes to an end.</w:t>
      </w:r>
    </w:p>
    <w:p w:rsidR="00360B9A" w:rsidRPr="005C3BF3" w:rsidRDefault="00360B9A" w:rsidP="00360B9A">
      <w:pPr>
        <w:autoSpaceDE w:val="0"/>
        <w:autoSpaceDN w:val="0"/>
        <w:adjustRightInd w:val="0"/>
        <w:spacing w:line="240" w:lineRule="auto"/>
        <w:rPr>
          <w:rFonts w:asciiTheme="minorHAnsi" w:hAnsiTheme="minorHAnsi" w:cs="Arial"/>
          <w:color w:val="auto"/>
          <w:sz w:val="24"/>
          <w:szCs w:val="24"/>
          <w:u w:val="single"/>
        </w:rPr>
      </w:pPr>
      <w:r w:rsidRPr="005C3BF3">
        <w:rPr>
          <w:rFonts w:asciiTheme="minorHAnsi" w:hAnsiTheme="minorHAnsi" w:cs="Arial"/>
          <w:color w:val="auto"/>
          <w:sz w:val="24"/>
          <w:szCs w:val="24"/>
          <w:u w:val="single"/>
        </w:rPr>
        <w:t>Members and officers working together to achieve a common purpose with clearly defined functions and roles</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sidRPr="0052252B">
        <w:rPr>
          <w:rFonts w:asciiTheme="minorHAnsi" w:hAnsiTheme="minorHAnsi" w:cs="Arial"/>
          <w:color w:val="auto"/>
          <w:sz w:val="24"/>
          <w:szCs w:val="24"/>
        </w:rPr>
        <w:t xml:space="preserve">The Council’s Constitution </w:t>
      </w:r>
      <w:r>
        <w:rPr>
          <w:rFonts w:asciiTheme="minorHAnsi" w:hAnsiTheme="minorHAnsi" w:cs="Arial"/>
          <w:color w:val="auto"/>
          <w:sz w:val="24"/>
          <w:szCs w:val="24"/>
        </w:rPr>
        <w:t xml:space="preserve">has been </w:t>
      </w:r>
      <w:r w:rsidRPr="0052252B">
        <w:rPr>
          <w:rFonts w:asciiTheme="minorHAnsi" w:hAnsiTheme="minorHAnsi" w:cs="Arial"/>
          <w:color w:val="auto"/>
          <w:sz w:val="24"/>
          <w:szCs w:val="24"/>
        </w:rPr>
        <w:t xml:space="preserve">continually reviewed throughout the year by the Monitoring Officer, Chief Financial Officer and Governance Support Manager in consultation with the </w:t>
      </w:r>
      <w:r>
        <w:rPr>
          <w:rFonts w:asciiTheme="minorHAnsi" w:hAnsiTheme="minorHAnsi" w:cs="Arial"/>
          <w:color w:val="auto"/>
          <w:sz w:val="24"/>
          <w:szCs w:val="24"/>
        </w:rPr>
        <w:t xml:space="preserve">Elected </w:t>
      </w:r>
      <w:r w:rsidRPr="0052252B">
        <w:rPr>
          <w:rFonts w:asciiTheme="minorHAnsi" w:hAnsiTheme="minorHAnsi" w:cs="Arial"/>
          <w:color w:val="auto"/>
          <w:sz w:val="24"/>
          <w:szCs w:val="24"/>
        </w:rPr>
        <w:t xml:space="preserve">Mayor and Group Leaders whereby improvements and changes to the constitution are made and agreed. </w:t>
      </w:r>
      <w:r>
        <w:rPr>
          <w:rFonts w:asciiTheme="minorHAnsi" w:hAnsiTheme="minorHAnsi" w:cs="Arial"/>
          <w:color w:val="auto"/>
          <w:sz w:val="24"/>
          <w:szCs w:val="24"/>
        </w:rPr>
        <w:t xml:space="preserve"> </w:t>
      </w:r>
      <w:r w:rsidRPr="0084341B">
        <w:rPr>
          <w:rFonts w:asciiTheme="minorHAnsi" w:hAnsiTheme="minorHAnsi" w:cs="Arial"/>
          <w:color w:val="auto"/>
          <w:sz w:val="24"/>
          <w:szCs w:val="24"/>
        </w:rPr>
        <w:t xml:space="preserve">The Members’ Development Programme </w:t>
      </w:r>
      <w:r>
        <w:rPr>
          <w:rFonts w:asciiTheme="minorHAnsi" w:hAnsiTheme="minorHAnsi" w:cs="Arial"/>
          <w:color w:val="auto"/>
          <w:sz w:val="24"/>
          <w:szCs w:val="24"/>
        </w:rPr>
        <w:t>continues to be</w:t>
      </w:r>
      <w:r w:rsidRPr="0084341B">
        <w:rPr>
          <w:rFonts w:asciiTheme="minorHAnsi" w:hAnsiTheme="minorHAnsi" w:cs="Arial"/>
          <w:color w:val="auto"/>
          <w:sz w:val="24"/>
          <w:szCs w:val="24"/>
        </w:rPr>
        <w:t xml:space="preserve"> </w:t>
      </w:r>
      <w:r>
        <w:rPr>
          <w:rFonts w:asciiTheme="minorHAnsi" w:hAnsiTheme="minorHAnsi" w:cs="Arial"/>
          <w:color w:val="auto"/>
          <w:sz w:val="24"/>
          <w:szCs w:val="24"/>
        </w:rPr>
        <w:t>delivered</w:t>
      </w:r>
      <w:r w:rsidRPr="0084341B">
        <w:rPr>
          <w:rFonts w:asciiTheme="minorHAnsi" w:hAnsiTheme="minorHAnsi" w:cs="Arial"/>
          <w:color w:val="auto"/>
          <w:sz w:val="24"/>
          <w:szCs w:val="24"/>
        </w:rPr>
        <w:t xml:space="preserve"> and </w:t>
      </w:r>
      <w:r>
        <w:rPr>
          <w:rFonts w:asciiTheme="minorHAnsi" w:hAnsiTheme="minorHAnsi" w:cs="Arial"/>
          <w:color w:val="auto"/>
          <w:sz w:val="24"/>
          <w:szCs w:val="24"/>
        </w:rPr>
        <w:t xml:space="preserve">communication with councillors </w:t>
      </w:r>
      <w:r w:rsidRPr="0084341B">
        <w:rPr>
          <w:rFonts w:asciiTheme="minorHAnsi" w:hAnsiTheme="minorHAnsi" w:cs="Arial"/>
          <w:color w:val="auto"/>
          <w:sz w:val="24"/>
          <w:szCs w:val="24"/>
        </w:rPr>
        <w:t xml:space="preserve">is supplemented by Councillor Conversations which take place to provide an informal opportunity to discuss forthcoming </w:t>
      </w:r>
      <w:r>
        <w:rPr>
          <w:rFonts w:asciiTheme="minorHAnsi" w:hAnsiTheme="minorHAnsi" w:cs="Arial"/>
          <w:color w:val="auto"/>
          <w:sz w:val="24"/>
          <w:szCs w:val="24"/>
        </w:rPr>
        <w:t>issues</w:t>
      </w:r>
      <w:r w:rsidRPr="0084341B">
        <w:rPr>
          <w:rFonts w:asciiTheme="minorHAnsi" w:hAnsiTheme="minorHAnsi" w:cs="Arial"/>
          <w:color w:val="auto"/>
          <w:sz w:val="24"/>
          <w:szCs w:val="24"/>
        </w:rPr>
        <w:t xml:space="preserve">.  The </w:t>
      </w:r>
      <w:r>
        <w:rPr>
          <w:rFonts w:asciiTheme="minorHAnsi" w:hAnsiTheme="minorHAnsi" w:cs="Arial"/>
          <w:color w:val="auto"/>
          <w:sz w:val="24"/>
          <w:szCs w:val="24"/>
        </w:rPr>
        <w:t xml:space="preserve">Elected </w:t>
      </w:r>
      <w:r w:rsidRPr="0084341B">
        <w:rPr>
          <w:rFonts w:asciiTheme="minorHAnsi" w:hAnsiTheme="minorHAnsi" w:cs="Arial"/>
          <w:color w:val="auto"/>
          <w:sz w:val="24"/>
          <w:szCs w:val="24"/>
        </w:rPr>
        <w:t>Mayor and Group Leaders meet monthly to discuss a range of issues aimed at working better together.</w:t>
      </w:r>
    </w:p>
    <w:p w:rsidR="00360B9A" w:rsidRPr="0084341B"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The recommendations arising from the Corporate Peer Challenge undertaken by the Local Government Association in 2015 have all been implemented and Council decision making is being effectively delivered.</w:t>
      </w:r>
    </w:p>
    <w:p w:rsidR="00360B9A" w:rsidRPr="005722E2" w:rsidRDefault="00360B9A" w:rsidP="00360B9A">
      <w:pPr>
        <w:autoSpaceDE w:val="0"/>
        <w:autoSpaceDN w:val="0"/>
        <w:adjustRightInd w:val="0"/>
        <w:spacing w:line="240" w:lineRule="auto"/>
        <w:rPr>
          <w:rFonts w:asciiTheme="minorHAnsi" w:hAnsiTheme="minorHAnsi" w:cs="Arial"/>
          <w:color w:val="auto"/>
          <w:sz w:val="24"/>
          <w:szCs w:val="24"/>
          <w:u w:val="single"/>
        </w:rPr>
      </w:pPr>
      <w:r w:rsidRPr="005722E2">
        <w:rPr>
          <w:rFonts w:asciiTheme="minorHAnsi" w:hAnsiTheme="minorHAnsi" w:cs="Arial"/>
          <w:color w:val="auto"/>
          <w:sz w:val="24"/>
          <w:szCs w:val="24"/>
          <w:u w:val="single"/>
        </w:rPr>
        <w:t>Promoting values for the authority and demonstrating the values of good governance through upholding high standards of conduct and behaviour</w:t>
      </w:r>
    </w:p>
    <w:p w:rsidR="00360B9A" w:rsidRPr="00C84938" w:rsidRDefault="00360B9A" w:rsidP="00360B9A">
      <w:pPr>
        <w:autoSpaceDE w:val="0"/>
        <w:autoSpaceDN w:val="0"/>
        <w:adjustRightInd w:val="0"/>
        <w:spacing w:line="240" w:lineRule="auto"/>
        <w:rPr>
          <w:rFonts w:asciiTheme="minorHAnsi" w:hAnsiTheme="minorHAnsi" w:cs="Arial"/>
          <w:color w:val="auto"/>
          <w:sz w:val="24"/>
          <w:szCs w:val="24"/>
        </w:rPr>
      </w:pPr>
      <w:r w:rsidRPr="00D11A0C">
        <w:rPr>
          <w:rFonts w:asciiTheme="minorHAnsi" w:hAnsiTheme="minorHAnsi" w:cs="Arial"/>
          <w:color w:val="auto"/>
          <w:sz w:val="24"/>
          <w:szCs w:val="24"/>
        </w:rPr>
        <w:t>The Standards Committee has been re-appointed and has met as required during 2017/2018. The Monitoring Officer continues to meet with the Independent Person (appointed to assist the Standards Committee in the Member Complaint Process) to hear their views and opinions on various matters relating to Members’ conduct.  The Independent Person assisted with a number of complaints and provided views throughout an investigation that was subsequently considered by a Standards Hearing Sub-Committee.</w:t>
      </w:r>
      <w:r w:rsidRPr="00C84938">
        <w:rPr>
          <w:rFonts w:asciiTheme="minorHAnsi" w:hAnsiTheme="minorHAnsi" w:cs="Arial"/>
          <w:color w:val="auto"/>
          <w:sz w:val="24"/>
          <w:szCs w:val="24"/>
        </w:rPr>
        <w:t xml:space="preserve"> </w:t>
      </w:r>
    </w:p>
    <w:p w:rsidR="00360B9A" w:rsidRPr="005022AD" w:rsidRDefault="00360B9A" w:rsidP="00360B9A">
      <w:pPr>
        <w:autoSpaceDE w:val="0"/>
        <w:autoSpaceDN w:val="0"/>
        <w:adjustRightInd w:val="0"/>
        <w:spacing w:line="240" w:lineRule="auto"/>
        <w:rPr>
          <w:rFonts w:asciiTheme="minorHAnsi" w:eastAsia="Times New Roman" w:hAnsiTheme="minorHAnsi"/>
          <w:color w:val="auto"/>
          <w:sz w:val="24"/>
          <w:szCs w:val="24"/>
        </w:rPr>
      </w:pPr>
      <w:r w:rsidRPr="005022AD">
        <w:rPr>
          <w:rFonts w:asciiTheme="minorHAnsi" w:hAnsiTheme="minorHAnsi" w:cs="Arial"/>
          <w:color w:val="auto"/>
          <w:sz w:val="24"/>
          <w:szCs w:val="24"/>
        </w:rPr>
        <w:lastRenderedPageBreak/>
        <w:t>The Council’s Code of Conduct, Information Governance, Whistleblowing and Accep</w:t>
      </w:r>
      <w:r>
        <w:rPr>
          <w:rFonts w:asciiTheme="minorHAnsi" w:hAnsiTheme="minorHAnsi" w:cs="Arial"/>
          <w:color w:val="auto"/>
          <w:sz w:val="24"/>
          <w:szCs w:val="24"/>
        </w:rPr>
        <w:t>table Behaviour policies are</w:t>
      </w:r>
      <w:r w:rsidRPr="005022AD">
        <w:rPr>
          <w:rFonts w:asciiTheme="minorHAnsi" w:hAnsiTheme="minorHAnsi" w:cs="Arial"/>
          <w:color w:val="auto"/>
          <w:sz w:val="24"/>
          <w:szCs w:val="24"/>
        </w:rPr>
        <w:t xml:space="preserve"> available for all staff on </w:t>
      </w:r>
      <w:proofErr w:type="spellStart"/>
      <w:r>
        <w:rPr>
          <w:rFonts w:asciiTheme="minorHAnsi" w:hAnsiTheme="minorHAnsi" w:cs="Arial"/>
          <w:color w:val="auto"/>
          <w:sz w:val="24"/>
          <w:szCs w:val="24"/>
        </w:rPr>
        <w:t>MyView</w:t>
      </w:r>
      <w:proofErr w:type="spellEnd"/>
      <w:r w:rsidRPr="005022AD">
        <w:rPr>
          <w:rFonts w:asciiTheme="minorHAnsi" w:hAnsiTheme="minorHAnsi" w:cs="Arial"/>
          <w:color w:val="auto"/>
          <w:sz w:val="24"/>
          <w:szCs w:val="24"/>
        </w:rPr>
        <w:t>.  They are also referred to within employees’ terms and conditions of employment and are binding upon employees during the course of their employment with the Council.  Reminders are sent out to staff via newsletters and internal communications</w:t>
      </w:r>
      <w:r>
        <w:rPr>
          <w:rFonts w:asciiTheme="minorHAnsi" w:hAnsiTheme="minorHAnsi" w:cs="Arial"/>
          <w:color w:val="auto"/>
          <w:sz w:val="24"/>
          <w:szCs w:val="24"/>
        </w:rPr>
        <w:t>, including the Chief Executive’s Letter</w:t>
      </w:r>
      <w:r w:rsidRPr="005022AD">
        <w:rPr>
          <w:rFonts w:asciiTheme="minorHAnsi" w:hAnsiTheme="minorHAnsi" w:cs="Arial"/>
          <w:color w:val="auto"/>
          <w:sz w:val="24"/>
          <w:szCs w:val="24"/>
        </w:rPr>
        <w:t>.    The Council’s induction programme also signposts to the above policies for new starters.</w:t>
      </w:r>
      <w:r w:rsidRPr="005022AD">
        <w:rPr>
          <w:rFonts w:asciiTheme="minorHAnsi" w:eastAsia="Times New Roman" w:hAnsiTheme="minorHAnsi"/>
          <w:color w:val="auto"/>
          <w:sz w:val="24"/>
          <w:szCs w:val="24"/>
        </w:rPr>
        <w:t xml:space="preserve"> </w:t>
      </w:r>
    </w:p>
    <w:p w:rsidR="00360B9A" w:rsidRPr="0012620F" w:rsidRDefault="00360B9A" w:rsidP="00360B9A">
      <w:pPr>
        <w:autoSpaceDE w:val="0"/>
        <w:autoSpaceDN w:val="0"/>
        <w:adjustRightInd w:val="0"/>
        <w:spacing w:line="240" w:lineRule="auto"/>
        <w:rPr>
          <w:rFonts w:asciiTheme="minorHAnsi" w:hAnsiTheme="minorHAnsi"/>
          <w:color w:val="auto"/>
          <w:sz w:val="24"/>
        </w:rPr>
      </w:pPr>
      <w:r w:rsidRPr="0012620F">
        <w:rPr>
          <w:rFonts w:asciiTheme="minorHAnsi" w:hAnsiTheme="minorHAnsi"/>
          <w:color w:val="auto"/>
          <w:sz w:val="24"/>
        </w:rPr>
        <w:t>The Head of the Paid Service, the Chief Financial Officer and the Monitoring Officer continue to meet on a monthly basis to ensure that there is a regular forum to ensure that the values of the authority are promoted and that good governance is demonstrated.</w:t>
      </w:r>
    </w:p>
    <w:p w:rsidR="00360B9A" w:rsidRPr="0012620F" w:rsidRDefault="00360B9A" w:rsidP="00360B9A">
      <w:pPr>
        <w:autoSpaceDE w:val="0"/>
        <w:autoSpaceDN w:val="0"/>
        <w:adjustRightInd w:val="0"/>
        <w:spacing w:line="240" w:lineRule="auto"/>
        <w:rPr>
          <w:rFonts w:asciiTheme="minorHAnsi" w:hAnsiTheme="minorHAnsi"/>
          <w:color w:val="auto"/>
          <w:sz w:val="24"/>
        </w:rPr>
      </w:pPr>
      <w:r w:rsidRPr="0012620F">
        <w:rPr>
          <w:rFonts w:asciiTheme="minorHAnsi" w:hAnsiTheme="minorHAnsi"/>
          <w:color w:val="auto"/>
          <w:sz w:val="24"/>
        </w:rPr>
        <w:t xml:space="preserve">Business ethics, values and culture are an important part of improving an organisation’s governance process and we continue to place great importance on this.  </w:t>
      </w:r>
    </w:p>
    <w:p w:rsidR="00360B9A" w:rsidRPr="00E8716A" w:rsidRDefault="00360B9A" w:rsidP="00360B9A">
      <w:pPr>
        <w:keepNext/>
        <w:autoSpaceDE w:val="0"/>
        <w:autoSpaceDN w:val="0"/>
        <w:adjustRightInd w:val="0"/>
        <w:spacing w:line="240" w:lineRule="auto"/>
        <w:rPr>
          <w:rFonts w:asciiTheme="minorHAnsi" w:hAnsiTheme="minorHAnsi" w:cs="Arial"/>
          <w:color w:val="auto"/>
          <w:sz w:val="24"/>
          <w:szCs w:val="24"/>
          <w:u w:val="single"/>
        </w:rPr>
      </w:pPr>
      <w:r w:rsidRPr="00E8716A">
        <w:rPr>
          <w:rFonts w:asciiTheme="minorHAnsi" w:hAnsiTheme="minorHAnsi" w:cs="Arial"/>
          <w:color w:val="auto"/>
          <w:sz w:val="24"/>
          <w:szCs w:val="24"/>
          <w:u w:val="single"/>
        </w:rPr>
        <w:t>Taking informed and transparent decisions which are subject to effective scrutiny and managing risk</w:t>
      </w:r>
    </w:p>
    <w:p w:rsidR="00360B9A" w:rsidRPr="00CB2D35" w:rsidRDefault="00360B9A" w:rsidP="00360B9A">
      <w:pPr>
        <w:autoSpaceDE w:val="0"/>
        <w:autoSpaceDN w:val="0"/>
        <w:adjustRightInd w:val="0"/>
        <w:spacing w:line="240" w:lineRule="auto"/>
        <w:rPr>
          <w:rFonts w:asciiTheme="minorHAnsi" w:eastAsia="Times New Roman" w:hAnsiTheme="minorHAnsi"/>
          <w:color w:val="auto"/>
          <w:sz w:val="24"/>
          <w:szCs w:val="24"/>
        </w:rPr>
      </w:pPr>
      <w:r>
        <w:rPr>
          <w:rFonts w:asciiTheme="minorHAnsi" w:hAnsiTheme="minorHAnsi" w:cs="Arial"/>
          <w:color w:val="auto"/>
          <w:sz w:val="24"/>
          <w:szCs w:val="24"/>
        </w:rPr>
        <w:t>T</w:t>
      </w:r>
      <w:r w:rsidRPr="00CB2D35">
        <w:rPr>
          <w:rFonts w:asciiTheme="minorHAnsi" w:hAnsiTheme="minorHAnsi" w:cs="Arial"/>
          <w:color w:val="auto"/>
          <w:sz w:val="24"/>
          <w:szCs w:val="24"/>
        </w:rPr>
        <w:t>he Policy Development and Decision Groups</w:t>
      </w:r>
      <w:r>
        <w:rPr>
          <w:rFonts w:asciiTheme="minorHAnsi" w:hAnsiTheme="minorHAnsi" w:cs="Arial"/>
          <w:color w:val="auto"/>
          <w:sz w:val="24"/>
          <w:szCs w:val="24"/>
        </w:rPr>
        <w:t xml:space="preserve"> are now well-established, enabling reports to be presented and recommendations made the Elected Mayor in the public domain</w:t>
      </w:r>
      <w:r w:rsidRPr="00CB2D35">
        <w:rPr>
          <w:rFonts w:asciiTheme="minorHAnsi" w:hAnsiTheme="minorHAnsi" w:cs="Arial"/>
          <w:color w:val="auto"/>
          <w:sz w:val="24"/>
          <w:szCs w:val="24"/>
        </w:rPr>
        <w:t xml:space="preserve">.  </w:t>
      </w:r>
      <w:r w:rsidRPr="00CB2D35">
        <w:rPr>
          <w:rFonts w:asciiTheme="minorHAnsi" w:eastAsia="Times New Roman" w:hAnsiTheme="minorHAnsi"/>
          <w:color w:val="auto"/>
          <w:sz w:val="24"/>
          <w:szCs w:val="24"/>
        </w:rPr>
        <w:t xml:space="preserve">The </w:t>
      </w:r>
      <w:r>
        <w:rPr>
          <w:rFonts w:asciiTheme="minorHAnsi" w:eastAsia="Times New Roman" w:hAnsiTheme="minorHAnsi"/>
          <w:color w:val="auto"/>
          <w:sz w:val="24"/>
          <w:szCs w:val="24"/>
        </w:rPr>
        <w:t xml:space="preserve">Elected </w:t>
      </w:r>
      <w:r w:rsidRPr="00CB2D35">
        <w:rPr>
          <w:rFonts w:asciiTheme="minorHAnsi" w:eastAsia="Times New Roman" w:hAnsiTheme="minorHAnsi"/>
          <w:color w:val="auto"/>
          <w:sz w:val="24"/>
          <w:szCs w:val="24"/>
        </w:rPr>
        <w:t xml:space="preserve">Mayor then, in the majority of cases, takes those decisions at meetings of the Policy Development and Decision Group.  </w:t>
      </w:r>
    </w:p>
    <w:p w:rsidR="00360B9A" w:rsidRPr="00023B13" w:rsidRDefault="00360B9A" w:rsidP="00360B9A">
      <w:pPr>
        <w:autoSpaceDE w:val="0"/>
        <w:autoSpaceDN w:val="0"/>
        <w:adjustRightInd w:val="0"/>
        <w:spacing w:line="240" w:lineRule="auto"/>
        <w:rPr>
          <w:rFonts w:asciiTheme="minorHAnsi" w:hAnsiTheme="minorHAnsi" w:cs="Arial"/>
          <w:color w:val="auto"/>
          <w:sz w:val="24"/>
          <w:szCs w:val="24"/>
        </w:rPr>
      </w:pPr>
      <w:r w:rsidRPr="00023B13">
        <w:rPr>
          <w:rFonts w:asciiTheme="minorHAnsi" w:hAnsiTheme="minorHAnsi" w:cs="Arial"/>
          <w:color w:val="auto"/>
          <w:sz w:val="24"/>
          <w:szCs w:val="24"/>
        </w:rPr>
        <w:t xml:space="preserve">The Overview and Scrutiny Board has met throughout the year to hold the </w:t>
      </w:r>
      <w:r>
        <w:rPr>
          <w:rFonts w:asciiTheme="minorHAnsi" w:hAnsiTheme="minorHAnsi" w:cs="Arial"/>
          <w:color w:val="auto"/>
          <w:sz w:val="24"/>
          <w:szCs w:val="24"/>
        </w:rPr>
        <w:t xml:space="preserve">Elected </w:t>
      </w:r>
      <w:r w:rsidRPr="00023B13">
        <w:rPr>
          <w:rFonts w:asciiTheme="minorHAnsi" w:hAnsiTheme="minorHAnsi" w:cs="Arial"/>
          <w:color w:val="auto"/>
          <w:sz w:val="24"/>
          <w:szCs w:val="24"/>
        </w:rPr>
        <w:t>Mayor and Executive to account, and the Audit Committee has also met regularly. This aims to provide assurance within the decision making process. </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sidRPr="00C84938">
        <w:rPr>
          <w:rFonts w:asciiTheme="minorHAnsi" w:hAnsiTheme="minorHAnsi" w:cs="Arial"/>
          <w:color w:val="auto"/>
          <w:sz w:val="24"/>
          <w:szCs w:val="24"/>
        </w:rPr>
        <w:t>The Audit Committee has received the Internal Audit Plan together with updates on the progress against the Plan.  The Committee have received the Council’s Statement of Accounts and Treasury Management Strategy.</w:t>
      </w:r>
    </w:p>
    <w:p w:rsidR="00360B9A" w:rsidRDefault="00360B9A" w:rsidP="00360B9A">
      <w:pPr>
        <w:autoSpaceDE w:val="0"/>
        <w:autoSpaceDN w:val="0"/>
        <w:adjustRightInd w:val="0"/>
        <w:spacing w:after="0" w:line="240" w:lineRule="auto"/>
        <w:rPr>
          <w:rFonts w:asciiTheme="minorHAnsi" w:hAnsiTheme="minorHAnsi" w:cs="Arial"/>
          <w:sz w:val="24"/>
          <w:szCs w:val="24"/>
        </w:rPr>
      </w:pPr>
      <w:r w:rsidRPr="00C84938">
        <w:rPr>
          <w:rFonts w:asciiTheme="minorHAnsi" w:hAnsiTheme="minorHAnsi" w:cs="Arial"/>
          <w:sz w:val="24"/>
          <w:szCs w:val="24"/>
        </w:rPr>
        <w:t>The Performance and Risk Dashboards have been reviewed by the Committee on a regular basis</w:t>
      </w:r>
      <w:r>
        <w:rPr>
          <w:rFonts w:asciiTheme="minorHAnsi" w:hAnsiTheme="minorHAnsi" w:cs="Arial"/>
          <w:sz w:val="24"/>
          <w:szCs w:val="24"/>
        </w:rPr>
        <w:t xml:space="preserve"> </w:t>
      </w:r>
      <w:proofErr w:type="gramStart"/>
      <w:r>
        <w:rPr>
          <w:rFonts w:asciiTheme="minorHAnsi" w:hAnsiTheme="minorHAnsi" w:cs="Arial"/>
          <w:sz w:val="24"/>
          <w:szCs w:val="24"/>
        </w:rPr>
        <w:t>with  the</w:t>
      </w:r>
      <w:proofErr w:type="gramEnd"/>
      <w:r>
        <w:rPr>
          <w:rFonts w:asciiTheme="minorHAnsi" w:hAnsiTheme="minorHAnsi" w:cs="Arial"/>
          <w:sz w:val="24"/>
          <w:szCs w:val="24"/>
        </w:rPr>
        <w:t xml:space="preserve"> Committee continuing to have the ability to refer suggested areas for further investigation to the Overview and Scrutiny Board.</w:t>
      </w:r>
    </w:p>
    <w:p w:rsidR="00360B9A" w:rsidRPr="004D5963" w:rsidRDefault="00360B9A" w:rsidP="00360B9A">
      <w:pPr>
        <w:autoSpaceDE w:val="0"/>
        <w:autoSpaceDN w:val="0"/>
        <w:adjustRightInd w:val="0"/>
        <w:spacing w:after="0" w:line="240" w:lineRule="auto"/>
        <w:rPr>
          <w:rFonts w:asciiTheme="minorHAnsi" w:hAnsiTheme="minorHAnsi" w:cs="Arial"/>
          <w:color w:val="C0504D" w:themeColor="accent2"/>
          <w:sz w:val="24"/>
          <w:szCs w:val="24"/>
        </w:rPr>
      </w:pPr>
    </w:p>
    <w:p w:rsidR="00360B9A" w:rsidRPr="00DC37B9" w:rsidRDefault="00360B9A" w:rsidP="00360B9A">
      <w:pPr>
        <w:autoSpaceDE w:val="0"/>
        <w:autoSpaceDN w:val="0"/>
        <w:adjustRightInd w:val="0"/>
        <w:spacing w:line="240" w:lineRule="auto"/>
        <w:rPr>
          <w:rFonts w:asciiTheme="minorHAnsi" w:hAnsiTheme="minorHAnsi" w:cs="Arial"/>
          <w:color w:val="auto"/>
          <w:sz w:val="24"/>
          <w:szCs w:val="24"/>
        </w:rPr>
      </w:pPr>
      <w:r w:rsidRPr="00023B13">
        <w:rPr>
          <w:rFonts w:asciiTheme="minorHAnsi" w:hAnsiTheme="minorHAnsi" w:cs="Arial"/>
          <w:color w:val="auto"/>
          <w:sz w:val="24"/>
          <w:szCs w:val="24"/>
        </w:rPr>
        <w:t xml:space="preserve">The Overview and Scrutiny Board has undertaken a range of work from reviewing draft Policy Framework documents to matters arising from budget monitoring reports.  </w:t>
      </w:r>
      <w:r>
        <w:rPr>
          <w:rFonts w:asciiTheme="minorHAnsi" w:hAnsiTheme="minorHAnsi" w:cs="Arial"/>
          <w:color w:val="auto"/>
          <w:sz w:val="24"/>
          <w:szCs w:val="24"/>
        </w:rPr>
        <w:t xml:space="preserve">Two </w:t>
      </w:r>
      <w:r w:rsidRPr="00DC37B9">
        <w:rPr>
          <w:rFonts w:asciiTheme="minorHAnsi" w:hAnsiTheme="minorHAnsi" w:cs="Arial"/>
          <w:color w:val="auto"/>
          <w:sz w:val="24"/>
          <w:szCs w:val="24"/>
        </w:rPr>
        <w:t xml:space="preserve">decisions of the </w:t>
      </w:r>
      <w:r>
        <w:rPr>
          <w:rFonts w:asciiTheme="minorHAnsi" w:hAnsiTheme="minorHAnsi" w:cs="Arial"/>
          <w:color w:val="auto"/>
          <w:sz w:val="24"/>
          <w:szCs w:val="24"/>
        </w:rPr>
        <w:t xml:space="preserve">Elected </w:t>
      </w:r>
      <w:r w:rsidRPr="00DC37B9">
        <w:rPr>
          <w:rFonts w:asciiTheme="minorHAnsi" w:hAnsiTheme="minorHAnsi" w:cs="Arial"/>
          <w:color w:val="auto"/>
          <w:sz w:val="24"/>
          <w:szCs w:val="24"/>
        </w:rPr>
        <w:t xml:space="preserve">Mayor have been called-in over the course of </w:t>
      </w:r>
      <w:r>
        <w:rPr>
          <w:rFonts w:asciiTheme="minorHAnsi" w:hAnsiTheme="minorHAnsi" w:cs="Arial"/>
          <w:color w:val="auto"/>
          <w:sz w:val="24"/>
          <w:szCs w:val="24"/>
        </w:rPr>
        <w:t>2017/2018</w:t>
      </w:r>
      <w:r w:rsidRPr="00DC37B9">
        <w:rPr>
          <w:rFonts w:asciiTheme="minorHAnsi" w:hAnsiTheme="minorHAnsi" w:cs="Arial"/>
          <w:color w:val="auto"/>
          <w:sz w:val="24"/>
          <w:szCs w:val="24"/>
        </w:rPr>
        <w:t xml:space="preserve">. </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Two Monitoring Working Parties – one for Children’s Services and one for Adult Services and Public Health have met over the course of the year which provide an informal opportunity to discuss forthcoming decisions, issues arising, and performance and financial monitoring information.  A Liaison Group is also in place to discuss issues relating to the Joint Operations Team.</w:t>
      </w:r>
    </w:p>
    <w:p w:rsidR="00360B9A" w:rsidRPr="004D5963" w:rsidRDefault="00360B9A" w:rsidP="00360B9A">
      <w:pPr>
        <w:autoSpaceDE w:val="0"/>
        <w:autoSpaceDN w:val="0"/>
        <w:adjustRightInd w:val="0"/>
        <w:spacing w:line="240" w:lineRule="auto"/>
        <w:rPr>
          <w:rFonts w:asciiTheme="minorHAnsi" w:hAnsiTheme="minorHAnsi" w:cs="Arial"/>
          <w:color w:val="C0504D" w:themeColor="accent2"/>
          <w:sz w:val="24"/>
          <w:szCs w:val="24"/>
        </w:rPr>
      </w:pPr>
      <w:r>
        <w:rPr>
          <w:rFonts w:asciiTheme="minorHAnsi" w:hAnsiTheme="minorHAnsi" w:cs="Arial"/>
          <w:color w:val="auto"/>
          <w:sz w:val="24"/>
          <w:szCs w:val="24"/>
        </w:rPr>
        <w:lastRenderedPageBreak/>
        <w:t xml:space="preserve">Overview and Scrutiny Briefings are held to which all members of the Council are invited to attend.  This provides an opportunity to share information and identify issues which should be formally considered by the Overview and Scrutiny Board.  </w:t>
      </w:r>
    </w:p>
    <w:p w:rsidR="00360B9A" w:rsidRPr="00762BCE" w:rsidRDefault="00360B9A" w:rsidP="00360B9A">
      <w:pPr>
        <w:autoSpaceDE w:val="0"/>
        <w:autoSpaceDN w:val="0"/>
        <w:adjustRightInd w:val="0"/>
        <w:spacing w:line="240" w:lineRule="auto"/>
        <w:rPr>
          <w:rFonts w:asciiTheme="minorHAnsi" w:hAnsiTheme="minorHAnsi" w:cs="Arial"/>
          <w:color w:val="auto"/>
          <w:sz w:val="24"/>
          <w:szCs w:val="24"/>
        </w:rPr>
      </w:pPr>
      <w:r w:rsidRPr="004A35CC">
        <w:rPr>
          <w:rFonts w:asciiTheme="minorHAnsi" w:hAnsiTheme="minorHAnsi" w:cs="Arial"/>
          <w:color w:val="auto"/>
          <w:sz w:val="24"/>
          <w:szCs w:val="24"/>
        </w:rPr>
        <w:t>The Council’s Information Asset Register is</w:t>
      </w:r>
      <w:r w:rsidRPr="0006485A">
        <w:rPr>
          <w:rFonts w:asciiTheme="minorHAnsi" w:hAnsiTheme="minorHAnsi" w:cs="Arial"/>
          <w:color w:val="auto"/>
          <w:sz w:val="24"/>
          <w:szCs w:val="24"/>
        </w:rPr>
        <w:t xml:space="preserve"> being review</w:t>
      </w:r>
      <w:r>
        <w:rPr>
          <w:rFonts w:asciiTheme="minorHAnsi" w:hAnsiTheme="minorHAnsi" w:cs="Arial"/>
          <w:color w:val="auto"/>
          <w:sz w:val="24"/>
          <w:szCs w:val="24"/>
        </w:rPr>
        <w:t>ed and updated as part of the Council’s GDPR project plan</w:t>
      </w:r>
      <w:r w:rsidRPr="00595307">
        <w:rPr>
          <w:rFonts w:asciiTheme="minorHAnsi" w:hAnsiTheme="minorHAnsi" w:cs="Arial"/>
          <w:color w:val="auto"/>
          <w:sz w:val="24"/>
          <w:szCs w:val="24"/>
        </w:rPr>
        <w:t>, this will allow the Council the information which being processed across all departments, the lawful basis for processing and the security measures associated with the information asset.  This will allow the Council to ensure that we are compliant to the forthcoming changes t</w:t>
      </w:r>
      <w:r>
        <w:rPr>
          <w:rFonts w:asciiTheme="minorHAnsi" w:hAnsiTheme="minorHAnsi" w:cs="Arial"/>
          <w:color w:val="auto"/>
          <w:sz w:val="24"/>
          <w:szCs w:val="24"/>
        </w:rPr>
        <w:t xml:space="preserve">o data protection law. </w:t>
      </w:r>
    </w:p>
    <w:p w:rsidR="00360B9A" w:rsidRPr="004A35CC" w:rsidRDefault="00360B9A" w:rsidP="00360B9A">
      <w:pPr>
        <w:autoSpaceDE w:val="0"/>
        <w:autoSpaceDN w:val="0"/>
        <w:adjustRightInd w:val="0"/>
        <w:spacing w:line="240" w:lineRule="auto"/>
        <w:rPr>
          <w:rFonts w:asciiTheme="minorHAnsi" w:hAnsiTheme="minorHAnsi" w:cs="Arial"/>
          <w:color w:val="auto"/>
          <w:sz w:val="24"/>
          <w:szCs w:val="24"/>
        </w:rPr>
      </w:pPr>
      <w:r w:rsidRPr="004A35CC">
        <w:rPr>
          <w:rFonts w:asciiTheme="minorHAnsi" w:hAnsiTheme="minorHAnsi" w:cs="Arial"/>
          <w:color w:val="auto"/>
          <w:sz w:val="24"/>
          <w:szCs w:val="24"/>
        </w:rPr>
        <w:t xml:space="preserve">The Performance and Risk Management Framework was reviewed as part of the LGA Corporate Peer Challenge in 2015 with a recommendation 'to ensure that the framework is effectively rolled out, and adding to the 'business' of the authority'.  The subsequent internal audit report on Risk Management and Risk Recording (dated January 2017) found that Councillors and Senior Managers take the lead to ensure that approaches for addressing risk are being developed and implemented.  It also found that the Framework, as a methodology, was effective, well-structured and integrated with performance monitoring.  </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 xml:space="preserve">Building on the recommendations about the risk framework, further work has been developed in terms of the council’s risk register and business continuity and the proposed approach has now been approved by the council’s senior leadership team.  Operational risk registers will be developed at an operational level by departments, risks will be escalated on the strategic risk register as they meet the threshold for being ‘high risk’.  </w:t>
      </w:r>
    </w:p>
    <w:p w:rsidR="00360B9A" w:rsidRPr="008523F7" w:rsidRDefault="00360B9A" w:rsidP="00360B9A">
      <w:pPr>
        <w:keepNext/>
        <w:autoSpaceDE w:val="0"/>
        <w:autoSpaceDN w:val="0"/>
        <w:adjustRightInd w:val="0"/>
        <w:spacing w:line="240" w:lineRule="auto"/>
        <w:rPr>
          <w:rFonts w:asciiTheme="minorHAnsi" w:hAnsiTheme="minorHAnsi" w:cs="Arial"/>
          <w:color w:val="auto"/>
          <w:sz w:val="24"/>
          <w:szCs w:val="24"/>
          <w:u w:val="single"/>
        </w:rPr>
      </w:pPr>
      <w:r w:rsidRPr="008523F7">
        <w:rPr>
          <w:rFonts w:asciiTheme="minorHAnsi" w:hAnsiTheme="minorHAnsi" w:cs="Arial"/>
          <w:color w:val="auto"/>
          <w:sz w:val="24"/>
          <w:szCs w:val="24"/>
          <w:u w:val="single"/>
        </w:rPr>
        <w:t>Developing the capacity and capability of members and officers to be effective</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sidRPr="00A12334">
        <w:rPr>
          <w:rFonts w:asciiTheme="minorHAnsi" w:hAnsiTheme="minorHAnsi" w:cs="Arial"/>
          <w:color w:val="auto"/>
          <w:sz w:val="24"/>
          <w:szCs w:val="24"/>
        </w:rPr>
        <w:t xml:space="preserve">A full Member Induction Programme was put in place immediately post the Local Elections in May 2015.  Over the course of the year, the second phase of the Member Development Programme continued to build members’ focus on the strategic issues.  </w:t>
      </w:r>
    </w:p>
    <w:p w:rsidR="00360B9A" w:rsidRPr="00C84938" w:rsidRDefault="00360B9A" w:rsidP="00360B9A">
      <w:pPr>
        <w:autoSpaceDE w:val="0"/>
        <w:autoSpaceDN w:val="0"/>
        <w:adjustRightInd w:val="0"/>
        <w:spacing w:line="240" w:lineRule="auto"/>
        <w:rPr>
          <w:rFonts w:asciiTheme="minorHAnsi" w:eastAsia="Times New Roman" w:hAnsiTheme="minorHAnsi"/>
          <w:sz w:val="24"/>
          <w:szCs w:val="24"/>
        </w:rPr>
      </w:pPr>
      <w:r>
        <w:rPr>
          <w:rFonts w:asciiTheme="minorHAnsi" w:hAnsiTheme="minorHAnsi" w:cs="Arial"/>
          <w:color w:val="auto"/>
          <w:sz w:val="24"/>
          <w:szCs w:val="24"/>
        </w:rPr>
        <w:t>A Constitution Working Party has been established to review the preparation by the Monitoring Officer of a new Constitution for a Leader and Cabinet model of governance for implementation in May 2019.  This Working Party has commenced its work and will also work to identify member development needs to ensure an effective transition to the new governance arrangements.</w:t>
      </w:r>
    </w:p>
    <w:p w:rsidR="00360B9A" w:rsidRPr="001E491F" w:rsidRDefault="00360B9A" w:rsidP="00360B9A">
      <w:pPr>
        <w:autoSpaceDE w:val="0"/>
        <w:autoSpaceDN w:val="0"/>
        <w:adjustRightInd w:val="0"/>
        <w:spacing w:line="240" w:lineRule="auto"/>
        <w:rPr>
          <w:rFonts w:asciiTheme="minorHAnsi" w:hAnsiTheme="minorHAnsi" w:cs="Arial"/>
          <w:color w:val="auto"/>
          <w:sz w:val="24"/>
          <w:szCs w:val="24"/>
        </w:rPr>
      </w:pPr>
      <w:r w:rsidRPr="001E491F">
        <w:rPr>
          <w:rFonts w:asciiTheme="minorHAnsi" w:hAnsiTheme="minorHAnsi" w:cs="Arial"/>
          <w:color w:val="auto"/>
          <w:sz w:val="24"/>
          <w:szCs w:val="24"/>
        </w:rPr>
        <w:t>The Senior</w:t>
      </w:r>
      <w:r>
        <w:rPr>
          <w:rFonts w:asciiTheme="minorHAnsi" w:hAnsiTheme="minorHAnsi" w:cs="Arial"/>
          <w:color w:val="auto"/>
          <w:sz w:val="24"/>
          <w:szCs w:val="24"/>
        </w:rPr>
        <w:t xml:space="preserve"> Leadership Team has kept the</w:t>
      </w:r>
      <w:r w:rsidRPr="001E491F">
        <w:rPr>
          <w:rFonts w:asciiTheme="minorHAnsi" w:hAnsiTheme="minorHAnsi" w:cs="Arial"/>
          <w:color w:val="auto"/>
          <w:sz w:val="24"/>
          <w:szCs w:val="24"/>
        </w:rPr>
        <w:t xml:space="preserve"> operation </w:t>
      </w:r>
      <w:r>
        <w:rPr>
          <w:rFonts w:asciiTheme="minorHAnsi" w:hAnsiTheme="minorHAnsi" w:cs="Arial"/>
          <w:color w:val="auto"/>
          <w:sz w:val="24"/>
          <w:szCs w:val="24"/>
        </w:rPr>
        <w:t xml:space="preserve">of its meetings </w:t>
      </w:r>
      <w:r w:rsidRPr="001E491F">
        <w:rPr>
          <w:rFonts w:asciiTheme="minorHAnsi" w:hAnsiTheme="minorHAnsi" w:cs="Arial"/>
          <w:color w:val="auto"/>
          <w:sz w:val="24"/>
          <w:szCs w:val="24"/>
        </w:rPr>
        <w:t>under review over the course of the year in order to increase their capacity to focus on those issues of strategic importance.  An Organisational Development Plan</w:t>
      </w:r>
      <w:r>
        <w:rPr>
          <w:rFonts w:asciiTheme="minorHAnsi" w:hAnsiTheme="minorHAnsi" w:cs="Arial"/>
          <w:color w:val="auto"/>
          <w:sz w:val="24"/>
          <w:szCs w:val="24"/>
        </w:rPr>
        <w:t xml:space="preserve"> (including an</w:t>
      </w:r>
      <w:r w:rsidRPr="001E491F">
        <w:rPr>
          <w:rFonts w:asciiTheme="minorHAnsi" w:hAnsiTheme="minorHAnsi" w:cs="Arial"/>
          <w:color w:val="auto"/>
          <w:sz w:val="24"/>
          <w:szCs w:val="24"/>
        </w:rPr>
        <w:t xml:space="preserve"> SLT Development Plan) is in place.</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sidRPr="001E491F">
        <w:rPr>
          <w:rFonts w:asciiTheme="minorHAnsi" w:hAnsiTheme="minorHAnsi" w:cs="Arial"/>
          <w:color w:val="auto"/>
          <w:sz w:val="24"/>
          <w:szCs w:val="24"/>
        </w:rPr>
        <w:t xml:space="preserve">Workforce planning </w:t>
      </w:r>
      <w:r>
        <w:rPr>
          <w:rFonts w:asciiTheme="minorHAnsi" w:hAnsiTheme="minorHAnsi" w:cs="Arial"/>
          <w:color w:val="auto"/>
          <w:sz w:val="24"/>
          <w:szCs w:val="24"/>
        </w:rPr>
        <w:t xml:space="preserve">across the organisation is in place to assist managers </w:t>
      </w:r>
      <w:r w:rsidRPr="001E491F">
        <w:rPr>
          <w:rFonts w:asciiTheme="minorHAnsi" w:hAnsiTheme="minorHAnsi" w:cs="Arial"/>
          <w:color w:val="auto"/>
          <w:sz w:val="24"/>
          <w:szCs w:val="24"/>
        </w:rPr>
        <w:t xml:space="preserve">in identifying the learning and development requirements within their service areas.  Training for all staff on key policies, procedures and legislation is available through </w:t>
      </w:r>
      <w:proofErr w:type="spellStart"/>
      <w:r w:rsidRPr="001E491F">
        <w:rPr>
          <w:rFonts w:asciiTheme="minorHAnsi" w:hAnsiTheme="minorHAnsi" w:cs="Arial"/>
          <w:color w:val="auto"/>
          <w:sz w:val="24"/>
          <w:szCs w:val="24"/>
        </w:rPr>
        <w:t>i</w:t>
      </w:r>
      <w:proofErr w:type="spellEnd"/>
      <w:r w:rsidRPr="001E491F">
        <w:rPr>
          <w:rFonts w:asciiTheme="minorHAnsi" w:hAnsiTheme="minorHAnsi" w:cs="Arial"/>
          <w:color w:val="auto"/>
          <w:sz w:val="24"/>
          <w:szCs w:val="24"/>
        </w:rPr>
        <w:t>-Learn, the Council’s online learning portal.</w:t>
      </w:r>
    </w:p>
    <w:p w:rsidR="00360B9A" w:rsidRDefault="00360B9A" w:rsidP="00360B9A">
      <w:pPr>
        <w:pStyle w:val="Body"/>
        <w:spacing w:line="240" w:lineRule="auto"/>
        <w:rPr>
          <w:rFonts w:ascii="Calibri" w:eastAsia="Calibri" w:hAnsi="Calibri" w:cs="Calibri"/>
          <w:sz w:val="24"/>
          <w:szCs w:val="24"/>
        </w:rPr>
      </w:pPr>
      <w:r>
        <w:rPr>
          <w:rFonts w:ascii="Calibri" w:eastAsia="Calibri" w:hAnsi="Calibri" w:cs="Calibri"/>
          <w:sz w:val="24"/>
          <w:szCs w:val="24"/>
          <w:lang w:val="en-US"/>
        </w:rPr>
        <w:lastRenderedPageBreak/>
        <w:t>SLT continue to deliver improvements previously identified through the staff survey, in respect of:</w:t>
      </w:r>
    </w:p>
    <w:p w:rsidR="00360B9A" w:rsidRDefault="00360B9A" w:rsidP="00C2205A">
      <w:pPr>
        <w:pStyle w:val="Body"/>
        <w:numPr>
          <w:ilvl w:val="0"/>
          <w:numId w:val="39"/>
        </w:numPr>
        <w:spacing w:line="240" w:lineRule="auto"/>
        <w:ind w:left="714" w:hanging="357"/>
        <w:contextualSpacing/>
        <w:rPr>
          <w:rFonts w:ascii="Calibri" w:eastAsia="Calibri" w:hAnsi="Calibri" w:cs="Calibri"/>
          <w:sz w:val="24"/>
          <w:szCs w:val="24"/>
          <w:lang w:val="en-US"/>
        </w:rPr>
      </w:pPr>
      <w:r>
        <w:rPr>
          <w:rFonts w:ascii="Calibri" w:eastAsia="Calibri" w:hAnsi="Calibri" w:cs="Calibri"/>
          <w:sz w:val="24"/>
          <w:szCs w:val="24"/>
          <w:lang w:val="en-US"/>
        </w:rPr>
        <w:t xml:space="preserve">Clear and consistently applied face-to-face communication </w:t>
      </w:r>
    </w:p>
    <w:p w:rsidR="00360B9A" w:rsidRDefault="00360B9A" w:rsidP="00C2205A">
      <w:pPr>
        <w:pStyle w:val="Body"/>
        <w:numPr>
          <w:ilvl w:val="0"/>
          <w:numId w:val="39"/>
        </w:numPr>
        <w:spacing w:line="240" w:lineRule="auto"/>
        <w:ind w:left="714" w:hanging="357"/>
        <w:contextualSpacing/>
        <w:rPr>
          <w:rFonts w:ascii="Calibri" w:eastAsia="Calibri" w:hAnsi="Calibri" w:cs="Calibri"/>
          <w:sz w:val="24"/>
          <w:szCs w:val="24"/>
          <w:lang w:val="en-US"/>
        </w:rPr>
      </w:pPr>
      <w:r>
        <w:rPr>
          <w:rFonts w:ascii="Calibri" w:eastAsia="Calibri" w:hAnsi="Calibri" w:cs="Calibri"/>
          <w:sz w:val="24"/>
          <w:szCs w:val="24"/>
          <w:lang w:val="en-US"/>
        </w:rPr>
        <w:t xml:space="preserve">Staff recognition and celebration of success </w:t>
      </w:r>
    </w:p>
    <w:p w:rsidR="00360B9A" w:rsidRPr="004A35CC" w:rsidRDefault="00360B9A" w:rsidP="00C2205A">
      <w:pPr>
        <w:pStyle w:val="Body"/>
        <w:numPr>
          <w:ilvl w:val="0"/>
          <w:numId w:val="39"/>
        </w:numPr>
        <w:autoSpaceDE w:val="0"/>
        <w:autoSpaceDN w:val="0"/>
        <w:adjustRightInd w:val="0"/>
        <w:spacing w:line="240" w:lineRule="auto"/>
        <w:ind w:left="714" w:hanging="357"/>
        <w:contextualSpacing/>
        <w:rPr>
          <w:rFonts w:ascii="Calibri" w:eastAsia="Calibri" w:hAnsi="Calibri" w:cs="Calibri"/>
          <w:sz w:val="24"/>
          <w:szCs w:val="24"/>
          <w:lang w:val="en-US"/>
        </w:rPr>
      </w:pPr>
      <w:r w:rsidRPr="004A35CC">
        <w:rPr>
          <w:rFonts w:ascii="Calibri" w:eastAsia="Calibri" w:hAnsi="Calibri" w:cs="Calibri"/>
          <w:sz w:val="24"/>
          <w:szCs w:val="24"/>
        </w:rPr>
        <w:t>Everyone in the organiation understand</w:t>
      </w:r>
      <w:r>
        <w:rPr>
          <w:rFonts w:ascii="Calibri" w:eastAsia="Calibri" w:hAnsi="Calibri" w:cs="Calibri"/>
          <w:sz w:val="24"/>
          <w:szCs w:val="24"/>
        </w:rPr>
        <w:t>ing</w:t>
      </w:r>
      <w:r w:rsidRPr="004A35CC">
        <w:rPr>
          <w:rFonts w:ascii="Calibri" w:eastAsia="Calibri" w:hAnsi="Calibri" w:cs="Calibri"/>
          <w:sz w:val="24"/>
          <w:szCs w:val="24"/>
        </w:rPr>
        <w:t xml:space="preserve"> how the Corporate Plan relates to them</w:t>
      </w:r>
    </w:p>
    <w:p w:rsidR="00360B9A" w:rsidRDefault="00360B9A" w:rsidP="00C2205A">
      <w:pPr>
        <w:pStyle w:val="Body"/>
        <w:numPr>
          <w:ilvl w:val="0"/>
          <w:numId w:val="39"/>
        </w:numPr>
        <w:autoSpaceDE w:val="0"/>
        <w:autoSpaceDN w:val="0"/>
        <w:adjustRightInd w:val="0"/>
        <w:spacing w:line="240" w:lineRule="auto"/>
        <w:ind w:left="714" w:hanging="357"/>
        <w:contextualSpacing/>
        <w:rPr>
          <w:rFonts w:ascii="Calibri" w:eastAsia="Calibri" w:hAnsi="Calibri" w:cs="Calibri"/>
          <w:sz w:val="24"/>
          <w:szCs w:val="24"/>
          <w:lang w:val="en-US"/>
        </w:rPr>
      </w:pPr>
      <w:r w:rsidRPr="004A35CC">
        <w:rPr>
          <w:rFonts w:ascii="Calibri" w:eastAsia="Calibri" w:hAnsi="Calibri" w:cs="Calibri"/>
          <w:sz w:val="24"/>
          <w:szCs w:val="24"/>
          <w:lang w:val="en-US"/>
        </w:rPr>
        <w:t>Tackling bullying and harassment</w:t>
      </w:r>
    </w:p>
    <w:p w:rsidR="00360B9A" w:rsidRPr="00D95918" w:rsidRDefault="00360B9A" w:rsidP="00360B9A">
      <w:pPr>
        <w:spacing w:after="0" w:line="240" w:lineRule="auto"/>
        <w:contextualSpacing/>
        <w:rPr>
          <w:rFonts w:asciiTheme="minorHAnsi" w:eastAsia="Times New Roman" w:hAnsiTheme="minorHAnsi" w:cstheme="minorHAnsi"/>
          <w:color w:val="auto"/>
          <w:sz w:val="24"/>
          <w:szCs w:val="24"/>
          <w:lang w:eastAsia="en-GB"/>
        </w:rPr>
      </w:pPr>
      <w:r w:rsidRPr="00D95918">
        <w:rPr>
          <w:rFonts w:asciiTheme="minorHAnsi" w:eastAsia="Times New Roman" w:hAnsiTheme="minorHAnsi" w:cstheme="minorHAnsi"/>
          <w:color w:val="auto"/>
          <w:sz w:val="24"/>
          <w:szCs w:val="24"/>
          <w:lang w:eastAsia="en-GB"/>
        </w:rPr>
        <w:t>Examples of specific actions which have taken over the course of the year to deliver these improvements include:</w:t>
      </w:r>
    </w:p>
    <w:p w:rsidR="00360B9A" w:rsidRPr="00D95918" w:rsidRDefault="00360B9A" w:rsidP="00C2205A">
      <w:pPr>
        <w:pStyle w:val="ListParagraph"/>
        <w:numPr>
          <w:ilvl w:val="0"/>
          <w:numId w:val="40"/>
        </w:numPr>
        <w:spacing w:after="0" w:line="240" w:lineRule="auto"/>
        <w:rPr>
          <w:rFonts w:asciiTheme="minorHAnsi" w:eastAsia="Times New Roman" w:hAnsiTheme="minorHAnsi" w:cstheme="minorHAnsi"/>
          <w:color w:val="auto"/>
          <w:sz w:val="24"/>
          <w:szCs w:val="24"/>
          <w:lang w:eastAsia="en-GB"/>
        </w:rPr>
      </w:pPr>
      <w:r w:rsidRPr="00D95918">
        <w:rPr>
          <w:rFonts w:asciiTheme="minorHAnsi" w:eastAsia="Times New Roman" w:hAnsiTheme="minorHAnsi" w:cstheme="minorHAnsi"/>
          <w:color w:val="auto"/>
          <w:sz w:val="24"/>
          <w:szCs w:val="24"/>
          <w:lang w:eastAsia="en-GB"/>
        </w:rPr>
        <w:t xml:space="preserve">Templates to assist managers and staff with 1:1 and team meetings to provide consistency of communication.  </w:t>
      </w:r>
    </w:p>
    <w:p w:rsidR="00360B9A" w:rsidRPr="00D95918" w:rsidRDefault="00360B9A" w:rsidP="00C2205A">
      <w:pPr>
        <w:pStyle w:val="ListParagraph"/>
        <w:numPr>
          <w:ilvl w:val="0"/>
          <w:numId w:val="40"/>
        </w:numPr>
        <w:spacing w:after="0" w:line="240" w:lineRule="auto"/>
        <w:rPr>
          <w:rFonts w:asciiTheme="minorHAnsi" w:eastAsia="Times New Roman" w:hAnsiTheme="minorHAnsi" w:cstheme="minorHAnsi"/>
          <w:color w:val="auto"/>
          <w:sz w:val="24"/>
          <w:szCs w:val="24"/>
          <w:lang w:eastAsia="en-GB"/>
        </w:rPr>
      </w:pPr>
      <w:r w:rsidRPr="00D95918">
        <w:rPr>
          <w:rFonts w:asciiTheme="minorHAnsi" w:eastAsia="Times New Roman" w:hAnsiTheme="minorHAnsi" w:cstheme="minorHAnsi"/>
          <w:color w:val="auto"/>
          <w:sz w:val="24"/>
          <w:szCs w:val="24"/>
          <w:lang w:eastAsia="en-GB"/>
        </w:rPr>
        <w:t>Key messages and information communicated from the Senior Leadership Team directly to all managers at Managers Forums with an emphasis on the cascade of information to front line staff</w:t>
      </w:r>
    </w:p>
    <w:p w:rsidR="00360B9A" w:rsidRPr="00D95918" w:rsidRDefault="00360B9A" w:rsidP="00C2205A">
      <w:pPr>
        <w:pStyle w:val="ListParagraph"/>
        <w:numPr>
          <w:ilvl w:val="0"/>
          <w:numId w:val="40"/>
        </w:numPr>
        <w:spacing w:after="0" w:line="240" w:lineRule="auto"/>
        <w:rPr>
          <w:rFonts w:asciiTheme="minorHAnsi" w:eastAsia="Times New Roman" w:hAnsiTheme="minorHAnsi" w:cstheme="minorHAnsi"/>
          <w:color w:val="auto"/>
          <w:sz w:val="24"/>
          <w:szCs w:val="24"/>
          <w:lang w:eastAsia="en-GB"/>
        </w:rPr>
      </w:pPr>
      <w:r w:rsidRPr="00D95918">
        <w:rPr>
          <w:rFonts w:asciiTheme="minorHAnsi" w:eastAsia="Times New Roman" w:hAnsiTheme="minorHAnsi" w:cstheme="minorHAnsi"/>
          <w:color w:val="auto"/>
          <w:sz w:val="24"/>
          <w:szCs w:val="24"/>
          <w:lang w:eastAsia="en-GB"/>
        </w:rPr>
        <w:t xml:space="preserve">Introduction of a staff recognition scheme to reward staff who have gone the extra mile and consistently display the Council’s core values.  </w:t>
      </w:r>
    </w:p>
    <w:p w:rsidR="00360B9A" w:rsidRPr="00D95918" w:rsidRDefault="00360B9A" w:rsidP="00360B9A">
      <w:pPr>
        <w:spacing w:after="0" w:line="240" w:lineRule="auto"/>
        <w:contextualSpacing/>
        <w:rPr>
          <w:rFonts w:asciiTheme="minorHAnsi" w:eastAsia="Times New Roman" w:hAnsiTheme="minorHAnsi" w:cstheme="minorHAnsi"/>
          <w:color w:val="auto"/>
          <w:sz w:val="24"/>
          <w:szCs w:val="24"/>
          <w:lang w:eastAsia="en-GB"/>
        </w:rPr>
      </w:pPr>
    </w:p>
    <w:p w:rsidR="00360B9A" w:rsidRPr="00D95918" w:rsidRDefault="00360B9A" w:rsidP="00360B9A">
      <w:pPr>
        <w:autoSpaceDE w:val="0"/>
        <w:autoSpaceDN w:val="0"/>
        <w:adjustRightInd w:val="0"/>
        <w:spacing w:line="240" w:lineRule="auto"/>
        <w:rPr>
          <w:rFonts w:asciiTheme="minorHAnsi" w:hAnsiTheme="minorHAnsi" w:cs="Arial"/>
          <w:color w:val="auto"/>
          <w:sz w:val="24"/>
          <w:szCs w:val="24"/>
        </w:rPr>
      </w:pPr>
      <w:r w:rsidRPr="00D95918">
        <w:rPr>
          <w:rFonts w:asciiTheme="minorHAnsi" w:hAnsiTheme="minorHAnsi" w:cs="Arial"/>
          <w:color w:val="auto"/>
          <w:sz w:val="24"/>
          <w:szCs w:val="24"/>
        </w:rPr>
        <w:t xml:space="preserve">All of the above has been supported through the implementation of a new learning and development plan and the re-introduction of the Council’s Staff Wellbeing Focus Group.  New learning and development courses and programmes have been introduced for leaders, managers and staff which support aspects of the corporate plan and its delivery across the organisation, but also in direct response to some of the issues raised in the staff survey.    Courses for staff have included Personal Effectiveness, Customer Service and Assertiveness, Confidence Building and Communication.  </w:t>
      </w:r>
    </w:p>
    <w:p w:rsidR="00360B9A" w:rsidRPr="00D95918" w:rsidRDefault="00360B9A" w:rsidP="00360B9A">
      <w:pPr>
        <w:autoSpaceDE w:val="0"/>
        <w:autoSpaceDN w:val="0"/>
        <w:adjustRightInd w:val="0"/>
        <w:spacing w:line="240" w:lineRule="auto"/>
        <w:rPr>
          <w:rFonts w:asciiTheme="minorHAnsi" w:hAnsiTheme="minorHAnsi" w:cs="Arial"/>
          <w:color w:val="auto"/>
          <w:sz w:val="24"/>
          <w:szCs w:val="24"/>
        </w:rPr>
      </w:pPr>
      <w:r w:rsidRPr="00D95918">
        <w:rPr>
          <w:rFonts w:asciiTheme="minorHAnsi" w:hAnsiTheme="minorHAnsi" w:cs="Arial"/>
          <w:color w:val="auto"/>
          <w:sz w:val="24"/>
          <w:szCs w:val="24"/>
        </w:rPr>
        <w:t>A new corporate leadership programme has been introduced to encourage consistency amongst senior managers in regard to the delivery and implementation of the corporate plan and core values.  This programme has also provided development opportunities for them to get involved in leading and implementing projects, the staff survey action plan is an area that has been identified for them to continue to take forward.</w:t>
      </w:r>
    </w:p>
    <w:p w:rsidR="00360B9A" w:rsidRPr="00D95918" w:rsidRDefault="00360B9A" w:rsidP="00360B9A">
      <w:pPr>
        <w:autoSpaceDE w:val="0"/>
        <w:autoSpaceDN w:val="0"/>
        <w:adjustRightInd w:val="0"/>
        <w:spacing w:line="240" w:lineRule="auto"/>
        <w:rPr>
          <w:rFonts w:asciiTheme="minorHAnsi" w:hAnsiTheme="minorHAnsi" w:cs="Arial"/>
          <w:color w:val="auto"/>
          <w:sz w:val="24"/>
          <w:szCs w:val="24"/>
        </w:rPr>
      </w:pPr>
      <w:r w:rsidRPr="00D95918">
        <w:rPr>
          <w:rFonts w:asciiTheme="minorHAnsi" w:hAnsiTheme="minorHAnsi" w:cs="Arial"/>
          <w:color w:val="auto"/>
          <w:sz w:val="24"/>
          <w:szCs w:val="24"/>
        </w:rPr>
        <w:t>The Staff Wellbeing Group has been reintroduced to ensure that the health and wellbeing of staff continues to be a focus for the organisation.  The Group will continue to support the staff survey actions as well as introducing new wellbeing initiatives, such as the introduction of Mental Health First Aiders across the Council during 2018.</w:t>
      </w:r>
    </w:p>
    <w:p w:rsidR="00360B9A" w:rsidRPr="007D4A02" w:rsidRDefault="00360B9A" w:rsidP="00360B9A">
      <w:pPr>
        <w:keepNext/>
        <w:autoSpaceDE w:val="0"/>
        <w:autoSpaceDN w:val="0"/>
        <w:adjustRightInd w:val="0"/>
        <w:spacing w:line="240" w:lineRule="auto"/>
        <w:rPr>
          <w:rFonts w:asciiTheme="minorHAnsi" w:hAnsiTheme="minorHAnsi" w:cs="Arial"/>
          <w:color w:val="auto"/>
          <w:sz w:val="24"/>
          <w:szCs w:val="24"/>
          <w:u w:val="single"/>
        </w:rPr>
      </w:pPr>
      <w:r w:rsidRPr="007D4A02">
        <w:rPr>
          <w:rFonts w:asciiTheme="minorHAnsi" w:hAnsiTheme="minorHAnsi" w:cs="Arial"/>
          <w:color w:val="auto"/>
          <w:sz w:val="24"/>
          <w:szCs w:val="24"/>
          <w:u w:val="single"/>
        </w:rPr>
        <w:t>Engaging with local people and other stakeholders to ensure robust public accountability</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sidRPr="00EC02FF">
        <w:rPr>
          <w:rFonts w:asciiTheme="minorHAnsi" w:hAnsiTheme="minorHAnsi" w:cs="Arial"/>
          <w:color w:val="auto"/>
          <w:sz w:val="24"/>
          <w:szCs w:val="24"/>
        </w:rPr>
        <w:t xml:space="preserve">Consultation and service user engagement has continued to take place in relation to service change.  The majority of this work has been related to the proposals for budget savings.  </w:t>
      </w:r>
    </w:p>
    <w:p w:rsidR="00360B9A" w:rsidRPr="00EC02FF" w:rsidRDefault="00360B9A" w:rsidP="00360B9A">
      <w:pPr>
        <w:autoSpaceDE w:val="0"/>
        <w:autoSpaceDN w:val="0"/>
        <w:adjustRightInd w:val="0"/>
        <w:spacing w:line="240" w:lineRule="auto"/>
        <w:rPr>
          <w:rFonts w:asciiTheme="minorHAnsi" w:hAnsiTheme="minorHAnsi" w:cs="Arial"/>
          <w:color w:val="auto"/>
          <w:sz w:val="24"/>
          <w:szCs w:val="24"/>
        </w:rPr>
      </w:pPr>
      <w:r w:rsidRPr="00EC02FF">
        <w:rPr>
          <w:rFonts w:asciiTheme="minorHAnsi" w:hAnsiTheme="minorHAnsi" w:cs="Arial"/>
          <w:color w:val="auto"/>
          <w:sz w:val="24"/>
          <w:szCs w:val="24"/>
        </w:rPr>
        <w:lastRenderedPageBreak/>
        <w:t xml:space="preserve">The Action Plan associated with the Communication, Consultation and Engagement Strategy </w:t>
      </w:r>
      <w:r>
        <w:rPr>
          <w:rFonts w:asciiTheme="minorHAnsi" w:hAnsiTheme="minorHAnsi" w:cs="Arial"/>
          <w:color w:val="auto"/>
          <w:sz w:val="24"/>
          <w:szCs w:val="24"/>
        </w:rPr>
        <w:t xml:space="preserve">continues to be </w:t>
      </w:r>
      <w:r w:rsidRPr="00EC02FF">
        <w:rPr>
          <w:rFonts w:asciiTheme="minorHAnsi" w:hAnsiTheme="minorHAnsi" w:cs="Arial"/>
          <w:color w:val="auto"/>
          <w:sz w:val="24"/>
          <w:szCs w:val="24"/>
        </w:rPr>
        <w:t>implemented aimed at improving the way that the Council communicates, consults and engages with the residents of Torbay.</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sidRPr="00EC02FF">
        <w:rPr>
          <w:rFonts w:asciiTheme="minorHAnsi" w:hAnsiTheme="minorHAnsi" w:cs="Arial"/>
          <w:color w:val="auto"/>
          <w:sz w:val="24"/>
          <w:szCs w:val="24"/>
        </w:rPr>
        <w:t>The</w:t>
      </w:r>
      <w:r>
        <w:rPr>
          <w:rFonts w:asciiTheme="minorHAnsi" w:hAnsiTheme="minorHAnsi" w:cs="Arial"/>
          <w:color w:val="auto"/>
          <w:sz w:val="24"/>
          <w:szCs w:val="24"/>
        </w:rPr>
        <w:t xml:space="preserve">re continues to be </w:t>
      </w:r>
      <w:r w:rsidRPr="00EC02FF">
        <w:rPr>
          <w:rFonts w:asciiTheme="minorHAnsi" w:hAnsiTheme="minorHAnsi" w:cs="Arial"/>
          <w:color w:val="auto"/>
          <w:sz w:val="24"/>
          <w:szCs w:val="24"/>
        </w:rPr>
        <w:t>good engagement from partners</w:t>
      </w:r>
      <w:r>
        <w:rPr>
          <w:rFonts w:asciiTheme="minorHAnsi" w:hAnsiTheme="minorHAnsi" w:cs="Arial"/>
          <w:color w:val="auto"/>
          <w:sz w:val="24"/>
          <w:szCs w:val="24"/>
        </w:rPr>
        <w:t xml:space="preserve"> with the Torbay Strategic Partnership and an independent Chairman has been appointed. </w:t>
      </w:r>
      <w:r w:rsidRPr="00EC02FF">
        <w:rPr>
          <w:rFonts w:asciiTheme="minorHAnsi" w:hAnsiTheme="minorHAnsi" w:cs="Arial"/>
          <w:color w:val="auto"/>
          <w:sz w:val="24"/>
          <w:szCs w:val="24"/>
        </w:rPr>
        <w:t>.  There is a desire and intent to work together to develop plans to deliver the Partnership’s ambitions</w:t>
      </w:r>
      <w:r>
        <w:rPr>
          <w:rFonts w:asciiTheme="minorHAnsi" w:hAnsiTheme="minorHAnsi" w:cs="Arial"/>
          <w:color w:val="auto"/>
          <w:sz w:val="24"/>
          <w:szCs w:val="24"/>
        </w:rPr>
        <w:t xml:space="preserve"> as set out in “Your Torbay, Your Future”</w:t>
      </w:r>
      <w:r w:rsidRPr="00EC02FF">
        <w:rPr>
          <w:rFonts w:asciiTheme="minorHAnsi" w:hAnsiTheme="minorHAnsi" w:cs="Arial"/>
          <w:color w:val="auto"/>
          <w:sz w:val="24"/>
          <w:szCs w:val="24"/>
        </w:rPr>
        <w:t xml:space="preserve">. </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The Annual Report of the Overview and Scrutiny Board has been published and considered by the Council.</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The Statement of Accounts provides a Narrative Report which explains the Council’s achievements against the Corporate Plan over the past year alongside the Council’s financial performance.</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sidRPr="00A76781">
        <w:rPr>
          <w:rFonts w:asciiTheme="minorHAnsi" w:hAnsiTheme="minorHAnsi" w:cs="Arial"/>
          <w:color w:val="auto"/>
          <w:sz w:val="24"/>
          <w:szCs w:val="24"/>
        </w:rPr>
        <w:t xml:space="preserve">The last year has seen national tragedies in respect of the Grenfell fire, and the Manchester bombing. </w:t>
      </w:r>
      <w:r>
        <w:rPr>
          <w:rFonts w:asciiTheme="minorHAnsi" w:hAnsiTheme="minorHAnsi" w:cs="Arial"/>
          <w:color w:val="auto"/>
          <w:sz w:val="24"/>
          <w:szCs w:val="24"/>
        </w:rPr>
        <w:t xml:space="preserve"> </w:t>
      </w:r>
      <w:r w:rsidRPr="00A76781">
        <w:rPr>
          <w:rFonts w:asciiTheme="minorHAnsi" w:hAnsiTheme="minorHAnsi" w:cs="Arial"/>
          <w:color w:val="auto"/>
          <w:sz w:val="24"/>
          <w:szCs w:val="24"/>
        </w:rPr>
        <w:t>These tragedies have seen both concerns</w:t>
      </w:r>
      <w:r>
        <w:rPr>
          <w:rFonts w:asciiTheme="minorHAnsi" w:hAnsiTheme="minorHAnsi" w:cs="Arial"/>
          <w:color w:val="auto"/>
          <w:sz w:val="24"/>
          <w:szCs w:val="24"/>
        </w:rPr>
        <w:t xml:space="preserve"> and praise in respect of wider community e</w:t>
      </w:r>
      <w:r w:rsidRPr="00A76781">
        <w:rPr>
          <w:rFonts w:asciiTheme="minorHAnsi" w:hAnsiTheme="minorHAnsi" w:cs="Arial"/>
          <w:color w:val="auto"/>
          <w:sz w:val="24"/>
          <w:szCs w:val="24"/>
        </w:rPr>
        <w:t xml:space="preserve">ngagement. </w:t>
      </w:r>
      <w:r>
        <w:rPr>
          <w:rFonts w:asciiTheme="minorHAnsi" w:hAnsiTheme="minorHAnsi" w:cs="Arial"/>
          <w:color w:val="auto"/>
          <w:sz w:val="24"/>
          <w:szCs w:val="24"/>
        </w:rPr>
        <w:t xml:space="preserve"> </w:t>
      </w:r>
      <w:r w:rsidRPr="00A76781">
        <w:rPr>
          <w:rFonts w:asciiTheme="minorHAnsi" w:hAnsiTheme="minorHAnsi" w:cs="Arial"/>
          <w:color w:val="auto"/>
          <w:sz w:val="24"/>
          <w:szCs w:val="24"/>
        </w:rPr>
        <w:t>It is important that the Council takes account of the community engagement lessons from these events</w:t>
      </w:r>
      <w:r>
        <w:rPr>
          <w:rFonts w:asciiTheme="minorHAnsi" w:hAnsiTheme="minorHAnsi" w:cs="Arial"/>
          <w:color w:val="auto"/>
          <w:sz w:val="24"/>
          <w:szCs w:val="24"/>
        </w:rPr>
        <w:t>.</w:t>
      </w:r>
      <w:r w:rsidRPr="00A76781">
        <w:rPr>
          <w:rFonts w:asciiTheme="minorHAnsi" w:hAnsiTheme="minorHAnsi" w:cs="Arial"/>
          <w:color w:val="auto"/>
          <w:sz w:val="24"/>
          <w:szCs w:val="24"/>
        </w:rPr>
        <w:t xml:space="preserve"> </w:t>
      </w:r>
      <w:r>
        <w:rPr>
          <w:rFonts w:asciiTheme="minorHAnsi" w:hAnsiTheme="minorHAnsi" w:cs="Arial"/>
          <w:color w:val="auto"/>
          <w:sz w:val="24"/>
          <w:szCs w:val="24"/>
        </w:rPr>
        <w:t xml:space="preserve"> It is recognised that a Community Partnership framework, to incorporate engagement with </w:t>
      </w:r>
      <w:proofErr w:type="spellStart"/>
      <w:r>
        <w:rPr>
          <w:rFonts w:asciiTheme="minorHAnsi" w:hAnsiTheme="minorHAnsi" w:cs="Arial"/>
          <w:color w:val="auto"/>
          <w:sz w:val="24"/>
          <w:szCs w:val="24"/>
        </w:rPr>
        <w:t>Brixham</w:t>
      </w:r>
      <w:proofErr w:type="spellEnd"/>
      <w:r>
        <w:rPr>
          <w:rFonts w:asciiTheme="minorHAnsi" w:hAnsiTheme="minorHAnsi" w:cs="Arial"/>
          <w:color w:val="auto"/>
          <w:sz w:val="24"/>
          <w:szCs w:val="24"/>
        </w:rPr>
        <w:t xml:space="preserve"> Town Council, is not utilised as effectively as it could be and this will be reviewed over the coming year along with the exploration of other avenues for engaging with local people and communities.  It is hoped that a refreshed framework will be in place for May 2019 for the new Council administration to consider.</w:t>
      </w:r>
    </w:p>
    <w:p w:rsidR="00360B9A" w:rsidRPr="007D4A02" w:rsidRDefault="00360B9A" w:rsidP="00360B9A">
      <w:pPr>
        <w:keepNext/>
        <w:autoSpaceDE w:val="0"/>
        <w:autoSpaceDN w:val="0"/>
        <w:adjustRightInd w:val="0"/>
        <w:spacing w:line="240" w:lineRule="auto"/>
        <w:rPr>
          <w:rFonts w:asciiTheme="minorHAnsi" w:hAnsiTheme="minorHAnsi" w:cs="Arial"/>
          <w:color w:val="auto"/>
          <w:sz w:val="24"/>
          <w:szCs w:val="24"/>
          <w:u w:val="single"/>
        </w:rPr>
      </w:pPr>
      <w:r w:rsidRPr="007D4A02">
        <w:rPr>
          <w:rFonts w:asciiTheme="minorHAnsi" w:hAnsiTheme="minorHAnsi" w:cs="Arial"/>
          <w:color w:val="auto"/>
          <w:sz w:val="24"/>
          <w:szCs w:val="24"/>
          <w:u w:val="single"/>
        </w:rPr>
        <w:t>Securing continuous improvement in service delivery and ensuring that its agreed policies, priorities and decisions are implemented on time, in a manner consistent with the needs of its user and in the most effective way</w:t>
      </w:r>
    </w:p>
    <w:p w:rsidR="00360B9A" w:rsidRPr="005D0EDB" w:rsidRDefault="00360B9A" w:rsidP="00360B9A">
      <w:pPr>
        <w:autoSpaceDE w:val="0"/>
        <w:autoSpaceDN w:val="0"/>
        <w:adjustRightInd w:val="0"/>
        <w:spacing w:line="240" w:lineRule="auto"/>
        <w:rPr>
          <w:rFonts w:asciiTheme="minorHAnsi" w:hAnsiTheme="minorHAnsi" w:cs="Arial"/>
          <w:color w:val="auto"/>
          <w:sz w:val="24"/>
          <w:szCs w:val="24"/>
        </w:rPr>
      </w:pPr>
      <w:r w:rsidRPr="0052252B">
        <w:rPr>
          <w:rFonts w:asciiTheme="minorHAnsi" w:hAnsiTheme="minorHAnsi" w:cs="Arial"/>
          <w:color w:val="auto"/>
          <w:sz w:val="24"/>
          <w:szCs w:val="24"/>
        </w:rPr>
        <w:t xml:space="preserve">The Performance Dashboards </w:t>
      </w:r>
      <w:r>
        <w:rPr>
          <w:rFonts w:asciiTheme="minorHAnsi" w:hAnsiTheme="minorHAnsi" w:cs="Arial"/>
          <w:color w:val="auto"/>
          <w:sz w:val="24"/>
          <w:szCs w:val="24"/>
        </w:rPr>
        <w:t>(including progress against each action within the Corporate Plan Delivery Plans) have been reviewed regularly by the Senior Leadership Team, Elected Mayor and Executive, Group Leaders and the Audit Committee.  This has enabled a</w:t>
      </w:r>
      <w:r>
        <w:rPr>
          <w:rFonts w:asciiTheme="minorHAnsi" w:eastAsia="Times New Roman" w:hAnsiTheme="minorHAnsi"/>
          <w:color w:val="auto"/>
          <w:sz w:val="24"/>
          <w:szCs w:val="24"/>
        </w:rPr>
        <w:t>ny a</w:t>
      </w:r>
      <w:r w:rsidRPr="00536A44">
        <w:rPr>
          <w:rFonts w:asciiTheme="minorHAnsi" w:eastAsia="Times New Roman" w:hAnsiTheme="minorHAnsi"/>
          <w:color w:val="auto"/>
          <w:sz w:val="24"/>
          <w:szCs w:val="24"/>
        </w:rPr>
        <w:t xml:space="preserve">reas of concern </w:t>
      </w:r>
      <w:r>
        <w:rPr>
          <w:rFonts w:asciiTheme="minorHAnsi" w:eastAsia="Times New Roman" w:hAnsiTheme="minorHAnsi"/>
          <w:color w:val="auto"/>
          <w:sz w:val="24"/>
          <w:szCs w:val="24"/>
        </w:rPr>
        <w:t xml:space="preserve">to be </w:t>
      </w:r>
      <w:r w:rsidRPr="00536A44">
        <w:rPr>
          <w:rFonts w:asciiTheme="minorHAnsi" w:eastAsia="Times New Roman" w:hAnsiTheme="minorHAnsi"/>
          <w:color w:val="auto"/>
          <w:sz w:val="24"/>
          <w:szCs w:val="24"/>
        </w:rPr>
        <w:t>highlighted</w:t>
      </w:r>
      <w:r>
        <w:rPr>
          <w:rFonts w:asciiTheme="minorHAnsi" w:eastAsia="Times New Roman" w:hAnsiTheme="minorHAnsi"/>
          <w:color w:val="auto"/>
          <w:sz w:val="24"/>
          <w:szCs w:val="24"/>
        </w:rPr>
        <w:t xml:space="preserve"> and recovery plans to be prepared</w:t>
      </w:r>
      <w:r w:rsidRPr="00536A44">
        <w:rPr>
          <w:rFonts w:asciiTheme="minorHAnsi" w:eastAsia="Times New Roman" w:hAnsiTheme="minorHAnsi"/>
          <w:color w:val="auto"/>
          <w:sz w:val="24"/>
          <w:szCs w:val="24"/>
        </w:rPr>
        <w:t>, scrutinised and monitored</w:t>
      </w:r>
      <w:r>
        <w:rPr>
          <w:rFonts w:asciiTheme="minorHAnsi" w:eastAsia="Times New Roman" w:hAnsiTheme="minorHAnsi"/>
          <w:color w:val="auto"/>
          <w:sz w:val="24"/>
          <w:szCs w:val="24"/>
        </w:rPr>
        <w:t>.</w:t>
      </w:r>
      <w:r w:rsidRPr="00953F95">
        <w:rPr>
          <w:rFonts w:asciiTheme="minorHAnsi" w:hAnsiTheme="minorHAnsi" w:cs="Arial"/>
          <w:color w:val="auto"/>
          <w:sz w:val="24"/>
          <w:szCs w:val="24"/>
        </w:rPr>
        <w:t xml:space="preserve"> </w:t>
      </w:r>
      <w:r w:rsidRPr="005D0EDB">
        <w:rPr>
          <w:rFonts w:asciiTheme="minorHAnsi" w:hAnsiTheme="minorHAnsi" w:cs="Arial"/>
          <w:color w:val="auto"/>
          <w:sz w:val="24"/>
          <w:szCs w:val="24"/>
        </w:rPr>
        <w:t xml:space="preserve">The Audit Committee refer matters by exception to the Overview and Scrutiny Board where it was felt that further investigation </w:t>
      </w:r>
      <w:r>
        <w:rPr>
          <w:rFonts w:asciiTheme="minorHAnsi" w:hAnsiTheme="minorHAnsi" w:cs="Arial"/>
          <w:color w:val="auto"/>
          <w:sz w:val="24"/>
          <w:szCs w:val="24"/>
        </w:rPr>
        <w:t>i</w:t>
      </w:r>
      <w:r w:rsidRPr="005D0EDB">
        <w:rPr>
          <w:rFonts w:asciiTheme="minorHAnsi" w:hAnsiTheme="minorHAnsi" w:cs="Arial"/>
          <w:color w:val="auto"/>
          <w:sz w:val="24"/>
          <w:szCs w:val="24"/>
        </w:rPr>
        <w:t>s required.</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The approach to managing and reporting risk has been and reviewed and updated to ensure that operational risks will be recorded centrally and issues can be escalated to SLT, these will then be considered as part the strategic risk register to determine what actions need to be put in place.</w:t>
      </w:r>
    </w:p>
    <w:p w:rsidR="00360B9A" w:rsidRPr="005A1E13" w:rsidRDefault="00360B9A" w:rsidP="00360B9A">
      <w:pPr>
        <w:autoSpaceDE w:val="0"/>
        <w:autoSpaceDN w:val="0"/>
        <w:adjustRightInd w:val="0"/>
        <w:spacing w:line="240" w:lineRule="auto"/>
        <w:rPr>
          <w:rFonts w:asciiTheme="minorHAnsi" w:hAnsiTheme="minorHAnsi" w:cs="Arial"/>
          <w:color w:val="auto"/>
          <w:sz w:val="24"/>
          <w:szCs w:val="24"/>
        </w:rPr>
      </w:pPr>
      <w:r w:rsidRPr="005A1E13">
        <w:rPr>
          <w:rFonts w:asciiTheme="minorHAnsi" w:hAnsiTheme="minorHAnsi" w:cs="Arial"/>
          <w:color w:val="auto"/>
          <w:sz w:val="24"/>
          <w:szCs w:val="24"/>
        </w:rPr>
        <w:t>A tracking system</w:t>
      </w:r>
      <w:r>
        <w:rPr>
          <w:rFonts w:asciiTheme="minorHAnsi" w:hAnsiTheme="minorHAnsi" w:cs="Arial"/>
          <w:color w:val="auto"/>
          <w:sz w:val="24"/>
          <w:szCs w:val="24"/>
        </w:rPr>
        <w:t xml:space="preserve"> has been put in place</w:t>
      </w:r>
      <w:r w:rsidRPr="005A1E13">
        <w:rPr>
          <w:rFonts w:asciiTheme="minorHAnsi" w:hAnsiTheme="minorHAnsi" w:cs="Arial"/>
          <w:color w:val="auto"/>
          <w:sz w:val="24"/>
          <w:szCs w:val="24"/>
        </w:rPr>
        <w:t xml:space="preserve"> to ensure that actions to address areas identified by Internal Audit as requiring improvement </w:t>
      </w:r>
      <w:r>
        <w:rPr>
          <w:rFonts w:asciiTheme="minorHAnsi" w:hAnsiTheme="minorHAnsi" w:cs="Arial"/>
          <w:color w:val="auto"/>
          <w:sz w:val="24"/>
          <w:szCs w:val="24"/>
        </w:rPr>
        <w:t xml:space="preserve">are monitored on a monthly basis by the Joint Operations Management </w:t>
      </w:r>
      <w:r w:rsidRPr="005A1E13">
        <w:rPr>
          <w:rFonts w:asciiTheme="minorHAnsi" w:hAnsiTheme="minorHAnsi" w:cs="Arial"/>
          <w:color w:val="auto"/>
          <w:sz w:val="24"/>
          <w:szCs w:val="24"/>
        </w:rPr>
        <w:t>Team.</w:t>
      </w:r>
    </w:p>
    <w:p w:rsidR="00360B9A" w:rsidRDefault="00360B9A" w:rsidP="00360B9A">
      <w:pPr>
        <w:pStyle w:val="Body"/>
        <w:spacing w:line="240" w:lineRule="auto"/>
        <w:rPr>
          <w:rFonts w:ascii="Calibri" w:eastAsia="Calibri" w:hAnsi="Calibri" w:cs="Calibri"/>
          <w:sz w:val="24"/>
          <w:szCs w:val="24"/>
        </w:rPr>
      </w:pPr>
      <w:r w:rsidRPr="001E491F">
        <w:rPr>
          <w:rFonts w:asciiTheme="minorHAnsi" w:hAnsiTheme="minorHAnsi" w:cs="Arial"/>
          <w:color w:val="auto"/>
          <w:sz w:val="24"/>
          <w:szCs w:val="24"/>
        </w:rPr>
        <w:lastRenderedPageBreak/>
        <w:t>The Children’s Improvement Board has continued to meet to ensure that the action plan in response to the January 2016</w:t>
      </w:r>
      <w:r>
        <w:rPr>
          <w:rFonts w:asciiTheme="minorHAnsi" w:hAnsiTheme="minorHAnsi" w:cs="Arial"/>
          <w:color w:val="auto"/>
          <w:sz w:val="24"/>
          <w:szCs w:val="24"/>
        </w:rPr>
        <w:t xml:space="preserve"> Ofsted Inspection of services is implemented.  In February 2018, Ofsted undertook their fifth  monitoring visit.  The visit identified that the Local Authority’s progress in improving services for its children and young people remained too slow and that the quality of service that some children looked after receive has declined since the Local Authority was last inspected. </w:t>
      </w:r>
      <w:r>
        <w:rPr>
          <w:rFonts w:ascii="Calibri" w:eastAsia="Calibri" w:hAnsi="Calibri" w:cs="Calibri"/>
          <w:sz w:val="24"/>
          <w:szCs w:val="24"/>
          <w:lang w:val="en-US"/>
        </w:rPr>
        <w:t xml:space="preserve">The findings of the monitoring visit have been carefully </w:t>
      </w:r>
      <w:proofErr w:type="spellStart"/>
      <w:r>
        <w:rPr>
          <w:rFonts w:ascii="Calibri" w:eastAsia="Calibri" w:hAnsi="Calibri" w:cs="Calibri"/>
          <w:sz w:val="24"/>
          <w:szCs w:val="24"/>
          <w:lang w:val="en-US"/>
        </w:rPr>
        <w:t>scrutinised</w:t>
      </w:r>
      <w:proofErr w:type="spellEnd"/>
      <w:r>
        <w:rPr>
          <w:rFonts w:ascii="Calibri" w:eastAsia="Calibri" w:hAnsi="Calibri" w:cs="Calibri"/>
          <w:sz w:val="24"/>
          <w:szCs w:val="24"/>
          <w:lang w:val="en-US"/>
        </w:rPr>
        <w:t xml:space="preserve"> and the findings and recommendations in this latest letter have been added to the Improvement Plan, with changes having been implemented within our senior and middle management to ensure the delivery of services to children and young people are the best that we can provide.</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 xml:space="preserve">Following the recommendation of the Government-appointed Children’s Commissioner, Torbay Council entered into a contractual partnership with Plymouth City Council on 1 April 2018 for the running of Torbay’s Children’s Services.  A Joint Director of Children’s Services has been appointed who will report to both Councils’ Chief Executives and politicians under a set of managerial and political arrangements which remain unchanged. </w:t>
      </w:r>
    </w:p>
    <w:p w:rsidR="00360B9A" w:rsidRPr="00BA7076"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As reported in the 2016/2017 Annual Governance Statement, i</w:t>
      </w:r>
      <w:r w:rsidRPr="00BA7076">
        <w:rPr>
          <w:rFonts w:asciiTheme="minorHAnsi" w:hAnsiTheme="minorHAnsi" w:cs="Arial"/>
          <w:color w:val="auto"/>
          <w:sz w:val="24"/>
          <w:szCs w:val="24"/>
        </w:rPr>
        <w:t>n early 2017</w:t>
      </w:r>
      <w:r>
        <w:rPr>
          <w:rFonts w:asciiTheme="minorHAnsi" w:hAnsiTheme="minorHAnsi" w:cs="Arial"/>
          <w:color w:val="auto"/>
          <w:sz w:val="24"/>
          <w:szCs w:val="24"/>
        </w:rPr>
        <w:t xml:space="preserve">, the </w:t>
      </w:r>
      <w:r w:rsidRPr="00BA7076">
        <w:rPr>
          <w:rFonts w:asciiTheme="minorHAnsi" w:hAnsiTheme="minorHAnsi" w:cs="Arial"/>
          <w:color w:val="auto"/>
          <w:sz w:val="24"/>
          <w:szCs w:val="24"/>
        </w:rPr>
        <w:t>internal audit undertaken of Emergency Pl</w:t>
      </w:r>
      <w:r>
        <w:rPr>
          <w:rFonts w:asciiTheme="minorHAnsi" w:hAnsiTheme="minorHAnsi" w:cs="Arial"/>
          <w:color w:val="auto"/>
          <w:sz w:val="24"/>
          <w:szCs w:val="24"/>
        </w:rPr>
        <w:t xml:space="preserve">anning and Business Continuity </w:t>
      </w:r>
      <w:r w:rsidRPr="00BA7076">
        <w:rPr>
          <w:rFonts w:asciiTheme="minorHAnsi" w:hAnsiTheme="minorHAnsi" w:cs="Arial"/>
          <w:color w:val="auto"/>
          <w:sz w:val="24"/>
          <w:szCs w:val="24"/>
        </w:rPr>
        <w:t>identified a number of issues that needed addressing</w:t>
      </w:r>
      <w:r>
        <w:rPr>
          <w:rFonts w:asciiTheme="minorHAnsi" w:hAnsiTheme="minorHAnsi" w:cs="Arial"/>
          <w:color w:val="auto"/>
          <w:sz w:val="24"/>
          <w:szCs w:val="24"/>
        </w:rPr>
        <w:t xml:space="preserve">.  It </w:t>
      </w:r>
      <w:r w:rsidRPr="00BA7076">
        <w:rPr>
          <w:rFonts w:asciiTheme="minorHAnsi" w:hAnsiTheme="minorHAnsi" w:cs="Arial"/>
          <w:color w:val="auto"/>
          <w:sz w:val="24"/>
          <w:szCs w:val="24"/>
        </w:rPr>
        <w:t xml:space="preserve">identified a </w:t>
      </w:r>
      <w:r>
        <w:rPr>
          <w:rFonts w:asciiTheme="minorHAnsi" w:hAnsiTheme="minorHAnsi" w:cs="Arial"/>
          <w:color w:val="auto"/>
          <w:sz w:val="24"/>
          <w:szCs w:val="24"/>
        </w:rPr>
        <w:t>“</w:t>
      </w:r>
      <w:r w:rsidRPr="00BA7076">
        <w:rPr>
          <w:rFonts w:asciiTheme="minorHAnsi" w:hAnsiTheme="minorHAnsi" w:cs="Arial"/>
          <w:color w:val="auto"/>
          <w:sz w:val="24"/>
          <w:szCs w:val="24"/>
        </w:rPr>
        <w:t>Fundamental Weakness</w:t>
      </w:r>
      <w:r>
        <w:rPr>
          <w:rFonts w:asciiTheme="minorHAnsi" w:hAnsiTheme="minorHAnsi" w:cs="Arial"/>
          <w:color w:val="auto"/>
          <w:sz w:val="24"/>
          <w:szCs w:val="24"/>
        </w:rPr>
        <w:t>”</w:t>
      </w:r>
      <w:r w:rsidRPr="00BA7076">
        <w:rPr>
          <w:rFonts w:asciiTheme="minorHAnsi" w:hAnsiTheme="minorHAnsi" w:cs="Arial"/>
          <w:color w:val="auto"/>
          <w:sz w:val="24"/>
          <w:szCs w:val="24"/>
        </w:rPr>
        <w:t xml:space="preserve"> in business continuity planning. </w:t>
      </w:r>
      <w:r>
        <w:rPr>
          <w:rFonts w:asciiTheme="minorHAnsi" w:hAnsiTheme="minorHAnsi" w:cs="Arial"/>
          <w:color w:val="auto"/>
          <w:sz w:val="24"/>
          <w:szCs w:val="24"/>
        </w:rPr>
        <w:t xml:space="preserve"> </w:t>
      </w:r>
      <w:r w:rsidRPr="00BA7076">
        <w:rPr>
          <w:rFonts w:asciiTheme="minorHAnsi" w:hAnsiTheme="minorHAnsi" w:cs="Arial"/>
          <w:color w:val="auto"/>
          <w:sz w:val="24"/>
          <w:szCs w:val="24"/>
        </w:rPr>
        <w:t xml:space="preserve">Work on </w:t>
      </w:r>
      <w:r>
        <w:rPr>
          <w:rFonts w:asciiTheme="minorHAnsi" w:hAnsiTheme="minorHAnsi" w:cs="Arial"/>
          <w:color w:val="auto"/>
          <w:sz w:val="24"/>
          <w:szCs w:val="24"/>
        </w:rPr>
        <w:t>addressing the recommendations has been prioritised and t</w:t>
      </w:r>
      <w:r w:rsidRPr="00BA7076">
        <w:rPr>
          <w:rFonts w:asciiTheme="minorHAnsi" w:hAnsiTheme="minorHAnsi" w:cs="Arial"/>
          <w:color w:val="auto"/>
          <w:sz w:val="24"/>
          <w:szCs w:val="24"/>
        </w:rPr>
        <w:t>he Sen</w:t>
      </w:r>
      <w:r>
        <w:rPr>
          <w:rFonts w:asciiTheme="minorHAnsi" w:hAnsiTheme="minorHAnsi" w:cs="Arial"/>
          <w:color w:val="auto"/>
          <w:sz w:val="24"/>
          <w:szCs w:val="24"/>
        </w:rPr>
        <w:t xml:space="preserve">ior Emergency Planning Officer </w:t>
      </w:r>
      <w:r w:rsidRPr="00BA7076">
        <w:rPr>
          <w:rFonts w:asciiTheme="minorHAnsi" w:hAnsiTheme="minorHAnsi" w:cs="Arial"/>
          <w:color w:val="auto"/>
          <w:sz w:val="24"/>
          <w:szCs w:val="24"/>
        </w:rPr>
        <w:t xml:space="preserve">has been working with </w:t>
      </w:r>
      <w:r>
        <w:rPr>
          <w:rFonts w:asciiTheme="minorHAnsi" w:hAnsiTheme="minorHAnsi" w:cs="Arial"/>
          <w:color w:val="auto"/>
          <w:sz w:val="24"/>
          <w:szCs w:val="24"/>
        </w:rPr>
        <w:t xml:space="preserve">representatives from the Senior Leadership Team, </w:t>
      </w:r>
      <w:r w:rsidRPr="00BA7076">
        <w:rPr>
          <w:rFonts w:asciiTheme="minorHAnsi" w:hAnsiTheme="minorHAnsi" w:cs="Arial"/>
          <w:color w:val="auto"/>
          <w:sz w:val="24"/>
          <w:szCs w:val="24"/>
        </w:rPr>
        <w:t>Risk Man</w:t>
      </w:r>
      <w:r>
        <w:rPr>
          <w:rFonts w:asciiTheme="minorHAnsi" w:hAnsiTheme="minorHAnsi" w:cs="Arial"/>
          <w:color w:val="auto"/>
          <w:sz w:val="24"/>
          <w:szCs w:val="24"/>
        </w:rPr>
        <w:t>agement and IT to agree an over</w:t>
      </w:r>
      <w:r w:rsidRPr="00BA7076">
        <w:rPr>
          <w:rFonts w:asciiTheme="minorHAnsi" w:hAnsiTheme="minorHAnsi" w:cs="Arial"/>
          <w:color w:val="auto"/>
          <w:sz w:val="24"/>
          <w:szCs w:val="24"/>
        </w:rPr>
        <w:t xml:space="preserve">arching approach to risk. </w:t>
      </w:r>
      <w:r>
        <w:rPr>
          <w:rFonts w:asciiTheme="minorHAnsi" w:hAnsiTheme="minorHAnsi" w:cs="Arial"/>
          <w:color w:val="auto"/>
          <w:sz w:val="24"/>
          <w:szCs w:val="24"/>
        </w:rPr>
        <w:t xml:space="preserve"> </w:t>
      </w:r>
      <w:r w:rsidRPr="00BA7076">
        <w:rPr>
          <w:rFonts w:asciiTheme="minorHAnsi" w:hAnsiTheme="minorHAnsi" w:cs="Arial"/>
          <w:color w:val="auto"/>
          <w:sz w:val="24"/>
          <w:szCs w:val="24"/>
        </w:rPr>
        <w:t>In February 2018 a new Corporate Business Continuity Strategy</w:t>
      </w:r>
      <w:r>
        <w:rPr>
          <w:rFonts w:asciiTheme="minorHAnsi" w:hAnsiTheme="minorHAnsi" w:cs="Arial"/>
          <w:color w:val="auto"/>
          <w:sz w:val="24"/>
          <w:szCs w:val="24"/>
        </w:rPr>
        <w:t xml:space="preserve"> was agreed and this is now being implemented.</w:t>
      </w:r>
    </w:p>
    <w:p w:rsidR="00360B9A" w:rsidRPr="00DF4EBB" w:rsidRDefault="00360B9A" w:rsidP="00360B9A">
      <w:pPr>
        <w:autoSpaceDE w:val="0"/>
        <w:autoSpaceDN w:val="0"/>
        <w:adjustRightInd w:val="0"/>
        <w:spacing w:line="240" w:lineRule="auto"/>
        <w:rPr>
          <w:rFonts w:asciiTheme="minorHAnsi" w:hAnsiTheme="minorHAnsi" w:cs="Arial"/>
          <w:color w:val="auto"/>
          <w:sz w:val="24"/>
          <w:szCs w:val="24"/>
        </w:rPr>
      </w:pPr>
      <w:r w:rsidRPr="00C763A8">
        <w:rPr>
          <w:rFonts w:asciiTheme="minorHAnsi" w:hAnsiTheme="minorHAnsi" w:cs="Arial"/>
          <w:color w:val="auto"/>
          <w:sz w:val="24"/>
          <w:szCs w:val="24"/>
        </w:rPr>
        <w:t xml:space="preserve">The Council’s financial management arrangements conform </w:t>
      </w:r>
      <w:proofErr w:type="gramStart"/>
      <w:r w:rsidRPr="00C763A8">
        <w:rPr>
          <w:rFonts w:asciiTheme="minorHAnsi" w:hAnsiTheme="minorHAnsi" w:cs="Arial"/>
          <w:color w:val="auto"/>
          <w:sz w:val="24"/>
          <w:szCs w:val="24"/>
        </w:rPr>
        <w:t>with</w:t>
      </w:r>
      <w:proofErr w:type="gramEnd"/>
      <w:r w:rsidRPr="00C763A8">
        <w:rPr>
          <w:rFonts w:asciiTheme="minorHAnsi" w:hAnsiTheme="minorHAnsi" w:cs="Arial"/>
          <w:color w:val="auto"/>
          <w:sz w:val="24"/>
          <w:szCs w:val="24"/>
        </w:rPr>
        <w:t xml:space="preserve"> the governance requirements of the CIPFA Statement on the Role of the Chief Financial Officer in Local Government (2010).</w:t>
      </w:r>
    </w:p>
    <w:p w:rsidR="00360B9A" w:rsidRPr="00B540A2" w:rsidRDefault="00360B9A" w:rsidP="00360B9A">
      <w:pPr>
        <w:pStyle w:val="Heading5"/>
        <w:rPr>
          <w:rFonts w:asciiTheme="minorHAnsi" w:hAnsiTheme="minorHAnsi"/>
          <w:b/>
          <w:color w:val="auto"/>
          <w:sz w:val="24"/>
          <w:szCs w:val="24"/>
        </w:rPr>
      </w:pPr>
      <w:r>
        <w:rPr>
          <w:rFonts w:asciiTheme="minorHAnsi" w:hAnsiTheme="minorHAnsi"/>
          <w:b/>
          <w:color w:val="auto"/>
          <w:sz w:val="24"/>
          <w:szCs w:val="24"/>
        </w:rPr>
        <w:t>Significant governance i</w:t>
      </w:r>
      <w:r w:rsidRPr="00B540A2">
        <w:rPr>
          <w:rFonts w:asciiTheme="minorHAnsi" w:hAnsiTheme="minorHAnsi"/>
          <w:b/>
          <w:color w:val="auto"/>
          <w:sz w:val="24"/>
          <w:szCs w:val="24"/>
        </w:rPr>
        <w:t>ssues</w:t>
      </w:r>
    </w:p>
    <w:p w:rsidR="00360B9A" w:rsidRDefault="00360B9A" w:rsidP="00360B9A">
      <w:pPr>
        <w:pStyle w:val="Heading5"/>
        <w:rPr>
          <w:rFonts w:asciiTheme="minorHAnsi" w:hAnsiTheme="minorHAnsi"/>
          <w:b/>
          <w:sz w:val="24"/>
          <w:szCs w:val="24"/>
          <w:highlight w:val="yellow"/>
        </w:rPr>
      </w:pPr>
    </w:p>
    <w:p w:rsidR="00360B9A"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 xml:space="preserve">Following </w:t>
      </w:r>
      <w:r w:rsidRPr="00762BCE">
        <w:rPr>
          <w:rFonts w:asciiTheme="minorHAnsi" w:hAnsiTheme="minorHAnsi" w:cs="Arial"/>
          <w:color w:val="auto"/>
          <w:sz w:val="24"/>
          <w:szCs w:val="24"/>
        </w:rPr>
        <w:t>the Ofsted Inspection of services for children in need of help and protection, children looked after and care leave</w:t>
      </w:r>
      <w:r>
        <w:rPr>
          <w:rFonts w:asciiTheme="minorHAnsi" w:hAnsiTheme="minorHAnsi" w:cs="Arial"/>
          <w:color w:val="auto"/>
          <w:sz w:val="24"/>
          <w:szCs w:val="24"/>
        </w:rPr>
        <w:t>r</w:t>
      </w:r>
      <w:r w:rsidRPr="00762BCE">
        <w:rPr>
          <w:rFonts w:asciiTheme="minorHAnsi" w:hAnsiTheme="minorHAnsi" w:cs="Arial"/>
          <w:color w:val="auto"/>
          <w:sz w:val="24"/>
          <w:szCs w:val="24"/>
        </w:rPr>
        <w:t>s (January 2016)</w:t>
      </w:r>
      <w:r>
        <w:rPr>
          <w:rFonts w:asciiTheme="minorHAnsi" w:hAnsiTheme="minorHAnsi" w:cs="Arial"/>
          <w:color w:val="auto"/>
          <w:sz w:val="24"/>
          <w:szCs w:val="24"/>
        </w:rPr>
        <w:t xml:space="preserve"> which judged services to be inadequate, the Council was subject to a Statutory Direction in May 2016 with a revised Direction issued in March 2018.  The Direction remains in place and the Chief Executive of Hampshire County Council continues as Commissioner for Children’s Services in Torbay.  An Improvement Board chaired by the Commissioner with representatives from the Council and local partners has met regularly throughout the year to oversee the improvement process.  The Commissioner also reports on a quarterly basis to the Secretary of State on progress.  The direction will remain in place until such time as it is revoked by the Secretary of State.  The final Ofsted monitoring visit has taken place (with the observations detailed above) and Children’s Services will be subject to re-inspection in the coming months.</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sidRPr="00BA7076">
        <w:rPr>
          <w:rFonts w:asciiTheme="minorHAnsi" w:hAnsiTheme="minorHAnsi" w:cs="Arial"/>
          <w:color w:val="auto"/>
          <w:sz w:val="24"/>
          <w:szCs w:val="24"/>
        </w:rPr>
        <w:lastRenderedPageBreak/>
        <w:t xml:space="preserve">The internal audit report on Food Safety, Safety and Licensing (dated March 2018) identified that improvements were required as there were a number of instances where controls and procedures did not adequately mitigate the risks identified. Existing procedures needed to be improved in order to ensure that they are fully reliable.  The overall opinion of “Improvements </w:t>
      </w:r>
      <w:proofErr w:type="gramStart"/>
      <w:r w:rsidRPr="00BA7076">
        <w:rPr>
          <w:rFonts w:asciiTheme="minorHAnsi" w:hAnsiTheme="minorHAnsi" w:cs="Arial"/>
          <w:color w:val="auto"/>
          <w:sz w:val="24"/>
          <w:szCs w:val="24"/>
        </w:rPr>
        <w:t>Required</w:t>
      </w:r>
      <w:proofErr w:type="gramEnd"/>
      <w:r w:rsidRPr="00BA7076">
        <w:rPr>
          <w:rFonts w:asciiTheme="minorHAnsi" w:hAnsiTheme="minorHAnsi" w:cs="Arial"/>
          <w:color w:val="auto"/>
          <w:sz w:val="24"/>
          <w:szCs w:val="24"/>
        </w:rPr>
        <w:t>” was given following improvements made after the conclusion of the audit.  In particular, the sufficiency of resource to deliver statutory functions to minimise the risk to public safety and the associated risk of potential legal challenge and reputational risk to the Council was highlighted.  A management response to the report is currently being prepared which will be implemented over the course of 2018/2019.</w:t>
      </w:r>
    </w:p>
    <w:p w:rsidR="00360B9A" w:rsidRPr="005A1E13" w:rsidRDefault="00360B9A" w:rsidP="00360B9A">
      <w:pPr>
        <w:autoSpaceDE w:val="0"/>
        <w:autoSpaceDN w:val="0"/>
        <w:adjustRightInd w:val="0"/>
        <w:spacing w:line="240" w:lineRule="auto"/>
        <w:rPr>
          <w:rFonts w:asciiTheme="minorHAnsi" w:hAnsiTheme="minorHAnsi" w:cs="Arial"/>
          <w:color w:val="auto"/>
          <w:sz w:val="24"/>
          <w:szCs w:val="24"/>
        </w:rPr>
      </w:pPr>
      <w:r w:rsidRPr="005A1E13">
        <w:rPr>
          <w:rFonts w:asciiTheme="minorHAnsi" w:hAnsiTheme="minorHAnsi" w:cs="Arial"/>
          <w:color w:val="auto"/>
          <w:sz w:val="24"/>
          <w:szCs w:val="24"/>
        </w:rPr>
        <w:t xml:space="preserve">In addition to the above, there were a number of reviews undertaken by internal audit during the course of the year which found that improvements were required.  In </w:t>
      </w:r>
      <w:r>
        <w:rPr>
          <w:rFonts w:asciiTheme="minorHAnsi" w:hAnsiTheme="minorHAnsi" w:cs="Arial"/>
          <w:color w:val="auto"/>
          <w:sz w:val="24"/>
          <w:szCs w:val="24"/>
        </w:rPr>
        <w:t xml:space="preserve">most </w:t>
      </w:r>
      <w:r w:rsidRPr="005A1E13">
        <w:rPr>
          <w:rFonts w:asciiTheme="minorHAnsi" w:hAnsiTheme="minorHAnsi" w:cs="Arial"/>
          <w:color w:val="auto"/>
          <w:sz w:val="24"/>
          <w:szCs w:val="24"/>
        </w:rPr>
        <w:t xml:space="preserve">cases management actions plans have been put in place and these will be monitored on a </w:t>
      </w:r>
      <w:r>
        <w:rPr>
          <w:rFonts w:asciiTheme="minorHAnsi" w:hAnsiTheme="minorHAnsi" w:cs="Arial"/>
          <w:color w:val="auto"/>
          <w:sz w:val="24"/>
          <w:szCs w:val="24"/>
        </w:rPr>
        <w:t xml:space="preserve">monthly </w:t>
      </w:r>
      <w:r w:rsidRPr="005A1E13">
        <w:rPr>
          <w:rFonts w:asciiTheme="minorHAnsi" w:hAnsiTheme="minorHAnsi" w:cs="Arial"/>
          <w:color w:val="auto"/>
          <w:sz w:val="24"/>
          <w:szCs w:val="24"/>
        </w:rPr>
        <w:t xml:space="preserve">basis </w:t>
      </w:r>
      <w:r>
        <w:rPr>
          <w:rFonts w:asciiTheme="minorHAnsi" w:hAnsiTheme="minorHAnsi" w:cs="Arial"/>
          <w:color w:val="auto"/>
          <w:sz w:val="24"/>
          <w:szCs w:val="24"/>
        </w:rPr>
        <w:t>via the Joint Operations Management Team</w:t>
      </w:r>
      <w:r w:rsidRPr="005A1E13">
        <w:rPr>
          <w:rFonts w:asciiTheme="minorHAnsi" w:hAnsiTheme="minorHAnsi" w:cs="Arial"/>
          <w:color w:val="auto"/>
          <w:sz w:val="24"/>
          <w:szCs w:val="24"/>
        </w:rPr>
        <w:t xml:space="preserve">.  In those cases were management action plans have yet to be agreed, the Chief Executive will ensure that plans are developed as a matter of urgency.  </w:t>
      </w:r>
    </w:p>
    <w:p w:rsidR="00360B9A" w:rsidRPr="00A6745E" w:rsidRDefault="00360B9A" w:rsidP="00360B9A">
      <w:pPr>
        <w:pStyle w:val="Heading5"/>
        <w:rPr>
          <w:rFonts w:asciiTheme="minorHAnsi" w:hAnsiTheme="minorHAnsi"/>
          <w:b/>
          <w:color w:val="auto"/>
          <w:sz w:val="24"/>
          <w:szCs w:val="24"/>
        </w:rPr>
      </w:pPr>
      <w:r w:rsidRPr="00A6745E">
        <w:rPr>
          <w:rFonts w:asciiTheme="minorHAnsi" w:hAnsiTheme="minorHAnsi"/>
          <w:b/>
          <w:color w:val="auto"/>
          <w:sz w:val="24"/>
          <w:szCs w:val="24"/>
        </w:rPr>
        <w:t>Conclusion</w:t>
      </w:r>
    </w:p>
    <w:p w:rsidR="00360B9A"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Overall, during the course of the year we have ensured that we are delivering against our agreed action plans in order to maintain our robust corporate governance arrangements.  Our decision making processes are understood by members and officers and the mechanisms which support those processes operate effectively.</w:t>
      </w:r>
    </w:p>
    <w:p w:rsidR="00360B9A" w:rsidRPr="00762BCE" w:rsidRDefault="00360B9A" w:rsidP="00360B9A">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We have recognised where there are areas for further improvement as outlined within this Statement.  W</w:t>
      </w:r>
      <w:r w:rsidRPr="005A1E13">
        <w:rPr>
          <w:rFonts w:asciiTheme="minorHAnsi" w:hAnsiTheme="minorHAnsi" w:cs="Arial"/>
          <w:color w:val="auto"/>
          <w:sz w:val="24"/>
          <w:szCs w:val="24"/>
        </w:rPr>
        <w:t>e propose</w:t>
      </w:r>
      <w:r>
        <w:rPr>
          <w:rFonts w:asciiTheme="minorHAnsi" w:hAnsiTheme="minorHAnsi" w:cs="Arial"/>
          <w:color w:val="auto"/>
          <w:sz w:val="24"/>
          <w:szCs w:val="24"/>
        </w:rPr>
        <w:t>,</w:t>
      </w:r>
      <w:r w:rsidRPr="005A1E13">
        <w:rPr>
          <w:rFonts w:asciiTheme="minorHAnsi" w:hAnsiTheme="minorHAnsi" w:cs="Arial"/>
          <w:color w:val="auto"/>
          <w:sz w:val="24"/>
          <w:szCs w:val="24"/>
        </w:rPr>
        <w:t xml:space="preserve"> over the coming year</w:t>
      </w:r>
      <w:r>
        <w:rPr>
          <w:rFonts w:asciiTheme="minorHAnsi" w:hAnsiTheme="minorHAnsi" w:cs="Arial"/>
          <w:color w:val="auto"/>
          <w:sz w:val="24"/>
          <w:szCs w:val="24"/>
        </w:rPr>
        <w:t>,</w:t>
      </w:r>
      <w:r w:rsidRPr="005A1E13">
        <w:rPr>
          <w:rFonts w:asciiTheme="minorHAnsi" w:hAnsiTheme="minorHAnsi" w:cs="Arial"/>
          <w:color w:val="auto"/>
          <w:sz w:val="24"/>
          <w:szCs w:val="24"/>
        </w:rPr>
        <w:t xml:space="preserve"> to take the steps detailed in the attached action plan to address the</w:t>
      </w:r>
      <w:r>
        <w:rPr>
          <w:rFonts w:asciiTheme="minorHAnsi" w:hAnsiTheme="minorHAnsi" w:cs="Arial"/>
          <w:color w:val="auto"/>
          <w:sz w:val="24"/>
          <w:szCs w:val="24"/>
        </w:rPr>
        <w:t xml:space="preserve">se areas </w:t>
      </w:r>
      <w:r w:rsidRPr="005A1E13">
        <w:rPr>
          <w:rFonts w:asciiTheme="minorHAnsi" w:hAnsiTheme="minorHAnsi" w:cs="Arial"/>
          <w:color w:val="auto"/>
          <w:sz w:val="24"/>
          <w:szCs w:val="24"/>
        </w:rPr>
        <w:t>to further enhance our governance arrangements.  We are satisfied that these steps will address the issues identified and we will monitor their implementation and operation as part of our next annual review.</w:t>
      </w:r>
      <w:r w:rsidRPr="00762BCE">
        <w:rPr>
          <w:rFonts w:asciiTheme="minorHAnsi" w:hAnsiTheme="minorHAnsi" w:cs="Arial"/>
          <w:color w:val="auto"/>
          <w:sz w:val="24"/>
          <w:szCs w:val="24"/>
        </w:rPr>
        <w:t xml:space="preserve">  </w:t>
      </w:r>
    </w:p>
    <w:p w:rsidR="00360B9A" w:rsidRPr="00AC42C5" w:rsidRDefault="00360B9A" w:rsidP="00360B9A">
      <w:pPr>
        <w:autoSpaceDE w:val="0"/>
        <w:autoSpaceDN w:val="0"/>
        <w:adjustRightInd w:val="0"/>
        <w:spacing w:line="240" w:lineRule="auto"/>
        <w:rPr>
          <w:rFonts w:asciiTheme="minorHAnsi" w:hAnsiTheme="minorHAnsi" w:cs="Arial"/>
          <w:sz w:val="24"/>
          <w:szCs w:val="24"/>
          <w:highlight w:val="yellow"/>
        </w:rPr>
      </w:pPr>
    </w:p>
    <w:p w:rsidR="00360B9A" w:rsidRDefault="00360B9A" w:rsidP="00360B9A">
      <w:pPr>
        <w:autoSpaceDE w:val="0"/>
        <w:autoSpaceDN w:val="0"/>
        <w:adjustRightInd w:val="0"/>
        <w:spacing w:line="240" w:lineRule="auto"/>
        <w:rPr>
          <w:rFonts w:asciiTheme="minorHAnsi" w:hAnsiTheme="minorHAnsi" w:cs="Arial"/>
          <w:sz w:val="24"/>
          <w:szCs w:val="24"/>
        </w:rPr>
      </w:pPr>
      <w:r w:rsidRPr="007F364D">
        <w:rPr>
          <w:rFonts w:asciiTheme="minorHAnsi" w:hAnsiTheme="minorHAnsi" w:cs="Arial"/>
          <w:sz w:val="24"/>
          <w:szCs w:val="24"/>
        </w:rPr>
        <w:t>Steve Parrock</w:t>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t>Gordon Oliver</w:t>
      </w:r>
      <w:r w:rsidRPr="007F364D">
        <w:rPr>
          <w:rFonts w:asciiTheme="minorHAnsi" w:hAnsiTheme="minorHAnsi" w:cs="Arial"/>
          <w:sz w:val="24"/>
          <w:szCs w:val="24"/>
        </w:rPr>
        <w:br/>
      </w:r>
      <w:r>
        <w:rPr>
          <w:rFonts w:asciiTheme="minorHAnsi" w:hAnsiTheme="minorHAnsi" w:cs="Arial"/>
          <w:sz w:val="24"/>
          <w:szCs w:val="24"/>
        </w:rPr>
        <w:t>Chief Executive</w:t>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t>Elected Mayor of Torbay</w:t>
      </w:r>
    </w:p>
    <w:p w:rsidR="00360B9A" w:rsidRDefault="00360B9A" w:rsidP="00360B9A">
      <w:pPr>
        <w:autoSpaceDE w:val="0"/>
        <w:autoSpaceDN w:val="0"/>
        <w:adjustRightInd w:val="0"/>
        <w:spacing w:line="240" w:lineRule="auto"/>
        <w:rPr>
          <w:rFonts w:asciiTheme="minorHAnsi" w:hAnsiTheme="minorHAnsi" w:cs="Arial"/>
          <w:sz w:val="24"/>
          <w:szCs w:val="24"/>
        </w:rPr>
      </w:pPr>
    </w:p>
    <w:p w:rsidR="00360B9A" w:rsidRDefault="00360B9A" w:rsidP="00360B9A">
      <w:pPr>
        <w:autoSpaceDE w:val="0"/>
        <w:autoSpaceDN w:val="0"/>
        <w:adjustRightInd w:val="0"/>
        <w:spacing w:line="240" w:lineRule="auto"/>
        <w:rPr>
          <w:rFonts w:asciiTheme="minorHAnsi" w:hAnsiTheme="minorHAnsi" w:cs="Arial"/>
          <w:sz w:val="24"/>
          <w:szCs w:val="24"/>
        </w:rPr>
        <w:sectPr w:rsidR="00360B9A" w:rsidSect="001C7261">
          <w:headerReference w:type="default" r:id="rId49"/>
          <w:footerReference w:type="default" r:id="rId50"/>
          <w:pgSz w:w="11907" w:h="16840" w:code="9"/>
          <w:pgMar w:top="1440" w:right="1797" w:bottom="1440" w:left="1797" w:header="720" w:footer="720" w:gutter="0"/>
          <w:cols w:space="708"/>
          <w:noEndnote/>
          <w:docGrid w:linePitch="326"/>
        </w:sectPr>
      </w:pPr>
    </w:p>
    <w:tbl>
      <w:tblPr>
        <w:tblStyle w:val="TableGrid"/>
        <w:tblW w:w="0" w:type="auto"/>
        <w:tblLook w:val="04A0" w:firstRow="1" w:lastRow="0" w:firstColumn="1" w:lastColumn="0" w:noHBand="0" w:noVBand="1"/>
      </w:tblPr>
      <w:tblGrid>
        <w:gridCol w:w="5791"/>
        <w:gridCol w:w="1754"/>
        <w:gridCol w:w="1471"/>
      </w:tblGrid>
      <w:tr w:rsidR="00360B9A" w:rsidRPr="0073057D" w:rsidTr="001C7261">
        <w:tc>
          <w:tcPr>
            <w:tcW w:w="10173" w:type="dxa"/>
          </w:tcPr>
          <w:p w:rsidR="00360B9A" w:rsidRPr="00272A24" w:rsidRDefault="00360B9A" w:rsidP="001C7261">
            <w:pPr>
              <w:autoSpaceDE w:val="0"/>
              <w:autoSpaceDN w:val="0"/>
              <w:adjustRightInd w:val="0"/>
              <w:spacing w:line="240" w:lineRule="auto"/>
              <w:rPr>
                <w:rFonts w:asciiTheme="minorHAnsi" w:hAnsiTheme="minorHAnsi" w:cs="Arial"/>
                <w:b/>
                <w:sz w:val="24"/>
                <w:szCs w:val="24"/>
              </w:rPr>
            </w:pPr>
            <w:r w:rsidRPr="00272A24">
              <w:rPr>
                <w:rFonts w:asciiTheme="minorHAnsi" w:hAnsiTheme="minorHAnsi" w:cs="Arial"/>
                <w:b/>
                <w:sz w:val="24"/>
                <w:szCs w:val="24"/>
              </w:rPr>
              <w:lastRenderedPageBreak/>
              <w:t>Action</w:t>
            </w:r>
          </w:p>
        </w:tc>
        <w:tc>
          <w:tcPr>
            <w:tcW w:w="2126" w:type="dxa"/>
          </w:tcPr>
          <w:p w:rsidR="00360B9A" w:rsidRPr="00272A24" w:rsidRDefault="00360B9A" w:rsidP="001C7261">
            <w:pPr>
              <w:autoSpaceDE w:val="0"/>
              <w:autoSpaceDN w:val="0"/>
              <w:adjustRightInd w:val="0"/>
              <w:spacing w:line="240" w:lineRule="auto"/>
              <w:rPr>
                <w:rFonts w:asciiTheme="minorHAnsi" w:hAnsiTheme="minorHAnsi" w:cs="Arial"/>
                <w:b/>
                <w:sz w:val="24"/>
                <w:szCs w:val="24"/>
              </w:rPr>
            </w:pPr>
            <w:r w:rsidRPr="00272A24">
              <w:rPr>
                <w:rFonts w:asciiTheme="minorHAnsi" w:hAnsiTheme="minorHAnsi" w:cs="Arial"/>
                <w:b/>
                <w:sz w:val="24"/>
                <w:szCs w:val="24"/>
              </w:rPr>
              <w:t>Responsible Officer</w:t>
            </w:r>
          </w:p>
        </w:tc>
        <w:tc>
          <w:tcPr>
            <w:tcW w:w="1877" w:type="dxa"/>
          </w:tcPr>
          <w:p w:rsidR="00360B9A" w:rsidRPr="00272A24" w:rsidRDefault="00360B9A" w:rsidP="001C7261">
            <w:pPr>
              <w:autoSpaceDE w:val="0"/>
              <w:autoSpaceDN w:val="0"/>
              <w:adjustRightInd w:val="0"/>
              <w:spacing w:line="240" w:lineRule="auto"/>
              <w:rPr>
                <w:rFonts w:asciiTheme="minorHAnsi" w:hAnsiTheme="minorHAnsi" w:cs="Arial"/>
                <w:b/>
                <w:sz w:val="24"/>
                <w:szCs w:val="24"/>
              </w:rPr>
            </w:pPr>
            <w:r w:rsidRPr="00272A24">
              <w:rPr>
                <w:rFonts w:asciiTheme="minorHAnsi" w:hAnsiTheme="minorHAnsi" w:cs="Arial"/>
                <w:b/>
                <w:sz w:val="24"/>
                <w:szCs w:val="24"/>
              </w:rPr>
              <w:t>Deadline</w:t>
            </w:r>
          </w:p>
        </w:tc>
      </w:tr>
      <w:tr w:rsidR="00360B9A" w:rsidTr="001C7261">
        <w:tc>
          <w:tcPr>
            <w:tcW w:w="10173"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Hold discussions on the future arrangements for adult social care once the current Risk Share Agreement ends</w:t>
            </w:r>
          </w:p>
        </w:tc>
        <w:tc>
          <w:tcPr>
            <w:tcW w:w="2126"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Director of Adult Services and Housing</w:t>
            </w:r>
          </w:p>
        </w:tc>
        <w:tc>
          <w:tcPr>
            <w:tcW w:w="1877"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2019</w:t>
            </w:r>
          </w:p>
        </w:tc>
      </w:tr>
      <w:tr w:rsidR="00360B9A" w:rsidTr="001C7261">
        <w:tc>
          <w:tcPr>
            <w:tcW w:w="10173"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Continue to review and update the Information Asset Register</w:t>
            </w:r>
          </w:p>
        </w:tc>
        <w:tc>
          <w:tcPr>
            <w:tcW w:w="2126"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Assistant Director of Corporate Services and Operations</w:t>
            </w:r>
          </w:p>
        </w:tc>
        <w:tc>
          <w:tcPr>
            <w:tcW w:w="1877"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2019</w:t>
            </w:r>
          </w:p>
        </w:tc>
      </w:tr>
      <w:tr w:rsidR="00360B9A" w:rsidTr="001C7261">
        <w:tc>
          <w:tcPr>
            <w:tcW w:w="10173"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Develop operational risk registers</w:t>
            </w:r>
          </w:p>
        </w:tc>
        <w:tc>
          <w:tcPr>
            <w:tcW w:w="2126"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Senior Leadership Team</w:t>
            </w:r>
          </w:p>
        </w:tc>
        <w:tc>
          <w:tcPr>
            <w:tcW w:w="1877"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2019</w:t>
            </w:r>
          </w:p>
        </w:tc>
      </w:tr>
      <w:tr w:rsidR="00360B9A" w:rsidTr="001C7261">
        <w:tc>
          <w:tcPr>
            <w:tcW w:w="10173"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Constitution Working Party to consider proposed Constitution and member development requirements for the Leader and Cabinet model of governance.</w:t>
            </w:r>
          </w:p>
        </w:tc>
        <w:tc>
          <w:tcPr>
            <w:tcW w:w="2126"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Director of Corporate Services and Operations</w:t>
            </w:r>
          </w:p>
        </w:tc>
        <w:tc>
          <w:tcPr>
            <w:tcW w:w="1877"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1 May 2019</w:t>
            </w:r>
          </w:p>
        </w:tc>
      </w:tr>
      <w:tr w:rsidR="00360B9A" w:rsidTr="001C7261">
        <w:tc>
          <w:tcPr>
            <w:tcW w:w="10173"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Continue to deliver the Staff Survey Action Plan</w:t>
            </w:r>
          </w:p>
        </w:tc>
        <w:tc>
          <w:tcPr>
            <w:tcW w:w="2126"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Chief Executive</w:t>
            </w:r>
          </w:p>
        </w:tc>
        <w:tc>
          <w:tcPr>
            <w:tcW w:w="1877"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2019</w:t>
            </w:r>
          </w:p>
        </w:tc>
      </w:tr>
      <w:tr w:rsidR="00360B9A" w:rsidTr="001C7261">
        <w:tc>
          <w:tcPr>
            <w:tcW w:w="10173"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Continue to deliver the Action Plan associated with the Communication, Consultation and Engagement Strategy</w:t>
            </w:r>
          </w:p>
        </w:tc>
        <w:tc>
          <w:tcPr>
            <w:tcW w:w="2126"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Director of Corporate Services and Operations</w:t>
            </w:r>
          </w:p>
        </w:tc>
        <w:tc>
          <w:tcPr>
            <w:tcW w:w="1877"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2019</w:t>
            </w:r>
          </w:p>
        </w:tc>
      </w:tr>
      <w:tr w:rsidR="00360B9A" w:rsidTr="001C7261">
        <w:tc>
          <w:tcPr>
            <w:tcW w:w="10173"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Refresh the Community Partnership framework ahead of consideration by the new Council administration</w:t>
            </w:r>
          </w:p>
        </w:tc>
        <w:tc>
          <w:tcPr>
            <w:tcW w:w="2126"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Director of Corporate Services and Operations</w:t>
            </w:r>
          </w:p>
        </w:tc>
        <w:tc>
          <w:tcPr>
            <w:tcW w:w="1877"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2019</w:t>
            </w:r>
          </w:p>
        </w:tc>
      </w:tr>
      <w:tr w:rsidR="00360B9A" w:rsidTr="001C7261">
        <w:tc>
          <w:tcPr>
            <w:tcW w:w="10173"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Continue to deliver the Children’s Services Ofsted Improvement Plan</w:t>
            </w:r>
          </w:p>
        </w:tc>
        <w:tc>
          <w:tcPr>
            <w:tcW w:w="2126"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Director of Children’s Services</w:t>
            </w:r>
          </w:p>
        </w:tc>
        <w:tc>
          <w:tcPr>
            <w:tcW w:w="1877"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2019</w:t>
            </w:r>
          </w:p>
        </w:tc>
      </w:tr>
      <w:tr w:rsidR="00360B9A" w:rsidTr="001C7261">
        <w:tc>
          <w:tcPr>
            <w:tcW w:w="10173"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Deliver the Action Plan in response the Internal Audit report on Emergency Planning and Business Continuity</w:t>
            </w:r>
          </w:p>
        </w:tc>
        <w:tc>
          <w:tcPr>
            <w:tcW w:w="2126"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Executive Head – Community Services</w:t>
            </w:r>
          </w:p>
        </w:tc>
        <w:tc>
          <w:tcPr>
            <w:tcW w:w="1877"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2019</w:t>
            </w:r>
          </w:p>
        </w:tc>
      </w:tr>
      <w:tr w:rsidR="00360B9A" w:rsidTr="001C7261">
        <w:tc>
          <w:tcPr>
            <w:tcW w:w="10173"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Prepare and implement an Action Plan in response the Internal Audit report on Food Safety, Safety and Licensing</w:t>
            </w:r>
          </w:p>
        </w:tc>
        <w:tc>
          <w:tcPr>
            <w:tcW w:w="2126"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Executive Head – Community Services</w:t>
            </w:r>
          </w:p>
        </w:tc>
        <w:tc>
          <w:tcPr>
            <w:tcW w:w="1877" w:type="dxa"/>
          </w:tcPr>
          <w:p w:rsidR="00360B9A" w:rsidRDefault="00360B9A" w:rsidP="001C7261">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2019</w:t>
            </w:r>
          </w:p>
        </w:tc>
      </w:tr>
    </w:tbl>
    <w:p w:rsidR="00EF680F" w:rsidRDefault="00EF680F" w:rsidP="00360B9A">
      <w:pPr>
        <w:autoSpaceDE w:val="0"/>
        <w:autoSpaceDN w:val="0"/>
        <w:adjustRightInd w:val="0"/>
        <w:spacing w:line="240" w:lineRule="auto"/>
        <w:rPr>
          <w:rFonts w:asciiTheme="minorHAnsi" w:hAnsiTheme="minorHAnsi" w:cs="Arial"/>
          <w:sz w:val="24"/>
          <w:szCs w:val="24"/>
        </w:rPr>
        <w:sectPr w:rsidR="00EF680F" w:rsidSect="00827092">
          <w:headerReference w:type="first" r:id="rId51"/>
          <w:pgSz w:w="11906" w:h="16838" w:code="9"/>
          <w:pgMar w:top="1440" w:right="1440" w:bottom="1440" w:left="1440" w:header="544" w:footer="544" w:gutter="0"/>
          <w:cols w:space="708"/>
          <w:titlePg/>
          <w:docGrid w:linePitch="360"/>
        </w:sectPr>
      </w:pPr>
    </w:p>
    <w:p w:rsidR="00ED449D" w:rsidRPr="0005794A" w:rsidRDefault="00ED449D" w:rsidP="00BC65EE">
      <w:pPr>
        <w:pStyle w:val="Footer"/>
        <w:rPr>
          <w:rFonts w:cs="Arial"/>
          <w:b/>
          <w:color w:val="548DD4" w:themeColor="text2" w:themeTint="99"/>
          <w:sz w:val="20"/>
          <w:szCs w:val="20"/>
        </w:rPr>
      </w:pPr>
    </w:p>
    <w:p w:rsidR="00E51139" w:rsidRPr="0005794A" w:rsidRDefault="00C111D0" w:rsidP="00BC65EE">
      <w:pPr>
        <w:pStyle w:val="Footer"/>
        <w:rPr>
          <w:rFonts w:cs="Arial"/>
          <w:b/>
          <w:color w:val="548DD4" w:themeColor="text2" w:themeTint="99"/>
          <w:sz w:val="20"/>
          <w:szCs w:val="20"/>
        </w:rPr>
      </w:pPr>
      <w:r>
        <w:rPr>
          <w:noProof/>
          <w:color w:val="548DD4" w:themeColor="text2" w:themeTint="99"/>
          <w:lang w:eastAsia="en-GB"/>
        </w:rPr>
        <mc:AlternateContent>
          <mc:Choice Requires="wps">
            <w:drawing>
              <wp:anchor distT="0" distB="0" distL="114300" distR="114300" simplePos="0" relativeHeight="251658240" behindDoc="0" locked="0" layoutInCell="1" allowOverlap="1">
                <wp:simplePos x="0" y="0"/>
                <wp:positionH relativeFrom="column">
                  <wp:posOffset>200025</wp:posOffset>
                </wp:positionH>
                <wp:positionV relativeFrom="paragraph">
                  <wp:posOffset>-114300</wp:posOffset>
                </wp:positionV>
                <wp:extent cx="5669280" cy="342900"/>
                <wp:effectExtent l="9525" t="12700" r="7620" b="635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42900"/>
                        </a:xfrm>
                        <a:prstGeom prst="rect">
                          <a:avLst/>
                        </a:prstGeom>
                        <a:solidFill>
                          <a:srgbClr val="FFFFFF"/>
                        </a:solidFill>
                        <a:ln w="9525">
                          <a:solidFill>
                            <a:srgbClr val="000000"/>
                          </a:solidFill>
                          <a:miter lim="800000"/>
                          <a:headEnd/>
                          <a:tailEnd/>
                        </a:ln>
                      </wps:spPr>
                      <wps:txbx>
                        <w:txbxContent>
                          <w:p w:rsidR="00BB1B4D" w:rsidRDefault="00BB1B4D" w:rsidP="00BC65EE">
                            <w:pPr>
                              <w:jc w:val="center"/>
                              <w:rPr>
                                <w:b/>
                                <w:sz w:val="22"/>
                              </w:rPr>
                            </w:pPr>
                            <w:bookmarkStart w:id="4" w:name="_MON_1357130616"/>
                            <w:bookmarkStart w:id="5" w:name="_MON_1357130681"/>
                            <w:bookmarkStart w:id="6" w:name="_MON_1370179590"/>
                            <w:bookmarkStart w:id="7" w:name="_MON_1370896225"/>
                            <w:bookmarkStart w:id="8" w:name="_MON_1377505858"/>
                            <w:bookmarkStart w:id="9" w:name="_MON_1377505951"/>
                            <w:bookmarkStart w:id="10" w:name="_MON_1377505960"/>
                            <w:bookmarkStart w:id="11" w:name="_MON_1393137689"/>
                            <w:bookmarkStart w:id="12" w:name="_MON_1394964922"/>
                            <w:bookmarkStart w:id="13" w:name="_MON_1394965142"/>
                            <w:bookmarkStart w:id="14" w:name="_MON_1394965250"/>
                            <w:bookmarkStart w:id="15" w:name="_MON_1397548653"/>
                            <w:bookmarkStart w:id="16" w:name="_MON_1401519152"/>
                            <w:bookmarkEnd w:id="4"/>
                            <w:bookmarkEnd w:id="5"/>
                            <w:bookmarkEnd w:id="6"/>
                            <w:bookmarkEnd w:id="7"/>
                            <w:bookmarkEnd w:id="8"/>
                            <w:bookmarkEnd w:id="9"/>
                            <w:bookmarkEnd w:id="10"/>
                            <w:bookmarkEnd w:id="11"/>
                            <w:bookmarkEnd w:id="12"/>
                            <w:bookmarkEnd w:id="13"/>
                            <w:bookmarkEnd w:id="14"/>
                            <w:bookmarkEnd w:id="15"/>
                            <w:bookmarkEnd w:id="16"/>
                            <w:r>
                              <w:rPr>
                                <w:b/>
                                <w:sz w:val="22"/>
                              </w:rPr>
                              <w:t xml:space="preserve">GLOSSARY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margin-left:15.75pt;margin-top:-9pt;width:446.4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BhLgIAAFg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">
                <v:textbox>
                  <w:txbxContent>
                    <w:p w:rsidR="00BB1B4D" w:rsidRDefault="00BB1B4D" w:rsidP="00BC65EE">
                      <w:pPr>
                        <w:jc w:val="center"/>
                        <w:rPr>
                          <w:b/>
                          <w:sz w:val="22"/>
                        </w:rPr>
                      </w:pPr>
                      <w:bookmarkStart w:id="17" w:name="_MON_1357130616"/>
                      <w:bookmarkStart w:id="18" w:name="_MON_1357130681"/>
                      <w:bookmarkStart w:id="19" w:name="_MON_1370179590"/>
                      <w:bookmarkStart w:id="20" w:name="_MON_1370896225"/>
                      <w:bookmarkStart w:id="21" w:name="_MON_1377505858"/>
                      <w:bookmarkStart w:id="22" w:name="_MON_1377505951"/>
                      <w:bookmarkStart w:id="23" w:name="_MON_1377505960"/>
                      <w:bookmarkStart w:id="24" w:name="_MON_1393137689"/>
                      <w:bookmarkStart w:id="25" w:name="_MON_1394964922"/>
                      <w:bookmarkStart w:id="26" w:name="_MON_1394965142"/>
                      <w:bookmarkStart w:id="27" w:name="_MON_1394965250"/>
                      <w:bookmarkStart w:id="28" w:name="_MON_1397548653"/>
                      <w:bookmarkStart w:id="29" w:name="_MON_1401519152"/>
                      <w:bookmarkEnd w:id="17"/>
                      <w:bookmarkEnd w:id="18"/>
                      <w:bookmarkEnd w:id="19"/>
                      <w:bookmarkEnd w:id="20"/>
                      <w:bookmarkEnd w:id="21"/>
                      <w:bookmarkEnd w:id="22"/>
                      <w:bookmarkEnd w:id="23"/>
                      <w:bookmarkEnd w:id="24"/>
                      <w:bookmarkEnd w:id="25"/>
                      <w:bookmarkEnd w:id="26"/>
                      <w:bookmarkEnd w:id="27"/>
                      <w:bookmarkEnd w:id="28"/>
                      <w:bookmarkEnd w:id="29"/>
                      <w:r>
                        <w:rPr>
                          <w:b/>
                          <w:sz w:val="22"/>
                        </w:rPr>
                        <w:t xml:space="preserve">GLOSSARY </w:t>
                      </w:r>
                    </w:p>
                  </w:txbxContent>
                </v:textbox>
                <w10:wrap type="topAndBottom"/>
              </v:shape>
            </w:pict>
          </mc:Fallback>
        </mc:AlternateContent>
      </w:r>
    </w:p>
    <w:p w:rsidR="00E51139" w:rsidRPr="00CD2AD2" w:rsidRDefault="00E51139" w:rsidP="008D0906">
      <w:pPr>
        <w:pStyle w:val="Footer"/>
        <w:spacing w:line="240" w:lineRule="atLeast"/>
        <w:outlineLvl w:val="0"/>
        <w:rPr>
          <w:rFonts w:cs="Arial"/>
          <w:b/>
          <w:color w:val="auto"/>
          <w:sz w:val="20"/>
          <w:szCs w:val="20"/>
          <w:u w:val="single"/>
        </w:rPr>
      </w:pPr>
      <w:r w:rsidRPr="00CD2AD2">
        <w:rPr>
          <w:rFonts w:cs="Arial"/>
          <w:b/>
          <w:color w:val="auto"/>
          <w:sz w:val="20"/>
          <w:szCs w:val="20"/>
          <w:u w:val="single"/>
        </w:rPr>
        <w:t>A</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b/>
        </w:rPr>
      </w:pPr>
      <w:r w:rsidRPr="00CD2AD2">
        <w:rPr>
          <w:rFonts w:ascii="Arial" w:hAnsi="Arial"/>
          <w:b/>
        </w:rPr>
        <w:t xml:space="preserve">Academy Schools </w:t>
      </w:r>
      <w:r w:rsidRPr="00CD2AD2">
        <w:rPr>
          <w:rFonts w:ascii="Arial" w:hAnsi="Arial"/>
        </w:rPr>
        <w:t xml:space="preserve">– These are independent schools publically funded from the Department of Education. Community (i.e. Council controlled) schools can transfer to academy status where they will often become charitable trusts.  </w:t>
      </w:r>
    </w:p>
    <w:p w:rsidR="009A4B2B" w:rsidRPr="00CD2AD2" w:rsidRDefault="009A4B2B" w:rsidP="009A4B2B">
      <w:pPr>
        <w:pStyle w:val="ExampleText"/>
        <w:ind w:left="0"/>
        <w:outlineLvl w:val="0"/>
        <w:rPr>
          <w:rFonts w:ascii="Arial" w:hAnsi="Arial" w:cs="Arial"/>
          <w:color w:val="auto"/>
        </w:rPr>
      </w:pPr>
      <w:r w:rsidRPr="00CD2AD2">
        <w:rPr>
          <w:rFonts w:ascii="Arial" w:hAnsi="Arial" w:cs="Arial"/>
          <w:b/>
          <w:color w:val="auto"/>
        </w:rPr>
        <w:t>Accumulating Compensated Absences Adjustment Account</w:t>
      </w:r>
      <w:r w:rsidRPr="00CD2AD2">
        <w:rPr>
          <w:rFonts w:ascii="Arial" w:hAnsi="Arial" w:cs="Arial"/>
          <w:color w:val="auto"/>
        </w:rPr>
        <w:t xml:space="preserve"> - The Accumulating Compensated Absences Adjustment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rsidR="009A4B2B" w:rsidRPr="00CD2AD2" w:rsidRDefault="009A4B2B" w:rsidP="00E769F5">
      <w:pPr>
        <w:pStyle w:val="PlainText"/>
        <w:spacing w:line="240" w:lineRule="atLeast"/>
        <w:rPr>
          <w:rFonts w:ascii="Arial" w:hAnsi="Arial"/>
          <w:b/>
        </w:rPr>
      </w:pPr>
    </w:p>
    <w:p w:rsidR="00E51139" w:rsidRPr="00CD2AD2" w:rsidRDefault="00E51139" w:rsidP="00E769F5">
      <w:pPr>
        <w:pStyle w:val="PlainText"/>
        <w:spacing w:line="240" w:lineRule="atLeast"/>
        <w:rPr>
          <w:rFonts w:ascii="Arial" w:hAnsi="Arial"/>
        </w:rPr>
      </w:pPr>
      <w:r w:rsidRPr="00CD2AD2">
        <w:rPr>
          <w:rFonts w:ascii="Arial" w:hAnsi="Arial"/>
          <w:b/>
        </w:rPr>
        <w:t xml:space="preserve">Actuarial </w:t>
      </w:r>
      <w:proofErr w:type="spellStart"/>
      <w:r w:rsidR="00710F56" w:rsidRPr="00CD2AD2">
        <w:rPr>
          <w:rFonts w:ascii="Arial" w:hAnsi="Arial"/>
          <w:b/>
        </w:rPr>
        <w:t>Remeasurements</w:t>
      </w:r>
      <w:proofErr w:type="spellEnd"/>
      <w:r w:rsidR="00710F56" w:rsidRPr="00CD2AD2">
        <w:rPr>
          <w:rFonts w:ascii="Arial" w:hAnsi="Arial"/>
          <w:b/>
        </w:rPr>
        <w:t xml:space="preserve"> </w:t>
      </w:r>
      <w:r w:rsidRPr="00CD2AD2">
        <w:rPr>
          <w:rFonts w:ascii="Arial" w:hAnsi="Arial"/>
        </w:rPr>
        <w:t>– For a defined pension scheme, the changes in actuarial deficits or surpluses that arise because events have not matched previous assumptions and/or actuarial assumptions have changed.</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 xml:space="preserve">Agency </w:t>
      </w:r>
      <w:r w:rsidRPr="00CD2AD2">
        <w:rPr>
          <w:rFonts w:ascii="Arial" w:hAnsi="Arial"/>
        </w:rPr>
        <w:t xml:space="preserve">– Under an agency arrangement the Council acts on behalf of other bodies, so in effect any monies that flow through the Council’s accounts under that arrangement are not the Council’s asset or liability. </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b/>
        </w:rPr>
      </w:pPr>
      <w:r w:rsidRPr="00CD2AD2">
        <w:rPr>
          <w:rFonts w:ascii="Arial" w:hAnsi="Arial"/>
          <w:b/>
        </w:rPr>
        <w:t xml:space="preserve">Amortisation - </w:t>
      </w:r>
      <w:r w:rsidRPr="00CD2AD2">
        <w:rPr>
          <w:rFonts w:ascii="Arial" w:hAnsi="Arial" w:cs="Arial"/>
          <w:bCs/>
          <w:lang w:eastAsia="en-GB"/>
        </w:rPr>
        <w:t>a term used to refer to the charging of the value of a transaction or asset (usually related to intangible assets or deferred charges) to the Income and Expenditure Account over a period of time, reflecting the value to the Council (similar to the depreciation charge for tangible fixed assets).</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Amortised Cost</w:t>
      </w:r>
      <w:r w:rsidRPr="00CD2AD2">
        <w:rPr>
          <w:rFonts w:ascii="Arial" w:hAnsi="Arial"/>
        </w:rPr>
        <w:t xml:space="preserve"> – the fair value of a financial instrument valued using the effective interest rate inherent in the contract. </w:t>
      </w:r>
    </w:p>
    <w:p w:rsidR="00E51139" w:rsidRPr="00CD2AD2" w:rsidRDefault="00E51139" w:rsidP="00E769F5">
      <w:pPr>
        <w:pStyle w:val="PlainText"/>
        <w:spacing w:line="240" w:lineRule="atLeast"/>
        <w:rPr>
          <w:rFonts w:ascii="Arial" w:hAnsi="Arial"/>
        </w:rPr>
      </w:pPr>
    </w:p>
    <w:p w:rsidR="00506621" w:rsidRPr="00CD2AD2" w:rsidRDefault="007221BB" w:rsidP="008D0906">
      <w:pPr>
        <w:autoSpaceDE w:val="0"/>
        <w:autoSpaceDN w:val="0"/>
        <w:outlineLvl w:val="0"/>
        <w:rPr>
          <w:rFonts w:eastAsia="Times New Roman"/>
          <w:b/>
          <w:color w:val="auto"/>
          <w:sz w:val="20"/>
          <w:szCs w:val="20"/>
        </w:rPr>
      </w:pPr>
      <w:r w:rsidRPr="00CD2AD2">
        <w:rPr>
          <w:rFonts w:eastAsia="Times New Roman"/>
          <w:b/>
          <w:color w:val="auto"/>
          <w:sz w:val="20"/>
          <w:szCs w:val="20"/>
        </w:rPr>
        <w:t>A</w:t>
      </w:r>
      <w:r w:rsidR="00506621" w:rsidRPr="00CD2AD2">
        <w:rPr>
          <w:rFonts w:eastAsia="Times New Roman"/>
          <w:b/>
          <w:color w:val="auto"/>
          <w:sz w:val="20"/>
          <w:szCs w:val="20"/>
        </w:rPr>
        <w:t>sset categories &amp; their definitions</w:t>
      </w:r>
      <w:r w:rsidRPr="00CD2AD2">
        <w:rPr>
          <w:rFonts w:eastAsia="Times New Roman"/>
          <w:b/>
          <w:color w:val="auto"/>
          <w:sz w:val="20"/>
          <w:szCs w:val="20"/>
        </w:rPr>
        <w:t>:</w:t>
      </w:r>
    </w:p>
    <w:p w:rsidR="00506621" w:rsidRPr="00CD2AD2" w:rsidRDefault="00506621" w:rsidP="00506621">
      <w:pPr>
        <w:autoSpaceDE w:val="0"/>
        <w:autoSpaceDN w:val="0"/>
        <w:ind w:left="567"/>
        <w:rPr>
          <w:rFonts w:cs="Arial"/>
          <w:color w:val="auto"/>
          <w:sz w:val="20"/>
          <w:szCs w:val="20"/>
          <w:lang w:eastAsia="en-GB"/>
        </w:rPr>
      </w:pPr>
      <w:r w:rsidRPr="00CD2AD2">
        <w:rPr>
          <w:rFonts w:cs="Arial"/>
          <w:color w:val="auto"/>
          <w:sz w:val="20"/>
          <w:szCs w:val="20"/>
          <w:u w:val="single"/>
          <w:lang w:eastAsia="en-GB"/>
        </w:rPr>
        <w:t>Property, Plant &amp; Equipment</w:t>
      </w:r>
      <w:r w:rsidRPr="00CD2AD2">
        <w:rPr>
          <w:rFonts w:cs="Arial"/>
          <w:color w:val="auto"/>
          <w:sz w:val="20"/>
          <w:szCs w:val="20"/>
          <w:lang w:eastAsia="en-GB"/>
        </w:rPr>
        <w:t xml:space="preserve"> category on the balance sheet is comprised of a number of sub categories:</w:t>
      </w:r>
    </w:p>
    <w:p w:rsidR="00506621" w:rsidRPr="00CD2AD2" w:rsidRDefault="00506621" w:rsidP="008D0906">
      <w:pPr>
        <w:autoSpaceDE w:val="0"/>
        <w:autoSpaceDN w:val="0"/>
        <w:ind w:left="567"/>
        <w:outlineLvl w:val="0"/>
        <w:rPr>
          <w:rFonts w:cs="Arial"/>
          <w:color w:val="auto"/>
          <w:sz w:val="20"/>
          <w:szCs w:val="20"/>
          <w:lang w:eastAsia="en-GB"/>
        </w:rPr>
      </w:pPr>
      <w:r w:rsidRPr="00CD2AD2">
        <w:rPr>
          <w:rFonts w:cs="Arial"/>
          <w:color w:val="auto"/>
          <w:sz w:val="20"/>
          <w:szCs w:val="20"/>
          <w:u w:val="single"/>
          <w:lang w:eastAsia="en-GB"/>
        </w:rPr>
        <w:t>Vehicles, Plant &amp; Equipment</w:t>
      </w:r>
      <w:r w:rsidRPr="00CD2AD2">
        <w:rPr>
          <w:rFonts w:cs="Arial"/>
          <w:color w:val="auto"/>
          <w:sz w:val="20"/>
          <w:szCs w:val="20"/>
          <w:lang w:eastAsia="en-GB"/>
        </w:rPr>
        <w:t xml:space="preserve"> – Assets used for operational purposes</w:t>
      </w:r>
    </w:p>
    <w:p w:rsidR="00506621" w:rsidRPr="00CD2AD2" w:rsidRDefault="00506621" w:rsidP="00506621">
      <w:pPr>
        <w:autoSpaceDE w:val="0"/>
        <w:autoSpaceDN w:val="0"/>
        <w:ind w:left="567"/>
        <w:rPr>
          <w:rFonts w:cs="Arial"/>
          <w:color w:val="auto"/>
          <w:sz w:val="20"/>
          <w:szCs w:val="20"/>
          <w:lang w:eastAsia="en-GB"/>
        </w:rPr>
      </w:pPr>
      <w:r w:rsidRPr="00CD2AD2">
        <w:rPr>
          <w:rFonts w:cs="Arial"/>
          <w:color w:val="auto"/>
          <w:sz w:val="20"/>
          <w:szCs w:val="20"/>
          <w:u w:val="single"/>
          <w:lang w:eastAsia="en-GB"/>
        </w:rPr>
        <w:t>Community Assets</w:t>
      </w:r>
      <w:r w:rsidRPr="00CD2AD2">
        <w:rPr>
          <w:rFonts w:cs="Arial"/>
          <w:color w:val="auto"/>
          <w:sz w:val="20"/>
          <w:szCs w:val="20"/>
          <w:lang w:eastAsia="en-GB"/>
        </w:rPr>
        <w:t xml:space="preserve"> - assets which the Council intends to hold in perpetuity, which may have an indeterminate life and may have restrictions on disposal.</w:t>
      </w:r>
    </w:p>
    <w:p w:rsidR="00506621" w:rsidRPr="00CD2AD2" w:rsidRDefault="00506621" w:rsidP="00506621">
      <w:pPr>
        <w:autoSpaceDE w:val="0"/>
        <w:autoSpaceDN w:val="0"/>
        <w:ind w:left="567"/>
        <w:rPr>
          <w:rFonts w:cs="Arial"/>
          <w:color w:val="auto"/>
          <w:sz w:val="20"/>
          <w:szCs w:val="20"/>
          <w:lang w:eastAsia="en-GB"/>
        </w:rPr>
      </w:pPr>
      <w:r w:rsidRPr="00CD2AD2">
        <w:rPr>
          <w:rFonts w:cs="Arial"/>
          <w:color w:val="auto"/>
          <w:sz w:val="20"/>
          <w:szCs w:val="20"/>
          <w:u w:val="single"/>
          <w:lang w:eastAsia="en-GB"/>
        </w:rPr>
        <w:t>Surplus Assets</w:t>
      </w:r>
      <w:r w:rsidRPr="00CD2AD2">
        <w:rPr>
          <w:rFonts w:cs="Arial"/>
          <w:color w:val="auto"/>
          <w:sz w:val="20"/>
          <w:szCs w:val="20"/>
          <w:lang w:eastAsia="en-GB"/>
        </w:rPr>
        <w:t xml:space="preserve"> – assets which are surplus to service needs but do not meet the criteria to be classified as Assets Held for Sale.</w:t>
      </w:r>
    </w:p>
    <w:p w:rsidR="00506621" w:rsidRPr="00CD2AD2" w:rsidRDefault="00506621" w:rsidP="00506621">
      <w:pPr>
        <w:autoSpaceDE w:val="0"/>
        <w:autoSpaceDN w:val="0"/>
        <w:ind w:left="567"/>
        <w:rPr>
          <w:rFonts w:cs="Arial"/>
          <w:color w:val="auto"/>
          <w:sz w:val="20"/>
          <w:szCs w:val="20"/>
          <w:lang w:eastAsia="en-GB"/>
        </w:rPr>
      </w:pPr>
      <w:r w:rsidRPr="00CD2AD2">
        <w:rPr>
          <w:rFonts w:cs="Arial"/>
          <w:color w:val="auto"/>
          <w:sz w:val="20"/>
          <w:szCs w:val="20"/>
          <w:u w:val="single"/>
          <w:lang w:eastAsia="en-GB"/>
        </w:rPr>
        <w:t>Infrastructure Assets</w:t>
      </w:r>
      <w:r w:rsidRPr="00CD2AD2">
        <w:rPr>
          <w:rFonts w:cs="Arial"/>
          <w:color w:val="auto"/>
          <w:sz w:val="20"/>
          <w:szCs w:val="20"/>
          <w:lang w:eastAsia="en-GB"/>
        </w:rPr>
        <w:t xml:space="preserve"> – assets which form the underlying framework of the physical environment and by their nature cannot be sold.  They include coastal defence and drainage systems and transport infrastructure assets. Transport infrastructure assets form the underlying transport framework of the physical environment and by their nature cannot be sold.  They include highways, footways, and associated assets.</w:t>
      </w:r>
    </w:p>
    <w:p w:rsidR="00506621" w:rsidRPr="00CD2AD2" w:rsidRDefault="00506621" w:rsidP="00506621">
      <w:pPr>
        <w:autoSpaceDE w:val="0"/>
        <w:autoSpaceDN w:val="0"/>
        <w:ind w:left="567"/>
        <w:rPr>
          <w:rFonts w:cs="Arial"/>
          <w:color w:val="auto"/>
          <w:sz w:val="20"/>
          <w:szCs w:val="20"/>
          <w:lang w:eastAsia="en-GB"/>
        </w:rPr>
      </w:pPr>
      <w:r w:rsidRPr="00CD2AD2">
        <w:rPr>
          <w:rFonts w:cs="Arial"/>
          <w:color w:val="auto"/>
          <w:sz w:val="20"/>
          <w:szCs w:val="20"/>
          <w:u w:val="single"/>
        </w:rPr>
        <w:t>Assets under construction</w:t>
      </w:r>
      <w:r w:rsidRPr="00CD2AD2">
        <w:rPr>
          <w:rFonts w:cs="Arial"/>
          <w:color w:val="auto"/>
          <w:sz w:val="20"/>
          <w:szCs w:val="20"/>
        </w:rPr>
        <w:t xml:space="preserve"> (Work in Progress</w:t>
      </w:r>
      <w:r w:rsidR="007E33E1" w:rsidRPr="00CD2AD2">
        <w:rPr>
          <w:rFonts w:cs="Arial"/>
          <w:color w:val="auto"/>
          <w:sz w:val="20"/>
          <w:szCs w:val="20"/>
        </w:rPr>
        <w:t xml:space="preserve">) </w:t>
      </w:r>
      <w:r w:rsidR="007E33E1" w:rsidRPr="00CD2AD2">
        <w:rPr>
          <w:rFonts w:cs="Arial"/>
          <w:color w:val="auto"/>
          <w:sz w:val="20"/>
          <w:szCs w:val="20"/>
          <w:lang w:eastAsia="en-GB"/>
        </w:rPr>
        <w:t>-</w:t>
      </w:r>
      <w:r w:rsidRPr="00CD2AD2">
        <w:rPr>
          <w:rFonts w:cs="Arial"/>
          <w:color w:val="auto"/>
          <w:sz w:val="20"/>
          <w:szCs w:val="20"/>
          <w:lang w:eastAsia="en-GB"/>
        </w:rPr>
        <w:t xml:space="preserve"> </w:t>
      </w:r>
      <w:r w:rsidRPr="00CD2AD2">
        <w:rPr>
          <w:rFonts w:cs="Arial"/>
          <w:color w:val="auto"/>
          <w:sz w:val="20"/>
          <w:szCs w:val="20"/>
        </w:rPr>
        <w:t>where capital projects are incomplete and the assets under construction are not yet operational at the year end.</w:t>
      </w:r>
    </w:p>
    <w:p w:rsidR="00A7504E" w:rsidRPr="00CD2AD2" w:rsidRDefault="00506621" w:rsidP="00506621">
      <w:pPr>
        <w:autoSpaceDE w:val="0"/>
        <w:autoSpaceDN w:val="0"/>
        <w:ind w:left="567"/>
        <w:rPr>
          <w:rFonts w:cs="Arial"/>
          <w:color w:val="auto"/>
          <w:sz w:val="20"/>
          <w:szCs w:val="20"/>
          <w:lang w:eastAsia="en-GB"/>
        </w:rPr>
        <w:sectPr w:rsidR="00A7504E" w:rsidRPr="00CD2AD2" w:rsidSect="00827092">
          <w:headerReference w:type="first" r:id="rId52"/>
          <w:pgSz w:w="11906" w:h="16838" w:code="9"/>
          <w:pgMar w:top="1440" w:right="1440" w:bottom="1440" w:left="1440" w:header="544" w:footer="544" w:gutter="0"/>
          <w:cols w:space="708"/>
          <w:titlePg/>
          <w:docGrid w:linePitch="360"/>
        </w:sectPr>
      </w:pPr>
      <w:r w:rsidRPr="00CD2AD2">
        <w:rPr>
          <w:rFonts w:cs="Arial"/>
          <w:color w:val="auto"/>
          <w:sz w:val="20"/>
          <w:szCs w:val="20"/>
          <w:u w:val="single"/>
          <w:lang w:eastAsia="en-GB"/>
        </w:rPr>
        <w:t>Other Land and Buildings</w:t>
      </w:r>
      <w:r w:rsidRPr="00CD2AD2">
        <w:rPr>
          <w:rFonts w:cs="Arial"/>
          <w:color w:val="auto"/>
          <w:sz w:val="20"/>
          <w:szCs w:val="20"/>
          <w:lang w:eastAsia="en-GB"/>
        </w:rPr>
        <w:t xml:space="preserve"> – Assets used for operational purposes, including any operational heritage assets.</w:t>
      </w:r>
    </w:p>
    <w:p w:rsidR="00E51139" w:rsidRPr="00CD2AD2" w:rsidRDefault="00E51139" w:rsidP="00E769F5">
      <w:pPr>
        <w:pStyle w:val="PlainText"/>
        <w:spacing w:line="240" w:lineRule="atLeast"/>
        <w:rPr>
          <w:rFonts w:ascii="Arial" w:hAnsi="Arial"/>
        </w:rPr>
      </w:pPr>
      <w:r w:rsidRPr="00CD2AD2">
        <w:rPr>
          <w:rFonts w:ascii="Arial" w:hAnsi="Arial"/>
          <w:b/>
        </w:rPr>
        <w:lastRenderedPageBreak/>
        <w:t xml:space="preserve">Assets Held For Sale – </w:t>
      </w:r>
      <w:r w:rsidRPr="00CD2AD2">
        <w:rPr>
          <w:rFonts w:ascii="Arial" w:hAnsi="Arial"/>
        </w:rPr>
        <w:t xml:space="preserve">a category of property where the property is expected to be sold and is to be actively marketed so is classified as a current asset rather than a </w:t>
      </w:r>
      <w:proofErr w:type="spellStart"/>
      <w:r w:rsidRPr="00CD2AD2">
        <w:rPr>
          <w:rFonts w:ascii="Arial" w:hAnsi="Arial"/>
        </w:rPr>
        <w:t>non current</w:t>
      </w:r>
      <w:proofErr w:type="spellEnd"/>
      <w:r w:rsidRPr="00CD2AD2">
        <w:rPr>
          <w:rFonts w:ascii="Arial" w:hAnsi="Arial"/>
        </w:rPr>
        <w:t xml:space="preserve"> asset.</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Assets Under Construction</w:t>
      </w:r>
      <w:r w:rsidRPr="00CD2AD2">
        <w:rPr>
          <w:rFonts w:ascii="Arial" w:hAnsi="Arial"/>
        </w:rPr>
        <w:t xml:space="preserve"> – expenditure incurred to date on an asset that is being constructed and at balance sheet date is not operational.</w:t>
      </w:r>
    </w:p>
    <w:p w:rsidR="00E51139" w:rsidRPr="00CD2AD2" w:rsidRDefault="00E51139" w:rsidP="00E769F5">
      <w:pPr>
        <w:pStyle w:val="PlainText"/>
        <w:spacing w:line="240" w:lineRule="atLeast"/>
        <w:rPr>
          <w:b/>
        </w:rPr>
      </w:pPr>
    </w:p>
    <w:p w:rsidR="00E51139" w:rsidRPr="00CD2AD2" w:rsidRDefault="00E51139" w:rsidP="00E769F5">
      <w:pPr>
        <w:pStyle w:val="PlainText"/>
        <w:spacing w:line="240" w:lineRule="atLeast"/>
        <w:rPr>
          <w:rFonts w:ascii="Arial" w:hAnsi="Arial" w:cs="Arial"/>
        </w:rPr>
      </w:pPr>
      <w:r w:rsidRPr="00CD2AD2">
        <w:rPr>
          <w:rFonts w:ascii="Arial" w:hAnsi="Arial" w:cs="Arial"/>
          <w:b/>
        </w:rPr>
        <w:t xml:space="preserve">Authorised for Issue Date – </w:t>
      </w:r>
      <w:r w:rsidRPr="00CD2AD2">
        <w:rPr>
          <w:rFonts w:ascii="Arial" w:hAnsi="Arial" w:cs="Arial"/>
        </w:rPr>
        <w:t>The date up to which the Council will have included latest information of financial transactions that would have a significant impact on both the Accounts for the year or on the readers understanding of the Council’s financial position.</w:t>
      </w:r>
    </w:p>
    <w:p w:rsidR="009F456F" w:rsidRPr="00CD2AD2" w:rsidRDefault="009F456F" w:rsidP="00E769F5">
      <w:pPr>
        <w:pStyle w:val="PlainText"/>
        <w:spacing w:line="240" w:lineRule="atLeast"/>
        <w:rPr>
          <w:rFonts w:ascii="Arial" w:hAnsi="Arial" w:cs="Arial"/>
          <w:b/>
        </w:rPr>
      </w:pPr>
    </w:p>
    <w:p w:rsidR="009F456F" w:rsidRPr="0005794A" w:rsidRDefault="007F1237" w:rsidP="007F1237">
      <w:pPr>
        <w:autoSpaceDE w:val="0"/>
        <w:autoSpaceDN w:val="0"/>
        <w:adjustRightInd w:val="0"/>
        <w:spacing w:after="0"/>
        <w:rPr>
          <w:rFonts w:cs="Arial"/>
          <w:color w:val="548DD4" w:themeColor="text2" w:themeTint="99"/>
          <w:sz w:val="20"/>
          <w:szCs w:val="20"/>
          <w:lang w:eastAsia="en-GB"/>
        </w:rPr>
      </w:pPr>
      <w:r w:rsidRPr="00CD2AD2">
        <w:rPr>
          <w:rFonts w:eastAsia="Times New Roman" w:cs="Arial"/>
          <w:b/>
          <w:color w:val="auto"/>
          <w:sz w:val="20"/>
          <w:szCs w:val="20"/>
        </w:rPr>
        <w:t>A</w:t>
      </w:r>
      <w:r w:rsidR="009F456F" w:rsidRPr="00CD2AD2">
        <w:rPr>
          <w:rFonts w:eastAsia="Times New Roman" w:cs="Arial"/>
          <w:b/>
          <w:color w:val="auto"/>
          <w:sz w:val="20"/>
          <w:szCs w:val="20"/>
        </w:rPr>
        <w:t>vailable-for-sale assets</w:t>
      </w:r>
      <w:r w:rsidR="009F456F" w:rsidRPr="00CD2AD2">
        <w:rPr>
          <w:rFonts w:cs="Arial"/>
          <w:color w:val="auto"/>
          <w:sz w:val="20"/>
          <w:szCs w:val="20"/>
          <w:lang w:eastAsia="en-GB"/>
        </w:rPr>
        <w:t xml:space="preserve"> </w:t>
      </w:r>
      <w:r w:rsidRPr="00CD2AD2">
        <w:rPr>
          <w:rFonts w:cs="Arial"/>
          <w:color w:val="auto"/>
          <w:sz w:val="20"/>
          <w:szCs w:val="20"/>
          <w:lang w:eastAsia="en-GB"/>
        </w:rPr>
        <w:t xml:space="preserve">- </w:t>
      </w:r>
      <w:r w:rsidR="009F456F" w:rsidRPr="00CD2AD2">
        <w:rPr>
          <w:rFonts w:cs="Arial"/>
          <w:color w:val="auto"/>
          <w:sz w:val="20"/>
          <w:szCs w:val="20"/>
          <w:lang w:eastAsia="en-GB"/>
        </w:rPr>
        <w:t>(</w:t>
      </w:r>
      <w:r w:rsidR="007E33E1" w:rsidRPr="00CD2AD2">
        <w:rPr>
          <w:rFonts w:cs="Arial"/>
          <w:color w:val="auto"/>
          <w:sz w:val="20"/>
          <w:szCs w:val="20"/>
          <w:lang w:eastAsia="en-GB"/>
        </w:rPr>
        <w:t>i.e.</w:t>
      </w:r>
      <w:r w:rsidR="009F456F" w:rsidRPr="00CD2AD2">
        <w:rPr>
          <w:rFonts w:cs="Arial"/>
          <w:color w:val="auto"/>
          <w:sz w:val="20"/>
          <w:szCs w:val="20"/>
          <w:lang w:eastAsia="en-GB"/>
        </w:rPr>
        <w:t xml:space="preserve"> investments and cash equivalents) - assets that have a quoted market price and/or do not have fixed or determinable payments</w:t>
      </w:r>
      <w:r w:rsidR="009F456F" w:rsidRPr="0005794A">
        <w:rPr>
          <w:rFonts w:cs="Arial"/>
          <w:color w:val="548DD4" w:themeColor="text2" w:themeTint="99"/>
          <w:sz w:val="20"/>
          <w:szCs w:val="20"/>
          <w:lang w:eastAsia="en-GB"/>
        </w:rPr>
        <w:t>.</w:t>
      </w:r>
    </w:p>
    <w:p w:rsidR="00E51139" w:rsidRPr="0005794A" w:rsidRDefault="00E51139" w:rsidP="00E769F5">
      <w:pPr>
        <w:pStyle w:val="PlainText"/>
        <w:spacing w:line="240" w:lineRule="atLeast"/>
        <w:rPr>
          <w:rFonts w:ascii="Arial" w:hAnsi="Arial"/>
          <w:color w:val="548DD4" w:themeColor="text2" w:themeTint="99"/>
        </w:rPr>
      </w:pPr>
      <w:r w:rsidRPr="0005794A">
        <w:rPr>
          <w:b/>
          <w:color w:val="548DD4" w:themeColor="text2" w:themeTint="99"/>
        </w:rPr>
        <w:tab/>
      </w:r>
      <w:r w:rsidRPr="0005794A">
        <w:rPr>
          <w:b/>
          <w:color w:val="548DD4" w:themeColor="text2" w:themeTint="99"/>
        </w:rPr>
        <w:tab/>
      </w: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B</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 xml:space="preserve">Borrowing - </w:t>
      </w:r>
      <w:r w:rsidRPr="00CD2AD2">
        <w:rPr>
          <w:rFonts w:ascii="Arial" w:hAnsi="Arial"/>
        </w:rPr>
        <w:t xml:space="preserve">Councils borrow to fund Capital expenditure or for temporary cash flow requirements. The majority of Council borrowing will be from Central Government by means of the Public Works Loans Board. </w:t>
      </w:r>
      <w:proofErr w:type="spellStart"/>
      <w:r w:rsidRPr="00CD2AD2">
        <w:rPr>
          <w:rFonts w:ascii="Arial" w:hAnsi="Arial"/>
        </w:rPr>
        <w:t>Council’s</w:t>
      </w:r>
      <w:proofErr w:type="spellEnd"/>
      <w:r w:rsidRPr="00CD2AD2">
        <w:rPr>
          <w:rFonts w:ascii="Arial" w:hAnsi="Arial"/>
        </w:rPr>
        <w:t xml:space="preserve"> are free to use other borrowing options provided they are within the Council’s treasury management arrangements.</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C</w:t>
      </w:r>
    </w:p>
    <w:p w:rsidR="00E51139" w:rsidRPr="00CD2AD2" w:rsidRDefault="00E51139" w:rsidP="00E769F5">
      <w:pPr>
        <w:pStyle w:val="PlainText"/>
        <w:spacing w:line="240" w:lineRule="atLeast"/>
        <w:rPr>
          <w:rFonts w:ascii="Arial" w:hAnsi="Arial"/>
          <w:b/>
        </w:rPr>
      </w:pPr>
    </w:p>
    <w:p w:rsidR="00E51139" w:rsidRPr="00CD2AD2" w:rsidRDefault="00E51139" w:rsidP="00E769F5">
      <w:pPr>
        <w:pStyle w:val="PlainText"/>
        <w:spacing w:line="240" w:lineRule="atLeast"/>
        <w:rPr>
          <w:rFonts w:ascii="Arial" w:hAnsi="Arial"/>
        </w:rPr>
      </w:pPr>
      <w:r w:rsidRPr="00CD2AD2">
        <w:rPr>
          <w:rFonts w:ascii="Arial" w:hAnsi="Arial"/>
          <w:b/>
        </w:rPr>
        <w:t>Capital Expenditure</w:t>
      </w:r>
      <w:r w:rsidRPr="00CD2AD2">
        <w:rPr>
          <w:rFonts w:ascii="Arial" w:hAnsi="Arial"/>
        </w:rPr>
        <w:t xml:space="preserve"> - payments made for the acquisition, provision or improvement of assets, which will be of a long-term value to the Council, e.g., land and buildings. </w:t>
      </w:r>
    </w:p>
    <w:p w:rsidR="00E51139" w:rsidRPr="00CD2AD2" w:rsidRDefault="00E51139" w:rsidP="00E769F5">
      <w:pPr>
        <w:pStyle w:val="PlainText"/>
        <w:spacing w:line="240" w:lineRule="atLeast"/>
        <w:rPr>
          <w:rFonts w:ascii="Arial" w:hAnsi="Arial"/>
          <w:b/>
        </w:rPr>
      </w:pPr>
    </w:p>
    <w:p w:rsidR="008922D3" w:rsidRPr="00CD2AD2" w:rsidRDefault="00E51139" w:rsidP="008922D3">
      <w:pPr>
        <w:pStyle w:val="ExampleText"/>
        <w:ind w:left="0"/>
        <w:rPr>
          <w:rFonts w:ascii="Arial" w:hAnsi="Arial" w:cs="Arial"/>
          <w:color w:val="auto"/>
        </w:rPr>
      </w:pPr>
      <w:r w:rsidRPr="00CD2AD2">
        <w:rPr>
          <w:rFonts w:ascii="Arial" w:hAnsi="Arial"/>
          <w:b/>
          <w:color w:val="auto"/>
        </w:rPr>
        <w:t>Capital Adjustment Account</w:t>
      </w:r>
      <w:r w:rsidRPr="00CD2AD2">
        <w:rPr>
          <w:rFonts w:ascii="Arial" w:hAnsi="Arial"/>
          <w:color w:val="auto"/>
        </w:rPr>
        <w:t xml:space="preserve"> - The Capital Adjustment Account represents the capital funding used to finance capital investment immediately from capital receipts and directly from revenue. It also contains amounts which in the past were required by statute to be set aside from capital receipts for the repayment of external loans. The Account is also used to compensate the General Fund Revenue Account for any excess of charges paid in respect of depreciation of assets over the statutory Minimum Revenue Provision which Council Taxpayers are required to bear.</w:t>
      </w:r>
      <w:r w:rsidR="008922D3" w:rsidRPr="00CD2AD2">
        <w:rPr>
          <w:rFonts w:ascii="Arial" w:hAnsi="Arial" w:cs="Arial"/>
          <w:color w:val="auto"/>
        </w:rPr>
        <w:t xml:space="preserve"> 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Council as finance for the costs of acquisition, construction and enhancement.</w:t>
      </w:r>
    </w:p>
    <w:p w:rsidR="008922D3" w:rsidRPr="00CD2AD2" w:rsidRDefault="008922D3" w:rsidP="008922D3">
      <w:pPr>
        <w:pStyle w:val="ExampleText"/>
        <w:ind w:left="0"/>
        <w:rPr>
          <w:rFonts w:ascii="Arial" w:hAnsi="Arial" w:cs="Arial"/>
          <w:color w:val="auto"/>
        </w:rPr>
      </w:pPr>
      <w:r w:rsidRPr="00CD2AD2">
        <w:rPr>
          <w:rFonts w:ascii="Arial" w:hAnsi="Arial" w:cs="Arial"/>
          <w:color w:val="auto"/>
        </w:rPr>
        <w:t xml:space="preserve">The Account contains accumulated gains and losses on Investment Properties and accumulated losses on Assets held for Sale that have yet to be consumed by the Council. The Account also contains revaluation gains accumulated on </w:t>
      </w:r>
      <w:proofErr w:type="spellStart"/>
      <w:r w:rsidRPr="00CD2AD2">
        <w:rPr>
          <w:rFonts w:ascii="Arial" w:hAnsi="Arial" w:cs="Arial"/>
          <w:color w:val="auto"/>
        </w:rPr>
        <w:t>non current</w:t>
      </w:r>
      <w:proofErr w:type="spellEnd"/>
      <w:r w:rsidRPr="00CD2AD2">
        <w:rPr>
          <w:rFonts w:ascii="Arial" w:hAnsi="Arial" w:cs="Arial"/>
          <w:color w:val="auto"/>
        </w:rPr>
        <w:t xml:space="preserve"> assets before 1 April 2007, the date that the Revaluation Reserve was created to hold such gains. </w:t>
      </w:r>
    </w:p>
    <w:p w:rsidR="00E51139" w:rsidRPr="0005794A" w:rsidRDefault="00E51139" w:rsidP="00E769F5">
      <w:pPr>
        <w:pStyle w:val="PlainText"/>
        <w:spacing w:line="240" w:lineRule="atLeast"/>
        <w:rPr>
          <w:rFonts w:ascii="Arial" w:hAnsi="Arial"/>
          <w:color w:val="548DD4" w:themeColor="text2" w:themeTint="99"/>
        </w:rPr>
      </w:pPr>
    </w:p>
    <w:p w:rsidR="00E51139" w:rsidRPr="0005794A" w:rsidRDefault="00E51139" w:rsidP="00E769F5">
      <w:pPr>
        <w:pStyle w:val="PlainText"/>
        <w:spacing w:line="240" w:lineRule="atLeast"/>
        <w:rPr>
          <w:rFonts w:ascii="Arial" w:hAnsi="Arial"/>
          <w:b/>
          <w:color w:val="548DD4" w:themeColor="text2" w:themeTint="99"/>
        </w:rPr>
      </w:pPr>
    </w:p>
    <w:p w:rsidR="00A809DE" w:rsidRPr="00CD2AD2" w:rsidRDefault="00E51139" w:rsidP="00E769F5">
      <w:pPr>
        <w:pStyle w:val="BodyTextIndent"/>
        <w:tabs>
          <w:tab w:val="left" w:pos="1350"/>
        </w:tabs>
        <w:ind w:left="0"/>
        <w:rPr>
          <w:snapToGrid w:val="0"/>
          <w:color w:val="auto"/>
          <w:sz w:val="20"/>
          <w:szCs w:val="20"/>
        </w:rPr>
      </w:pPr>
      <w:r w:rsidRPr="00CD2AD2">
        <w:rPr>
          <w:b/>
          <w:color w:val="auto"/>
          <w:sz w:val="20"/>
          <w:szCs w:val="20"/>
        </w:rPr>
        <w:t>Capital Financing Requirement -</w:t>
      </w:r>
      <w:r w:rsidRPr="00CD2AD2">
        <w:rPr>
          <w:color w:val="auto"/>
          <w:sz w:val="20"/>
          <w:szCs w:val="20"/>
        </w:rPr>
        <w:t xml:space="preserve"> T</w:t>
      </w:r>
      <w:r w:rsidRPr="00CD2AD2">
        <w:rPr>
          <w:snapToGrid w:val="0"/>
          <w:color w:val="auto"/>
          <w:sz w:val="20"/>
          <w:szCs w:val="20"/>
        </w:rPr>
        <w:t>he Capital Financing Requirement shows the underlying need to borrow as a result of capital investment and resources set aside in the year. The CFR was introduced from 1 April 2004 by the Prudential Code for Capital Finance and reflects the movement in the Balance Sheet Accounts for Fixed Assets, Capital Financing Account, Government Grants Deferred and the Fixed Asset Restatement Account.</w:t>
      </w:r>
    </w:p>
    <w:p w:rsidR="00A809DE" w:rsidRPr="00CD2AD2" w:rsidRDefault="00A809DE" w:rsidP="00E769F5">
      <w:pPr>
        <w:pStyle w:val="BodyTextIndent"/>
        <w:tabs>
          <w:tab w:val="left" w:pos="1350"/>
        </w:tabs>
        <w:ind w:left="0"/>
        <w:rPr>
          <w:b/>
          <w:snapToGrid w:val="0"/>
          <w:color w:val="auto"/>
          <w:sz w:val="20"/>
          <w:szCs w:val="20"/>
        </w:rPr>
      </w:pPr>
      <w:r w:rsidRPr="00CD2AD2">
        <w:rPr>
          <w:b/>
          <w:snapToGrid w:val="0"/>
          <w:color w:val="auto"/>
          <w:sz w:val="20"/>
          <w:szCs w:val="20"/>
        </w:rPr>
        <w:t xml:space="preserve">Capital Grants and Contributions Unapplied Reserve - </w:t>
      </w:r>
      <w:r w:rsidRPr="00CD2AD2">
        <w:rPr>
          <w:snapToGrid w:val="0"/>
          <w:color w:val="auto"/>
          <w:sz w:val="20"/>
          <w:szCs w:val="20"/>
        </w:rPr>
        <w:t xml:space="preserve">This reserve holds the balance of any capital grants and contributions at the end of each financial year that have been received and </w:t>
      </w:r>
      <w:r w:rsidRPr="00CD2AD2">
        <w:rPr>
          <w:snapToGrid w:val="0"/>
          <w:color w:val="auto"/>
          <w:sz w:val="20"/>
          <w:szCs w:val="20"/>
        </w:rPr>
        <w:lastRenderedPageBreak/>
        <w:t xml:space="preserve">recognised as income in the Comprehensive Income and Expenditure Account but not yet applied to finance capital expenditure. </w:t>
      </w:r>
    </w:p>
    <w:p w:rsidR="00E51139" w:rsidRPr="00CD2AD2" w:rsidRDefault="00E51139" w:rsidP="00E769F5">
      <w:pPr>
        <w:pStyle w:val="PlainText"/>
        <w:spacing w:line="240" w:lineRule="atLeast"/>
        <w:rPr>
          <w:rFonts w:ascii="Arial" w:hAnsi="Arial"/>
        </w:rPr>
      </w:pPr>
      <w:r w:rsidRPr="00CD2AD2">
        <w:rPr>
          <w:rFonts w:ascii="Arial" w:hAnsi="Arial"/>
          <w:b/>
        </w:rPr>
        <w:t>Capital Receipts</w:t>
      </w:r>
      <w:r w:rsidRPr="00CD2AD2">
        <w:rPr>
          <w:rFonts w:ascii="Arial" w:hAnsi="Arial"/>
        </w:rPr>
        <w:t xml:space="preserve"> - money received from the sale of assets or the repayment of grants and loans which is available for financing future capital expenditure. </w:t>
      </w:r>
    </w:p>
    <w:p w:rsidR="00882A59" w:rsidRPr="00CD2AD2" w:rsidRDefault="00882A59" w:rsidP="00882A59">
      <w:pPr>
        <w:pStyle w:val="ExampleText"/>
        <w:ind w:left="0"/>
        <w:rPr>
          <w:rFonts w:ascii="Arial" w:hAnsi="Arial" w:cs="Arial"/>
          <w:color w:val="auto"/>
        </w:rPr>
      </w:pPr>
      <w:r w:rsidRPr="00CD2AD2">
        <w:rPr>
          <w:rFonts w:ascii="Arial" w:hAnsi="Arial" w:cs="Arial"/>
          <w:b/>
          <w:color w:val="auto"/>
        </w:rPr>
        <w:t>Capital Receipts Reserve</w:t>
      </w:r>
      <w:r w:rsidRPr="00CD2AD2">
        <w:rPr>
          <w:rFonts w:ascii="Arial" w:hAnsi="Arial" w:cs="Arial"/>
          <w:color w:val="auto"/>
        </w:rPr>
        <w:t xml:space="preserve"> </w:t>
      </w:r>
      <w:proofErr w:type="gramStart"/>
      <w:r w:rsidRPr="00CD2AD2">
        <w:rPr>
          <w:rFonts w:ascii="Arial" w:hAnsi="Arial" w:cs="Arial"/>
          <w:color w:val="auto"/>
        </w:rPr>
        <w:t>-  This</w:t>
      </w:r>
      <w:proofErr w:type="gramEnd"/>
      <w:r w:rsidRPr="00CD2AD2">
        <w:rPr>
          <w:rFonts w:ascii="Arial" w:hAnsi="Arial" w:cs="Arial"/>
          <w:color w:val="auto"/>
        </w:rPr>
        <w:t xml:space="preserve"> reserve holds the balance of any capital receipts at the end of each financial year that have been received and recognised as income in the Comprehensive Income and Expenditure Account but not yet applied to finance capital expenditure. </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b/>
        </w:rPr>
      </w:pPr>
      <w:r w:rsidRPr="00CD2AD2">
        <w:rPr>
          <w:rFonts w:ascii="Arial" w:hAnsi="Arial"/>
          <w:b/>
        </w:rPr>
        <w:t xml:space="preserve">Cash &amp; Cash Equivalents – </w:t>
      </w:r>
      <w:r w:rsidRPr="00CD2AD2">
        <w:rPr>
          <w:rFonts w:ascii="Arial" w:hAnsi="Arial"/>
        </w:rPr>
        <w:t>cash, bank balances and short term investments that are held for the primary purpose of short term cash flow purposes and not for investment purposes.</w:t>
      </w:r>
    </w:p>
    <w:p w:rsidR="00E51139" w:rsidRPr="00CD2AD2" w:rsidRDefault="00E51139" w:rsidP="00E769F5">
      <w:pPr>
        <w:pStyle w:val="PlainText"/>
        <w:spacing w:line="240" w:lineRule="atLeast"/>
        <w:rPr>
          <w:rFonts w:ascii="Arial" w:hAnsi="Arial"/>
        </w:rPr>
      </w:pPr>
    </w:p>
    <w:p w:rsidR="00F24962" w:rsidRPr="00CD2AD2" w:rsidRDefault="00F24962" w:rsidP="008D0906">
      <w:pPr>
        <w:pStyle w:val="PlainText"/>
        <w:spacing w:line="240" w:lineRule="atLeast"/>
        <w:outlineLvl w:val="0"/>
        <w:rPr>
          <w:rFonts w:ascii="Arial" w:hAnsi="Arial"/>
        </w:rPr>
      </w:pPr>
      <w:r w:rsidRPr="00CD2AD2">
        <w:rPr>
          <w:rFonts w:ascii="Arial" w:hAnsi="Arial"/>
          <w:b/>
        </w:rPr>
        <w:t xml:space="preserve">CCG - </w:t>
      </w:r>
      <w:r w:rsidRPr="00CD2AD2">
        <w:rPr>
          <w:rFonts w:ascii="Arial" w:hAnsi="Arial"/>
        </w:rPr>
        <w:t xml:space="preserve">The NHS Torbay and South Devon </w:t>
      </w:r>
      <w:r w:rsidR="007E33E1" w:rsidRPr="00CD2AD2">
        <w:rPr>
          <w:rFonts w:ascii="Arial" w:hAnsi="Arial"/>
        </w:rPr>
        <w:t>Clinical</w:t>
      </w:r>
      <w:r w:rsidRPr="00CD2AD2">
        <w:rPr>
          <w:rFonts w:ascii="Arial" w:hAnsi="Arial"/>
        </w:rPr>
        <w:t xml:space="preserve"> </w:t>
      </w:r>
      <w:r w:rsidR="007E33E1" w:rsidRPr="00CD2AD2">
        <w:rPr>
          <w:rFonts w:ascii="Arial" w:hAnsi="Arial"/>
        </w:rPr>
        <w:t>Commissioning</w:t>
      </w:r>
      <w:r w:rsidRPr="00CD2AD2">
        <w:rPr>
          <w:rFonts w:ascii="Arial" w:hAnsi="Arial"/>
        </w:rPr>
        <w:t xml:space="preserve"> Group. The NHS body responsible for the </w:t>
      </w:r>
      <w:r w:rsidR="007E33E1" w:rsidRPr="00CD2AD2">
        <w:rPr>
          <w:rFonts w:ascii="Arial" w:hAnsi="Arial"/>
        </w:rPr>
        <w:t>commissioning</w:t>
      </w:r>
      <w:r w:rsidRPr="00CD2AD2">
        <w:rPr>
          <w:rFonts w:ascii="Arial" w:hAnsi="Arial"/>
        </w:rPr>
        <w:t xml:space="preserve"> of health services in Torbay.</w:t>
      </w:r>
    </w:p>
    <w:p w:rsidR="00F24962" w:rsidRPr="0005794A" w:rsidRDefault="00F24962" w:rsidP="00E769F5">
      <w:pPr>
        <w:pStyle w:val="PlainText"/>
        <w:spacing w:line="240" w:lineRule="atLeast"/>
        <w:rPr>
          <w:rFonts w:ascii="Arial" w:hAnsi="Arial"/>
          <w:b/>
          <w:color w:val="548DD4" w:themeColor="text2" w:themeTint="99"/>
        </w:rPr>
      </w:pPr>
    </w:p>
    <w:p w:rsidR="00E51139" w:rsidRPr="00CD2AD2" w:rsidRDefault="00E51139" w:rsidP="00E769F5">
      <w:pPr>
        <w:pStyle w:val="PlainText"/>
        <w:spacing w:line="240" w:lineRule="atLeast"/>
        <w:rPr>
          <w:rFonts w:ascii="Arial" w:hAnsi="Arial"/>
          <w:b/>
        </w:rPr>
      </w:pPr>
      <w:r w:rsidRPr="00CD2AD2">
        <w:rPr>
          <w:rFonts w:ascii="Arial" w:hAnsi="Arial"/>
          <w:b/>
        </w:rPr>
        <w:t xml:space="preserve">CIPFA – </w:t>
      </w:r>
      <w:r w:rsidRPr="00CD2AD2">
        <w:rPr>
          <w:rFonts w:ascii="Arial" w:hAnsi="Arial"/>
        </w:rPr>
        <w:t>The Chartered Institute of Public Finance and Accountancy – the accounting institute that helps regulate and support accountants in the public sector.</w:t>
      </w:r>
    </w:p>
    <w:p w:rsidR="00E51139" w:rsidRPr="00CD2AD2" w:rsidRDefault="00E51139" w:rsidP="00E769F5">
      <w:pPr>
        <w:pStyle w:val="PlainText"/>
        <w:spacing w:line="240" w:lineRule="atLeast"/>
        <w:rPr>
          <w:rFonts w:ascii="Arial" w:hAnsi="Arial"/>
          <w:b/>
        </w:rPr>
      </w:pPr>
    </w:p>
    <w:p w:rsidR="00592AA7" w:rsidRPr="00CD2AD2" w:rsidRDefault="00592AA7" w:rsidP="008D0906">
      <w:pPr>
        <w:pStyle w:val="PlainText"/>
        <w:spacing w:line="240" w:lineRule="atLeast"/>
        <w:outlineLvl w:val="0"/>
        <w:rPr>
          <w:rFonts w:ascii="Arial" w:hAnsi="Arial"/>
          <w:b/>
        </w:rPr>
      </w:pPr>
      <w:r w:rsidRPr="00CD2AD2">
        <w:rPr>
          <w:rFonts w:ascii="Arial" w:hAnsi="Arial"/>
          <w:b/>
        </w:rPr>
        <w:t xml:space="preserve">CCLA </w:t>
      </w:r>
      <w:r w:rsidRPr="00CD2AD2">
        <w:rPr>
          <w:rFonts w:ascii="Arial" w:hAnsi="Arial"/>
        </w:rPr>
        <w:t xml:space="preserve">– Churches, Charities and Local </w:t>
      </w:r>
      <w:proofErr w:type="spellStart"/>
      <w:r w:rsidRPr="00CD2AD2">
        <w:rPr>
          <w:rFonts w:ascii="Arial" w:hAnsi="Arial"/>
        </w:rPr>
        <w:t>Authoritues</w:t>
      </w:r>
      <w:proofErr w:type="spellEnd"/>
      <w:r w:rsidRPr="00CD2AD2">
        <w:rPr>
          <w:rFonts w:ascii="Arial" w:hAnsi="Arial"/>
        </w:rPr>
        <w:t xml:space="preserve">. A property fund used for </w:t>
      </w:r>
      <w:proofErr w:type="spellStart"/>
      <w:r w:rsidRPr="00CD2AD2">
        <w:rPr>
          <w:rFonts w:ascii="Arial" w:hAnsi="Arial"/>
        </w:rPr>
        <w:t>soem</w:t>
      </w:r>
      <w:proofErr w:type="spellEnd"/>
      <w:r w:rsidRPr="00CD2AD2">
        <w:rPr>
          <w:rFonts w:ascii="Arial" w:hAnsi="Arial"/>
        </w:rPr>
        <w:t xml:space="preserve"> of the Council’s cash investments</w:t>
      </w:r>
      <w:r w:rsidRPr="00CD2AD2">
        <w:rPr>
          <w:rFonts w:ascii="Arial" w:hAnsi="Arial"/>
          <w:b/>
        </w:rPr>
        <w:t xml:space="preserve"> </w:t>
      </w:r>
    </w:p>
    <w:p w:rsidR="00592AA7" w:rsidRPr="00CD2AD2" w:rsidRDefault="00592AA7" w:rsidP="00E769F5">
      <w:pPr>
        <w:pStyle w:val="PlainText"/>
        <w:spacing w:line="240" w:lineRule="atLeast"/>
        <w:rPr>
          <w:rFonts w:ascii="Arial" w:hAnsi="Arial"/>
          <w:b/>
        </w:rPr>
      </w:pPr>
    </w:p>
    <w:p w:rsidR="00E51139" w:rsidRPr="00CD2AD2" w:rsidRDefault="00E51139" w:rsidP="00E769F5">
      <w:pPr>
        <w:pStyle w:val="PlainText"/>
        <w:spacing w:line="240" w:lineRule="atLeast"/>
        <w:rPr>
          <w:rFonts w:ascii="Arial" w:hAnsi="Arial"/>
          <w:b/>
        </w:rPr>
      </w:pPr>
      <w:r w:rsidRPr="00CD2AD2">
        <w:rPr>
          <w:rFonts w:ascii="Arial" w:hAnsi="Arial"/>
          <w:b/>
        </w:rPr>
        <w:t xml:space="preserve">Code – </w:t>
      </w:r>
      <w:r w:rsidRPr="00CD2AD2">
        <w:rPr>
          <w:rFonts w:ascii="Arial" w:hAnsi="Arial"/>
        </w:rPr>
        <w:t>The CIPFA Accounting Code of Practice – the guidance for Council’s in producing their IFRS compliant accounts.</w:t>
      </w:r>
    </w:p>
    <w:p w:rsidR="00616E75" w:rsidRPr="00CD2AD2" w:rsidRDefault="00616E75" w:rsidP="00616E75">
      <w:pPr>
        <w:pStyle w:val="ExampleText"/>
        <w:ind w:left="0"/>
        <w:rPr>
          <w:rFonts w:ascii="Arial" w:hAnsi="Arial" w:cs="Arial"/>
          <w:color w:val="auto"/>
        </w:rPr>
      </w:pPr>
      <w:r w:rsidRPr="00CD2AD2">
        <w:rPr>
          <w:rFonts w:ascii="Arial" w:hAnsi="Arial" w:cs="Arial"/>
          <w:b/>
          <w:color w:val="auto"/>
        </w:rPr>
        <w:t>Collection Fund Adjustment Account</w:t>
      </w:r>
      <w:r w:rsidRPr="00CD2AD2">
        <w:rPr>
          <w:rFonts w:ascii="Arial" w:hAnsi="Arial" w:cs="Arial"/>
          <w:color w:val="auto"/>
        </w:rPr>
        <w:t xml:space="preserve"> - The Collection Fund Adjustment Account manages the differences arising from the recognition of council tax and NNDR income in the Comprehensive Income and Expenditure Statement as it falls due from council tax payers compared with the statutory arrangements for paying across amounts to the General Fund from the Collection Fund.</w:t>
      </w:r>
    </w:p>
    <w:p w:rsidR="00A24B28" w:rsidRPr="00CD2AD2" w:rsidRDefault="00A24B28" w:rsidP="00E769F5">
      <w:pPr>
        <w:pStyle w:val="PlainText"/>
        <w:spacing w:line="240" w:lineRule="atLeast"/>
        <w:rPr>
          <w:rFonts w:ascii="Arial" w:hAnsi="Arial"/>
          <w:b/>
        </w:rPr>
      </w:pPr>
    </w:p>
    <w:p w:rsidR="00A24B28" w:rsidRPr="00CD2AD2" w:rsidRDefault="009224FE" w:rsidP="009224FE">
      <w:pPr>
        <w:autoSpaceDE w:val="0"/>
        <w:autoSpaceDN w:val="0"/>
        <w:rPr>
          <w:rFonts w:eastAsia="Times New Roman" w:cs="Arial"/>
          <w:color w:val="auto"/>
          <w:sz w:val="20"/>
          <w:szCs w:val="20"/>
          <w:lang w:eastAsia="en-GB"/>
        </w:rPr>
      </w:pPr>
      <w:r w:rsidRPr="00CD2AD2">
        <w:rPr>
          <w:rFonts w:eastAsia="Times New Roman" w:cs="Arial"/>
          <w:b/>
          <w:color w:val="auto"/>
          <w:sz w:val="20"/>
          <w:szCs w:val="20"/>
          <w:lang w:eastAsia="en-GB"/>
        </w:rPr>
        <w:t>C</w:t>
      </w:r>
      <w:r w:rsidR="00A24B28" w:rsidRPr="00CD2AD2">
        <w:rPr>
          <w:rFonts w:eastAsia="Times New Roman" w:cs="Arial"/>
          <w:b/>
          <w:color w:val="auto"/>
          <w:sz w:val="20"/>
          <w:szCs w:val="20"/>
          <w:lang w:eastAsia="en-GB"/>
        </w:rPr>
        <w:t xml:space="preserve">ontingent asset </w:t>
      </w:r>
      <w:r w:rsidRPr="00CD2AD2">
        <w:rPr>
          <w:rFonts w:eastAsia="Times New Roman" w:cs="Arial"/>
          <w:b/>
          <w:color w:val="auto"/>
          <w:sz w:val="20"/>
          <w:szCs w:val="20"/>
          <w:lang w:eastAsia="en-GB"/>
        </w:rPr>
        <w:t>-</w:t>
      </w:r>
      <w:r w:rsidRPr="00CD2AD2">
        <w:rPr>
          <w:rFonts w:eastAsia="Times New Roman" w:cs="Arial"/>
          <w:color w:val="auto"/>
          <w:sz w:val="20"/>
          <w:szCs w:val="20"/>
          <w:lang w:eastAsia="en-GB"/>
        </w:rPr>
        <w:t xml:space="preserve"> </w:t>
      </w:r>
      <w:r w:rsidR="00A24B28" w:rsidRPr="00CD2AD2">
        <w:rPr>
          <w:rFonts w:eastAsia="Times New Roman" w:cs="Arial"/>
          <w:color w:val="auto"/>
          <w:sz w:val="20"/>
          <w:szCs w:val="20"/>
          <w:lang w:eastAsia="en-GB"/>
        </w:rPr>
        <w:t>arises where an event has taken place that gives the Council a possible asset whose existence will only be confirmed by the occurrence or otherwise of uncertain future events not wholly within the control of the Council.</w:t>
      </w:r>
    </w:p>
    <w:p w:rsidR="00A24B28" w:rsidRPr="00CD2AD2" w:rsidRDefault="009224FE" w:rsidP="00E769F5">
      <w:pPr>
        <w:pStyle w:val="PlainText"/>
        <w:spacing w:line="240" w:lineRule="atLeast"/>
        <w:rPr>
          <w:rFonts w:ascii="Arial" w:hAnsi="Arial" w:cs="Arial"/>
          <w:lang w:eastAsia="en-GB"/>
        </w:rPr>
      </w:pPr>
      <w:r w:rsidRPr="00CD2AD2">
        <w:rPr>
          <w:rFonts w:ascii="Arial" w:hAnsi="Arial" w:cs="Arial"/>
          <w:b/>
          <w:lang w:eastAsia="en-GB"/>
        </w:rPr>
        <w:t>C</w:t>
      </w:r>
      <w:r w:rsidR="00A24B28" w:rsidRPr="00CD2AD2">
        <w:rPr>
          <w:rFonts w:ascii="Arial" w:hAnsi="Arial" w:cs="Arial"/>
          <w:b/>
          <w:lang w:eastAsia="en-GB"/>
        </w:rPr>
        <w:t>ontingent liability</w:t>
      </w:r>
      <w:r w:rsidR="00A24B28" w:rsidRPr="00CD2AD2">
        <w:rPr>
          <w:rFonts w:ascii="Arial" w:hAnsi="Arial" w:cs="Arial"/>
          <w:lang w:eastAsia="en-GB"/>
        </w:rPr>
        <w:t xml:space="preserve"> </w:t>
      </w:r>
      <w:r w:rsidRPr="00CD2AD2">
        <w:rPr>
          <w:rFonts w:ascii="Arial" w:hAnsi="Arial" w:cs="Arial"/>
          <w:lang w:eastAsia="en-GB"/>
        </w:rPr>
        <w:t xml:space="preserve">- </w:t>
      </w:r>
      <w:r w:rsidR="00A24B28" w:rsidRPr="00CD2AD2">
        <w:rPr>
          <w:rFonts w:ascii="Arial" w:hAnsi="Arial" w:cs="Arial"/>
          <w:lang w:eastAsia="en-GB"/>
        </w:rPr>
        <w:t>arises where an event has taken place that gives the Council a possible obligation whose existence will only be confirmed by the occurrence or otherwise of uncertain future events not wholly within the control of the Council</w:t>
      </w:r>
    </w:p>
    <w:p w:rsidR="00A24B28" w:rsidRPr="00CD2AD2" w:rsidRDefault="00A24B28"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 xml:space="preserve">Corporate and Democratic Core </w:t>
      </w:r>
      <w:r w:rsidRPr="00CD2AD2">
        <w:rPr>
          <w:rFonts w:ascii="Arial" w:hAnsi="Arial"/>
        </w:rPr>
        <w:t>– All activities which the Council engage in specifically because they are elected, multi-purpose authorities.</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Current</w:t>
      </w:r>
      <w:r w:rsidRPr="00CD2AD2">
        <w:rPr>
          <w:rFonts w:ascii="Arial" w:hAnsi="Arial"/>
        </w:rPr>
        <w:t xml:space="preserve"> – a term applied to different categories of assets and liabilities to reflect that the asset or liability will be used or incurred within twelve months.</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Current Service Costs (pension)</w:t>
      </w:r>
      <w:r w:rsidRPr="00CD2AD2">
        <w:rPr>
          <w:rFonts w:ascii="Arial" w:hAnsi="Arial"/>
        </w:rPr>
        <w:t xml:space="preserve"> – The increase in the present value of a defined benefit pension scheme’s costs due to the employee service in the current period.</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 xml:space="preserve">Current Value – </w:t>
      </w:r>
      <w:r w:rsidRPr="00CD2AD2">
        <w:rPr>
          <w:rFonts w:ascii="Arial" w:hAnsi="Arial"/>
        </w:rPr>
        <w:t>The value that the majority of fixed assets are held at in the Council’s balance sheet. This value reflects the most recent valuation of that asset or pending a valuation the current value is increased by capital expenditure on that asset.</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Curtailmen</w:t>
      </w:r>
      <w:r w:rsidRPr="00CD2AD2">
        <w:rPr>
          <w:rFonts w:ascii="Arial" w:hAnsi="Arial"/>
        </w:rPr>
        <w:t>t – For a defined benefit pension scheme, an event that reduces the expected years of future service of employees.</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Creditors</w:t>
      </w:r>
      <w:r w:rsidRPr="00CD2AD2">
        <w:rPr>
          <w:rFonts w:ascii="Arial" w:hAnsi="Arial"/>
        </w:rPr>
        <w:t xml:space="preserve"> - amounts owed by the Council for work done, goods received or services rendered but for which payment had not been made by the end of the year. </w:t>
      </w:r>
    </w:p>
    <w:p w:rsidR="00E51139" w:rsidRDefault="00E51139" w:rsidP="00E769F5">
      <w:pPr>
        <w:pStyle w:val="PlainText"/>
        <w:spacing w:line="240" w:lineRule="atLeast"/>
        <w:rPr>
          <w:rFonts w:ascii="Arial" w:hAnsi="Arial"/>
        </w:rPr>
      </w:pPr>
    </w:p>
    <w:p w:rsidR="00FF34F8" w:rsidRPr="00CD2AD2" w:rsidRDefault="00FF34F8"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lastRenderedPageBreak/>
        <w:t>D</w:t>
      </w:r>
    </w:p>
    <w:p w:rsidR="00E51139" w:rsidRPr="0005794A" w:rsidRDefault="00E51139" w:rsidP="00E769F5">
      <w:pPr>
        <w:pStyle w:val="PlainText"/>
        <w:spacing w:line="240" w:lineRule="atLeast"/>
        <w:rPr>
          <w:rFonts w:ascii="Arial" w:hAnsi="Arial"/>
          <w:color w:val="548DD4" w:themeColor="text2" w:themeTint="99"/>
        </w:rPr>
      </w:pPr>
    </w:p>
    <w:p w:rsidR="00E51139" w:rsidRPr="0005794A" w:rsidRDefault="00E51139" w:rsidP="00E769F5">
      <w:pPr>
        <w:pStyle w:val="PlainText"/>
        <w:spacing w:line="240" w:lineRule="atLeast"/>
        <w:rPr>
          <w:rFonts w:ascii="Arial" w:hAnsi="Arial"/>
          <w:color w:val="548DD4" w:themeColor="text2" w:themeTint="99"/>
        </w:rPr>
      </w:pPr>
    </w:p>
    <w:p w:rsidR="00E51139" w:rsidRDefault="00E51139" w:rsidP="00E769F5">
      <w:pPr>
        <w:pStyle w:val="PlainText"/>
        <w:spacing w:line="240" w:lineRule="atLeast"/>
        <w:rPr>
          <w:rFonts w:ascii="Arial" w:hAnsi="Arial"/>
        </w:rPr>
      </w:pPr>
      <w:proofErr w:type="spellStart"/>
      <w:r w:rsidRPr="00CD2AD2">
        <w:rPr>
          <w:rFonts w:ascii="Arial" w:hAnsi="Arial"/>
          <w:b/>
        </w:rPr>
        <w:t>DfE</w:t>
      </w:r>
      <w:proofErr w:type="spellEnd"/>
      <w:r w:rsidRPr="00CD2AD2">
        <w:rPr>
          <w:rFonts w:ascii="Arial" w:hAnsi="Arial"/>
        </w:rPr>
        <w:t xml:space="preserve"> – the Department of Education, the central government department responsible for a number of service including schools. </w:t>
      </w:r>
    </w:p>
    <w:p w:rsidR="00CD2AD2" w:rsidRPr="00CD2AD2" w:rsidRDefault="00CD2AD2"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Debtors</w:t>
      </w:r>
      <w:r w:rsidRPr="00CD2AD2">
        <w:rPr>
          <w:rFonts w:ascii="Arial" w:hAnsi="Arial"/>
        </w:rPr>
        <w:t xml:space="preserve"> - sums of money due to the Council but unpaid at the end of the year. </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Defined contribution / defined benefit schemes (Pension costs)</w:t>
      </w:r>
      <w:r w:rsidRPr="00CD2AD2">
        <w:rPr>
          <w:rFonts w:ascii="Arial" w:hAnsi="Arial"/>
        </w:rPr>
        <w:t xml:space="preserve"> – There is an important distinction between defined contribution and defined benefit schemes in terms of pension accounting. </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ind w:left="540"/>
        <w:outlineLvl w:val="0"/>
        <w:rPr>
          <w:rFonts w:ascii="Arial" w:hAnsi="Arial"/>
          <w:b/>
        </w:rPr>
      </w:pPr>
      <w:r w:rsidRPr="00CD2AD2">
        <w:rPr>
          <w:rFonts w:ascii="Arial" w:hAnsi="Arial"/>
          <w:b/>
        </w:rPr>
        <w:t xml:space="preserve">Defined contribution: </w:t>
      </w:r>
    </w:p>
    <w:p w:rsidR="00E51139" w:rsidRPr="00CD2AD2" w:rsidRDefault="00E51139" w:rsidP="00E769F5">
      <w:pPr>
        <w:pStyle w:val="PlainText"/>
        <w:spacing w:line="240" w:lineRule="atLeast"/>
        <w:ind w:left="540"/>
        <w:rPr>
          <w:rFonts w:ascii="Arial" w:hAnsi="Arial"/>
        </w:rPr>
      </w:pPr>
      <w:r w:rsidRPr="00CD2AD2">
        <w:rPr>
          <w:rFonts w:ascii="Arial" w:hAnsi="Arial"/>
        </w:rPr>
        <w:t xml:space="preserve">• </w:t>
      </w:r>
      <w:proofErr w:type="gramStart"/>
      <w:r w:rsidRPr="00CD2AD2">
        <w:rPr>
          <w:rFonts w:ascii="Arial" w:hAnsi="Arial"/>
        </w:rPr>
        <w:t>employer</w:t>
      </w:r>
      <w:proofErr w:type="gramEnd"/>
      <w:r w:rsidRPr="00CD2AD2">
        <w:rPr>
          <w:rFonts w:ascii="Arial" w:hAnsi="Arial"/>
        </w:rPr>
        <w:t xml:space="preserve"> pays fixed amounts into the scheme and has no obligation to pay further amounts if the scheme does not have sufficient assets to pay employee benefits </w:t>
      </w:r>
    </w:p>
    <w:p w:rsidR="00E51139" w:rsidRPr="00CD2AD2" w:rsidRDefault="00E51139" w:rsidP="00E769F5">
      <w:pPr>
        <w:pStyle w:val="PlainText"/>
        <w:spacing w:line="240" w:lineRule="atLeast"/>
        <w:ind w:left="540"/>
        <w:rPr>
          <w:rFonts w:ascii="Arial" w:hAnsi="Arial"/>
        </w:rPr>
      </w:pPr>
      <w:r w:rsidRPr="00CD2AD2">
        <w:rPr>
          <w:rFonts w:ascii="Arial" w:hAnsi="Arial"/>
        </w:rPr>
        <w:t xml:space="preserve">• accounted for by charging employer contributions to revenue as they become payable </w:t>
      </w:r>
    </w:p>
    <w:p w:rsidR="00E51139" w:rsidRPr="0005794A" w:rsidRDefault="00E51139" w:rsidP="00E769F5">
      <w:pPr>
        <w:pStyle w:val="PlainText"/>
        <w:spacing w:line="240" w:lineRule="atLeast"/>
        <w:ind w:left="540"/>
        <w:rPr>
          <w:rFonts w:ascii="Arial" w:hAnsi="Arial"/>
          <w:color w:val="548DD4" w:themeColor="text2" w:themeTint="99"/>
        </w:rPr>
      </w:pPr>
    </w:p>
    <w:p w:rsidR="00E51139" w:rsidRPr="00CD2AD2" w:rsidRDefault="00E51139" w:rsidP="008D0906">
      <w:pPr>
        <w:pStyle w:val="PlainText"/>
        <w:spacing w:line="240" w:lineRule="atLeast"/>
        <w:ind w:left="540"/>
        <w:outlineLvl w:val="0"/>
        <w:rPr>
          <w:rFonts w:ascii="Arial" w:hAnsi="Arial"/>
          <w:b/>
        </w:rPr>
      </w:pPr>
      <w:r w:rsidRPr="00CD2AD2">
        <w:rPr>
          <w:rFonts w:ascii="Arial" w:hAnsi="Arial"/>
          <w:b/>
        </w:rPr>
        <w:t xml:space="preserve">Defined benefit: </w:t>
      </w:r>
    </w:p>
    <w:p w:rsidR="00E51139" w:rsidRPr="00CD2AD2" w:rsidRDefault="00E51139" w:rsidP="00E769F5">
      <w:pPr>
        <w:pStyle w:val="PlainText"/>
        <w:spacing w:line="240" w:lineRule="atLeast"/>
        <w:ind w:left="540"/>
        <w:rPr>
          <w:rFonts w:ascii="Arial" w:hAnsi="Arial"/>
        </w:rPr>
      </w:pPr>
      <w:r w:rsidRPr="00CD2AD2">
        <w:rPr>
          <w:rFonts w:ascii="Arial" w:hAnsi="Arial"/>
        </w:rPr>
        <w:t xml:space="preserve">• </w:t>
      </w:r>
      <w:proofErr w:type="gramStart"/>
      <w:r w:rsidRPr="00CD2AD2">
        <w:rPr>
          <w:rFonts w:ascii="Arial" w:hAnsi="Arial"/>
        </w:rPr>
        <w:t>retirement</w:t>
      </w:r>
      <w:proofErr w:type="gramEnd"/>
      <w:r w:rsidRPr="00CD2AD2">
        <w:rPr>
          <w:rFonts w:ascii="Arial" w:hAnsi="Arial"/>
        </w:rPr>
        <w:t xml:space="preserve"> benefits are determined independently of the investments of the scheme and employers have obligations to make contributions where assets are insufficient to meet employee benefits </w:t>
      </w:r>
    </w:p>
    <w:p w:rsidR="00E51139" w:rsidRPr="00CD2AD2" w:rsidRDefault="00E51139" w:rsidP="00E769F5">
      <w:pPr>
        <w:pStyle w:val="PlainText"/>
        <w:spacing w:line="240" w:lineRule="atLeast"/>
        <w:ind w:left="540"/>
        <w:rPr>
          <w:rFonts w:ascii="Arial" w:hAnsi="Arial"/>
        </w:rPr>
      </w:pPr>
      <w:r w:rsidRPr="00CD2AD2">
        <w:rPr>
          <w:rFonts w:ascii="Arial" w:hAnsi="Arial"/>
        </w:rPr>
        <w:t>• accounted for by recognising liabilities as benefits are earned (</w:t>
      </w:r>
      <w:r w:rsidR="007E33E1" w:rsidRPr="00CD2AD2">
        <w:rPr>
          <w:rFonts w:ascii="Arial" w:hAnsi="Arial"/>
        </w:rPr>
        <w:t>i.e.</w:t>
      </w:r>
      <w:r w:rsidRPr="00CD2AD2">
        <w:rPr>
          <w:rFonts w:ascii="Arial" w:hAnsi="Arial"/>
        </w:rPr>
        <w:t xml:space="preserve"> employees work qualifying years of service), matching them with the organisations attributable share of the scheme’s investments </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Depreciation</w:t>
      </w:r>
      <w:r w:rsidRPr="00CD2AD2">
        <w:rPr>
          <w:rFonts w:ascii="Arial" w:hAnsi="Arial"/>
        </w:rPr>
        <w:t xml:space="preserve"> - Amounts set aside from the revenue </w:t>
      </w:r>
      <w:r w:rsidR="007E33E1" w:rsidRPr="00CD2AD2">
        <w:rPr>
          <w:rFonts w:ascii="Arial" w:hAnsi="Arial"/>
        </w:rPr>
        <w:t>account which represents</w:t>
      </w:r>
      <w:r w:rsidRPr="00CD2AD2">
        <w:rPr>
          <w:rFonts w:ascii="Arial" w:hAnsi="Arial"/>
        </w:rPr>
        <w:t xml:space="preserve"> the wearing out, consumption of loss of value of a fixed asset spread over the useful life of the asset.</w:t>
      </w:r>
    </w:p>
    <w:p w:rsidR="00E51139" w:rsidRPr="00CD2AD2" w:rsidRDefault="00E51139" w:rsidP="00E769F5">
      <w:pPr>
        <w:pStyle w:val="PlainText"/>
        <w:spacing w:line="240" w:lineRule="atLeast"/>
        <w:rPr>
          <w:rFonts w:ascii="Arial" w:hAnsi="Arial"/>
        </w:rPr>
      </w:pPr>
    </w:p>
    <w:p w:rsidR="00531C48" w:rsidRPr="00CD2AD2" w:rsidRDefault="00531C48" w:rsidP="008D0906">
      <w:pPr>
        <w:pStyle w:val="PlainText"/>
        <w:spacing w:line="240" w:lineRule="atLeast"/>
        <w:outlineLvl w:val="0"/>
        <w:rPr>
          <w:rFonts w:ascii="Arial" w:hAnsi="Arial"/>
        </w:rPr>
      </w:pPr>
      <w:r w:rsidRPr="00CD2AD2">
        <w:rPr>
          <w:rFonts w:ascii="Arial" w:hAnsi="Arial"/>
          <w:b/>
        </w:rPr>
        <w:t xml:space="preserve">Discount Rate – </w:t>
      </w:r>
      <w:r w:rsidRPr="00CD2AD2">
        <w:rPr>
          <w:rFonts w:ascii="Arial" w:hAnsi="Arial"/>
        </w:rPr>
        <w:t>A high quality corporate bond rate (usually AA) that the pension actuary uses to est</w:t>
      </w:r>
      <w:r w:rsidR="00476B2A" w:rsidRPr="00CD2AD2">
        <w:rPr>
          <w:rFonts w:ascii="Arial" w:hAnsi="Arial"/>
        </w:rPr>
        <w:t xml:space="preserve">imate </w:t>
      </w:r>
      <w:r w:rsidRPr="00CD2AD2">
        <w:rPr>
          <w:rFonts w:ascii="Arial" w:hAnsi="Arial"/>
        </w:rPr>
        <w:t xml:space="preserve">the value of the pension </w:t>
      </w:r>
      <w:r w:rsidR="007E33E1" w:rsidRPr="00CD2AD2">
        <w:rPr>
          <w:rFonts w:ascii="Arial" w:hAnsi="Arial"/>
        </w:rPr>
        <w:t>liability</w:t>
      </w:r>
    </w:p>
    <w:p w:rsidR="00531C48" w:rsidRPr="00CD2AD2" w:rsidRDefault="00531C48"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DWP</w:t>
      </w:r>
      <w:r w:rsidRPr="00CD2AD2">
        <w:rPr>
          <w:rFonts w:ascii="Arial" w:hAnsi="Arial"/>
        </w:rPr>
        <w:t xml:space="preserve"> – the Department of Work and Pensions – a central govern</w:t>
      </w:r>
      <w:r w:rsidR="003426EF" w:rsidRPr="00CD2AD2">
        <w:rPr>
          <w:rFonts w:ascii="Arial" w:hAnsi="Arial"/>
        </w:rPr>
        <w:t>ment</w:t>
      </w:r>
      <w:r w:rsidRPr="00CD2AD2">
        <w:rPr>
          <w:rFonts w:ascii="Arial" w:hAnsi="Arial"/>
        </w:rPr>
        <w:t xml:space="preserve"> department that deals primarily with welfare benefits.</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E</w:t>
      </w:r>
    </w:p>
    <w:p w:rsidR="00E51139" w:rsidRPr="00CD2AD2" w:rsidRDefault="00E51139" w:rsidP="00E769F5">
      <w:pPr>
        <w:pStyle w:val="PlainText"/>
        <w:spacing w:line="240" w:lineRule="atLeast"/>
        <w:rPr>
          <w:rFonts w:ascii="Arial" w:hAnsi="Arial"/>
        </w:rPr>
      </w:pPr>
    </w:p>
    <w:p w:rsidR="007C3C10" w:rsidRPr="00CD2AD2" w:rsidRDefault="007C3C10" w:rsidP="008D0906">
      <w:pPr>
        <w:pStyle w:val="PlainText"/>
        <w:spacing w:line="240" w:lineRule="atLeast"/>
        <w:outlineLvl w:val="0"/>
        <w:rPr>
          <w:rFonts w:ascii="Arial" w:hAnsi="Arial"/>
          <w:b/>
        </w:rPr>
      </w:pPr>
      <w:r w:rsidRPr="00CD2AD2">
        <w:rPr>
          <w:rFonts w:ascii="Arial" w:hAnsi="Arial"/>
          <w:b/>
        </w:rPr>
        <w:t xml:space="preserve">EFA - </w:t>
      </w:r>
      <w:r w:rsidRPr="00CD2AD2">
        <w:rPr>
          <w:rFonts w:ascii="Arial" w:hAnsi="Arial"/>
        </w:rPr>
        <w:t>Education Funding Authority – a central government body that is responsible for the majority of schools funding.</w:t>
      </w:r>
    </w:p>
    <w:p w:rsidR="007C3C10" w:rsidRPr="0005794A" w:rsidRDefault="007C3C10" w:rsidP="00E769F5">
      <w:pPr>
        <w:pStyle w:val="PlainText"/>
        <w:spacing w:line="240" w:lineRule="atLeast"/>
        <w:rPr>
          <w:rFonts w:ascii="Arial" w:hAnsi="Arial"/>
          <w:b/>
          <w:color w:val="548DD4" w:themeColor="text2" w:themeTint="99"/>
        </w:rPr>
      </w:pPr>
    </w:p>
    <w:p w:rsidR="00B7241B" w:rsidRPr="00CD2AD2" w:rsidRDefault="00B7241B" w:rsidP="008D0906">
      <w:pPr>
        <w:pStyle w:val="PlainText"/>
        <w:spacing w:line="240" w:lineRule="atLeast"/>
        <w:outlineLvl w:val="0"/>
        <w:rPr>
          <w:rFonts w:ascii="Arial" w:hAnsi="Arial"/>
          <w:b/>
        </w:rPr>
      </w:pPr>
      <w:r w:rsidRPr="00CD2AD2">
        <w:rPr>
          <w:rFonts w:ascii="Arial" w:hAnsi="Arial"/>
          <w:b/>
        </w:rPr>
        <w:t xml:space="preserve">EFW – </w:t>
      </w:r>
      <w:r w:rsidRPr="00CD2AD2">
        <w:rPr>
          <w:rFonts w:ascii="Arial" w:hAnsi="Arial"/>
        </w:rPr>
        <w:t xml:space="preserve">Energy </w:t>
      </w:r>
      <w:proofErr w:type="gramStart"/>
      <w:r w:rsidRPr="00CD2AD2">
        <w:rPr>
          <w:rFonts w:ascii="Arial" w:hAnsi="Arial"/>
        </w:rPr>
        <w:t>From</w:t>
      </w:r>
      <w:proofErr w:type="gramEnd"/>
      <w:r w:rsidRPr="00CD2AD2">
        <w:rPr>
          <w:rFonts w:ascii="Arial" w:hAnsi="Arial"/>
        </w:rPr>
        <w:t xml:space="preserve"> Waste </w:t>
      </w:r>
      <w:r w:rsidR="00FB0739" w:rsidRPr="00CD2AD2">
        <w:rPr>
          <w:rFonts w:ascii="Arial" w:hAnsi="Arial"/>
        </w:rPr>
        <w:t>facility</w:t>
      </w:r>
      <w:r w:rsidRPr="00CD2AD2">
        <w:rPr>
          <w:rFonts w:ascii="Arial" w:hAnsi="Arial"/>
        </w:rPr>
        <w:t>, opened in April 2015 in Plymouth that disposes</w:t>
      </w:r>
      <w:r w:rsidR="00FB0739" w:rsidRPr="00CD2AD2">
        <w:rPr>
          <w:rFonts w:ascii="Arial" w:hAnsi="Arial"/>
        </w:rPr>
        <w:t xml:space="preserve"> </w:t>
      </w:r>
      <w:r w:rsidRPr="00CD2AD2">
        <w:rPr>
          <w:rFonts w:ascii="Arial" w:hAnsi="Arial"/>
        </w:rPr>
        <w:t>of Torbay’s domestic waste</w:t>
      </w:r>
      <w:r w:rsidRPr="00CD2AD2">
        <w:rPr>
          <w:rFonts w:ascii="Arial" w:hAnsi="Arial"/>
          <w:b/>
        </w:rPr>
        <w:t xml:space="preserve"> </w:t>
      </w:r>
    </w:p>
    <w:p w:rsidR="00B7241B" w:rsidRPr="00CD2AD2" w:rsidRDefault="00B7241B" w:rsidP="00E769F5">
      <w:pPr>
        <w:pStyle w:val="PlainText"/>
        <w:spacing w:line="240" w:lineRule="atLeast"/>
        <w:rPr>
          <w:rFonts w:ascii="Arial" w:hAnsi="Arial"/>
          <w:b/>
        </w:rPr>
      </w:pPr>
    </w:p>
    <w:p w:rsidR="007C3C10" w:rsidRPr="00CD2AD2" w:rsidRDefault="007C3C10" w:rsidP="008D0906">
      <w:pPr>
        <w:pStyle w:val="PlainText"/>
        <w:spacing w:line="240" w:lineRule="atLeast"/>
        <w:outlineLvl w:val="0"/>
        <w:rPr>
          <w:rFonts w:ascii="Arial" w:hAnsi="Arial"/>
        </w:rPr>
      </w:pPr>
      <w:r w:rsidRPr="00CD2AD2">
        <w:rPr>
          <w:rFonts w:ascii="Arial" w:hAnsi="Arial"/>
          <w:b/>
        </w:rPr>
        <w:t xml:space="preserve">EMMF </w:t>
      </w:r>
      <w:r w:rsidRPr="00CD2AD2">
        <w:rPr>
          <w:rFonts w:ascii="Arial" w:hAnsi="Arial"/>
        </w:rPr>
        <w:t>– Enhanced Money Market Fund, a pooled fund used for Council cash investments where the net asset value can vary.</w:t>
      </w:r>
    </w:p>
    <w:p w:rsidR="007C3C10" w:rsidRPr="00CD2AD2" w:rsidRDefault="007C3C10" w:rsidP="00E769F5">
      <w:pPr>
        <w:pStyle w:val="PlainText"/>
        <w:spacing w:line="240" w:lineRule="atLeast"/>
        <w:rPr>
          <w:rFonts w:ascii="Arial" w:hAnsi="Arial"/>
          <w:b/>
        </w:rPr>
      </w:pPr>
    </w:p>
    <w:p w:rsidR="00E51139" w:rsidRPr="00CD2AD2" w:rsidRDefault="00E51139" w:rsidP="00E769F5">
      <w:pPr>
        <w:pStyle w:val="PlainText"/>
        <w:spacing w:line="240" w:lineRule="atLeast"/>
        <w:rPr>
          <w:rFonts w:ascii="Arial" w:hAnsi="Arial"/>
        </w:rPr>
      </w:pPr>
      <w:r w:rsidRPr="00CD2AD2">
        <w:rPr>
          <w:rFonts w:ascii="Arial" w:hAnsi="Arial"/>
          <w:b/>
        </w:rPr>
        <w:t>Exceptional Items</w:t>
      </w:r>
      <w:r w:rsidRPr="00CD2AD2">
        <w:rPr>
          <w:rFonts w:ascii="Arial" w:hAnsi="Arial"/>
        </w:rPr>
        <w:t xml:space="preserve"> – Events or transactions that fall within the ordinary activities of the Council and need to be disclosed separately due to their size to give fair presentation of the accounts.</w:t>
      </w:r>
    </w:p>
    <w:p w:rsidR="00E51139" w:rsidRPr="00CD2AD2" w:rsidRDefault="00E51139" w:rsidP="00E769F5">
      <w:pPr>
        <w:pStyle w:val="PlainText"/>
        <w:spacing w:line="240" w:lineRule="atLeast"/>
        <w:rPr>
          <w:rFonts w:ascii="Arial" w:hAnsi="Arial"/>
          <w:b/>
        </w:rPr>
      </w:pPr>
    </w:p>
    <w:p w:rsidR="00E51139" w:rsidRPr="00CD2AD2" w:rsidRDefault="00E51139" w:rsidP="00E769F5">
      <w:pPr>
        <w:pStyle w:val="PlainText"/>
        <w:spacing w:line="240" w:lineRule="atLeast"/>
        <w:rPr>
          <w:rFonts w:ascii="Arial" w:hAnsi="Arial"/>
        </w:rPr>
      </w:pPr>
      <w:r w:rsidRPr="00CD2AD2">
        <w:rPr>
          <w:rFonts w:ascii="Arial" w:hAnsi="Arial"/>
          <w:b/>
        </w:rPr>
        <w:t>Expected Rate of Return on Pension Assets</w:t>
      </w:r>
      <w:r w:rsidRPr="00CD2AD2">
        <w:rPr>
          <w:rFonts w:ascii="Arial" w:hAnsi="Arial"/>
        </w:rPr>
        <w:t xml:space="preserve"> – The average rate of return, including income but net of scheme expenses, expected over the remaining life of the pension.</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Extraordinary Items</w:t>
      </w:r>
      <w:r w:rsidRPr="00CD2AD2">
        <w:rPr>
          <w:rFonts w:ascii="Arial" w:hAnsi="Arial"/>
        </w:rPr>
        <w:t xml:space="preserve"> – Abnormal material </w:t>
      </w:r>
      <w:r w:rsidR="007E33E1" w:rsidRPr="00CD2AD2">
        <w:rPr>
          <w:rFonts w:ascii="Arial" w:hAnsi="Arial"/>
        </w:rPr>
        <w:t>items</w:t>
      </w:r>
      <w:r w:rsidRPr="00CD2AD2">
        <w:rPr>
          <w:rFonts w:ascii="Arial" w:hAnsi="Arial"/>
        </w:rPr>
        <w:t xml:space="preserve"> are those which fall outside the ordinary activities of the Council and which are not expected to recur.</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F</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Fair Value</w:t>
      </w:r>
      <w:r w:rsidRPr="00CD2AD2">
        <w:rPr>
          <w:rFonts w:ascii="Arial" w:hAnsi="Arial"/>
        </w:rPr>
        <w:t xml:space="preserve"> – </w:t>
      </w:r>
      <w:r w:rsidR="00B07921" w:rsidRPr="00CD2AD2">
        <w:rPr>
          <w:rFonts w:ascii="Arial" w:hAnsi="Arial"/>
        </w:rPr>
        <w:t xml:space="preserve">the price that would be received to sell </w:t>
      </w:r>
      <w:r w:rsidR="00FF34F8">
        <w:rPr>
          <w:rFonts w:ascii="Arial" w:hAnsi="Arial"/>
        </w:rPr>
        <w:t xml:space="preserve">an asset or paid to transfer a </w:t>
      </w:r>
      <w:r w:rsidR="00B07921" w:rsidRPr="00CD2AD2">
        <w:rPr>
          <w:rFonts w:ascii="Arial" w:hAnsi="Arial"/>
        </w:rPr>
        <w:t xml:space="preserve">liability in an orderly transaction between market participants at the measurement date </w:t>
      </w:r>
    </w:p>
    <w:p w:rsidR="00B07921" w:rsidRPr="0005794A" w:rsidRDefault="00B07921" w:rsidP="00E769F5">
      <w:pPr>
        <w:pStyle w:val="PlainText"/>
        <w:spacing w:line="240" w:lineRule="atLeast"/>
        <w:rPr>
          <w:rFonts w:ascii="Arial" w:hAnsi="Arial"/>
          <w:color w:val="548DD4" w:themeColor="text2" w:themeTint="99"/>
        </w:rPr>
      </w:pPr>
    </w:p>
    <w:p w:rsidR="00E51139" w:rsidRPr="00CD2AD2" w:rsidRDefault="00E51139" w:rsidP="00E769F5">
      <w:pPr>
        <w:pStyle w:val="PlainText"/>
        <w:spacing w:line="240" w:lineRule="atLeast"/>
        <w:rPr>
          <w:rFonts w:ascii="Arial" w:hAnsi="Arial"/>
        </w:rPr>
      </w:pPr>
      <w:r w:rsidRPr="00CD2AD2">
        <w:rPr>
          <w:rFonts w:ascii="Arial" w:hAnsi="Arial"/>
          <w:b/>
        </w:rPr>
        <w:t>Fair Value through Profit and Loss</w:t>
      </w:r>
      <w:r w:rsidRPr="00CD2AD2">
        <w:rPr>
          <w:rFonts w:ascii="Arial" w:hAnsi="Arial"/>
        </w:rPr>
        <w:t xml:space="preserve"> – A classification of a type of financial asset. The Council’s fund manager holding </w:t>
      </w:r>
      <w:proofErr w:type="spellStart"/>
      <w:r w:rsidRPr="00CD2AD2">
        <w:rPr>
          <w:rFonts w:ascii="Arial" w:hAnsi="Arial"/>
        </w:rPr>
        <w:t>as</w:t>
      </w:r>
      <w:proofErr w:type="spellEnd"/>
      <w:r w:rsidRPr="00CD2AD2">
        <w:rPr>
          <w:rFonts w:ascii="Arial" w:hAnsi="Arial"/>
        </w:rPr>
        <w:t xml:space="preserve"> been designated into this category as this holding meets the definition of this type of financial instrument – I.e. the holding is part of a portfolio of investments managed as a whole.</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Finance Lease</w:t>
      </w:r>
      <w:r w:rsidRPr="00CD2AD2">
        <w:rPr>
          <w:rFonts w:ascii="Arial" w:hAnsi="Arial"/>
        </w:rPr>
        <w:t xml:space="preserve"> – A finance lease is a lease that transfers substantially all the risks and rewards of ownership of an asset to the lessee. Accounting guidance requires that it should be presumed that such a transfer of risks and rewards occurs if at the inception of a lease the present value of the minimum lease payments including any initial payment, amounts to substantially all (normally ninety per cent or more) of the fair value of the leased asset. The present value is calculated by using the interest rate implicit in the lease. </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b/>
        </w:rPr>
      </w:pPr>
      <w:r w:rsidRPr="00CD2AD2">
        <w:rPr>
          <w:rFonts w:ascii="Arial" w:hAnsi="Arial"/>
          <w:b/>
        </w:rPr>
        <w:t xml:space="preserve">Financial Instrument – </w:t>
      </w:r>
      <w:r w:rsidRPr="00CD2AD2">
        <w:rPr>
          <w:rFonts w:ascii="Arial" w:hAnsi="Arial"/>
        </w:rPr>
        <w:t xml:space="preserve">a general term relating to a number of contractual arrangements, such as investments, borrowing, debtors and </w:t>
      </w:r>
      <w:proofErr w:type="gramStart"/>
      <w:r w:rsidRPr="00CD2AD2">
        <w:rPr>
          <w:rFonts w:ascii="Arial" w:hAnsi="Arial"/>
        </w:rPr>
        <w:t>creditors, that</w:t>
      </w:r>
      <w:proofErr w:type="gramEnd"/>
      <w:r w:rsidRPr="00CD2AD2">
        <w:rPr>
          <w:rFonts w:ascii="Arial" w:hAnsi="Arial"/>
        </w:rPr>
        <w:t xml:space="preserve"> a Council may incur. Based on this classification there are a number of additional accounting requirements relating to the fair value of an arrangement which may be different to the contractual amount due to an assessment of risk or value.</w:t>
      </w:r>
    </w:p>
    <w:p w:rsidR="00E51139" w:rsidRPr="00CD2AD2" w:rsidRDefault="00E51139" w:rsidP="00E769F5">
      <w:pPr>
        <w:pStyle w:val="PlainText"/>
        <w:spacing w:line="240" w:lineRule="atLeast"/>
        <w:rPr>
          <w:rFonts w:ascii="Arial" w:hAnsi="Arial"/>
        </w:rPr>
      </w:pPr>
    </w:p>
    <w:p w:rsidR="00386CD2" w:rsidRPr="00CD2AD2" w:rsidRDefault="00386CD2" w:rsidP="00386CD2">
      <w:pPr>
        <w:pStyle w:val="ExampleText"/>
        <w:ind w:left="0"/>
        <w:outlineLvl w:val="0"/>
        <w:rPr>
          <w:rFonts w:ascii="Arial" w:hAnsi="Arial" w:cs="Arial"/>
          <w:color w:val="auto"/>
        </w:rPr>
      </w:pPr>
      <w:r w:rsidRPr="00CD2AD2">
        <w:rPr>
          <w:rFonts w:ascii="Arial" w:hAnsi="Arial" w:cs="Arial"/>
          <w:b/>
          <w:color w:val="auto"/>
        </w:rPr>
        <w:t>Financial Instruments Adjustment Account</w:t>
      </w:r>
      <w:r w:rsidRPr="00CD2AD2">
        <w:rPr>
          <w:rFonts w:ascii="Arial" w:hAnsi="Arial" w:cs="Arial"/>
          <w:color w:val="auto"/>
        </w:rPr>
        <w:t xml:space="preserve"> - The Financial Instruments Adjustment Account absorbs the timing differences arising from the different arrangements for accounting for income and expenses relating to certain financial instruments such as the fair value of guarantees and for bearing losses or benefiting from gains per statutory provisions.  </w:t>
      </w:r>
    </w:p>
    <w:p w:rsidR="00847471" w:rsidRPr="00CD2AD2" w:rsidRDefault="00847471" w:rsidP="00847471">
      <w:pPr>
        <w:pStyle w:val="ExampleText"/>
        <w:ind w:left="0"/>
        <w:outlineLvl w:val="0"/>
        <w:rPr>
          <w:rFonts w:ascii="Arial" w:hAnsi="Arial" w:cs="Arial"/>
          <w:color w:val="auto"/>
        </w:rPr>
      </w:pPr>
      <w:r w:rsidRPr="00CD2AD2">
        <w:rPr>
          <w:rFonts w:ascii="Arial" w:hAnsi="Arial" w:cs="Arial"/>
          <w:b/>
          <w:color w:val="auto"/>
        </w:rPr>
        <w:t>Financial Instruments Available For Sale Adjustment Account</w:t>
      </w:r>
      <w:r w:rsidRPr="00CD2AD2">
        <w:rPr>
          <w:rFonts w:ascii="Arial" w:hAnsi="Arial" w:cs="Arial"/>
          <w:color w:val="auto"/>
        </w:rPr>
        <w:t xml:space="preserve"> - The Financial Instruments Available for Sale reflects the movement in fair value of the Councils investments held as</w:t>
      </w:r>
      <w:r w:rsidR="00CD2AD2" w:rsidRPr="00CD2AD2">
        <w:rPr>
          <w:rFonts w:ascii="Arial" w:hAnsi="Arial" w:cs="Arial"/>
          <w:color w:val="auto"/>
        </w:rPr>
        <w:t xml:space="preserve"> financial assets at fair value.</w:t>
      </w:r>
    </w:p>
    <w:p w:rsidR="00386CD2" w:rsidRPr="0005794A" w:rsidRDefault="00386CD2" w:rsidP="00E769F5">
      <w:pPr>
        <w:pStyle w:val="PlainText"/>
        <w:spacing w:line="240" w:lineRule="atLeast"/>
        <w:rPr>
          <w:rFonts w:ascii="Arial" w:hAnsi="Arial"/>
          <w:b/>
          <w:color w:val="548DD4" w:themeColor="text2" w:themeTint="99"/>
        </w:rPr>
      </w:pPr>
    </w:p>
    <w:p w:rsidR="00E51139" w:rsidRPr="00CD2AD2" w:rsidRDefault="00E51139" w:rsidP="00E769F5">
      <w:pPr>
        <w:pStyle w:val="PlainText"/>
        <w:spacing w:line="240" w:lineRule="atLeast"/>
        <w:rPr>
          <w:rFonts w:ascii="Arial" w:hAnsi="Arial"/>
        </w:rPr>
      </w:pPr>
      <w:r w:rsidRPr="00CD2AD2">
        <w:rPr>
          <w:rFonts w:ascii="Arial" w:hAnsi="Arial"/>
          <w:b/>
        </w:rPr>
        <w:t xml:space="preserve">Funded Pension Liabilities </w:t>
      </w:r>
      <w:r w:rsidRPr="00CD2AD2">
        <w:rPr>
          <w:rFonts w:ascii="Arial" w:hAnsi="Arial"/>
        </w:rPr>
        <w:t>– These are liabilities relating to pensions due in the future to members of a pension fund based on the “standard” entitlements within the scheme.</w:t>
      </w:r>
    </w:p>
    <w:p w:rsidR="00E51139" w:rsidRPr="00CD2AD2" w:rsidRDefault="00E51139"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G</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 xml:space="preserve">Grants – Receipts in Advance </w:t>
      </w:r>
      <w:r w:rsidRPr="00CD2AD2">
        <w:rPr>
          <w:rFonts w:ascii="Arial" w:hAnsi="Arial"/>
        </w:rPr>
        <w:t xml:space="preserve">– a grant from central government or other body that has conditions that will require repayment of the grant if not complied with. These grants are not recognised as income until the conditions are met. </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H</w:t>
      </w:r>
    </w:p>
    <w:p w:rsidR="00E51139" w:rsidRPr="00CD2AD2" w:rsidRDefault="00E51139" w:rsidP="00E769F5">
      <w:pPr>
        <w:pStyle w:val="PlainText"/>
        <w:spacing w:line="240" w:lineRule="atLeast"/>
        <w:rPr>
          <w:rFonts w:ascii="Arial" w:hAnsi="Arial"/>
        </w:rPr>
      </w:pPr>
    </w:p>
    <w:p w:rsidR="00E51139" w:rsidRPr="00CD2AD2" w:rsidRDefault="00E51139" w:rsidP="00A27EA1">
      <w:pPr>
        <w:autoSpaceDE w:val="0"/>
        <w:autoSpaceDN w:val="0"/>
        <w:adjustRightInd w:val="0"/>
        <w:spacing w:before="100" w:after="100" w:line="240" w:lineRule="auto"/>
        <w:rPr>
          <w:rFonts w:cs="Arial"/>
          <w:color w:val="auto"/>
          <w:sz w:val="20"/>
          <w:szCs w:val="20"/>
          <w:lang w:eastAsia="en-GB"/>
        </w:rPr>
      </w:pPr>
      <w:r w:rsidRPr="00CD2AD2">
        <w:rPr>
          <w:b/>
          <w:color w:val="auto"/>
          <w:sz w:val="20"/>
          <w:szCs w:val="20"/>
        </w:rPr>
        <w:t xml:space="preserve">Heritage Assets </w:t>
      </w:r>
      <w:proofErr w:type="gramStart"/>
      <w:r w:rsidRPr="00CD2AD2">
        <w:rPr>
          <w:b/>
          <w:color w:val="auto"/>
          <w:sz w:val="20"/>
          <w:szCs w:val="20"/>
        </w:rPr>
        <w:t>-</w:t>
      </w:r>
      <w:r w:rsidRPr="00CD2AD2">
        <w:rPr>
          <w:b/>
          <w:color w:val="auto"/>
        </w:rPr>
        <w:t xml:space="preserve">  </w:t>
      </w:r>
      <w:r w:rsidRPr="00CD2AD2">
        <w:rPr>
          <w:rFonts w:cs="Arial"/>
          <w:color w:val="auto"/>
          <w:sz w:val="20"/>
          <w:szCs w:val="20"/>
          <w:lang w:eastAsia="en-GB"/>
        </w:rPr>
        <w:t>Heritage</w:t>
      </w:r>
      <w:proofErr w:type="gramEnd"/>
      <w:r w:rsidRPr="00CD2AD2">
        <w:rPr>
          <w:rFonts w:cs="Arial"/>
          <w:color w:val="auto"/>
          <w:sz w:val="20"/>
          <w:szCs w:val="20"/>
          <w:lang w:eastAsia="en-GB"/>
        </w:rPr>
        <w:t xml:space="preserve"> assets are those assets that are intended to be preserved in trust for future generations because of their cultural, environmental or historical </w:t>
      </w:r>
      <w:r w:rsidR="007E33E1" w:rsidRPr="00CD2AD2">
        <w:rPr>
          <w:rFonts w:cs="Arial"/>
          <w:color w:val="auto"/>
          <w:sz w:val="20"/>
          <w:szCs w:val="20"/>
          <w:lang w:eastAsia="en-GB"/>
        </w:rPr>
        <w:t>associations. Heritage</w:t>
      </w:r>
      <w:r w:rsidRPr="00CD2AD2">
        <w:rPr>
          <w:rFonts w:cs="Arial"/>
          <w:color w:val="auto"/>
          <w:sz w:val="20"/>
          <w:szCs w:val="20"/>
          <w:lang w:eastAsia="en-GB"/>
        </w:rPr>
        <w:t xml:space="preserve"> assets include historical buildings, archaeological sites, civic regalia, museum and gallery collections and works of art. </w:t>
      </w:r>
    </w:p>
    <w:p w:rsidR="00E51139" w:rsidRPr="00CD2AD2" w:rsidRDefault="00E51139"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Historical Cost</w:t>
      </w:r>
      <w:r w:rsidRPr="00CD2AD2">
        <w:rPr>
          <w:rFonts w:ascii="Arial" w:hAnsi="Arial"/>
        </w:rPr>
        <w:t xml:space="preserve"> – the historical or original cost of a fixed asset can be increased by further capital expenditure on that asset. </w:t>
      </w:r>
    </w:p>
    <w:p w:rsidR="00E51139" w:rsidRPr="00CD2AD2" w:rsidRDefault="00E51139"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I</w:t>
      </w:r>
    </w:p>
    <w:p w:rsidR="00E51139" w:rsidRPr="00CD2AD2" w:rsidRDefault="00E51139" w:rsidP="00E769F5">
      <w:pPr>
        <w:pStyle w:val="PlainText"/>
        <w:spacing w:line="240" w:lineRule="atLeast"/>
        <w:rPr>
          <w:rFonts w:ascii="Arial" w:hAnsi="Arial"/>
        </w:rPr>
      </w:pPr>
    </w:p>
    <w:p w:rsidR="008B0565" w:rsidRPr="00CD2AD2" w:rsidRDefault="008B0565" w:rsidP="00E769F5">
      <w:pPr>
        <w:pStyle w:val="PlainText"/>
        <w:spacing w:line="240" w:lineRule="atLeast"/>
        <w:rPr>
          <w:rFonts w:ascii="Arial" w:hAnsi="Arial"/>
          <w:b/>
        </w:rPr>
      </w:pPr>
      <w:r w:rsidRPr="00CD2AD2">
        <w:rPr>
          <w:rFonts w:ascii="Arial" w:hAnsi="Arial"/>
          <w:b/>
        </w:rPr>
        <w:t xml:space="preserve">ICO - Integrated Care organisation - </w:t>
      </w:r>
      <w:r w:rsidR="004D69DA" w:rsidRPr="00CD2AD2">
        <w:rPr>
          <w:rFonts w:ascii="Arial" w:hAnsi="Arial"/>
        </w:rPr>
        <w:t xml:space="preserve">The </w:t>
      </w:r>
      <w:r w:rsidR="00397BFD" w:rsidRPr="00CD2AD2">
        <w:rPr>
          <w:rFonts w:ascii="Arial" w:hAnsi="Arial"/>
        </w:rPr>
        <w:t xml:space="preserve">"descriptive" </w:t>
      </w:r>
      <w:r w:rsidR="004D69DA" w:rsidRPr="00CD2AD2">
        <w:rPr>
          <w:rFonts w:ascii="Arial" w:hAnsi="Arial"/>
        </w:rPr>
        <w:t xml:space="preserve">name for the Torbay and South Devon </w:t>
      </w:r>
      <w:r w:rsidR="0083550F" w:rsidRPr="00CD2AD2">
        <w:rPr>
          <w:rFonts w:ascii="Arial" w:hAnsi="Arial"/>
        </w:rPr>
        <w:t xml:space="preserve">NHS </w:t>
      </w:r>
      <w:r w:rsidR="004D69DA" w:rsidRPr="00CD2AD2">
        <w:rPr>
          <w:rFonts w:ascii="Arial" w:hAnsi="Arial"/>
        </w:rPr>
        <w:t>Foundation Trust as the provider of health and adult social care service to both Torbay Council and the Clinical Commissioning Group.</w:t>
      </w:r>
    </w:p>
    <w:p w:rsidR="008B0565" w:rsidRPr="00CD2AD2" w:rsidRDefault="008B0565"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Impairment</w:t>
      </w:r>
      <w:r w:rsidRPr="00CD2AD2">
        <w:rPr>
          <w:rFonts w:ascii="Arial" w:hAnsi="Arial"/>
        </w:rPr>
        <w:t xml:space="preserve"> – A reduction in the value of a fixed asset, below its balance sheet value.</w:t>
      </w:r>
    </w:p>
    <w:p w:rsidR="00E51139" w:rsidRDefault="00E51139" w:rsidP="00E769F5">
      <w:pPr>
        <w:pStyle w:val="PlainText"/>
        <w:spacing w:line="240" w:lineRule="atLeast"/>
        <w:rPr>
          <w:rFonts w:ascii="Arial" w:hAnsi="Arial"/>
          <w:color w:val="548DD4" w:themeColor="text2" w:themeTint="99"/>
        </w:rPr>
      </w:pPr>
    </w:p>
    <w:p w:rsidR="00320539" w:rsidRPr="00320539" w:rsidRDefault="00CD2AD2" w:rsidP="00320539">
      <w:pPr>
        <w:pStyle w:val="PlainText"/>
        <w:spacing w:line="240" w:lineRule="atLeast"/>
        <w:rPr>
          <w:rFonts w:ascii="Arial" w:hAnsi="Arial"/>
        </w:rPr>
      </w:pPr>
      <w:r w:rsidRPr="00320539">
        <w:rPr>
          <w:rFonts w:ascii="Arial" w:hAnsi="Arial"/>
          <w:b/>
        </w:rPr>
        <w:t xml:space="preserve">Insurance Contracts </w:t>
      </w:r>
      <w:r w:rsidR="00320539" w:rsidRPr="00320539">
        <w:rPr>
          <w:rFonts w:ascii="Arial" w:hAnsi="Arial"/>
          <w:b/>
        </w:rPr>
        <w:t>–</w:t>
      </w:r>
      <w:r>
        <w:rPr>
          <w:rFonts w:ascii="Arial" w:hAnsi="Arial"/>
          <w:color w:val="548DD4" w:themeColor="text2" w:themeTint="99"/>
        </w:rPr>
        <w:t xml:space="preserve"> </w:t>
      </w:r>
      <w:r w:rsidR="00320539" w:rsidRPr="00320539">
        <w:rPr>
          <w:rFonts w:ascii="Arial" w:hAnsi="Arial"/>
        </w:rPr>
        <w:t xml:space="preserve">a contract under which one party (the insurer) accepts significant insurance risk from another party (the policyholder) by agreeing to compensate the policyholder if a specified </w:t>
      </w:r>
      <w:r w:rsidR="00320539" w:rsidRPr="00320539">
        <w:rPr>
          <w:rFonts w:ascii="Arial" w:hAnsi="Arial"/>
        </w:rPr>
        <w:lastRenderedPageBreak/>
        <w:t>uncertain future event (the insured event) adversely affects the policyholder.</w:t>
      </w:r>
      <w:r w:rsidR="00320539">
        <w:rPr>
          <w:rFonts w:ascii="Arial" w:hAnsi="Arial"/>
        </w:rPr>
        <w:t xml:space="preserve"> The Council’s pension </w:t>
      </w:r>
      <w:proofErr w:type="spellStart"/>
      <w:r w:rsidR="00320539">
        <w:rPr>
          <w:rFonts w:ascii="Arial" w:hAnsi="Arial"/>
        </w:rPr>
        <w:t>gurantees</w:t>
      </w:r>
      <w:proofErr w:type="spellEnd"/>
      <w:r w:rsidR="00320539">
        <w:rPr>
          <w:rFonts w:ascii="Arial" w:hAnsi="Arial"/>
        </w:rPr>
        <w:t xml:space="preserve"> are within this classification. </w:t>
      </w:r>
      <w:r w:rsidR="00320539" w:rsidRPr="00320539">
        <w:rPr>
          <w:rFonts w:ascii="Arial" w:hAnsi="Arial"/>
        </w:rPr>
        <w:t xml:space="preserve"> </w:t>
      </w:r>
    </w:p>
    <w:p w:rsidR="00320539" w:rsidRDefault="00320539" w:rsidP="00E769F5">
      <w:pPr>
        <w:pStyle w:val="PlainText"/>
        <w:spacing w:line="240" w:lineRule="atLeast"/>
        <w:rPr>
          <w:rFonts w:ascii="Arial" w:hAnsi="Arial"/>
          <w:color w:val="548DD4" w:themeColor="text2" w:themeTint="99"/>
        </w:rPr>
      </w:pPr>
    </w:p>
    <w:p w:rsidR="00E51139" w:rsidRPr="00CD2AD2" w:rsidRDefault="00E51139" w:rsidP="00E769F5">
      <w:pPr>
        <w:pStyle w:val="PlainText"/>
        <w:spacing w:line="240" w:lineRule="atLeast"/>
        <w:rPr>
          <w:rFonts w:ascii="Arial" w:hAnsi="Arial"/>
        </w:rPr>
      </w:pPr>
      <w:r w:rsidRPr="00CD2AD2">
        <w:rPr>
          <w:rFonts w:ascii="Arial" w:hAnsi="Arial"/>
          <w:b/>
        </w:rPr>
        <w:t xml:space="preserve">Intangible Assets – </w:t>
      </w:r>
      <w:r w:rsidRPr="00CD2AD2">
        <w:rPr>
          <w:rFonts w:ascii="Arial" w:hAnsi="Arial" w:cs="Arial"/>
        </w:rPr>
        <w:t>(notably software) are recognised on the Balance Sheet at their cost of acquisition or development but only revalued in restricted circumstances.</w:t>
      </w:r>
    </w:p>
    <w:p w:rsidR="00E51139" w:rsidRPr="00CD2AD2" w:rsidRDefault="00E51139"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Interest Costs for Pensions</w:t>
      </w:r>
      <w:r w:rsidRPr="00CD2AD2">
        <w:rPr>
          <w:rFonts w:ascii="Arial" w:hAnsi="Arial"/>
        </w:rPr>
        <w:t xml:space="preserve"> </w:t>
      </w:r>
      <w:r w:rsidR="00102A24" w:rsidRPr="00CD2AD2">
        <w:rPr>
          <w:rFonts w:ascii="Arial" w:hAnsi="Arial"/>
          <w:b/>
        </w:rPr>
        <w:t>(net)</w:t>
      </w:r>
      <w:r w:rsidR="00102A24" w:rsidRPr="00CD2AD2">
        <w:rPr>
          <w:rFonts w:ascii="Arial" w:hAnsi="Arial"/>
        </w:rPr>
        <w:t xml:space="preserve"> </w:t>
      </w:r>
      <w:r w:rsidRPr="00CD2AD2">
        <w:rPr>
          <w:rFonts w:ascii="Arial" w:hAnsi="Arial"/>
        </w:rPr>
        <w:t>– The expected increase in value for a defined benefit scheme, as it draws closer to settlement.</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Investment Properties</w:t>
      </w:r>
      <w:r w:rsidRPr="00CD2AD2">
        <w:rPr>
          <w:rFonts w:ascii="Arial" w:hAnsi="Arial"/>
        </w:rPr>
        <w:t xml:space="preserve"> – land and buildings held only for the income stream or for capital appreciation.</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IFRS</w:t>
      </w:r>
      <w:r w:rsidRPr="00CD2AD2">
        <w:rPr>
          <w:rFonts w:ascii="Arial" w:hAnsi="Arial"/>
        </w:rPr>
        <w:t xml:space="preserve"> – International Financial Reporting Standards. These are the financial “rules” that Council accounts will have to comply with</w:t>
      </w:r>
      <w:r w:rsidR="00CD2AD2" w:rsidRPr="00CD2AD2">
        <w:rPr>
          <w:rFonts w:ascii="Arial" w:hAnsi="Arial"/>
        </w:rPr>
        <w:t>.</w:t>
      </w:r>
      <w:r w:rsidRPr="00CD2AD2">
        <w:rPr>
          <w:rFonts w:ascii="Arial" w:hAnsi="Arial"/>
        </w:rPr>
        <w:t xml:space="preserve"> These rules should be consistently applied throughout all bodies throughout the world.</w:t>
      </w:r>
    </w:p>
    <w:p w:rsidR="00E51139" w:rsidRPr="0005794A" w:rsidRDefault="00E51139" w:rsidP="00E769F5">
      <w:pPr>
        <w:pStyle w:val="PlainText"/>
        <w:spacing w:line="240" w:lineRule="atLeast"/>
        <w:rPr>
          <w:rFonts w:ascii="Arial" w:hAnsi="Arial"/>
          <w:b/>
          <w:color w:val="548DD4" w:themeColor="text2" w:themeTint="99"/>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J</w:t>
      </w:r>
    </w:p>
    <w:p w:rsidR="00E51139" w:rsidRPr="00CD2AD2" w:rsidRDefault="00E51139" w:rsidP="00E769F5">
      <w:pPr>
        <w:pStyle w:val="PlainText"/>
        <w:spacing w:line="240" w:lineRule="atLeast"/>
        <w:rPr>
          <w:rFonts w:ascii="Arial" w:hAnsi="Arial"/>
          <w:b/>
        </w:rPr>
      </w:pPr>
    </w:p>
    <w:p w:rsidR="00E51139" w:rsidRPr="00CD2AD2" w:rsidRDefault="00E51139" w:rsidP="00E769F5">
      <w:pPr>
        <w:pStyle w:val="PlainText"/>
        <w:spacing w:line="240" w:lineRule="atLeast"/>
        <w:rPr>
          <w:rFonts w:ascii="Arial" w:hAnsi="Arial"/>
          <w:b/>
        </w:rPr>
      </w:pPr>
      <w:r w:rsidRPr="00CD2AD2">
        <w:rPr>
          <w:rFonts w:ascii="Arial" w:hAnsi="Arial"/>
          <w:b/>
        </w:rPr>
        <w:t xml:space="preserve">Joint Committee – </w:t>
      </w:r>
      <w:r w:rsidRPr="00CD2AD2">
        <w:rPr>
          <w:rFonts w:ascii="Arial" w:hAnsi="Arial"/>
        </w:rPr>
        <w:t>a formal committee of local authorities established under the provisions of Local Government Act 1972 usually for the management of a shared service.</w:t>
      </w:r>
    </w:p>
    <w:p w:rsidR="00650992" w:rsidRPr="00CD2AD2" w:rsidRDefault="00650992" w:rsidP="00E769F5">
      <w:pPr>
        <w:pStyle w:val="PlainText"/>
        <w:spacing w:line="240" w:lineRule="atLeast"/>
        <w:rPr>
          <w:rFonts w:ascii="Arial" w:hAnsi="Arial"/>
          <w:b/>
        </w:rPr>
      </w:pPr>
    </w:p>
    <w:p w:rsidR="00650992" w:rsidRPr="00CD2AD2" w:rsidRDefault="00BC4822" w:rsidP="008D0906">
      <w:pPr>
        <w:pStyle w:val="PlainText"/>
        <w:spacing w:line="240" w:lineRule="atLeast"/>
        <w:outlineLvl w:val="0"/>
        <w:rPr>
          <w:rFonts w:ascii="Arial" w:hAnsi="Arial"/>
          <w:b/>
        </w:rPr>
      </w:pPr>
      <w:r w:rsidRPr="00CD2AD2">
        <w:rPr>
          <w:rFonts w:ascii="Arial" w:hAnsi="Arial"/>
          <w:b/>
        </w:rPr>
        <w:t xml:space="preserve">Joint Operation - </w:t>
      </w:r>
      <w:r w:rsidR="00D25E4B" w:rsidRPr="00CD2AD2">
        <w:rPr>
          <w:rFonts w:ascii="Arial" w:hAnsi="Arial"/>
        </w:rPr>
        <w:t xml:space="preserve">An arrangement under which participants engage in joint activities with joint control but do not create a legal entity </w:t>
      </w:r>
    </w:p>
    <w:p w:rsidR="00BC4822" w:rsidRPr="00CD2AD2" w:rsidRDefault="00BC4822" w:rsidP="00E769F5">
      <w:pPr>
        <w:pStyle w:val="PlainText"/>
        <w:spacing w:line="240" w:lineRule="atLeast"/>
        <w:rPr>
          <w:rFonts w:ascii="Arial" w:hAnsi="Arial"/>
          <w:b/>
        </w:rPr>
      </w:pPr>
    </w:p>
    <w:p w:rsidR="00BC4822" w:rsidRPr="00CD2AD2" w:rsidRDefault="00BC4822" w:rsidP="008D0906">
      <w:pPr>
        <w:pStyle w:val="PlainText"/>
        <w:spacing w:line="240" w:lineRule="atLeast"/>
        <w:outlineLvl w:val="0"/>
        <w:rPr>
          <w:rFonts w:ascii="Arial" w:hAnsi="Arial"/>
          <w:b/>
        </w:rPr>
      </w:pPr>
      <w:r w:rsidRPr="00CD2AD2">
        <w:rPr>
          <w:rFonts w:ascii="Arial" w:hAnsi="Arial"/>
          <w:b/>
        </w:rPr>
        <w:t xml:space="preserve">Joint Venture - </w:t>
      </w:r>
      <w:r w:rsidR="00D25E4B" w:rsidRPr="00CD2AD2">
        <w:rPr>
          <w:rFonts w:ascii="Arial" w:hAnsi="Arial"/>
        </w:rPr>
        <w:t xml:space="preserve">An arrangement under which the participants engage in joint activities </w:t>
      </w:r>
      <w:r w:rsidR="001F3566" w:rsidRPr="00CD2AD2">
        <w:rPr>
          <w:rFonts w:ascii="Arial" w:hAnsi="Arial"/>
        </w:rPr>
        <w:t xml:space="preserve">with joint control </w:t>
      </w:r>
      <w:r w:rsidR="00D25E4B" w:rsidRPr="00CD2AD2">
        <w:rPr>
          <w:rFonts w:ascii="Arial" w:hAnsi="Arial"/>
        </w:rPr>
        <w:t>by means of a separate vehicle/entity.</w:t>
      </w:r>
    </w:p>
    <w:p w:rsidR="00BC4822" w:rsidRPr="00CD2AD2" w:rsidRDefault="00BC4822"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u w:val="single"/>
        </w:rPr>
      </w:pPr>
      <w:r w:rsidRPr="00CD2AD2">
        <w:rPr>
          <w:rFonts w:ascii="Arial" w:hAnsi="Arial"/>
          <w:b/>
          <w:u w:val="single"/>
        </w:rPr>
        <w:t>L</w:t>
      </w:r>
    </w:p>
    <w:p w:rsidR="00E51139" w:rsidRPr="00CD2AD2" w:rsidRDefault="00E51139" w:rsidP="00E769F5">
      <w:pPr>
        <w:pStyle w:val="PlainText"/>
        <w:spacing w:line="240" w:lineRule="atLeast"/>
        <w:rPr>
          <w:rFonts w:ascii="Arial" w:hAnsi="Arial"/>
        </w:rPr>
      </w:pPr>
    </w:p>
    <w:p w:rsidR="00A01109" w:rsidRPr="00CD2AD2" w:rsidRDefault="00A01109" w:rsidP="008D0906">
      <w:pPr>
        <w:pStyle w:val="PlainText"/>
        <w:spacing w:line="240" w:lineRule="atLeast"/>
        <w:outlineLvl w:val="0"/>
        <w:rPr>
          <w:rFonts w:ascii="Arial" w:hAnsi="Arial"/>
          <w:b/>
        </w:rPr>
      </w:pPr>
      <w:r w:rsidRPr="00CD2AD2">
        <w:rPr>
          <w:rFonts w:ascii="Arial" w:hAnsi="Arial"/>
          <w:b/>
        </w:rPr>
        <w:t xml:space="preserve">LEP – </w:t>
      </w:r>
      <w:r w:rsidRPr="00CD2AD2">
        <w:rPr>
          <w:rFonts w:ascii="Arial" w:hAnsi="Arial"/>
        </w:rPr>
        <w:t xml:space="preserve">Local Enterprise Partnership. A regional body covering the </w:t>
      </w:r>
      <w:proofErr w:type="spellStart"/>
      <w:r w:rsidRPr="00CD2AD2">
        <w:rPr>
          <w:rFonts w:ascii="Arial" w:hAnsi="Arial"/>
        </w:rPr>
        <w:t>geopgraphichal</w:t>
      </w:r>
      <w:proofErr w:type="spellEnd"/>
      <w:r w:rsidRPr="00CD2AD2">
        <w:rPr>
          <w:rFonts w:ascii="Arial" w:hAnsi="Arial"/>
        </w:rPr>
        <w:t xml:space="preserve"> area of Devon and Cornwall focussi</w:t>
      </w:r>
      <w:r w:rsidR="008A4937" w:rsidRPr="00CD2AD2">
        <w:rPr>
          <w:rFonts w:ascii="Arial" w:hAnsi="Arial"/>
        </w:rPr>
        <w:t>ng</w:t>
      </w:r>
      <w:r w:rsidRPr="00CD2AD2">
        <w:rPr>
          <w:rFonts w:ascii="Arial" w:hAnsi="Arial"/>
        </w:rPr>
        <w:t xml:space="preserve"> on bu</w:t>
      </w:r>
      <w:r w:rsidR="008A4937" w:rsidRPr="00CD2AD2">
        <w:rPr>
          <w:rFonts w:ascii="Arial" w:hAnsi="Arial"/>
        </w:rPr>
        <w:t>siness</w:t>
      </w:r>
      <w:r w:rsidRPr="00CD2AD2">
        <w:rPr>
          <w:rFonts w:ascii="Arial" w:hAnsi="Arial"/>
        </w:rPr>
        <w:t xml:space="preserve"> and transport activity. </w:t>
      </w:r>
    </w:p>
    <w:p w:rsidR="00A01109" w:rsidRPr="00CD2AD2" w:rsidRDefault="00A01109"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Liquid Resources</w:t>
      </w:r>
      <w:r w:rsidRPr="00CD2AD2">
        <w:rPr>
          <w:rFonts w:ascii="Arial" w:hAnsi="Arial"/>
        </w:rPr>
        <w:t xml:space="preserve"> – Current asset investments that are readily disposable by the Council without disrupting its business.</w:t>
      </w:r>
    </w:p>
    <w:p w:rsidR="008C2F1D" w:rsidRPr="00CD2AD2" w:rsidRDefault="008C2F1D" w:rsidP="008C2F1D">
      <w:pPr>
        <w:autoSpaceDE w:val="0"/>
        <w:autoSpaceDN w:val="0"/>
        <w:adjustRightInd w:val="0"/>
        <w:spacing w:after="0"/>
        <w:rPr>
          <w:rFonts w:eastAsia="Times New Roman"/>
          <w:color w:val="auto"/>
          <w:sz w:val="20"/>
          <w:szCs w:val="20"/>
        </w:rPr>
      </w:pPr>
    </w:p>
    <w:p w:rsidR="009F456F" w:rsidRPr="00CD2AD2" w:rsidRDefault="008C2F1D" w:rsidP="008D0906">
      <w:pPr>
        <w:autoSpaceDE w:val="0"/>
        <w:autoSpaceDN w:val="0"/>
        <w:adjustRightInd w:val="0"/>
        <w:spacing w:after="0"/>
        <w:outlineLvl w:val="0"/>
        <w:rPr>
          <w:rFonts w:cs="Arial"/>
          <w:color w:val="auto"/>
          <w:sz w:val="20"/>
          <w:szCs w:val="20"/>
          <w:lang w:eastAsia="en-GB"/>
        </w:rPr>
      </w:pPr>
      <w:r w:rsidRPr="00CD2AD2">
        <w:rPr>
          <w:rFonts w:eastAsia="Times New Roman"/>
          <w:b/>
          <w:color w:val="auto"/>
          <w:sz w:val="20"/>
          <w:szCs w:val="20"/>
        </w:rPr>
        <w:t>L</w:t>
      </w:r>
      <w:r w:rsidR="009F456F" w:rsidRPr="00CD2AD2">
        <w:rPr>
          <w:rFonts w:eastAsia="Times New Roman"/>
          <w:b/>
          <w:color w:val="auto"/>
          <w:sz w:val="20"/>
          <w:szCs w:val="20"/>
        </w:rPr>
        <w:t>oans and receivables</w:t>
      </w:r>
      <w:r w:rsidR="009F456F" w:rsidRPr="00CD2AD2">
        <w:rPr>
          <w:rFonts w:cs="Arial"/>
          <w:color w:val="auto"/>
          <w:sz w:val="20"/>
          <w:szCs w:val="20"/>
          <w:lang w:eastAsia="en-GB"/>
        </w:rPr>
        <w:t xml:space="preserve"> (</w:t>
      </w:r>
      <w:r w:rsidR="007E33E1" w:rsidRPr="00CD2AD2">
        <w:rPr>
          <w:rFonts w:cs="Arial"/>
          <w:color w:val="auto"/>
          <w:sz w:val="20"/>
          <w:szCs w:val="20"/>
          <w:lang w:eastAsia="en-GB"/>
        </w:rPr>
        <w:t>i.e.</w:t>
      </w:r>
      <w:r w:rsidR="009F456F" w:rsidRPr="00CD2AD2">
        <w:rPr>
          <w:rFonts w:cs="Arial"/>
          <w:color w:val="auto"/>
          <w:sz w:val="20"/>
          <w:szCs w:val="20"/>
          <w:lang w:eastAsia="en-GB"/>
        </w:rPr>
        <w:t xml:space="preserve"> investments and loans) - assets that have fixed or determinable payments but are not quoted in an active market</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Local Services Support Grant (LSSG)</w:t>
      </w:r>
      <w:r w:rsidRPr="00CD2AD2">
        <w:rPr>
          <w:rFonts w:ascii="Arial" w:hAnsi="Arial"/>
        </w:rPr>
        <w:t xml:space="preserve"> – a </w:t>
      </w:r>
      <w:proofErr w:type="spellStart"/>
      <w:r w:rsidRPr="00CD2AD2">
        <w:rPr>
          <w:rFonts w:ascii="Arial" w:hAnsi="Arial"/>
        </w:rPr>
        <w:t>unringfenced</w:t>
      </w:r>
      <w:proofErr w:type="spellEnd"/>
      <w:r w:rsidRPr="00CD2AD2">
        <w:rPr>
          <w:rFonts w:ascii="Arial" w:hAnsi="Arial"/>
        </w:rPr>
        <w:t xml:space="preserve"> grant from central </w:t>
      </w:r>
      <w:r w:rsidR="009530E5" w:rsidRPr="00CD2AD2">
        <w:rPr>
          <w:rFonts w:ascii="Arial" w:hAnsi="Arial"/>
        </w:rPr>
        <w:t>government</w:t>
      </w:r>
    </w:p>
    <w:p w:rsidR="009530E5" w:rsidRPr="00CD2AD2" w:rsidRDefault="009530E5" w:rsidP="00E769F5">
      <w:pPr>
        <w:pStyle w:val="PlainText"/>
        <w:spacing w:line="240" w:lineRule="atLeast"/>
        <w:rPr>
          <w:rFonts w:ascii="Arial" w:hAnsi="Arial"/>
          <w:b/>
        </w:rPr>
      </w:pPr>
    </w:p>
    <w:p w:rsidR="00E51139" w:rsidRPr="00CD2AD2" w:rsidRDefault="00E51139" w:rsidP="00E769F5">
      <w:pPr>
        <w:pStyle w:val="PlainText"/>
        <w:spacing w:line="240" w:lineRule="atLeast"/>
        <w:rPr>
          <w:rFonts w:ascii="Arial" w:hAnsi="Arial"/>
        </w:rPr>
      </w:pPr>
      <w:r w:rsidRPr="00CD2AD2">
        <w:rPr>
          <w:rFonts w:ascii="Arial" w:hAnsi="Arial"/>
          <w:b/>
        </w:rPr>
        <w:t>LOBO</w:t>
      </w:r>
      <w:r w:rsidRPr="00CD2AD2">
        <w:rPr>
          <w:rFonts w:ascii="Arial" w:hAnsi="Arial"/>
        </w:rPr>
        <w:t xml:space="preserve"> – A “Lender Option, Borrowing Option” loan. Such a loan has a set rate for a defined period, after which point, the lender has the option of changing the rate. If that option is actioned the borrower then has the option to either accept the new rate or repay the loan.</w:t>
      </w:r>
    </w:p>
    <w:p w:rsidR="00E51139" w:rsidRPr="0005794A" w:rsidRDefault="00E51139" w:rsidP="00E769F5">
      <w:pPr>
        <w:pStyle w:val="PlainText"/>
        <w:spacing w:line="240" w:lineRule="atLeast"/>
        <w:rPr>
          <w:rFonts w:ascii="Arial" w:hAnsi="Arial"/>
          <w:color w:val="548DD4" w:themeColor="text2" w:themeTint="99"/>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M</w:t>
      </w:r>
    </w:p>
    <w:p w:rsidR="00CD2AD2" w:rsidRPr="00CD2AD2" w:rsidRDefault="00CD2AD2" w:rsidP="008D0906">
      <w:pPr>
        <w:pStyle w:val="PlainText"/>
        <w:spacing w:line="240" w:lineRule="atLeast"/>
        <w:outlineLvl w:val="0"/>
        <w:rPr>
          <w:rFonts w:ascii="Arial" w:hAnsi="Arial"/>
          <w:b/>
          <w:u w:val="single"/>
        </w:rPr>
      </w:pPr>
    </w:p>
    <w:p w:rsidR="00CD2AD2" w:rsidRPr="00CD2AD2" w:rsidRDefault="00CD2AD2" w:rsidP="00CD2AD2">
      <w:pPr>
        <w:pStyle w:val="PlainText"/>
        <w:spacing w:line="240" w:lineRule="atLeast"/>
        <w:outlineLvl w:val="0"/>
        <w:rPr>
          <w:rFonts w:ascii="Arial" w:hAnsi="Arial"/>
        </w:rPr>
      </w:pPr>
      <w:r w:rsidRPr="00CD2AD2">
        <w:rPr>
          <w:rFonts w:ascii="Arial" w:hAnsi="Arial"/>
          <w:b/>
        </w:rPr>
        <w:t>MHCLG</w:t>
      </w:r>
      <w:r w:rsidRPr="00CD2AD2">
        <w:rPr>
          <w:rFonts w:ascii="Arial" w:hAnsi="Arial"/>
        </w:rPr>
        <w:t xml:space="preserve"> – the Ministry of Housing,</w:t>
      </w:r>
      <w:r w:rsidR="00FF34F8">
        <w:rPr>
          <w:rFonts w:ascii="Arial" w:hAnsi="Arial"/>
        </w:rPr>
        <w:t xml:space="preserve"> </w:t>
      </w:r>
      <w:r w:rsidRPr="00CD2AD2">
        <w:rPr>
          <w:rFonts w:ascii="Arial" w:hAnsi="Arial"/>
        </w:rPr>
        <w:t>Communities and Local Government, the central government department responsible for local government.</w:t>
      </w:r>
    </w:p>
    <w:p w:rsidR="00E51139" w:rsidRPr="00CD2AD2" w:rsidRDefault="00E51139" w:rsidP="00E769F5">
      <w:pPr>
        <w:pStyle w:val="PlainText"/>
        <w:spacing w:line="240" w:lineRule="atLeast"/>
        <w:rPr>
          <w:rFonts w:ascii="Arial" w:hAnsi="Arial"/>
        </w:rPr>
      </w:pPr>
    </w:p>
    <w:p w:rsidR="00E51139" w:rsidRPr="00CD2AD2" w:rsidRDefault="00D02E95" w:rsidP="00E769F5">
      <w:pPr>
        <w:pStyle w:val="PlainText"/>
        <w:spacing w:line="240" w:lineRule="atLeast"/>
        <w:rPr>
          <w:rFonts w:ascii="Arial" w:hAnsi="Arial"/>
        </w:rPr>
      </w:pPr>
      <w:r w:rsidRPr="00CD2AD2">
        <w:rPr>
          <w:rFonts w:ascii="Arial" w:hAnsi="Arial"/>
          <w:b/>
        </w:rPr>
        <w:t xml:space="preserve">MRP - </w:t>
      </w:r>
      <w:r w:rsidR="00E51139" w:rsidRPr="00CD2AD2">
        <w:rPr>
          <w:rFonts w:ascii="Arial" w:hAnsi="Arial"/>
          <w:b/>
        </w:rPr>
        <w:t>Minimum Revenue Provision</w:t>
      </w:r>
      <w:r w:rsidR="00E51139" w:rsidRPr="00CD2AD2">
        <w:rPr>
          <w:rFonts w:ascii="Arial" w:hAnsi="Arial"/>
        </w:rPr>
        <w:t xml:space="preserve"> - The minimum amount which must be charged to a Council’s revenue account each year and set aside as provision for repayment of debt, as required by the Local Government Act 2003. For assets funded form unsupported borrowing this must be a “prudent” amount.</w:t>
      </w:r>
    </w:p>
    <w:p w:rsidR="00E51139" w:rsidRPr="0005794A" w:rsidRDefault="00E51139" w:rsidP="00E769F5">
      <w:pPr>
        <w:pStyle w:val="PlainText"/>
        <w:spacing w:line="240" w:lineRule="atLeast"/>
        <w:rPr>
          <w:rFonts w:ascii="Arial" w:hAnsi="Arial"/>
          <w:color w:val="548DD4" w:themeColor="text2" w:themeTint="99"/>
        </w:rPr>
      </w:pPr>
      <w:r w:rsidRPr="0005794A">
        <w:rPr>
          <w:rFonts w:ascii="Arial" w:hAnsi="Arial"/>
          <w:color w:val="548DD4" w:themeColor="text2" w:themeTint="99"/>
        </w:rPr>
        <w:t xml:space="preserve"> </w:t>
      </w: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N</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Net Book Value</w:t>
      </w:r>
      <w:r w:rsidRPr="00CD2AD2">
        <w:rPr>
          <w:rFonts w:ascii="Arial" w:hAnsi="Arial"/>
        </w:rPr>
        <w:t xml:space="preserve"> – The amount at which fixed assets are included in the balance sheet.</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Net Debt</w:t>
      </w:r>
      <w:r w:rsidRPr="00CD2AD2">
        <w:rPr>
          <w:rFonts w:ascii="Arial" w:hAnsi="Arial"/>
        </w:rPr>
        <w:t xml:space="preserve"> – The Council’s borrowings less cash investments.</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New Homes Bonus Grant</w:t>
      </w:r>
      <w:r w:rsidRPr="00CD2AD2">
        <w:rPr>
          <w:rFonts w:ascii="Arial" w:hAnsi="Arial"/>
        </w:rPr>
        <w:t xml:space="preserve"> – A general grant that is linked to the growth in the number of properties available for occupation either from a new home or an empty home brought back into use.</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 xml:space="preserve">NNDR </w:t>
      </w:r>
      <w:r w:rsidRPr="00CD2AD2">
        <w:rPr>
          <w:rFonts w:ascii="Arial" w:hAnsi="Arial"/>
        </w:rPr>
        <w:t>– National Non Domestic Rates, a national tax collected on a local level formally known as business rates.</w:t>
      </w:r>
    </w:p>
    <w:p w:rsidR="00E51139" w:rsidRPr="00CD2AD2" w:rsidRDefault="00E51139" w:rsidP="00E769F5">
      <w:pPr>
        <w:pStyle w:val="PlainText"/>
        <w:spacing w:line="240" w:lineRule="atLeast"/>
        <w:rPr>
          <w:rFonts w:ascii="Arial" w:hAnsi="Arial"/>
        </w:rPr>
      </w:pPr>
    </w:p>
    <w:p w:rsidR="003F72EF" w:rsidRPr="00CD2AD2" w:rsidRDefault="003F72EF" w:rsidP="00E769F5">
      <w:pPr>
        <w:pStyle w:val="PlainText"/>
        <w:spacing w:line="240" w:lineRule="atLeast"/>
        <w:rPr>
          <w:rFonts w:ascii="Arial" w:hAnsi="Arial"/>
        </w:rPr>
      </w:pPr>
      <w:r w:rsidRPr="00CD2AD2">
        <w:rPr>
          <w:rFonts w:ascii="Arial" w:hAnsi="Arial"/>
          <w:b/>
        </w:rPr>
        <w:t>NNDR Retention Scheme</w:t>
      </w:r>
      <w:r w:rsidRPr="00CD2AD2">
        <w:rPr>
          <w:rFonts w:ascii="Arial" w:hAnsi="Arial"/>
        </w:rPr>
        <w:t xml:space="preserve"> - This </w:t>
      </w:r>
      <w:r w:rsidR="008C2F1D" w:rsidRPr="00CD2AD2">
        <w:rPr>
          <w:rFonts w:ascii="Arial" w:hAnsi="Arial"/>
        </w:rPr>
        <w:t>method of funding Council’s m</w:t>
      </w:r>
      <w:r w:rsidRPr="00CD2AD2">
        <w:rPr>
          <w:rFonts w:ascii="Arial" w:hAnsi="Arial"/>
        </w:rPr>
        <w:t>oves Councils away from central government funding based on a service “needs” basis to one linked more to economic growth</w:t>
      </w:r>
    </w:p>
    <w:p w:rsidR="003F72EF" w:rsidRPr="00CD2AD2" w:rsidRDefault="003F72EF"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b/>
        </w:rPr>
      </w:pPr>
      <w:proofErr w:type="spellStart"/>
      <w:r w:rsidRPr="00CD2AD2">
        <w:rPr>
          <w:rFonts w:ascii="Arial" w:hAnsi="Arial"/>
          <w:b/>
        </w:rPr>
        <w:t>Non Current</w:t>
      </w:r>
      <w:proofErr w:type="spellEnd"/>
      <w:r w:rsidRPr="00CD2AD2">
        <w:rPr>
          <w:rFonts w:ascii="Arial" w:hAnsi="Arial"/>
          <w:b/>
        </w:rPr>
        <w:t xml:space="preserve"> Assets – </w:t>
      </w:r>
      <w:r w:rsidRPr="00CD2AD2">
        <w:rPr>
          <w:rFonts w:ascii="Arial" w:hAnsi="Arial"/>
        </w:rPr>
        <w:t xml:space="preserve">assets, primarily land and </w:t>
      </w:r>
      <w:r w:rsidR="00DB07D8" w:rsidRPr="00CD2AD2">
        <w:rPr>
          <w:rFonts w:ascii="Arial" w:hAnsi="Arial"/>
        </w:rPr>
        <w:t>buildings that</w:t>
      </w:r>
      <w:r w:rsidRPr="00CD2AD2">
        <w:rPr>
          <w:rFonts w:ascii="Arial" w:hAnsi="Arial"/>
        </w:rPr>
        <w:t xml:space="preserve"> have an asset life of over one year and are not used for trading purposes.</w:t>
      </w:r>
    </w:p>
    <w:p w:rsidR="00E51139" w:rsidRPr="00CD2AD2" w:rsidRDefault="00E51139" w:rsidP="00E769F5">
      <w:pPr>
        <w:pStyle w:val="PlainText"/>
        <w:spacing w:line="240" w:lineRule="atLeast"/>
        <w:rPr>
          <w:rFonts w:ascii="Arial" w:hAnsi="Arial"/>
        </w:rPr>
      </w:pPr>
      <w:r w:rsidRPr="00CD2AD2">
        <w:rPr>
          <w:rFonts w:ascii="Arial" w:hAnsi="Arial"/>
        </w:rPr>
        <w:t xml:space="preserve"> </w:t>
      </w:r>
    </w:p>
    <w:p w:rsidR="00E51139" w:rsidRPr="0005794A" w:rsidRDefault="00E51139" w:rsidP="00E769F5">
      <w:pPr>
        <w:pStyle w:val="PlainText"/>
        <w:spacing w:line="240" w:lineRule="atLeast"/>
        <w:rPr>
          <w:rFonts w:ascii="Arial" w:hAnsi="Arial"/>
          <w:color w:val="548DD4" w:themeColor="text2" w:themeTint="99"/>
        </w:rPr>
      </w:pPr>
      <w:r w:rsidRPr="00CD2AD2">
        <w:rPr>
          <w:rFonts w:ascii="Arial" w:hAnsi="Arial"/>
          <w:b/>
        </w:rPr>
        <w:t>Non Distributed Cost</w:t>
      </w:r>
      <w:r w:rsidRPr="00CD2AD2">
        <w:rPr>
          <w:rFonts w:ascii="Arial" w:hAnsi="Arial"/>
        </w:rPr>
        <w:t xml:space="preserve"> –a category within the Council’s cost of services that represents past service costs (see below) and other costs that have not been attributed to specific services</w:t>
      </w:r>
      <w:r w:rsidRPr="0005794A">
        <w:rPr>
          <w:rFonts w:ascii="Arial" w:hAnsi="Arial"/>
          <w:color w:val="548DD4" w:themeColor="text2" w:themeTint="99"/>
        </w:rPr>
        <w:t>.</w:t>
      </w:r>
      <w:r w:rsidRPr="0005794A">
        <w:rPr>
          <w:rFonts w:ascii="Arial" w:hAnsi="Arial"/>
          <w:color w:val="548DD4" w:themeColor="text2" w:themeTint="99"/>
        </w:rPr>
        <w:br/>
      </w: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O</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Operating Lease</w:t>
      </w:r>
      <w:r w:rsidRPr="00CD2AD2">
        <w:rPr>
          <w:rFonts w:ascii="Arial" w:hAnsi="Arial"/>
        </w:rPr>
        <w:t xml:space="preserve"> – An operating lease is a lease other than a finance lease (please see above). The future obligations relating to operating leases are disclosed to provide the reader with an estimate of the outstanding </w:t>
      </w:r>
      <w:proofErr w:type="gramStart"/>
      <w:r w:rsidRPr="00CD2AD2">
        <w:rPr>
          <w:rFonts w:ascii="Arial" w:hAnsi="Arial"/>
        </w:rPr>
        <w:t>un</w:t>
      </w:r>
      <w:proofErr w:type="gramEnd"/>
      <w:r w:rsidRPr="00CD2AD2">
        <w:rPr>
          <w:rFonts w:ascii="Arial" w:hAnsi="Arial"/>
        </w:rPr>
        <w:t xml:space="preserve"> discharged obligations in relation to such leases. </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P</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Past Service Cost</w:t>
      </w:r>
      <w:r w:rsidRPr="00CD2AD2">
        <w:rPr>
          <w:rFonts w:ascii="Arial" w:hAnsi="Arial"/>
        </w:rPr>
        <w:t xml:space="preserve"> – The increase in the present value of a defined benefit pension scheme, as a result of improvements to, retirement benefits.</w:t>
      </w:r>
    </w:p>
    <w:p w:rsidR="008922D3" w:rsidRPr="00CD2AD2" w:rsidRDefault="008922D3" w:rsidP="00E769F5">
      <w:pPr>
        <w:pStyle w:val="PlainText"/>
        <w:spacing w:line="240" w:lineRule="atLeast"/>
        <w:rPr>
          <w:rFonts w:ascii="Arial" w:hAnsi="Arial"/>
        </w:rPr>
      </w:pPr>
    </w:p>
    <w:p w:rsidR="008922D3" w:rsidRPr="00CD2AD2" w:rsidRDefault="008922D3" w:rsidP="008922D3">
      <w:pPr>
        <w:pStyle w:val="ExampleText"/>
        <w:ind w:left="0"/>
        <w:outlineLvl w:val="0"/>
        <w:rPr>
          <w:rFonts w:ascii="Arial" w:hAnsi="Arial" w:cs="Times New Roman"/>
          <w:b/>
          <w:color w:val="auto"/>
          <w:lang w:eastAsia="en-US"/>
        </w:rPr>
      </w:pPr>
      <w:r w:rsidRPr="00CD2AD2">
        <w:rPr>
          <w:rFonts w:ascii="Arial" w:hAnsi="Arial" w:cs="Times New Roman"/>
          <w:b/>
          <w:color w:val="auto"/>
          <w:lang w:eastAsia="en-US"/>
        </w:rPr>
        <w:t xml:space="preserve">Pensions Reserve </w:t>
      </w:r>
      <w:r w:rsidR="007E33E1" w:rsidRPr="00CD2AD2">
        <w:rPr>
          <w:rFonts w:ascii="Arial" w:hAnsi="Arial" w:cs="Times New Roman"/>
          <w:b/>
          <w:color w:val="auto"/>
          <w:lang w:eastAsia="en-US"/>
        </w:rPr>
        <w:t>- (</w:t>
      </w:r>
      <w:r w:rsidRPr="00CD2AD2">
        <w:rPr>
          <w:rFonts w:ascii="Arial" w:hAnsi="Arial" w:cs="Times New Roman"/>
          <w:b/>
          <w:color w:val="auto"/>
          <w:lang w:eastAsia="en-US"/>
        </w:rPr>
        <w:t xml:space="preserve">Funded and Unfunded </w:t>
      </w:r>
      <w:r w:rsidR="007E33E1" w:rsidRPr="00CD2AD2">
        <w:rPr>
          <w:rFonts w:ascii="Arial" w:hAnsi="Arial" w:cs="Times New Roman"/>
          <w:b/>
          <w:color w:val="auto"/>
          <w:lang w:eastAsia="en-US"/>
        </w:rPr>
        <w:t>Liabilities</w:t>
      </w:r>
      <w:r w:rsidRPr="00CD2AD2">
        <w:rPr>
          <w:rFonts w:ascii="Arial" w:hAnsi="Arial" w:cs="Times New Roman"/>
          <w:b/>
          <w:color w:val="auto"/>
          <w:lang w:eastAsia="en-US"/>
        </w:rPr>
        <w:t xml:space="preserve">) - </w:t>
      </w:r>
      <w:r w:rsidRPr="00CD2AD2">
        <w:rPr>
          <w:rFonts w:ascii="Arial" w:hAnsi="Arial" w:cs="Times New Roman"/>
          <w:color w:val="auto"/>
          <w:lang w:eastAsia="en-US"/>
        </w:rPr>
        <w:t xml:space="preserve">The Pensions Reserve absorbs the timing differences arising from the different arrangements for accounting for </w:t>
      </w:r>
      <w:proofErr w:type="spellStart"/>
      <w:r w:rsidRPr="00CD2AD2">
        <w:rPr>
          <w:rFonts w:ascii="Arial" w:hAnsi="Arial" w:cs="Times New Roman"/>
          <w:color w:val="auto"/>
          <w:lang w:eastAsia="en-US"/>
        </w:rPr>
        <w:t>post employment</w:t>
      </w:r>
      <w:proofErr w:type="spellEnd"/>
      <w:r w:rsidRPr="00CD2AD2">
        <w:rPr>
          <w:rFonts w:ascii="Arial" w:hAnsi="Arial" w:cs="Times New Roman"/>
          <w:color w:val="auto"/>
          <w:lang w:eastAsia="en-US"/>
        </w:rPr>
        <w:t xml:space="preserve"> benefits and for funding benefits in accordance with statutory provisions. The Council accounts for </w:t>
      </w:r>
      <w:proofErr w:type="spellStart"/>
      <w:r w:rsidRPr="00CD2AD2">
        <w:rPr>
          <w:rFonts w:ascii="Arial" w:hAnsi="Arial" w:cs="Times New Roman"/>
          <w:color w:val="auto"/>
          <w:lang w:eastAsia="en-US"/>
        </w:rPr>
        <w:t>post employment</w:t>
      </w:r>
      <w:proofErr w:type="spellEnd"/>
      <w:r w:rsidRPr="00CD2AD2">
        <w:rPr>
          <w:rFonts w:ascii="Arial" w:hAnsi="Arial" w:cs="Times New Roman"/>
          <w:color w:val="auto"/>
          <w:lang w:eastAsia="en-US"/>
        </w:rPr>
        <w:t xml:space="preserve">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Council makes employer’s contributions to pension funds or pay any pensions for which it is directly responsible.  The debit balance on the Pensions Reserve therefore shows a substantial shortfall in the benefits earned by past and current employees and the resources the Council has set aside to meet them.  The statutory arrangements will ensure that funding will have been set aside, (usually by means of adjusting contribution rates)</w:t>
      </w:r>
      <w:r w:rsidR="007E33E1" w:rsidRPr="00CD2AD2">
        <w:rPr>
          <w:rFonts w:ascii="Arial" w:hAnsi="Arial" w:cs="Times New Roman"/>
          <w:color w:val="auto"/>
          <w:lang w:eastAsia="en-US"/>
        </w:rPr>
        <w:t>;</w:t>
      </w:r>
      <w:r w:rsidRPr="00CD2AD2">
        <w:rPr>
          <w:rFonts w:ascii="Arial" w:hAnsi="Arial" w:cs="Times New Roman"/>
          <w:color w:val="auto"/>
          <w:lang w:eastAsia="en-US"/>
        </w:rPr>
        <w:t xml:space="preserve"> by the time the benefits come to be paid.</w:t>
      </w:r>
    </w:p>
    <w:p w:rsidR="008922D3" w:rsidRPr="00CD2AD2" w:rsidRDefault="008922D3"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PFI - Private Finance Initiative</w:t>
      </w:r>
      <w:r w:rsidRPr="00CD2AD2">
        <w:rPr>
          <w:rFonts w:ascii="Arial" w:hAnsi="Arial"/>
        </w:rPr>
        <w:t xml:space="preserve"> – A method of using private investment to fund public sector schemes often supported by central government. The private sector typically builds an asset such as a school and then charges the Council over a period of typically 25 years to use and pay for the asset.</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Post Balance Sheet Events</w:t>
      </w:r>
      <w:r w:rsidRPr="00CD2AD2">
        <w:rPr>
          <w:rFonts w:ascii="Arial" w:hAnsi="Arial"/>
        </w:rPr>
        <w:t xml:space="preserve"> – Those events, both favourable and unfavourable, which occur between the balance sheet date and the date on which the Statement of Accounts is signed.</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Prior Period Adjustments</w:t>
      </w:r>
      <w:r w:rsidRPr="00CD2AD2">
        <w:rPr>
          <w:rFonts w:ascii="Arial" w:hAnsi="Arial"/>
        </w:rPr>
        <w:t xml:space="preserve"> – Those material adjustments applicable to prior years arising from changes in accounting policies or from the correction of fundamental errors. A fundamental error is one that is of such significance as to destroy the validity of the financial statements.</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Heading1"/>
        <w:spacing w:line="240" w:lineRule="atLeast"/>
        <w:rPr>
          <w:color w:val="auto"/>
          <w:sz w:val="20"/>
          <w:szCs w:val="20"/>
        </w:rPr>
      </w:pPr>
      <w:r w:rsidRPr="00CD2AD2">
        <w:rPr>
          <w:b/>
          <w:color w:val="auto"/>
          <w:sz w:val="20"/>
          <w:szCs w:val="20"/>
        </w:rPr>
        <w:t>Precept</w:t>
      </w:r>
      <w:r w:rsidRPr="00CD2AD2">
        <w:rPr>
          <w:color w:val="auto"/>
          <w:sz w:val="20"/>
          <w:szCs w:val="20"/>
        </w:rPr>
        <w:t xml:space="preserve"> - A levy made by one statutory body on another to meet the net cost of its services.</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proofErr w:type="spellStart"/>
      <w:r w:rsidRPr="00CD2AD2">
        <w:rPr>
          <w:rFonts w:ascii="Arial" w:hAnsi="Arial"/>
          <w:b/>
        </w:rPr>
        <w:lastRenderedPageBreak/>
        <w:t>Precepting</w:t>
      </w:r>
      <w:proofErr w:type="spellEnd"/>
      <w:r w:rsidRPr="00CD2AD2">
        <w:rPr>
          <w:rFonts w:ascii="Arial" w:hAnsi="Arial"/>
          <w:b/>
        </w:rPr>
        <w:t xml:space="preserve"> Body</w:t>
      </w:r>
      <w:r w:rsidRPr="00CD2AD2">
        <w:rPr>
          <w:rFonts w:ascii="Arial" w:hAnsi="Arial"/>
        </w:rPr>
        <w:t xml:space="preserve"> – the statutory body that makes a “precept” on a Council that is responsible for collecting Council Tax in an area. Town and parish Councils are classified as a Minor </w:t>
      </w:r>
      <w:proofErr w:type="spellStart"/>
      <w:r w:rsidRPr="00CD2AD2">
        <w:rPr>
          <w:rFonts w:ascii="Arial" w:hAnsi="Arial"/>
        </w:rPr>
        <w:t>Precepting</w:t>
      </w:r>
      <w:proofErr w:type="spellEnd"/>
      <w:r w:rsidRPr="00CD2AD2">
        <w:rPr>
          <w:rFonts w:ascii="Arial" w:hAnsi="Arial"/>
        </w:rPr>
        <w:t xml:space="preserve"> body which means </w:t>
      </w:r>
      <w:proofErr w:type="gramStart"/>
      <w:r w:rsidRPr="00CD2AD2">
        <w:rPr>
          <w:rFonts w:ascii="Arial" w:hAnsi="Arial"/>
        </w:rPr>
        <w:t>they</w:t>
      </w:r>
      <w:proofErr w:type="gramEnd"/>
      <w:r w:rsidRPr="00CD2AD2">
        <w:rPr>
          <w:rFonts w:ascii="Arial" w:hAnsi="Arial"/>
        </w:rPr>
        <w:t xml:space="preserve"> precept their tax requirement on the Council who then include that amount in their precept.</w:t>
      </w:r>
    </w:p>
    <w:p w:rsidR="00E51139" w:rsidRPr="0005794A" w:rsidRDefault="00E51139" w:rsidP="00E769F5">
      <w:pPr>
        <w:pStyle w:val="PlainText"/>
        <w:spacing w:line="240" w:lineRule="atLeast"/>
        <w:rPr>
          <w:rFonts w:ascii="Arial" w:hAnsi="Arial"/>
          <w:color w:val="548DD4" w:themeColor="text2" w:themeTint="99"/>
        </w:rPr>
      </w:pPr>
    </w:p>
    <w:p w:rsidR="00E51139" w:rsidRPr="00CD2AD2" w:rsidRDefault="00E51139" w:rsidP="00E769F5">
      <w:pPr>
        <w:pStyle w:val="PlainText"/>
        <w:spacing w:line="240" w:lineRule="atLeast"/>
        <w:rPr>
          <w:rFonts w:ascii="Arial" w:hAnsi="Arial"/>
        </w:rPr>
      </w:pPr>
      <w:r w:rsidRPr="00CD2AD2">
        <w:rPr>
          <w:rFonts w:ascii="Arial" w:hAnsi="Arial"/>
          <w:b/>
        </w:rPr>
        <w:t>Projected unit method (Pensions costs)</w:t>
      </w:r>
      <w:r w:rsidRPr="00CD2AD2">
        <w:rPr>
          <w:rFonts w:ascii="Arial" w:hAnsi="Arial"/>
        </w:rPr>
        <w:t xml:space="preserve"> – an accrued benefits valuation method in which the scheme liabilities make allowance for projected earnings. An accrued benefits valuation method is a valuation method in which the scheme liabilities at the valuation date relate to: </w:t>
      </w:r>
    </w:p>
    <w:p w:rsidR="00E51139" w:rsidRPr="00CD2AD2" w:rsidRDefault="00E51139" w:rsidP="00E769F5">
      <w:pPr>
        <w:pStyle w:val="PlainText"/>
        <w:spacing w:line="240" w:lineRule="atLeast"/>
        <w:rPr>
          <w:rFonts w:ascii="Arial" w:hAnsi="Arial"/>
        </w:rPr>
      </w:pPr>
    </w:p>
    <w:p w:rsidR="00E51139" w:rsidRPr="00CD2AD2" w:rsidRDefault="00E51139" w:rsidP="00574AC8">
      <w:pPr>
        <w:pStyle w:val="PlainText"/>
        <w:spacing w:line="240" w:lineRule="atLeast"/>
        <w:ind w:left="720"/>
        <w:rPr>
          <w:rFonts w:ascii="Arial" w:hAnsi="Arial"/>
        </w:rPr>
      </w:pPr>
      <w:r w:rsidRPr="00CD2AD2">
        <w:rPr>
          <w:rFonts w:ascii="Arial" w:hAnsi="Arial"/>
        </w:rPr>
        <w:t xml:space="preserve">• </w:t>
      </w:r>
      <w:proofErr w:type="gramStart"/>
      <w:r w:rsidRPr="00CD2AD2">
        <w:rPr>
          <w:rFonts w:ascii="Arial" w:hAnsi="Arial"/>
        </w:rPr>
        <w:t>the</w:t>
      </w:r>
      <w:proofErr w:type="gramEnd"/>
      <w:r w:rsidRPr="00CD2AD2">
        <w:rPr>
          <w:rFonts w:ascii="Arial" w:hAnsi="Arial"/>
        </w:rPr>
        <w:t xml:space="preserve"> benefits for pensioners and deferred pensioners (i.e. individuals who have ceased to be active members but are entitled to benefits payable at a later date) and their dependants, allowing where appropriate for future increases, and </w:t>
      </w:r>
    </w:p>
    <w:p w:rsidR="00E51139" w:rsidRPr="00CD2AD2" w:rsidRDefault="00E51139" w:rsidP="00574AC8">
      <w:pPr>
        <w:pStyle w:val="PlainText"/>
        <w:spacing w:line="240" w:lineRule="atLeast"/>
        <w:ind w:left="720"/>
        <w:rPr>
          <w:rFonts w:ascii="Arial" w:hAnsi="Arial"/>
        </w:rPr>
      </w:pPr>
      <w:r w:rsidRPr="00CD2AD2">
        <w:rPr>
          <w:rFonts w:ascii="Arial" w:hAnsi="Arial"/>
        </w:rPr>
        <w:t xml:space="preserve">• </w:t>
      </w:r>
      <w:proofErr w:type="gramStart"/>
      <w:r w:rsidRPr="00CD2AD2">
        <w:rPr>
          <w:rFonts w:ascii="Arial" w:hAnsi="Arial"/>
        </w:rPr>
        <w:t>the</w:t>
      </w:r>
      <w:proofErr w:type="gramEnd"/>
      <w:r w:rsidRPr="00CD2AD2">
        <w:rPr>
          <w:rFonts w:ascii="Arial" w:hAnsi="Arial"/>
        </w:rPr>
        <w:t xml:space="preserve"> accrued benefits for members in service on the valuation date. The accrued benefits are the benefits for service up to a given point in time, </w:t>
      </w:r>
      <w:r w:rsidR="007E33E1" w:rsidRPr="00CD2AD2">
        <w:rPr>
          <w:rFonts w:ascii="Arial" w:hAnsi="Arial"/>
        </w:rPr>
        <w:t>whether vested</w:t>
      </w:r>
      <w:r w:rsidRPr="00CD2AD2">
        <w:rPr>
          <w:rFonts w:ascii="Arial" w:hAnsi="Arial"/>
        </w:rPr>
        <w:t xml:space="preserve"> rights or not.</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b/>
        </w:rPr>
      </w:pPr>
      <w:r w:rsidRPr="00CD2AD2">
        <w:rPr>
          <w:rFonts w:ascii="Arial" w:hAnsi="Arial"/>
          <w:b/>
        </w:rPr>
        <w:t>Property, Plant &amp; Equipment –</w:t>
      </w:r>
      <w:r w:rsidRPr="00CD2AD2">
        <w:rPr>
          <w:rFonts w:ascii="Arial" w:hAnsi="Arial"/>
        </w:rPr>
        <w:t xml:space="preserve"> a category of </w:t>
      </w:r>
      <w:proofErr w:type="spellStart"/>
      <w:r w:rsidRPr="00CD2AD2">
        <w:rPr>
          <w:rFonts w:ascii="Arial" w:hAnsi="Arial"/>
        </w:rPr>
        <w:t>non current</w:t>
      </w:r>
      <w:proofErr w:type="spellEnd"/>
      <w:r w:rsidRPr="00CD2AD2">
        <w:rPr>
          <w:rFonts w:ascii="Arial" w:hAnsi="Arial"/>
        </w:rPr>
        <w:t xml:space="preserve"> assets that show the carrying value of the Council’s operational assets.</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Provisions</w:t>
      </w:r>
      <w:r w:rsidRPr="00CD2AD2">
        <w:rPr>
          <w:rFonts w:ascii="Arial" w:hAnsi="Arial"/>
        </w:rPr>
        <w:t xml:space="preserve"> - amounts set aside for the purposes of providing for any liability or loss which is likely or certain to be incurred but is uncertain as to the amount or the date on which it</w:t>
      </w:r>
      <w:r w:rsidR="00FA29DD">
        <w:rPr>
          <w:rFonts w:ascii="Arial" w:hAnsi="Arial"/>
        </w:rPr>
        <w:t xml:space="preserve"> will arise, e.g.</w:t>
      </w:r>
      <w:r w:rsidRPr="00CD2AD2">
        <w:rPr>
          <w:rFonts w:ascii="Arial" w:hAnsi="Arial"/>
        </w:rPr>
        <w:t xml:space="preserve"> bad debts. </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BodyText"/>
        <w:rPr>
          <w:color w:val="auto"/>
          <w:sz w:val="20"/>
          <w:szCs w:val="20"/>
        </w:rPr>
      </w:pPr>
      <w:r w:rsidRPr="00CD2AD2">
        <w:rPr>
          <w:b/>
          <w:color w:val="auto"/>
          <w:sz w:val="20"/>
          <w:szCs w:val="20"/>
        </w:rPr>
        <w:t>Prudential Code –</w:t>
      </w:r>
      <w:r w:rsidRPr="00CD2AD2">
        <w:rPr>
          <w:color w:val="auto"/>
          <w:sz w:val="20"/>
          <w:szCs w:val="20"/>
        </w:rPr>
        <w:t xml:space="preserve"> The CIPFA Prudential Code for Capital Finance in Local Authorities which is the guidance applicable from April 2004 for </w:t>
      </w:r>
      <w:r w:rsidR="007E33E1" w:rsidRPr="00CD2AD2">
        <w:rPr>
          <w:color w:val="auto"/>
          <w:sz w:val="20"/>
          <w:szCs w:val="20"/>
        </w:rPr>
        <w:t>the greater</w:t>
      </w:r>
      <w:r w:rsidRPr="00CD2AD2">
        <w:rPr>
          <w:color w:val="auto"/>
          <w:sz w:val="20"/>
          <w:szCs w:val="20"/>
        </w:rPr>
        <w:t xml:space="preserve"> freedom for Councils to borrow to fund capital investment (under the Local Government Act 2003). This Code requires the Council to set and monitor a suite of Prudential Indicators, including its Affordable Borrowing Limit, and establish its policy for using the new freedoms.</w:t>
      </w:r>
    </w:p>
    <w:p w:rsidR="001F1DDA" w:rsidRPr="00CD2AD2" w:rsidRDefault="001F1DDA" w:rsidP="00E769F5">
      <w:pPr>
        <w:pStyle w:val="PlainText"/>
        <w:spacing w:line="240" w:lineRule="atLeast"/>
        <w:rPr>
          <w:rFonts w:ascii="Arial" w:hAnsi="Arial"/>
          <w:b/>
        </w:rPr>
      </w:pPr>
      <w:r w:rsidRPr="00CD2AD2">
        <w:rPr>
          <w:rFonts w:ascii="Arial" w:hAnsi="Arial"/>
          <w:b/>
        </w:rPr>
        <w:t xml:space="preserve">Prudential Borrowing – </w:t>
      </w:r>
      <w:r w:rsidRPr="00CD2AD2">
        <w:rPr>
          <w:rFonts w:ascii="Arial" w:hAnsi="Arial"/>
        </w:rPr>
        <w:t>see Unsupported Borrowing</w:t>
      </w:r>
    </w:p>
    <w:p w:rsidR="001F1DDA" w:rsidRPr="00CD2AD2" w:rsidRDefault="001F1DDA"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PWLB</w:t>
      </w:r>
      <w:r w:rsidRPr="00CD2AD2">
        <w:rPr>
          <w:rFonts w:ascii="Arial" w:hAnsi="Arial"/>
        </w:rPr>
        <w:t xml:space="preserve"> – see Borrowing</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R</w:t>
      </w:r>
    </w:p>
    <w:p w:rsidR="00E51139" w:rsidRPr="0005794A" w:rsidRDefault="00E51139" w:rsidP="00E769F5">
      <w:pPr>
        <w:pStyle w:val="PlainText"/>
        <w:spacing w:line="240" w:lineRule="atLeast"/>
        <w:rPr>
          <w:rFonts w:ascii="Arial" w:hAnsi="Arial"/>
          <w:color w:val="548DD4" w:themeColor="text2" w:themeTint="99"/>
        </w:rPr>
      </w:pPr>
    </w:p>
    <w:p w:rsidR="00E51139" w:rsidRPr="00CD2AD2" w:rsidRDefault="00E51139" w:rsidP="00E769F5">
      <w:pPr>
        <w:pStyle w:val="PlainText"/>
        <w:spacing w:line="240" w:lineRule="atLeast"/>
        <w:rPr>
          <w:rFonts w:ascii="Arial" w:hAnsi="Arial"/>
        </w:rPr>
      </w:pPr>
      <w:r w:rsidRPr="00CD2AD2">
        <w:rPr>
          <w:rFonts w:ascii="Arial" w:hAnsi="Arial"/>
          <w:b/>
        </w:rPr>
        <w:t>Related Party Transaction</w:t>
      </w:r>
      <w:r w:rsidRPr="00CD2AD2">
        <w:rPr>
          <w:rFonts w:ascii="Arial" w:hAnsi="Arial"/>
        </w:rPr>
        <w:t xml:space="preserve"> – Is the transfer of assets or liabilities, or the provision of services to or for a related party, irrespective of whether a charge is made.</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REFCUS – Revenue Expenditure Funded from Capital Under Statute</w:t>
      </w:r>
      <w:r w:rsidRPr="00CD2AD2">
        <w:rPr>
          <w:rFonts w:ascii="Arial" w:hAnsi="Arial"/>
        </w:rPr>
        <w:t>. This represents expenditure that qualifies as capital for the purposes of government controls, but does not result in the acquisition, creation or enhancement of a tangible fixed asset. As a result the expenditure in this category and related grants or contributions are reported as revenue income and expenditure.</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Retirement Benefits</w:t>
      </w:r>
      <w:r w:rsidRPr="00CD2AD2">
        <w:rPr>
          <w:rFonts w:ascii="Arial" w:hAnsi="Arial"/>
        </w:rPr>
        <w:t xml:space="preserve"> – All forms of consideration given by an employer in exchange for services rendered by employees that are payable after the completion of employment.</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Reserves</w:t>
      </w:r>
      <w:r w:rsidRPr="00CD2AD2">
        <w:rPr>
          <w:rFonts w:ascii="Arial" w:hAnsi="Arial"/>
        </w:rPr>
        <w:t xml:space="preserve"> – are available for meeting general and future expenditure, for example, capital expenditure on new projects or unforeseen occurrences. Reserves may also be used to smooth the cost of certain activities over a number of years, e.g., crematoria replacement. </w:t>
      </w:r>
    </w:p>
    <w:p w:rsidR="00EC29EC" w:rsidRPr="00CD2AD2" w:rsidRDefault="00E51139" w:rsidP="00EC29EC">
      <w:pPr>
        <w:pStyle w:val="ExampleText"/>
        <w:ind w:left="0"/>
        <w:rPr>
          <w:rFonts w:ascii="Arial" w:hAnsi="Arial" w:cs="Arial"/>
          <w:color w:val="auto"/>
        </w:rPr>
      </w:pPr>
      <w:r w:rsidRPr="00CD2AD2">
        <w:rPr>
          <w:rFonts w:ascii="Arial" w:hAnsi="Arial"/>
          <w:b/>
          <w:color w:val="auto"/>
        </w:rPr>
        <w:t>Revaluation Reserve</w:t>
      </w:r>
      <w:r w:rsidRPr="00CD2AD2">
        <w:rPr>
          <w:rFonts w:ascii="Arial" w:hAnsi="Arial"/>
          <w:color w:val="auto"/>
        </w:rPr>
        <w:t xml:space="preserve"> – </w:t>
      </w:r>
      <w:r w:rsidR="00EC29EC" w:rsidRPr="00CD2AD2">
        <w:rPr>
          <w:rFonts w:ascii="Arial" w:hAnsi="Arial" w:cs="Arial"/>
          <w:color w:val="auto"/>
        </w:rPr>
        <w:t>The Revaluation Reserve contains the net gains made by the Council arising from increases in the value of its Property, Plant and Equipment, Intangible Assets and the “frozen” revaluation gains in assets now classified as Investment Properties or as Assets Held for Sale.  The balance is reduced when assets with accumulated gains are:</w:t>
      </w:r>
    </w:p>
    <w:p w:rsidR="003D6968" w:rsidRPr="00CD2AD2" w:rsidRDefault="003D6968" w:rsidP="00EC29EC">
      <w:pPr>
        <w:pStyle w:val="ExampleText"/>
        <w:ind w:left="0"/>
        <w:rPr>
          <w:rFonts w:ascii="Arial" w:hAnsi="Arial" w:cs="Arial"/>
          <w:color w:val="auto"/>
        </w:rPr>
      </w:pPr>
    </w:p>
    <w:p w:rsidR="00EC29EC" w:rsidRPr="00CD2AD2" w:rsidRDefault="00EC29EC" w:rsidP="00EC29EC">
      <w:pPr>
        <w:pStyle w:val="ExampleText"/>
        <w:numPr>
          <w:ilvl w:val="0"/>
          <w:numId w:val="3"/>
        </w:numPr>
        <w:spacing w:before="0"/>
        <w:ind w:left="1281" w:hanging="357"/>
        <w:rPr>
          <w:rFonts w:ascii="Arial" w:hAnsi="Arial" w:cs="Arial"/>
          <w:color w:val="auto"/>
        </w:rPr>
      </w:pPr>
      <w:r w:rsidRPr="00CD2AD2">
        <w:rPr>
          <w:rFonts w:ascii="Arial" w:hAnsi="Arial" w:cs="Arial"/>
          <w:color w:val="auto"/>
        </w:rPr>
        <w:t>revalued downwards or impaired and the gains are lost</w:t>
      </w:r>
    </w:p>
    <w:p w:rsidR="00EC29EC" w:rsidRPr="00CD2AD2" w:rsidRDefault="00EC29EC" w:rsidP="00EC29EC">
      <w:pPr>
        <w:pStyle w:val="ExampleText"/>
        <w:numPr>
          <w:ilvl w:val="0"/>
          <w:numId w:val="3"/>
        </w:numPr>
        <w:spacing w:before="0"/>
        <w:ind w:left="1281" w:hanging="357"/>
        <w:rPr>
          <w:rFonts w:ascii="Arial" w:hAnsi="Arial" w:cs="Arial"/>
          <w:color w:val="auto"/>
        </w:rPr>
      </w:pPr>
      <w:r w:rsidRPr="00CD2AD2">
        <w:rPr>
          <w:rFonts w:ascii="Arial" w:hAnsi="Arial" w:cs="Arial"/>
          <w:color w:val="auto"/>
        </w:rPr>
        <w:t>used in the provision of services and the gains are consumed through depreciation, or</w:t>
      </w:r>
    </w:p>
    <w:p w:rsidR="00EC29EC" w:rsidRPr="00CD2AD2" w:rsidRDefault="00EC29EC" w:rsidP="00EC29EC">
      <w:pPr>
        <w:pStyle w:val="ExampleText"/>
        <w:numPr>
          <w:ilvl w:val="0"/>
          <w:numId w:val="3"/>
        </w:numPr>
        <w:spacing w:before="0"/>
        <w:ind w:left="1281" w:hanging="357"/>
        <w:rPr>
          <w:rFonts w:ascii="Arial" w:hAnsi="Arial" w:cs="Arial"/>
          <w:color w:val="auto"/>
        </w:rPr>
      </w:pPr>
      <w:proofErr w:type="gramStart"/>
      <w:r w:rsidRPr="00CD2AD2">
        <w:rPr>
          <w:rFonts w:ascii="Arial" w:hAnsi="Arial" w:cs="Arial"/>
          <w:color w:val="auto"/>
        </w:rPr>
        <w:t>disposed</w:t>
      </w:r>
      <w:proofErr w:type="gramEnd"/>
      <w:r w:rsidRPr="00CD2AD2">
        <w:rPr>
          <w:rFonts w:ascii="Arial" w:hAnsi="Arial" w:cs="Arial"/>
          <w:color w:val="auto"/>
        </w:rPr>
        <w:t xml:space="preserve"> of and the gains are realised.</w:t>
      </w:r>
    </w:p>
    <w:p w:rsidR="00EC29EC" w:rsidRPr="00CD2AD2" w:rsidRDefault="00EC29EC" w:rsidP="00EC29EC">
      <w:pPr>
        <w:pStyle w:val="ExampleText"/>
        <w:spacing w:before="0"/>
        <w:rPr>
          <w:rFonts w:ascii="Arial" w:hAnsi="Arial" w:cs="Arial"/>
          <w:color w:val="auto"/>
        </w:rPr>
      </w:pPr>
    </w:p>
    <w:p w:rsidR="00EC29EC" w:rsidRPr="00CD2AD2" w:rsidRDefault="00EC29EC" w:rsidP="00EC29EC">
      <w:pPr>
        <w:pStyle w:val="ExampleText"/>
        <w:spacing w:before="0"/>
        <w:ind w:left="0"/>
        <w:rPr>
          <w:rFonts w:ascii="Arial" w:hAnsi="Arial" w:cs="Arial"/>
          <w:color w:val="auto"/>
        </w:rPr>
      </w:pPr>
      <w:r w:rsidRPr="00CD2AD2">
        <w:rPr>
          <w:rFonts w:ascii="Arial" w:hAnsi="Arial" w:cs="Arial"/>
          <w:color w:val="auto"/>
        </w:rPr>
        <w:t>The Reserve contains only revaluation gains accumulated since 1 April 2007, the date that the Reserve was created.  Accumulated gains arising before that date were consolidated into the balance on the Capital Adjustment Account.</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Revenue Contribution to Capital Outlay</w:t>
      </w:r>
      <w:r w:rsidRPr="00CD2AD2">
        <w:rPr>
          <w:rFonts w:ascii="Arial" w:hAnsi="Arial"/>
        </w:rPr>
        <w:t xml:space="preserve"> - the financing of capital expenditure, directly funded from revenue or reserves, rather than from borrowing or other sources. </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Revenue Expenditure</w:t>
      </w:r>
      <w:r w:rsidRPr="00CD2AD2">
        <w:rPr>
          <w:rFonts w:ascii="Arial" w:hAnsi="Arial"/>
        </w:rPr>
        <w:t xml:space="preserve"> - expenditure on day-to-day expenses consisting mainly of employee costs, the running expenses of buildings and equipment and capital financing costs. </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Revenue Support Grant</w:t>
      </w:r>
      <w:r w:rsidRPr="00CD2AD2">
        <w:rPr>
          <w:rFonts w:ascii="Arial" w:hAnsi="Arial"/>
        </w:rPr>
        <w:t xml:space="preserve"> – a General Government Grant funded from national taxation to support the Council’s net expenditure.</w:t>
      </w:r>
    </w:p>
    <w:p w:rsidR="00E51139" w:rsidRPr="00CD2AD2" w:rsidRDefault="00E51139" w:rsidP="00E769F5">
      <w:pPr>
        <w:pStyle w:val="PlainText"/>
        <w:spacing w:line="240" w:lineRule="atLeast"/>
        <w:rPr>
          <w:rFonts w:ascii="Arial" w:hAnsi="Arial"/>
        </w:rPr>
      </w:pPr>
    </w:p>
    <w:p w:rsidR="00E51139" w:rsidRPr="00CD2AD2" w:rsidRDefault="00E51139" w:rsidP="008D0906">
      <w:pPr>
        <w:pStyle w:val="PlainText"/>
        <w:spacing w:line="240" w:lineRule="atLeast"/>
        <w:outlineLvl w:val="0"/>
        <w:rPr>
          <w:rFonts w:ascii="Arial" w:hAnsi="Arial"/>
          <w:b/>
          <w:u w:val="single"/>
        </w:rPr>
      </w:pPr>
      <w:r w:rsidRPr="00CD2AD2">
        <w:rPr>
          <w:rFonts w:ascii="Arial" w:hAnsi="Arial"/>
          <w:b/>
          <w:u w:val="single"/>
        </w:rPr>
        <w:t>S</w:t>
      </w:r>
    </w:p>
    <w:p w:rsidR="00E51139" w:rsidRPr="00CD2AD2" w:rsidRDefault="00E51139" w:rsidP="00E769F5">
      <w:pPr>
        <w:pStyle w:val="PlainText"/>
        <w:spacing w:line="240" w:lineRule="atLeast"/>
        <w:rPr>
          <w:rFonts w:ascii="Arial" w:hAnsi="Arial"/>
        </w:rPr>
      </w:pPr>
    </w:p>
    <w:p w:rsidR="008A4937" w:rsidRPr="00CD2AD2" w:rsidRDefault="008A4937" w:rsidP="00E769F5">
      <w:pPr>
        <w:pStyle w:val="PlainText"/>
        <w:spacing w:line="240" w:lineRule="atLeast"/>
        <w:rPr>
          <w:rFonts w:ascii="Arial" w:hAnsi="Arial"/>
          <w:b/>
        </w:rPr>
      </w:pPr>
    </w:p>
    <w:p w:rsidR="008A4937" w:rsidRPr="00CD2AD2" w:rsidRDefault="008A4937" w:rsidP="008D0906">
      <w:pPr>
        <w:pStyle w:val="PlainText"/>
        <w:spacing w:line="240" w:lineRule="atLeast"/>
        <w:outlineLvl w:val="0"/>
        <w:rPr>
          <w:rFonts w:ascii="Arial" w:hAnsi="Arial"/>
        </w:rPr>
      </w:pPr>
      <w:r w:rsidRPr="00CD2AD2">
        <w:rPr>
          <w:rFonts w:ascii="Arial" w:hAnsi="Arial"/>
          <w:b/>
        </w:rPr>
        <w:t xml:space="preserve">S31 Grant – </w:t>
      </w:r>
      <w:r w:rsidRPr="00CD2AD2">
        <w:rPr>
          <w:rFonts w:ascii="Arial" w:hAnsi="Arial"/>
        </w:rPr>
        <w:t>a grant awarded by central government to councils where the legal basis for the grant is s31 of the Local Government Act 2003.</w:t>
      </w:r>
    </w:p>
    <w:p w:rsidR="008A4937" w:rsidRPr="00CD2AD2" w:rsidRDefault="008A4937" w:rsidP="00E769F5">
      <w:pPr>
        <w:pStyle w:val="PlainText"/>
        <w:spacing w:line="240" w:lineRule="atLeast"/>
        <w:rPr>
          <w:rFonts w:ascii="Arial" w:hAnsi="Arial"/>
          <w:b/>
        </w:rPr>
      </w:pPr>
    </w:p>
    <w:p w:rsidR="00E51139" w:rsidRPr="00CD2AD2" w:rsidRDefault="00E51139" w:rsidP="008D0906">
      <w:pPr>
        <w:pStyle w:val="PlainText"/>
        <w:spacing w:line="240" w:lineRule="atLeast"/>
        <w:outlineLvl w:val="0"/>
        <w:rPr>
          <w:rFonts w:ascii="Arial" w:hAnsi="Arial"/>
        </w:rPr>
      </w:pPr>
      <w:r w:rsidRPr="00CD2AD2">
        <w:rPr>
          <w:rFonts w:ascii="Arial" w:hAnsi="Arial"/>
          <w:b/>
        </w:rPr>
        <w:t>Scheme Liabilities</w:t>
      </w:r>
      <w:r w:rsidRPr="00CD2AD2">
        <w:rPr>
          <w:rFonts w:ascii="Arial" w:hAnsi="Arial"/>
        </w:rPr>
        <w:t xml:space="preserve"> – Money due on a defined benefit scheme due after the valuation date.</w:t>
      </w:r>
    </w:p>
    <w:p w:rsidR="00E51139" w:rsidRPr="00CD2AD2" w:rsidRDefault="00E51139" w:rsidP="00E769F5">
      <w:pPr>
        <w:pStyle w:val="PlainText"/>
        <w:spacing w:line="240" w:lineRule="atLeast"/>
        <w:rPr>
          <w:rFonts w:ascii="Arial" w:hAnsi="Arial"/>
        </w:rPr>
      </w:pPr>
    </w:p>
    <w:p w:rsidR="00E51139" w:rsidRPr="00CD2AD2" w:rsidRDefault="00E51139" w:rsidP="00E769F5">
      <w:pPr>
        <w:pStyle w:val="PlainText"/>
        <w:spacing w:line="240" w:lineRule="atLeast"/>
        <w:rPr>
          <w:rFonts w:ascii="Arial" w:hAnsi="Arial"/>
        </w:rPr>
      </w:pPr>
      <w:r w:rsidRPr="00CD2AD2">
        <w:rPr>
          <w:rFonts w:ascii="Arial" w:hAnsi="Arial"/>
          <w:b/>
        </w:rPr>
        <w:t xml:space="preserve">Supported Borrowing – </w:t>
      </w:r>
      <w:r w:rsidRPr="00CD2AD2">
        <w:rPr>
          <w:rFonts w:ascii="Arial" w:hAnsi="Arial"/>
        </w:rPr>
        <w:t>the</w:t>
      </w:r>
      <w:r w:rsidRPr="00CD2AD2">
        <w:rPr>
          <w:rFonts w:ascii="Arial" w:hAnsi="Arial"/>
          <w:b/>
        </w:rPr>
        <w:t xml:space="preserve"> </w:t>
      </w:r>
      <w:r w:rsidRPr="00CD2AD2">
        <w:rPr>
          <w:rFonts w:ascii="Arial" w:hAnsi="Arial"/>
        </w:rPr>
        <w:t xml:space="preserve">amount of </w:t>
      </w:r>
      <w:r w:rsidR="009916D1" w:rsidRPr="00CD2AD2">
        <w:rPr>
          <w:rFonts w:ascii="Arial" w:hAnsi="Arial"/>
        </w:rPr>
        <w:t xml:space="preserve">historic </w:t>
      </w:r>
      <w:r w:rsidRPr="00CD2AD2">
        <w:rPr>
          <w:rFonts w:ascii="Arial" w:hAnsi="Arial"/>
        </w:rPr>
        <w:t>Council borrowing towards which the Government provide</w:t>
      </w:r>
      <w:r w:rsidR="00C031DE" w:rsidRPr="00CD2AD2">
        <w:rPr>
          <w:rFonts w:ascii="Arial" w:hAnsi="Arial"/>
        </w:rPr>
        <w:t>d</w:t>
      </w:r>
      <w:r w:rsidRPr="00CD2AD2">
        <w:rPr>
          <w:rFonts w:ascii="Arial" w:hAnsi="Arial"/>
        </w:rPr>
        <w:t xml:space="preserve"> financial support through the annual Revenue Support Grant</w:t>
      </w:r>
      <w:r w:rsidR="009916D1" w:rsidRPr="00CD2AD2">
        <w:rPr>
          <w:rFonts w:ascii="Arial" w:hAnsi="Arial"/>
        </w:rPr>
        <w:t xml:space="preserve"> although this now </w:t>
      </w:r>
      <w:r w:rsidR="00C031DE" w:rsidRPr="00CD2AD2">
        <w:rPr>
          <w:rFonts w:ascii="Arial" w:hAnsi="Arial"/>
        </w:rPr>
        <w:t xml:space="preserve">significantly </w:t>
      </w:r>
      <w:r w:rsidR="009916D1" w:rsidRPr="00CD2AD2">
        <w:rPr>
          <w:rFonts w:ascii="Arial" w:hAnsi="Arial"/>
        </w:rPr>
        <w:t>reduced by the ongoing austerity funding reductions</w:t>
      </w:r>
    </w:p>
    <w:p w:rsidR="00E51139" w:rsidRPr="00320539" w:rsidRDefault="00E51139" w:rsidP="00E769F5">
      <w:pPr>
        <w:pStyle w:val="PlainText"/>
        <w:spacing w:line="240" w:lineRule="atLeast"/>
        <w:rPr>
          <w:rFonts w:ascii="Arial" w:hAnsi="Arial"/>
        </w:rPr>
      </w:pPr>
    </w:p>
    <w:p w:rsidR="00E51139" w:rsidRPr="00320539" w:rsidRDefault="00E51139" w:rsidP="008D0906">
      <w:pPr>
        <w:pStyle w:val="PlainText"/>
        <w:spacing w:line="240" w:lineRule="atLeast"/>
        <w:outlineLvl w:val="0"/>
        <w:rPr>
          <w:rFonts w:ascii="Arial" w:hAnsi="Arial"/>
          <w:b/>
          <w:u w:val="single"/>
        </w:rPr>
      </w:pPr>
      <w:r w:rsidRPr="00320539">
        <w:rPr>
          <w:rFonts w:ascii="Arial" w:hAnsi="Arial"/>
          <w:b/>
          <w:u w:val="single"/>
        </w:rPr>
        <w:t>T</w:t>
      </w:r>
    </w:p>
    <w:p w:rsidR="00E51139" w:rsidRPr="00320539" w:rsidRDefault="00E51139" w:rsidP="00E769F5">
      <w:pPr>
        <w:pStyle w:val="PlainText"/>
        <w:spacing w:line="240" w:lineRule="atLeast"/>
        <w:rPr>
          <w:rFonts w:ascii="Arial" w:hAnsi="Arial"/>
          <w:b/>
        </w:rPr>
      </w:pPr>
    </w:p>
    <w:p w:rsidR="00E51139" w:rsidRPr="00320539" w:rsidRDefault="00407A68" w:rsidP="008D0906">
      <w:pPr>
        <w:pStyle w:val="PlainText"/>
        <w:spacing w:line="240" w:lineRule="atLeast"/>
        <w:outlineLvl w:val="0"/>
        <w:rPr>
          <w:rFonts w:ascii="Arial" w:hAnsi="Arial"/>
        </w:rPr>
      </w:pPr>
      <w:r w:rsidRPr="00320539">
        <w:rPr>
          <w:rFonts w:ascii="Arial" w:hAnsi="Arial"/>
          <w:b/>
        </w:rPr>
        <w:t>TDA</w:t>
      </w:r>
      <w:r w:rsidR="00E51139" w:rsidRPr="00320539">
        <w:rPr>
          <w:rFonts w:ascii="Arial" w:hAnsi="Arial"/>
          <w:b/>
        </w:rPr>
        <w:t xml:space="preserve"> </w:t>
      </w:r>
      <w:r w:rsidR="00E51139" w:rsidRPr="00320539">
        <w:rPr>
          <w:rFonts w:ascii="Arial" w:hAnsi="Arial"/>
        </w:rPr>
        <w:t>– Torbay Economic Development Company Ltd. A subsidiary of Torbay Council</w:t>
      </w:r>
      <w:r w:rsidRPr="00320539">
        <w:rPr>
          <w:rFonts w:ascii="Arial" w:hAnsi="Arial"/>
        </w:rPr>
        <w:t xml:space="preserve"> that trades as Torbay Development Agency (TDA)</w:t>
      </w:r>
    </w:p>
    <w:p w:rsidR="00E51139" w:rsidRPr="00320539" w:rsidRDefault="00E51139" w:rsidP="00E769F5">
      <w:pPr>
        <w:pStyle w:val="PlainText"/>
        <w:spacing w:line="240" w:lineRule="atLeast"/>
        <w:rPr>
          <w:rFonts w:ascii="Arial" w:hAnsi="Arial"/>
          <w:b/>
        </w:rPr>
      </w:pPr>
    </w:p>
    <w:p w:rsidR="00E51139" w:rsidRPr="00320539" w:rsidRDefault="00E51139" w:rsidP="00E769F5">
      <w:pPr>
        <w:pStyle w:val="PlainText"/>
        <w:spacing w:line="240" w:lineRule="atLeast"/>
        <w:rPr>
          <w:rFonts w:ascii="Arial" w:hAnsi="Arial"/>
        </w:rPr>
      </w:pPr>
      <w:r w:rsidRPr="00320539">
        <w:rPr>
          <w:rFonts w:ascii="Arial" w:hAnsi="Arial"/>
          <w:b/>
        </w:rPr>
        <w:t xml:space="preserve">Total </w:t>
      </w:r>
      <w:r w:rsidR="00DD413A" w:rsidRPr="00320539">
        <w:rPr>
          <w:rFonts w:ascii="Arial" w:hAnsi="Arial"/>
          <w:b/>
        </w:rPr>
        <w:t>C</w:t>
      </w:r>
      <w:r w:rsidRPr="00320539">
        <w:rPr>
          <w:rFonts w:ascii="Arial" w:hAnsi="Arial"/>
          <w:b/>
        </w:rPr>
        <w:t>ost</w:t>
      </w:r>
      <w:r w:rsidRPr="00320539">
        <w:rPr>
          <w:rFonts w:ascii="Arial" w:hAnsi="Arial"/>
        </w:rPr>
        <w:t xml:space="preserve"> – the actual cost of services reflects all of the direct, indirect and overhead costs that have been incurred in providing the service, even where the expenditure is not under the control of the service’s chief officer. </w:t>
      </w:r>
    </w:p>
    <w:p w:rsidR="00E51139" w:rsidRPr="00320539" w:rsidRDefault="00E51139" w:rsidP="00E769F5">
      <w:pPr>
        <w:pStyle w:val="Footer"/>
        <w:spacing w:line="240" w:lineRule="atLeast"/>
        <w:rPr>
          <w:color w:val="auto"/>
          <w:sz w:val="20"/>
          <w:szCs w:val="20"/>
        </w:rPr>
      </w:pPr>
    </w:p>
    <w:p w:rsidR="00E51139" w:rsidRPr="00320539" w:rsidRDefault="00E51139" w:rsidP="008D0906">
      <w:pPr>
        <w:pStyle w:val="Footer"/>
        <w:spacing w:line="240" w:lineRule="atLeast"/>
        <w:outlineLvl w:val="0"/>
        <w:rPr>
          <w:b/>
          <w:color w:val="auto"/>
          <w:sz w:val="20"/>
          <w:szCs w:val="20"/>
          <w:u w:val="single"/>
        </w:rPr>
      </w:pPr>
      <w:r w:rsidRPr="00320539">
        <w:rPr>
          <w:b/>
          <w:color w:val="auto"/>
          <w:sz w:val="20"/>
          <w:szCs w:val="20"/>
          <w:u w:val="single"/>
        </w:rPr>
        <w:t>U</w:t>
      </w:r>
    </w:p>
    <w:p w:rsidR="00E51139" w:rsidRPr="00320539" w:rsidRDefault="00E51139" w:rsidP="00E769F5">
      <w:pPr>
        <w:pStyle w:val="Footer"/>
        <w:spacing w:line="240" w:lineRule="atLeast"/>
        <w:rPr>
          <w:b/>
          <w:color w:val="auto"/>
          <w:sz w:val="20"/>
          <w:szCs w:val="20"/>
        </w:rPr>
      </w:pPr>
    </w:p>
    <w:p w:rsidR="00E51139" w:rsidRPr="00320539" w:rsidRDefault="00E51139" w:rsidP="008D0906">
      <w:pPr>
        <w:pStyle w:val="Footer"/>
        <w:spacing w:line="240" w:lineRule="atLeast"/>
        <w:outlineLvl w:val="0"/>
        <w:rPr>
          <w:color w:val="auto"/>
          <w:sz w:val="20"/>
          <w:szCs w:val="20"/>
        </w:rPr>
      </w:pPr>
      <w:r w:rsidRPr="00320539">
        <w:rPr>
          <w:b/>
          <w:color w:val="auto"/>
          <w:sz w:val="20"/>
          <w:szCs w:val="20"/>
        </w:rPr>
        <w:t xml:space="preserve">Unfunded Pension Liabilities </w:t>
      </w:r>
      <w:r w:rsidRPr="00320539">
        <w:rPr>
          <w:color w:val="auto"/>
          <w:sz w:val="20"/>
          <w:szCs w:val="20"/>
        </w:rPr>
        <w:t>– these are pension costs arising from additional service awarded by a Council on a discretionary basis.</w:t>
      </w:r>
    </w:p>
    <w:p w:rsidR="00E51139" w:rsidRPr="00320539" w:rsidRDefault="00E51139" w:rsidP="00E769F5">
      <w:pPr>
        <w:pStyle w:val="Footer"/>
        <w:spacing w:line="240" w:lineRule="atLeast"/>
        <w:rPr>
          <w:color w:val="auto"/>
          <w:sz w:val="20"/>
          <w:szCs w:val="20"/>
        </w:rPr>
      </w:pPr>
    </w:p>
    <w:p w:rsidR="009145E7" w:rsidRPr="00320539" w:rsidRDefault="00E51139" w:rsidP="009145E7">
      <w:pPr>
        <w:pStyle w:val="PlainText"/>
        <w:spacing w:line="240" w:lineRule="atLeast"/>
        <w:rPr>
          <w:rFonts w:ascii="Arial" w:hAnsi="Arial"/>
        </w:rPr>
      </w:pPr>
      <w:r w:rsidRPr="00320539">
        <w:rPr>
          <w:rFonts w:ascii="Arial" w:hAnsi="Arial"/>
          <w:b/>
        </w:rPr>
        <w:t xml:space="preserve">Unsupported (or Prudential) Borrowing – </w:t>
      </w:r>
      <w:r w:rsidRPr="00320539">
        <w:rPr>
          <w:rFonts w:ascii="Arial" w:hAnsi="Arial"/>
        </w:rPr>
        <w:t>any borrowing the Council undertakes that is above and beyond the level of Supported Borrowing which the Government helps to fund and which therefore the Council has to fund completely from its own resources.</w:t>
      </w:r>
    </w:p>
    <w:p w:rsidR="009145E7" w:rsidRPr="00320539" w:rsidRDefault="009145E7" w:rsidP="009145E7">
      <w:pPr>
        <w:pStyle w:val="PlainText"/>
        <w:spacing w:line="240" w:lineRule="atLeast"/>
        <w:rPr>
          <w:rFonts w:ascii="Arial" w:hAnsi="Arial"/>
        </w:rPr>
      </w:pPr>
    </w:p>
    <w:p w:rsidR="00E51139" w:rsidRPr="00320539" w:rsidRDefault="00E51139" w:rsidP="008D0906">
      <w:pPr>
        <w:pStyle w:val="PlainText"/>
        <w:spacing w:line="240" w:lineRule="atLeast"/>
        <w:outlineLvl w:val="0"/>
        <w:rPr>
          <w:rFonts w:ascii="Arial" w:hAnsi="Arial"/>
        </w:rPr>
      </w:pPr>
      <w:r w:rsidRPr="00320539">
        <w:rPr>
          <w:rFonts w:ascii="Arial" w:hAnsi="Arial"/>
          <w:b/>
        </w:rPr>
        <w:t>Usable Reserves</w:t>
      </w:r>
      <w:r w:rsidRPr="00320539">
        <w:rPr>
          <w:rFonts w:ascii="Arial" w:hAnsi="Arial"/>
        </w:rPr>
        <w:t xml:space="preserve"> – a heading that reflects the Council’s reserves that can be used for supporting service delivery</w:t>
      </w:r>
      <w:r w:rsidR="00D248D0" w:rsidRPr="00320539">
        <w:rPr>
          <w:rFonts w:ascii="Arial" w:hAnsi="Arial"/>
        </w:rPr>
        <w:t>,</w:t>
      </w:r>
      <w:r w:rsidRPr="00320539">
        <w:rPr>
          <w:rFonts w:ascii="Arial" w:hAnsi="Arial"/>
        </w:rPr>
        <w:t xml:space="preserve"> including capital expenditure</w:t>
      </w:r>
      <w:r w:rsidR="00D248D0" w:rsidRPr="00320539">
        <w:rPr>
          <w:rFonts w:ascii="Arial" w:hAnsi="Arial"/>
        </w:rPr>
        <w:t>,</w:t>
      </w:r>
      <w:r w:rsidRPr="00320539">
        <w:rPr>
          <w:rFonts w:ascii="Arial" w:hAnsi="Arial"/>
        </w:rPr>
        <w:t xml:space="preserve"> in the future. </w:t>
      </w:r>
    </w:p>
    <w:p w:rsidR="009145E7" w:rsidRPr="00320539" w:rsidRDefault="009145E7" w:rsidP="009145E7">
      <w:pPr>
        <w:pStyle w:val="PlainText"/>
        <w:spacing w:line="240" w:lineRule="atLeast"/>
        <w:rPr>
          <w:rFonts w:cs="Arial"/>
        </w:rPr>
      </w:pPr>
    </w:p>
    <w:p w:rsidR="00E51139" w:rsidRPr="00320539" w:rsidRDefault="00E51139" w:rsidP="00E769F5">
      <w:pPr>
        <w:widowControl w:val="0"/>
        <w:rPr>
          <w:rFonts w:cs="Arial"/>
          <w:color w:val="auto"/>
          <w:sz w:val="20"/>
          <w:szCs w:val="20"/>
        </w:rPr>
      </w:pPr>
      <w:r w:rsidRPr="00320539">
        <w:rPr>
          <w:rFonts w:cs="Arial"/>
          <w:b/>
          <w:color w:val="auto"/>
          <w:sz w:val="20"/>
          <w:szCs w:val="20"/>
        </w:rPr>
        <w:t xml:space="preserve">Unusable Reserves – </w:t>
      </w:r>
      <w:r w:rsidRPr="00320539">
        <w:rPr>
          <w:rFonts w:cs="Arial"/>
          <w:color w:val="auto"/>
          <w:sz w:val="20"/>
          <w:szCs w:val="20"/>
        </w:rPr>
        <w:t xml:space="preserve">a heading that reflects the Council’s reserves that </w:t>
      </w:r>
      <w:proofErr w:type="spellStart"/>
      <w:r w:rsidRPr="00320539">
        <w:rPr>
          <w:rFonts w:cs="Arial"/>
          <w:color w:val="auto"/>
          <w:sz w:val="20"/>
          <w:szCs w:val="20"/>
        </w:rPr>
        <w:t>can not</w:t>
      </w:r>
      <w:proofErr w:type="spellEnd"/>
      <w:r w:rsidRPr="00320539">
        <w:rPr>
          <w:rFonts w:cs="Arial"/>
          <w:color w:val="auto"/>
          <w:sz w:val="20"/>
          <w:szCs w:val="20"/>
        </w:rPr>
        <w:t xml:space="preserve"> be used for supporting services. These tend to be the result of notional accounting entries such as those that reflect previous capital financing, asset revaluations and the pension reserve.</w:t>
      </w:r>
    </w:p>
    <w:p w:rsidR="00D02E95" w:rsidRPr="00320539" w:rsidRDefault="00D02E95" w:rsidP="008D0906">
      <w:pPr>
        <w:widowControl w:val="0"/>
        <w:outlineLvl w:val="0"/>
        <w:rPr>
          <w:rFonts w:cs="Arial"/>
          <w:b/>
          <w:color w:val="auto"/>
          <w:sz w:val="20"/>
          <w:szCs w:val="20"/>
          <w:u w:val="single"/>
        </w:rPr>
      </w:pPr>
      <w:r w:rsidRPr="00320539">
        <w:rPr>
          <w:rFonts w:cs="Arial"/>
          <w:b/>
          <w:color w:val="auto"/>
          <w:sz w:val="20"/>
          <w:szCs w:val="20"/>
          <w:u w:val="single"/>
        </w:rPr>
        <w:t>V</w:t>
      </w:r>
    </w:p>
    <w:p w:rsidR="00D02E95" w:rsidRPr="00320539" w:rsidRDefault="00D02E95" w:rsidP="00D02E95">
      <w:pPr>
        <w:pStyle w:val="PlainText"/>
        <w:spacing w:line="240" w:lineRule="atLeast"/>
        <w:rPr>
          <w:rFonts w:ascii="Arial" w:hAnsi="Arial"/>
        </w:rPr>
      </w:pPr>
      <w:r w:rsidRPr="00320539">
        <w:rPr>
          <w:rFonts w:ascii="Arial" w:hAnsi="Arial"/>
          <w:b/>
        </w:rPr>
        <w:t>VRP – Voluntary Revenue Provision</w:t>
      </w:r>
      <w:r w:rsidRPr="00320539">
        <w:rPr>
          <w:rFonts w:ascii="Arial" w:hAnsi="Arial"/>
        </w:rPr>
        <w:t xml:space="preserve"> – </w:t>
      </w:r>
      <w:r w:rsidR="00DB07D8" w:rsidRPr="00320539">
        <w:rPr>
          <w:rFonts w:ascii="Arial" w:hAnsi="Arial"/>
        </w:rPr>
        <w:t>An</w:t>
      </w:r>
      <w:r w:rsidRPr="00320539">
        <w:rPr>
          <w:rFonts w:ascii="Arial" w:hAnsi="Arial"/>
        </w:rPr>
        <w:t xml:space="preserve"> additional sum that a Council can make to be set aside as provision for the future repayment of debt.</w:t>
      </w:r>
    </w:p>
    <w:p w:rsidR="00D02E95" w:rsidRPr="0005794A" w:rsidRDefault="00D02E95" w:rsidP="00E769F5">
      <w:pPr>
        <w:widowControl w:val="0"/>
        <w:rPr>
          <w:rFonts w:cs="Arial"/>
          <w:b/>
          <w:color w:val="548DD4" w:themeColor="text2" w:themeTint="99"/>
          <w:sz w:val="20"/>
          <w:szCs w:val="20"/>
        </w:rPr>
      </w:pPr>
    </w:p>
    <w:sectPr w:rsidR="00D02E95" w:rsidRPr="0005794A" w:rsidSect="00827092">
      <w:headerReference w:type="default" r:id="rId53"/>
      <w:headerReference w:type="first" r:id="rId54"/>
      <w:pgSz w:w="11906" w:h="16838" w:code="9"/>
      <w:pgMar w:top="1440" w:right="1440" w:bottom="1440" w:left="1440" w:header="544" w:footer="5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B4D" w:rsidRDefault="00BB1B4D" w:rsidP="00436A45">
      <w:pPr>
        <w:spacing w:after="0" w:line="240" w:lineRule="auto"/>
      </w:pPr>
      <w:r>
        <w:separator/>
      </w:r>
    </w:p>
  </w:endnote>
  <w:endnote w:type="continuationSeparator" w:id="0">
    <w:p w:rsidR="00BB1B4D" w:rsidRDefault="00BB1B4D" w:rsidP="0043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wC_Logo">
    <w:altName w:val="Symbol"/>
    <w:panose1 w:val="00000000000000000000"/>
    <w:charset w:val="02"/>
    <w:family w:val="auto"/>
    <w:notTrueType/>
    <w:pitch w:val="variable"/>
  </w:font>
  <w:font w:name="FS Lola">
    <w:panose1 w:val="00000000000000000000"/>
    <w:charset w:val="00"/>
    <w:family w:val="modern"/>
    <w:notTrueType/>
    <w:pitch w:val="variable"/>
    <w:sig w:usb0="00000003" w:usb1="00000000" w:usb2="00000000" w:usb3="00000000" w:csb0="00000001" w:csb1="00000000"/>
  </w:font>
  <w:font w:name="FS Lola Ligh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Bold">
    <w:altName w:val="Rockwell Extra Bold"/>
    <w:panose1 w:val="00000000000000000000"/>
    <w:charset w:val="00"/>
    <w:family w:val="auto"/>
    <w:notTrueType/>
    <w:pitch w:val="variable"/>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DIN-Black">
    <w:altName w:val="Rockwell Extra Bold"/>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ill Sans MT">
    <w:altName w:val="Century Gothic"/>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rsidP="00593A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1B4D" w:rsidRDefault="00BB1B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rsidP="00593A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740D">
      <w:rPr>
        <w:rStyle w:val="PageNumber"/>
        <w:noProof/>
      </w:rPr>
      <w:t>37</w:t>
    </w:r>
    <w:r>
      <w:rPr>
        <w:rStyle w:val="PageNumber"/>
      </w:rPr>
      <w:fldChar w:fldCharType="end"/>
    </w:r>
  </w:p>
  <w:p w:rsidR="00BB1B4D" w:rsidRDefault="00BB1B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961611"/>
      <w:docPartObj>
        <w:docPartGallery w:val="Page Numbers (Bottom of Page)"/>
        <w:docPartUnique/>
      </w:docPartObj>
    </w:sdtPr>
    <w:sdtEndPr>
      <w:rPr>
        <w:noProof/>
      </w:rPr>
    </w:sdtEndPr>
    <w:sdtContent>
      <w:p w:rsidR="00BB1B4D" w:rsidRDefault="00BB1B4D" w:rsidP="00BD6176">
        <w:pPr>
          <w:pStyle w:val="Footer"/>
          <w:jc w:val="center"/>
        </w:pPr>
        <w:r>
          <w:fldChar w:fldCharType="begin"/>
        </w:r>
        <w:r>
          <w:instrText xml:space="preserve"> PAGE   \* MERGEFORMAT </w:instrText>
        </w:r>
        <w:r>
          <w:fldChar w:fldCharType="separate"/>
        </w:r>
        <w:r w:rsidR="00A4740D">
          <w:rPr>
            <w:noProof/>
          </w:rPr>
          <w:t>38</w:t>
        </w:r>
        <w:r>
          <w:rPr>
            <w:noProof/>
          </w:rPr>
          <w:fldChar w:fldCharType="end"/>
        </w:r>
      </w:p>
    </w:sdtContent>
  </w:sdt>
  <w:p w:rsidR="00BB1B4D" w:rsidRPr="00BD6176" w:rsidRDefault="00BB1B4D" w:rsidP="00BD61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156750"/>
      <w:docPartObj>
        <w:docPartGallery w:val="Page Numbers (Bottom of Page)"/>
        <w:docPartUnique/>
      </w:docPartObj>
    </w:sdtPr>
    <w:sdtEndPr>
      <w:rPr>
        <w:noProof/>
      </w:rPr>
    </w:sdtEndPr>
    <w:sdtContent>
      <w:p w:rsidR="00BB1B4D" w:rsidRDefault="00BB1B4D">
        <w:pPr>
          <w:pStyle w:val="Footer"/>
          <w:jc w:val="center"/>
        </w:pPr>
        <w:r>
          <w:fldChar w:fldCharType="begin"/>
        </w:r>
        <w:r>
          <w:instrText xml:space="preserve"> PAGE   \* MERGEFORMAT </w:instrText>
        </w:r>
        <w:r>
          <w:fldChar w:fldCharType="separate"/>
        </w:r>
        <w:r w:rsidR="003512EB">
          <w:rPr>
            <w:noProof/>
          </w:rPr>
          <w:t>140</w:t>
        </w:r>
        <w:r>
          <w:rPr>
            <w:noProof/>
          </w:rPr>
          <w:fldChar w:fldCharType="end"/>
        </w:r>
      </w:p>
    </w:sdtContent>
  </w:sdt>
  <w:p w:rsidR="00BB1B4D" w:rsidRDefault="00BB1B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B4D" w:rsidRDefault="00BB1B4D" w:rsidP="00436A45">
      <w:pPr>
        <w:spacing w:after="0" w:line="240" w:lineRule="auto"/>
      </w:pPr>
      <w:r>
        <w:separator/>
      </w:r>
    </w:p>
  </w:footnote>
  <w:footnote w:type="continuationSeparator" w:id="0">
    <w:p w:rsidR="00BB1B4D" w:rsidRDefault="00BB1B4D" w:rsidP="00436A45">
      <w:pPr>
        <w:spacing w:after="0" w:line="240" w:lineRule="auto"/>
      </w:pPr>
      <w:r>
        <w:continuationSeparator/>
      </w:r>
    </w:p>
  </w:footnote>
  <w:footnote w:id="1">
    <w:p w:rsidR="00BB1B4D" w:rsidRPr="0002170E" w:rsidRDefault="00BB1B4D" w:rsidP="00203BAD">
      <w:pPr>
        <w:spacing w:after="0" w:line="240" w:lineRule="auto"/>
      </w:pPr>
      <w:r>
        <w:rPr>
          <w:rStyle w:val="FootnoteReference"/>
        </w:rPr>
        <w:footnoteRef/>
      </w:r>
      <w:r>
        <w:t xml:space="preserve"> </w:t>
      </w:r>
      <w:r w:rsidRPr="0002170E">
        <w:rPr>
          <w:sz w:val="16"/>
          <w:szCs w:val="16"/>
        </w:rPr>
        <w:t>All data for the “Protecting all children and giving them the best start in life” section is generated using a live database that is continually updated and therefore these performance figures could be re-calculated differently at another time.</w:t>
      </w:r>
    </w:p>
    <w:p w:rsidR="00BB1B4D" w:rsidRPr="0002170E" w:rsidRDefault="00BB1B4D" w:rsidP="00203BAD">
      <w:pPr>
        <w:pStyle w:val="FootnoteText"/>
        <w:rPr>
          <w:sz w:val="16"/>
        </w:rPr>
      </w:pPr>
    </w:p>
  </w:footnote>
  <w:footnote w:id="2">
    <w:p w:rsidR="00BB1B4D" w:rsidRPr="00602E0D" w:rsidRDefault="00BB1B4D" w:rsidP="00203BAD">
      <w:pPr>
        <w:spacing w:after="0" w:line="240" w:lineRule="auto"/>
        <w:rPr>
          <w:sz w:val="16"/>
          <w:szCs w:val="16"/>
        </w:rPr>
      </w:pPr>
      <w:r>
        <w:rPr>
          <w:rStyle w:val="FootnoteReference"/>
        </w:rPr>
        <w:footnoteRef/>
      </w:r>
      <w:r>
        <w:t xml:space="preserve"> </w:t>
      </w:r>
      <w:r w:rsidRPr="00602E0D">
        <w:rPr>
          <w:sz w:val="16"/>
          <w:szCs w:val="16"/>
        </w:rPr>
        <w:t>Source: NOMIS, Office for National Statistics Official Labour Market Statistics website.</w:t>
      </w:r>
    </w:p>
    <w:p w:rsidR="00BB1B4D" w:rsidRPr="00DC64F1" w:rsidRDefault="00BB1B4D" w:rsidP="00203BAD">
      <w:pPr>
        <w:pStyle w:val="FootnoteText"/>
        <w:rPr>
          <w:sz w:val="16"/>
        </w:rPr>
      </w:pPr>
    </w:p>
  </w:footnote>
  <w:footnote w:id="3">
    <w:p w:rsidR="00BB1B4D" w:rsidRPr="00602E0D" w:rsidRDefault="00BB1B4D" w:rsidP="00203BAD">
      <w:pPr>
        <w:rPr>
          <w:sz w:val="16"/>
          <w:szCs w:val="16"/>
        </w:rPr>
      </w:pPr>
      <w:r>
        <w:rPr>
          <w:rStyle w:val="FootnoteReference"/>
        </w:rPr>
        <w:footnoteRef/>
      </w:r>
      <w:r>
        <w:t xml:space="preserve"> </w:t>
      </w:r>
      <w:r w:rsidRPr="00602E0D">
        <w:rPr>
          <w:sz w:val="16"/>
          <w:szCs w:val="16"/>
        </w:rPr>
        <w:t>Source: Public Health Outcomes Framework published by Public Health England, and is the most recent data available. All targets are the England average figure for the same period.</w:t>
      </w:r>
    </w:p>
  </w:footnote>
  <w:footnote w:id="4">
    <w:p w:rsidR="00BB1B4D" w:rsidRPr="00602E0D" w:rsidRDefault="00BB1B4D" w:rsidP="00203BAD">
      <w:pPr>
        <w:spacing w:after="0" w:line="240" w:lineRule="auto"/>
        <w:rPr>
          <w:sz w:val="16"/>
          <w:szCs w:val="16"/>
        </w:rPr>
      </w:pPr>
      <w:r>
        <w:rPr>
          <w:rStyle w:val="FootnoteReference"/>
        </w:rPr>
        <w:footnoteRef/>
      </w:r>
      <w:r>
        <w:t xml:space="preserve"> </w:t>
      </w:r>
      <w:r w:rsidRPr="00602E0D">
        <w:rPr>
          <w:sz w:val="16"/>
          <w:szCs w:val="16"/>
        </w:rPr>
        <w:t>All data for the “Protecting and supporting vulnerable adults” section is draft at the time of writing, pending completion of statutory returns.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pPr>
      <w:pStyle w:val="Header"/>
      <w:rPr>
        <w:sz w:val="20"/>
        <w:szCs w:val="20"/>
      </w:rPr>
    </w:pPr>
    <w:r w:rsidRPr="00933345">
      <w:rPr>
        <w:sz w:val="20"/>
        <w:szCs w:val="20"/>
      </w:rPr>
      <w:t>Torbay Council</w:t>
    </w:r>
  </w:p>
  <w:p w:rsidR="00BB1B4D" w:rsidRPr="00933345" w:rsidRDefault="00BB1B4D" w:rsidP="00087DDC">
    <w:pPr>
      <w:pStyle w:val="Header"/>
      <w:tabs>
        <w:tab w:val="clear" w:pos="9026"/>
        <w:tab w:val="left" w:pos="6570"/>
      </w:tabs>
      <w:rPr>
        <w:sz w:val="20"/>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Pr>
        <w:sz w:val="20"/>
        <w:szCs w:val="20"/>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pPr>
      <w:pStyle w:val="Header"/>
    </w:pPr>
    <w:r>
      <w:t>Torbay Council</w:t>
    </w:r>
  </w:p>
  <w:p w:rsidR="00BB1B4D" w:rsidRDefault="00BB1B4D">
    <w:pPr>
      <w:pStyle w:val="Header"/>
    </w:pPr>
    <w:r>
      <w:t xml:space="preserve">2017/18 Statement of Accounts for </w:t>
    </w:r>
    <w:r w:rsidRPr="00933345">
      <w:rPr>
        <w:sz w:val="20"/>
        <w:szCs w:val="20"/>
      </w:rPr>
      <w:t>the</w:t>
    </w:r>
    <w:r>
      <w:t xml:space="preserve"> year ended 31</w:t>
    </w:r>
    <w:r w:rsidRPr="00114EA6">
      <w:rPr>
        <w:vertAlign w:val="superscript"/>
      </w:rPr>
      <w:t>st</w:t>
    </w:r>
    <w:r>
      <w:t xml:space="preserve"> March 2018 – Independent Auditor’s Report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pPr>
      <w:pStyle w:val="Header"/>
    </w:pPr>
    <w:r>
      <w:t>Torbay Council</w:t>
    </w:r>
  </w:p>
  <w:p w:rsidR="00BB1B4D" w:rsidRDefault="00BB1B4D">
    <w:pPr>
      <w:pStyle w:val="Header"/>
    </w:pPr>
    <w:r>
      <w:t xml:space="preserve">2017/18 Statement of Accounts for </w:t>
    </w:r>
    <w:r w:rsidRPr="00933345">
      <w:rPr>
        <w:sz w:val="20"/>
        <w:szCs w:val="20"/>
      </w:rPr>
      <w:t>the</w:t>
    </w:r>
    <w:r>
      <w:t xml:space="preserve"> year ended 31</w:t>
    </w:r>
    <w:r w:rsidRPr="00114EA6">
      <w:rPr>
        <w:vertAlign w:val="superscript"/>
      </w:rPr>
      <w:t>st</w:t>
    </w:r>
    <w:r>
      <w:t xml:space="preserve"> March 2018 – Core Financial Statements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pPr>
      <w:pStyle w:val="Header"/>
      <w:rPr>
        <w:sz w:val="20"/>
        <w:szCs w:val="20"/>
      </w:rPr>
    </w:pPr>
    <w:r w:rsidRPr="00933345">
      <w:rPr>
        <w:sz w:val="20"/>
        <w:szCs w:val="20"/>
      </w:rPr>
      <w:t>Torbay Council</w:t>
    </w:r>
  </w:p>
  <w:p w:rsidR="00BB1B4D" w:rsidRPr="00933345" w:rsidRDefault="00BB1B4D" w:rsidP="007D52F1">
    <w:pPr>
      <w:pStyle w:val="Header"/>
      <w:rPr>
        <w:sz w:val="20"/>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Core Financial Statements</w:t>
    </w:r>
  </w:p>
  <w:p w:rsidR="00BB1B4D" w:rsidRPr="008C04FA" w:rsidRDefault="00BB1B4D">
    <w:pPr>
      <w:pStyle w:val="Header"/>
      <w:rPr>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pPr>
      <w:pStyle w:val="Header"/>
      <w:rPr>
        <w:sz w:val="20"/>
        <w:szCs w:val="20"/>
      </w:rPr>
    </w:pPr>
    <w:r>
      <w:rPr>
        <w:sz w:val="20"/>
        <w:szCs w:val="20"/>
      </w:rPr>
      <w:t>Torbay Council</w:t>
    </w:r>
  </w:p>
  <w:p w:rsidR="00BB1B4D" w:rsidRPr="00933345" w:rsidRDefault="00BB1B4D">
    <w:pPr>
      <w:pStyle w:val="Header"/>
      <w:rPr>
        <w:sz w:val="20"/>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Core Financial Statements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pPr>
      <w:pStyle w:val="Header"/>
      <w:rPr>
        <w:sz w:val="20"/>
        <w:szCs w:val="20"/>
      </w:rPr>
    </w:pPr>
    <w:r w:rsidRPr="00933345">
      <w:rPr>
        <w:sz w:val="20"/>
        <w:szCs w:val="20"/>
      </w:rPr>
      <w:t>Torbay Council</w:t>
    </w:r>
  </w:p>
  <w:p w:rsidR="00BB1B4D" w:rsidRPr="00933345" w:rsidRDefault="00BB1B4D" w:rsidP="007D52F1">
    <w:pPr>
      <w:pStyle w:val="Header"/>
      <w:rPr>
        <w:sz w:val="20"/>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Notes to the Core Financial Statements</w:t>
    </w:r>
  </w:p>
  <w:p w:rsidR="00BB1B4D" w:rsidRPr="008C04FA" w:rsidRDefault="00BB1B4D">
    <w:pPr>
      <w:pStyle w:val="Header"/>
      <w:rPr>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pPr>
      <w:pStyle w:val="Header"/>
      <w:rPr>
        <w:sz w:val="20"/>
        <w:szCs w:val="20"/>
      </w:rPr>
    </w:pPr>
    <w:r>
      <w:rPr>
        <w:sz w:val="20"/>
        <w:szCs w:val="20"/>
      </w:rPr>
      <w:t>Torbay Council</w:t>
    </w:r>
  </w:p>
  <w:p w:rsidR="00BB1B4D" w:rsidRPr="00933345" w:rsidRDefault="00BB1B4D">
    <w:pPr>
      <w:pStyle w:val="Header"/>
      <w:rPr>
        <w:sz w:val="20"/>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Notes to the Core Financial Statements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5A1F22">
    <w:pPr>
      <w:pStyle w:val="Header"/>
      <w:tabs>
        <w:tab w:val="clear" w:pos="4513"/>
        <w:tab w:val="clear" w:pos="9026"/>
        <w:tab w:val="left" w:pos="5955"/>
      </w:tabs>
      <w:rPr>
        <w:sz w:val="20"/>
        <w:szCs w:val="20"/>
      </w:rPr>
    </w:pPr>
    <w:r w:rsidRPr="00933345">
      <w:rPr>
        <w:sz w:val="20"/>
        <w:szCs w:val="20"/>
      </w:rPr>
      <w:t>Torbay Council</w:t>
    </w:r>
    <w:r>
      <w:rPr>
        <w:sz w:val="20"/>
        <w:szCs w:val="20"/>
      </w:rPr>
      <w:tab/>
    </w:r>
  </w:p>
  <w:p w:rsidR="00BB1B4D" w:rsidRPr="00933345" w:rsidRDefault="00BB1B4D" w:rsidP="007D52F1">
    <w:pPr>
      <w:pStyle w:val="Header"/>
      <w:rPr>
        <w:sz w:val="20"/>
        <w:szCs w:val="20"/>
      </w:rPr>
    </w:pPr>
    <w:r>
      <w:rPr>
        <w:sz w:val="20"/>
        <w:szCs w:val="20"/>
      </w:rPr>
      <w:t xml:space="preserve"> 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Notes to the Core Financial Statements</w:t>
    </w:r>
  </w:p>
  <w:p w:rsidR="00BB1B4D" w:rsidRPr="008C04FA" w:rsidRDefault="00BB1B4D">
    <w:pPr>
      <w:pStyle w:val="Header"/>
      <w:rPr>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pPr>
      <w:pStyle w:val="Header"/>
      <w:rPr>
        <w:sz w:val="20"/>
        <w:szCs w:val="20"/>
      </w:rPr>
    </w:pPr>
    <w:r>
      <w:rPr>
        <w:sz w:val="20"/>
        <w:szCs w:val="20"/>
      </w:rPr>
      <w:t>Torbay Council</w:t>
    </w:r>
  </w:p>
  <w:p w:rsidR="00BB1B4D" w:rsidRPr="00933345" w:rsidRDefault="00BB1B4D">
    <w:pPr>
      <w:pStyle w:val="Header"/>
      <w:rPr>
        <w:sz w:val="20"/>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Notes to the Core Financial Statements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933345">
    <w:pPr>
      <w:pStyle w:val="Header"/>
      <w:rPr>
        <w:sz w:val="20"/>
        <w:szCs w:val="20"/>
      </w:rPr>
    </w:pPr>
    <w:r w:rsidRPr="00933345">
      <w:rPr>
        <w:sz w:val="20"/>
        <w:szCs w:val="20"/>
      </w:rPr>
      <w:t>Torbay Council</w:t>
    </w:r>
  </w:p>
  <w:p w:rsidR="00BB1B4D" w:rsidRPr="00933345" w:rsidRDefault="00BB1B4D" w:rsidP="00914F6C">
    <w:pPr>
      <w:pStyle w:val="Header"/>
      <w:rPr>
        <w:sz w:val="20"/>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w:t>
    </w:r>
    <w:r>
      <w:rPr>
        <w:sz w:val="20"/>
        <w:szCs w:val="20"/>
      </w:rPr>
      <w:t>Notes to the Core Financial Statements</w:t>
    </w:r>
  </w:p>
  <w:p w:rsidR="00BB1B4D" w:rsidRPr="00933345" w:rsidRDefault="00BB1B4D" w:rsidP="00FA207D">
    <w:pPr>
      <w:pStyle w:val="Header"/>
      <w:rPr>
        <w:szCs w:val="18"/>
      </w:rPr>
    </w:pPr>
  </w:p>
  <w:p w:rsidR="00BB1B4D" w:rsidRPr="00933345" w:rsidRDefault="00BB1B4D" w:rsidP="0093334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933345">
    <w:pPr>
      <w:pStyle w:val="Header"/>
      <w:rPr>
        <w:sz w:val="20"/>
        <w:szCs w:val="20"/>
      </w:rPr>
    </w:pPr>
    <w:r w:rsidRPr="00933345">
      <w:rPr>
        <w:sz w:val="20"/>
        <w:szCs w:val="20"/>
      </w:rPr>
      <w:t>Torbay Council</w:t>
    </w:r>
  </w:p>
  <w:p w:rsidR="00BB1B4D" w:rsidRPr="00933345" w:rsidRDefault="00BB1B4D" w:rsidP="00933345">
    <w:pPr>
      <w:pStyle w:val="Header"/>
      <w:rPr>
        <w:sz w:val="20"/>
        <w:szCs w:val="20"/>
      </w:rPr>
    </w:pPr>
    <w:r>
      <w:rPr>
        <w:sz w:val="20"/>
        <w:szCs w:val="20"/>
      </w:rPr>
      <w:t xml:space="preserve"> 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 Notes to the Core Financial Statements</w:t>
    </w:r>
  </w:p>
  <w:p w:rsidR="00BB1B4D" w:rsidRPr="00933345" w:rsidRDefault="00BB1B4D" w:rsidP="00933345">
    <w:pPr>
      <w:pStyle w:val="Header"/>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rsidP="00CA1B19">
    <w:pPr>
      <w:pStyle w:val="Header"/>
      <w:rPr>
        <w:sz w:val="20"/>
        <w:szCs w:val="20"/>
      </w:rPr>
    </w:pPr>
    <w:r>
      <w:rPr>
        <w:sz w:val="20"/>
        <w:szCs w:val="20"/>
      </w:rPr>
      <w:t>Torbay Council</w:t>
    </w:r>
  </w:p>
  <w:p w:rsidR="00BB1B4D" w:rsidRPr="00CA1B19" w:rsidRDefault="00BB1B4D" w:rsidP="00CA1B19">
    <w:pPr>
      <w:pStyle w:val="Header"/>
      <w:rPr>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w:t>
    </w:r>
    <w:r>
      <w:rPr>
        <w:sz w:val="20"/>
        <w:szCs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933345">
    <w:pPr>
      <w:pStyle w:val="Header"/>
      <w:rPr>
        <w:sz w:val="20"/>
        <w:szCs w:val="20"/>
      </w:rPr>
    </w:pPr>
    <w:r w:rsidRPr="00933345">
      <w:rPr>
        <w:sz w:val="20"/>
        <w:szCs w:val="20"/>
      </w:rPr>
      <w:t>Torbay Council</w:t>
    </w:r>
  </w:p>
  <w:p w:rsidR="00BB1B4D" w:rsidRPr="00933345" w:rsidRDefault="00BB1B4D" w:rsidP="00FA207D">
    <w:pPr>
      <w:pStyle w:val="Header"/>
      <w:rPr>
        <w:szCs w:val="18"/>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 Supplementary Financial Statement (Collection Fund)</w:t>
    </w:r>
  </w:p>
  <w:p w:rsidR="00BB1B4D" w:rsidRPr="00933345" w:rsidRDefault="00BB1B4D" w:rsidP="0093334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933345">
    <w:pPr>
      <w:pStyle w:val="Header"/>
      <w:rPr>
        <w:sz w:val="20"/>
        <w:szCs w:val="20"/>
      </w:rPr>
    </w:pPr>
    <w:r w:rsidRPr="00933345">
      <w:rPr>
        <w:sz w:val="20"/>
        <w:szCs w:val="20"/>
      </w:rPr>
      <w:t>Torbay Council</w:t>
    </w:r>
  </w:p>
  <w:p w:rsidR="00BB1B4D" w:rsidRPr="00933345" w:rsidRDefault="00BB1B4D" w:rsidP="00933345">
    <w:pPr>
      <w:pStyle w:val="Header"/>
      <w:rPr>
        <w:sz w:val="20"/>
        <w:szCs w:val="20"/>
      </w:rPr>
    </w:pPr>
    <w:r>
      <w:rPr>
        <w:sz w:val="20"/>
        <w:szCs w:val="20"/>
      </w:rPr>
      <w:t xml:space="preserve"> 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 Supplementary Financial Statement (Collection Fund)</w:t>
    </w:r>
  </w:p>
  <w:p w:rsidR="00BB1B4D" w:rsidRPr="00933345" w:rsidRDefault="00BB1B4D" w:rsidP="00933345">
    <w:pPr>
      <w:pStyle w:val="Header"/>
      <w:rPr>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933345">
    <w:pPr>
      <w:pStyle w:val="Header"/>
      <w:rPr>
        <w:sz w:val="20"/>
        <w:szCs w:val="20"/>
      </w:rPr>
    </w:pPr>
    <w:r w:rsidRPr="00933345">
      <w:rPr>
        <w:sz w:val="20"/>
        <w:szCs w:val="20"/>
      </w:rPr>
      <w:t>Torbay Council</w:t>
    </w:r>
  </w:p>
  <w:p w:rsidR="00BB1B4D" w:rsidRPr="00933345" w:rsidRDefault="00BB1B4D" w:rsidP="00933345">
    <w:pPr>
      <w:pStyle w:val="Header"/>
      <w:rPr>
        <w:sz w:val="20"/>
        <w:szCs w:val="20"/>
      </w:rPr>
    </w:pPr>
    <w:r>
      <w:rPr>
        <w:sz w:val="20"/>
        <w:szCs w:val="20"/>
      </w:rPr>
      <w:t xml:space="preserve"> 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w:t>
    </w:r>
    <w:r>
      <w:rPr>
        <w:sz w:val="20"/>
        <w:szCs w:val="20"/>
      </w:rPr>
      <w:t>Annual Governance Statement</w:t>
    </w:r>
  </w:p>
  <w:p w:rsidR="00BB1B4D" w:rsidRPr="00933345" w:rsidRDefault="00BB1B4D" w:rsidP="00933345">
    <w:pPr>
      <w:pStyle w:val="Header"/>
      <w:rPr>
        <w:szCs w:val="1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933345">
    <w:pPr>
      <w:pStyle w:val="Header"/>
      <w:rPr>
        <w:sz w:val="20"/>
        <w:szCs w:val="20"/>
      </w:rPr>
    </w:pPr>
    <w:r w:rsidRPr="00933345">
      <w:rPr>
        <w:sz w:val="20"/>
        <w:szCs w:val="20"/>
      </w:rPr>
      <w:t>Torbay Council</w:t>
    </w:r>
  </w:p>
  <w:p w:rsidR="00BB1B4D" w:rsidRPr="00933345" w:rsidRDefault="00BB1B4D" w:rsidP="00FA207D">
    <w:pPr>
      <w:pStyle w:val="Header"/>
      <w:rPr>
        <w:szCs w:val="18"/>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 Annual Governance Statement</w:t>
    </w:r>
  </w:p>
  <w:p w:rsidR="00BB1B4D" w:rsidRPr="00933345" w:rsidRDefault="00BB1B4D" w:rsidP="0093334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933345">
    <w:pPr>
      <w:pStyle w:val="Header"/>
      <w:rPr>
        <w:sz w:val="20"/>
        <w:szCs w:val="20"/>
      </w:rPr>
    </w:pPr>
    <w:r w:rsidRPr="00933345">
      <w:rPr>
        <w:sz w:val="20"/>
        <w:szCs w:val="20"/>
      </w:rPr>
      <w:t>Torbay Council</w:t>
    </w:r>
  </w:p>
  <w:p w:rsidR="00BB1B4D" w:rsidRPr="00933345" w:rsidRDefault="00BB1B4D" w:rsidP="0014507B">
    <w:pPr>
      <w:pStyle w:val="Header"/>
      <w:rPr>
        <w:szCs w:val="18"/>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 Annual Governance Statement</w:t>
    </w:r>
  </w:p>
  <w:p w:rsidR="00BB1B4D" w:rsidRPr="00933345" w:rsidRDefault="00BB1B4D" w:rsidP="00933345">
    <w:pPr>
      <w:pStyle w:val="Header"/>
      <w:rPr>
        <w:szCs w:val="1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933345">
    <w:pPr>
      <w:pStyle w:val="Header"/>
      <w:rPr>
        <w:sz w:val="20"/>
        <w:szCs w:val="20"/>
      </w:rPr>
    </w:pPr>
    <w:r w:rsidRPr="00933345">
      <w:rPr>
        <w:sz w:val="20"/>
        <w:szCs w:val="20"/>
      </w:rPr>
      <w:t>Torbay Council</w:t>
    </w:r>
  </w:p>
  <w:p w:rsidR="00BB1B4D" w:rsidRPr="00933345" w:rsidRDefault="00BB1B4D" w:rsidP="0014507B">
    <w:pPr>
      <w:pStyle w:val="Header"/>
      <w:rPr>
        <w:szCs w:val="18"/>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 Glossary</w:t>
    </w:r>
  </w:p>
  <w:p w:rsidR="00BB1B4D" w:rsidRPr="00933345" w:rsidRDefault="00BB1B4D" w:rsidP="00933345">
    <w:pPr>
      <w:pStyle w:val="Header"/>
      <w:rPr>
        <w:szCs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1C5E99">
    <w:pPr>
      <w:pStyle w:val="Header"/>
      <w:rPr>
        <w:sz w:val="20"/>
        <w:szCs w:val="20"/>
      </w:rPr>
    </w:pPr>
    <w:r w:rsidRPr="00933345">
      <w:rPr>
        <w:sz w:val="20"/>
        <w:szCs w:val="20"/>
      </w:rPr>
      <w:t>Torbay Council</w:t>
    </w:r>
  </w:p>
  <w:p w:rsidR="00BB1B4D" w:rsidRPr="00933345" w:rsidRDefault="00BB1B4D" w:rsidP="001C5E99">
    <w:pPr>
      <w:pStyle w:val="Header"/>
      <w:rPr>
        <w:sz w:val="20"/>
        <w:szCs w:val="20"/>
      </w:rPr>
    </w:pPr>
    <w:r>
      <w:rPr>
        <w:sz w:val="20"/>
        <w:szCs w:val="20"/>
      </w:rPr>
      <w:t xml:space="preserve"> 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w:t>
    </w:r>
    <w:r>
      <w:rPr>
        <w:sz w:val="20"/>
        <w:szCs w:val="20"/>
      </w:rPr>
      <w:t>Glossary</w:t>
    </w:r>
  </w:p>
  <w:p w:rsidR="00BB1B4D" w:rsidRPr="00933345" w:rsidRDefault="00BB1B4D" w:rsidP="00FA207D">
    <w:pPr>
      <w:pStyle w:val="Header"/>
      <w:rPr>
        <w:szCs w:val="18"/>
      </w:rPr>
    </w:pPr>
  </w:p>
  <w:p w:rsidR="00BB1B4D" w:rsidRPr="00933345" w:rsidRDefault="00BB1B4D" w:rsidP="0093334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rsidP="00933345">
    <w:pPr>
      <w:pStyle w:val="Header"/>
      <w:rPr>
        <w:sz w:val="20"/>
        <w:szCs w:val="20"/>
      </w:rPr>
    </w:pPr>
    <w:r w:rsidRPr="00933345">
      <w:rPr>
        <w:sz w:val="20"/>
        <w:szCs w:val="20"/>
      </w:rPr>
      <w:t>Torbay Council</w:t>
    </w:r>
  </w:p>
  <w:p w:rsidR="00BB1B4D" w:rsidRPr="00933345" w:rsidRDefault="00BB1B4D" w:rsidP="00933345">
    <w:pPr>
      <w:pStyle w:val="Header"/>
      <w:rPr>
        <w:sz w:val="20"/>
        <w:szCs w:val="20"/>
      </w:rPr>
    </w:pPr>
    <w:r>
      <w:rPr>
        <w:sz w:val="20"/>
        <w:szCs w:val="20"/>
      </w:rPr>
      <w:t xml:space="preserve"> 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w:t>
    </w:r>
    <w:r w:rsidRPr="00933345">
      <w:rPr>
        <w:sz w:val="20"/>
        <w:szCs w:val="20"/>
      </w:rPr>
      <w:t xml:space="preserve"> – </w:t>
    </w:r>
    <w:r>
      <w:rPr>
        <w:sz w:val="20"/>
        <w:szCs w:val="20"/>
      </w:rPr>
      <w:t>Glossary</w:t>
    </w:r>
  </w:p>
  <w:p w:rsidR="00BB1B4D" w:rsidRPr="00933345" w:rsidRDefault="00BB1B4D" w:rsidP="00933345">
    <w:pPr>
      <w:pStyle w:val="Header"/>
      <w:rPr>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rsidP="002C155D">
    <w:pPr>
      <w:pStyle w:val="Header"/>
      <w:rPr>
        <w:sz w:val="20"/>
        <w:szCs w:val="20"/>
      </w:rPr>
    </w:pPr>
    <w:r>
      <w:rPr>
        <w:sz w:val="20"/>
        <w:szCs w:val="20"/>
      </w:rPr>
      <w:t>Torbay Council</w:t>
    </w:r>
  </w:p>
  <w:p w:rsidR="00BB1B4D" w:rsidRPr="00CA1B19" w:rsidRDefault="00BB1B4D" w:rsidP="002C155D">
    <w:pPr>
      <w:pStyle w:val="Header"/>
      <w:rPr>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 Head of Finance’s Narrative Statement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rsidP="002C155D">
    <w:pPr>
      <w:pStyle w:val="Header"/>
      <w:rPr>
        <w:sz w:val="20"/>
        <w:szCs w:val="20"/>
      </w:rPr>
    </w:pPr>
    <w:r>
      <w:rPr>
        <w:sz w:val="20"/>
        <w:szCs w:val="20"/>
      </w:rPr>
      <w:t>Torbay Council</w:t>
    </w:r>
  </w:p>
  <w:p w:rsidR="00BB1B4D" w:rsidRPr="00CA1B19" w:rsidRDefault="00BB1B4D" w:rsidP="002C155D">
    <w:pPr>
      <w:pStyle w:val="Header"/>
      <w:rPr>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 Head of Finance’s Narrative Statement</w:t>
    </w:r>
  </w:p>
  <w:p w:rsidR="00BB1B4D" w:rsidRPr="002E7B7C" w:rsidRDefault="00BB1B4D" w:rsidP="002C155D">
    <w:pPr>
      <w:pStyle w:val="Header"/>
      <w:rPr>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Pr="00933345" w:rsidRDefault="00BB1B4D">
    <w:pPr>
      <w:pStyle w:val="Header"/>
      <w:rPr>
        <w:sz w:val="20"/>
        <w:szCs w:val="20"/>
      </w:rPr>
    </w:pPr>
    <w:r w:rsidRPr="00933345">
      <w:rPr>
        <w:sz w:val="20"/>
        <w:szCs w:val="20"/>
      </w:rPr>
      <w:t>Torbay Council</w:t>
    </w:r>
  </w:p>
  <w:p w:rsidR="00BB1B4D" w:rsidRPr="00933345" w:rsidRDefault="00BB1B4D">
    <w:pPr>
      <w:pStyle w:val="Header"/>
      <w:rPr>
        <w:sz w:val="20"/>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 Head of Finance’s Narrative Statement</w:t>
    </w:r>
  </w:p>
  <w:p w:rsidR="00BB1B4D" w:rsidRDefault="00BB1B4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rsidP="00CA1B19">
    <w:pPr>
      <w:pStyle w:val="Header"/>
      <w:rPr>
        <w:sz w:val="20"/>
        <w:szCs w:val="20"/>
      </w:rPr>
    </w:pPr>
    <w:r>
      <w:rPr>
        <w:sz w:val="20"/>
        <w:szCs w:val="20"/>
      </w:rPr>
      <w:t>Torbay Council</w:t>
    </w:r>
  </w:p>
  <w:p w:rsidR="00BB1B4D" w:rsidRPr="00CA1B19" w:rsidRDefault="00BB1B4D" w:rsidP="00CA1B19">
    <w:pPr>
      <w:pStyle w:val="Header"/>
      <w:rPr>
        <w:szCs w:val="20"/>
      </w:rPr>
    </w:pPr>
    <w:r>
      <w:rPr>
        <w:sz w:val="20"/>
        <w:szCs w:val="20"/>
      </w:rPr>
      <w:t>2017/18</w:t>
    </w:r>
    <w:r w:rsidRPr="00933345">
      <w:rPr>
        <w:sz w:val="20"/>
        <w:szCs w:val="20"/>
      </w:rPr>
      <w:t xml:space="preserve"> Statement of Accounts for the year ended 31</w:t>
    </w:r>
    <w:r w:rsidRPr="00933345">
      <w:rPr>
        <w:sz w:val="20"/>
        <w:szCs w:val="20"/>
        <w:vertAlign w:val="superscript"/>
      </w:rPr>
      <w:t>st</w:t>
    </w:r>
    <w:r>
      <w:rPr>
        <w:sz w:val="20"/>
        <w:szCs w:val="20"/>
      </w:rPr>
      <w:t xml:space="preserve"> March 2018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pPr>
      <w:pStyle w:val="Header"/>
    </w:pPr>
    <w:r>
      <w:t>Torbay Council</w:t>
    </w:r>
  </w:p>
  <w:p w:rsidR="00BB1B4D" w:rsidRDefault="00BB1B4D">
    <w:pPr>
      <w:pStyle w:val="Header"/>
    </w:pPr>
    <w:r>
      <w:t>2017/18 Statement of Accounts for the year ended 31</w:t>
    </w:r>
    <w:r w:rsidRPr="00114EA6">
      <w:rPr>
        <w:vertAlign w:val="superscript"/>
      </w:rPr>
      <w:t>st</w:t>
    </w:r>
    <w:r>
      <w:t xml:space="preserve"> March 2018 - Index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rsidP="002E7B7C">
    <w:pPr>
      <w:pStyle w:val="Header"/>
    </w:pPr>
    <w:r>
      <w:t>Torbay Council</w:t>
    </w:r>
  </w:p>
  <w:p w:rsidR="00BB1B4D" w:rsidRDefault="00BB1B4D" w:rsidP="002E7B7C">
    <w:pPr>
      <w:pStyle w:val="Header"/>
    </w:pPr>
    <w:r>
      <w:t>201</w:t>
    </w:r>
    <w:r w:rsidR="00A4740D">
      <w:t>7</w:t>
    </w:r>
    <w:r>
      <w:t>/1</w:t>
    </w:r>
    <w:r w:rsidR="00A4740D">
      <w:t>8</w:t>
    </w:r>
    <w:r>
      <w:t xml:space="preserve"> Statement of Accounts for </w:t>
    </w:r>
    <w:r w:rsidRPr="00933345">
      <w:rPr>
        <w:sz w:val="20"/>
        <w:szCs w:val="20"/>
      </w:rPr>
      <w:t>the</w:t>
    </w:r>
    <w:r>
      <w:t xml:space="preserve"> year ended 31</w:t>
    </w:r>
    <w:r w:rsidRPr="00114EA6">
      <w:rPr>
        <w:vertAlign w:val="superscript"/>
      </w:rPr>
      <w:t>st</w:t>
    </w:r>
    <w:r>
      <w:t xml:space="preserve"> March 201</w:t>
    </w:r>
    <w:r w:rsidR="00A4740D">
      <w:t>8</w:t>
    </w:r>
    <w:r>
      <w:t xml:space="preserve"> – Independent Auditor’s Report</w:t>
    </w:r>
  </w:p>
  <w:p w:rsidR="00BB1B4D" w:rsidRPr="00C26646" w:rsidRDefault="00BB1B4D" w:rsidP="00C26646">
    <w:pPr>
      <w:pStyle w:val="Header"/>
      <w:rPr>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4D" w:rsidRDefault="00BB1B4D">
    <w:pPr>
      <w:pStyle w:val="Header"/>
    </w:pPr>
    <w:r>
      <w:t>Torbay Council</w:t>
    </w:r>
  </w:p>
  <w:p w:rsidR="00BB1B4D" w:rsidRDefault="00BB1B4D">
    <w:pPr>
      <w:pStyle w:val="Header"/>
    </w:pPr>
    <w:r>
      <w:t xml:space="preserve">2017/18 Statement of Accounts for </w:t>
    </w:r>
    <w:r w:rsidRPr="00933345">
      <w:rPr>
        <w:sz w:val="20"/>
        <w:szCs w:val="20"/>
      </w:rPr>
      <w:t>the</w:t>
    </w:r>
    <w:r>
      <w:t xml:space="preserve"> year ended 31</w:t>
    </w:r>
    <w:r w:rsidRPr="00114EA6">
      <w:rPr>
        <w:vertAlign w:val="superscript"/>
      </w:rPr>
      <w:t>st</w:t>
    </w:r>
    <w:r>
      <w:t xml:space="preserve"> March 2018 – Financial Certificates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Times New Roman" w:hAnsi="Times New Roman" w:cs="Times New Roman"/>
        <w:sz w:val="24"/>
      </w:rPr>
    </w:lvl>
  </w:abstractNum>
  <w:abstractNum w:abstractNumId="1" w15:restartNumberingAfterBreak="0">
    <w:nsid w:val="04820F62"/>
    <w:multiLevelType w:val="hybridMultilevel"/>
    <w:tmpl w:val="B3CC2C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871755F"/>
    <w:multiLevelType w:val="hybridMultilevel"/>
    <w:tmpl w:val="1834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4408E"/>
    <w:multiLevelType w:val="multilevel"/>
    <w:tmpl w:val="CF020DFA"/>
    <w:name w:val="PwCListBullets15"/>
    <w:styleLink w:val="PwCListNumbers1"/>
    <w:lvl w:ilvl="0">
      <w:start w:val="1"/>
      <w:numFmt w:val="decimal"/>
      <w:pStyle w:val="ListNumber"/>
      <w:lvlText w:val="%1."/>
      <w:lvlJc w:val="left"/>
      <w:pPr>
        <w:tabs>
          <w:tab w:val="num" w:pos="397"/>
        </w:tabs>
        <w:ind w:left="397" w:hanging="397"/>
      </w:pPr>
      <w:rPr>
        <w:rFonts w:cs="Times New Roman" w:hint="default"/>
      </w:rPr>
    </w:lvl>
    <w:lvl w:ilvl="1">
      <w:start w:val="1"/>
      <w:numFmt w:val="lowerLetter"/>
      <w:pStyle w:val="ListNumber2"/>
      <w:lvlText w:val="%2."/>
      <w:lvlJc w:val="left"/>
      <w:pPr>
        <w:tabs>
          <w:tab w:val="num" w:pos="794"/>
        </w:tabs>
        <w:ind w:left="794" w:hanging="397"/>
      </w:pPr>
      <w:rPr>
        <w:rFonts w:cs="Times New Roman" w:hint="default"/>
      </w:rPr>
    </w:lvl>
    <w:lvl w:ilvl="2">
      <w:start w:val="1"/>
      <w:numFmt w:val="lowerRoman"/>
      <w:pStyle w:val="ListNumber3"/>
      <w:lvlText w:val="%3."/>
      <w:lvlJc w:val="left"/>
      <w:pPr>
        <w:tabs>
          <w:tab w:val="num" w:pos="1191"/>
        </w:tabs>
        <w:ind w:left="1191" w:hanging="397"/>
      </w:pPr>
      <w:rPr>
        <w:rFonts w:cs="Times New Roman" w:hint="default"/>
      </w:rPr>
    </w:lvl>
    <w:lvl w:ilvl="3">
      <w:start w:val="1"/>
      <w:numFmt w:val="decimal"/>
      <w:pStyle w:val="ListNumber4"/>
      <w:lvlText w:val="%4."/>
      <w:lvlJc w:val="left"/>
      <w:pPr>
        <w:tabs>
          <w:tab w:val="num" w:pos="1588"/>
        </w:tabs>
        <w:ind w:left="1588" w:hanging="397"/>
      </w:pPr>
      <w:rPr>
        <w:rFonts w:cs="Times New Roman" w:hint="default"/>
      </w:rPr>
    </w:lvl>
    <w:lvl w:ilvl="4">
      <w:start w:val="1"/>
      <w:numFmt w:val="lowerLetter"/>
      <w:pStyle w:val="ListNumber5"/>
      <w:lvlText w:val="%5."/>
      <w:lvlJc w:val="left"/>
      <w:pPr>
        <w:tabs>
          <w:tab w:val="num" w:pos="1985"/>
        </w:tabs>
        <w:ind w:left="1985" w:hanging="397"/>
      </w:pPr>
      <w:rPr>
        <w:rFonts w:cs="Times New Roman" w:hint="default"/>
      </w:rPr>
    </w:lvl>
    <w:lvl w:ilvl="5">
      <w:start w:val="1"/>
      <w:numFmt w:val="lowerRoman"/>
      <w:lvlText w:val="%6."/>
      <w:lvlJc w:val="left"/>
      <w:pPr>
        <w:tabs>
          <w:tab w:val="num" w:pos="2381"/>
        </w:tabs>
        <w:ind w:left="2382" w:hanging="397"/>
      </w:pPr>
      <w:rPr>
        <w:rFonts w:cs="Times New Roman" w:hint="default"/>
      </w:rPr>
    </w:lvl>
    <w:lvl w:ilvl="6">
      <w:start w:val="1"/>
      <w:numFmt w:val="decimal"/>
      <w:lvlText w:val="%7."/>
      <w:lvlJc w:val="left"/>
      <w:pPr>
        <w:tabs>
          <w:tab w:val="num" w:pos="2778"/>
        </w:tabs>
        <w:ind w:left="2779" w:hanging="397"/>
      </w:pPr>
      <w:rPr>
        <w:rFonts w:cs="Times New Roman" w:hint="default"/>
      </w:rPr>
    </w:lvl>
    <w:lvl w:ilvl="7">
      <w:start w:val="1"/>
      <w:numFmt w:val="lowerLetter"/>
      <w:lvlText w:val="%8."/>
      <w:lvlJc w:val="left"/>
      <w:pPr>
        <w:tabs>
          <w:tab w:val="num" w:pos="3175"/>
        </w:tabs>
        <w:ind w:left="3176" w:hanging="397"/>
      </w:pPr>
      <w:rPr>
        <w:rFonts w:cs="Times New Roman" w:hint="default"/>
      </w:rPr>
    </w:lvl>
    <w:lvl w:ilvl="8">
      <w:start w:val="1"/>
      <w:numFmt w:val="lowerRoman"/>
      <w:lvlText w:val="%9."/>
      <w:lvlJc w:val="left"/>
      <w:pPr>
        <w:tabs>
          <w:tab w:val="num" w:pos="3572"/>
        </w:tabs>
        <w:ind w:left="3573" w:hanging="397"/>
      </w:pPr>
      <w:rPr>
        <w:rFonts w:cs="Times New Roman" w:hint="default"/>
      </w:rPr>
    </w:lvl>
  </w:abstractNum>
  <w:abstractNum w:abstractNumId="4" w15:restartNumberingAfterBreak="0">
    <w:nsid w:val="09A77669"/>
    <w:multiLevelType w:val="hybridMultilevel"/>
    <w:tmpl w:val="F6F6E4B8"/>
    <w:name w:val="PwCListNumbers1"/>
    <w:lvl w:ilvl="0" w:tplc="FC10A5FE">
      <w:start w:val="1"/>
      <w:numFmt w:val="bullet"/>
      <w:lvlText w:val=""/>
      <w:lvlJc w:val="left"/>
      <w:pPr>
        <w:ind w:left="1287" w:hanging="360"/>
      </w:pPr>
      <w:rPr>
        <w:rFonts w:ascii="Symbol" w:hAnsi="Symbol" w:hint="default"/>
      </w:rPr>
    </w:lvl>
    <w:lvl w:ilvl="1" w:tplc="91C46FC4" w:tentative="1">
      <w:start w:val="1"/>
      <w:numFmt w:val="bullet"/>
      <w:lvlText w:val="o"/>
      <w:lvlJc w:val="left"/>
      <w:pPr>
        <w:ind w:left="2007" w:hanging="360"/>
      </w:pPr>
      <w:rPr>
        <w:rFonts w:ascii="Courier New" w:hAnsi="Courier New" w:hint="default"/>
      </w:rPr>
    </w:lvl>
    <w:lvl w:ilvl="2" w:tplc="278C6F04" w:tentative="1">
      <w:start w:val="1"/>
      <w:numFmt w:val="bullet"/>
      <w:lvlText w:val=""/>
      <w:lvlJc w:val="left"/>
      <w:pPr>
        <w:ind w:left="2727" w:hanging="360"/>
      </w:pPr>
      <w:rPr>
        <w:rFonts w:ascii="Wingdings" w:hAnsi="Wingdings" w:hint="default"/>
      </w:rPr>
    </w:lvl>
    <w:lvl w:ilvl="3" w:tplc="6F6E2FB6" w:tentative="1">
      <w:start w:val="1"/>
      <w:numFmt w:val="bullet"/>
      <w:lvlText w:val=""/>
      <w:lvlJc w:val="left"/>
      <w:pPr>
        <w:ind w:left="3447" w:hanging="360"/>
      </w:pPr>
      <w:rPr>
        <w:rFonts w:ascii="Symbol" w:hAnsi="Symbol" w:hint="default"/>
      </w:rPr>
    </w:lvl>
    <w:lvl w:ilvl="4" w:tplc="AACCCFF0" w:tentative="1">
      <w:start w:val="1"/>
      <w:numFmt w:val="bullet"/>
      <w:lvlText w:val="o"/>
      <w:lvlJc w:val="left"/>
      <w:pPr>
        <w:ind w:left="4167" w:hanging="360"/>
      </w:pPr>
      <w:rPr>
        <w:rFonts w:ascii="Courier New" w:hAnsi="Courier New" w:hint="default"/>
      </w:rPr>
    </w:lvl>
    <w:lvl w:ilvl="5" w:tplc="D5B89096" w:tentative="1">
      <w:start w:val="1"/>
      <w:numFmt w:val="bullet"/>
      <w:lvlText w:val=""/>
      <w:lvlJc w:val="left"/>
      <w:pPr>
        <w:ind w:left="4887" w:hanging="360"/>
      </w:pPr>
      <w:rPr>
        <w:rFonts w:ascii="Wingdings" w:hAnsi="Wingdings" w:hint="default"/>
      </w:rPr>
    </w:lvl>
    <w:lvl w:ilvl="6" w:tplc="4334870E" w:tentative="1">
      <w:start w:val="1"/>
      <w:numFmt w:val="bullet"/>
      <w:lvlText w:val=""/>
      <w:lvlJc w:val="left"/>
      <w:pPr>
        <w:ind w:left="5607" w:hanging="360"/>
      </w:pPr>
      <w:rPr>
        <w:rFonts w:ascii="Symbol" w:hAnsi="Symbol" w:hint="default"/>
      </w:rPr>
    </w:lvl>
    <w:lvl w:ilvl="7" w:tplc="B7A00A5C" w:tentative="1">
      <w:start w:val="1"/>
      <w:numFmt w:val="bullet"/>
      <w:lvlText w:val="o"/>
      <w:lvlJc w:val="left"/>
      <w:pPr>
        <w:ind w:left="6327" w:hanging="360"/>
      </w:pPr>
      <w:rPr>
        <w:rFonts w:ascii="Courier New" w:hAnsi="Courier New" w:hint="default"/>
      </w:rPr>
    </w:lvl>
    <w:lvl w:ilvl="8" w:tplc="E054A9A8" w:tentative="1">
      <w:start w:val="1"/>
      <w:numFmt w:val="bullet"/>
      <w:lvlText w:val=""/>
      <w:lvlJc w:val="left"/>
      <w:pPr>
        <w:ind w:left="7047" w:hanging="360"/>
      </w:pPr>
      <w:rPr>
        <w:rFonts w:ascii="Wingdings" w:hAnsi="Wingdings" w:hint="default"/>
      </w:rPr>
    </w:lvl>
  </w:abstractNum>
  <w:abstractNum w:abstractNumId="5" w15:restartNumberingAfterBreak="0">
    <w:nsid w:val="0BB124E2"/>
    <w:multiLevelType w:val="hybridMultilevel"/>
    <w:tmpl w:val="3B3A941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6" w15:restartNumberingAfterBreak="0">
    <w:nsid w:val="0FD03EB8"/>
    <w:multiLevelType w:val="hybridMultilevel"/>
    <w:tmpl w:val="AF76E16A"/>
    <w:lvl w:ilvl="0" w:tplc="08090003">
      <w:start w:val="1"/>
      <w:numFmt w:val="bullet"/>
      <w:lvlText w:val="o"/>
      <w:lvlJc w:val="left"/>
      <w:pPr>
        <w:ind w:left="1647" w:hanging="360"/>
      </w:pPr>
      <w:rPr>
        <w:rFonts w:ascii="Courier New" w:hAnsi="Courier New"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7" w15:restartNumberingAfterBreak="0">
    <w:nsid w:val="13BA058F"/>
    <w:multiLevelType w:val="hybridMultilevel"/>
    <w:tmpl w:val="D8DAD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B75FC"/>
    <w:multiLevelType w:val="hybridMultilevel"/>
    <w:tmpl w:val="23C2258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9" w15:restartNumberingAfterBreak="0">
    <w:nsid w:val="1AED1F5C"/>
    <w:multiLevelType w:val="hybridMultilevel"/>
    <w:tmpl w:val="74FE9D40"/>
    <w:lvl w:ilvl="0" w:tplc="08090001">
      <w:start w:val="1"/>
      <w:numFmt w:val="bullet"/>
      <w:lvlText w:val=""/>
      <w:lvlJc w:val="left"/>
      <w:pPr>
        <w:ind w:left="186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1D3A790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D06636"/>
    <w:multiLevelType w:val="hybridMultilevel"/>
    <w:tmpl w:val="66CAE48E"/>
    <w:lvl w:ilvl="0" w:tplc="D60AED90">
      <w:start w:val="3"/>
      <w:numFmt w:val="bullet"/>
      <w:lvlText w:val="-"/>
      <w:lvlJc w:val="left"/>
      <w:pPr>
        <w:tabs>
          <w:tab w:val="num" w:pos="1065"/>
        </w:tabs>
        <w:ind w:left="1065" w:hanging="360"/>
      </w:pPr>
      <w:rPr>
        <w:rFonts w:ascii="Arial" w:eastAsia="Times New Roman" w:hAnsi="Arial" w:hint="default"/>
      </w:rPr>
    </w:lvl>
    <w:lvl w:ilvl="1" w:tplc="08090001">
      <w:start w:val="1"/>
      <w:numFmt w:val="bullet"/>
      <w:lvlText w:val=""/>
      <w:lvlJc w:val="left"/>
      <w:pPr>
        <w:tabs>
          <w:tab w:val="num" w:pos="1785"/>
        </w:tabs>
        <w:ind w:left="1785" w:hanging="360"/>
      </w:pPr>
      <w:rPr>
        <w:rFonts w:ascii="Symbol" w:hAnsi="Symbol" w:hint="default"/>
      </w:rPr>
    </w:lvl>
    <w:lvl w:ilvl="2" w:tplc="04090005">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1E7A69F2"/>
    <w:multiLevelType w:val="hybridMultilevel"/>
    <w:tmpl w:val="5A4EC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0739B"/>
    <w:multiLevelType w:val="hybridMultilevel"/>
    <w:tmpl w:val="8AE27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D53EC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45130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642608F"/>
    <w:multiLevelType w:val="hybridMultilevel"/>
    <w:tmpl w:val="0096FC56"/>
    <w:lvl w:ilvl="0" w:tplc="08090001">
      <w:start w:val="1"/>
      <w:numFmt w:val="bullet"/>
      <w:lvlText w:val=""/>
      <w:lvlJc w:val="left"/>
      <w:pPr>
        <w:ind w:left="1905" w:hanging="360"/>
      </w:pPr>
      <w:rPr>
        <w:rFonts w:ascii="Symbol" w:hAnsi="Symbol" w:hint="default"/>
      </w:rPr>
    </w:lvl>
    <w:lvl w:ilvl="1" w:tplc="08090003" w:tentative="1">
      <w:start w:val="1"/>
      <w:numFmt w:val="bullet"/>
      <w:lvlText w:val="o"/>
      <w:lvlJc w:val="left"/>
      <w:pPr>
        <w:ind w:left="2625" w:hanging="360"/>
      </w:pPr>
      <w:rPr>
        <w:rFonts w:ascii="Courier New" w:hAnsi="Courier New" w:cs="Courier New" w:hint="default"/>
      </w:rPr>
    </w:lvl>
    <w:lvl w:ilvl="2" w:tplc="08090005" w:tentative="1">
      <w:start w:val="1"/>
      <w:numFmt w:val="bullet"/>
      <w:lvlText w:val=""/>
      <w:lvlJc w:val="left"/>
      <w:pPr>
        <w:ind w:left="3345" w:hanging="360"/>
      </w:pPr>
      <w:rPr>
        <w:rFonts w:ascii="Wingdings" w:hAnsi="Wingdings" w:hint="default"/>
      </w:rPr>
    </w:lvl>
    <w:lvl w:ilvl="3" w:tplc="08090001" w:tentative="1">
      <w:start w:val="1"/>
      <w:numFmt w:val="bullet"/>
      <w:lvlText w:val=""/>
      <w:lvlJc w:val="left"/>
      <w:pPr>
        <w:ind w:left="4065" w:hanging="360"/>
      </w:pPr>
      <w:rPr>
        <w:rFonts w:ascii="Symbol" w:hAnsi="Symbol" w:hint="default"/>
      </w:rPr>
    </w:lvl>
    <w:lvl w:ilvl="4" w:tplc="08090003" w:tentative="1">
      <w:start w:val="1"/>
      <w:numFmt w:val="bullet"/>
      <w:lvlText w:val="o"/>
      <w:lvlJc w:val="left"/>
      <w:pPr>
        <w:ind w:left="4785" w:hanging="360"/>
      </w:pPr>
      <w:rPr>
        <w:rFonts w:ascii="Courier New" w:hAnsi="Courier New" w:cs="Courier New" w:hint="default"/>
      </w:rPr>
    </w:lvl>
    <w:lvl w:ilvl="5" w:tplc="08090005" w:tentative="1">
      <w:start w:val="1"/>
      <w:numFmt w:val="bullet"/>
      <w:lvlText w:val=""/>
      <w:lvlJc w:val="left"/>
      <w:pPr>
        <w:ind w:left="5505" w:hanging="360"/>
      </w:pPr>
      <w:rPr>
        <w:rFonts w:ascii="Wingdings" w:hAnsi="Wingdings" w:hint="default"/>
      </w:rPr>
    </w:lvl>
    <w:lvl w:ilvl="6" w:tplc="08090001" w:tentative="1">
      <w:start w:val="1"/>
      <w:numFmt w:val="bullet"/>
      <w:lvlText w:val=""/>
      <w:lvlJc w:val="left"/>
      <w:pPr>
        <w:ind w:left="6225" w:hanging="360"/>
      </w:pPr>
      <w:rPr>
        <w:rFonts w:ascii="Symbol" w:hAnsi="Symbol" w:hint="default"/>
      </w:rPr>
    </w:lvl>
    <w:lvl w:ilvl="7" w:tplc="08090003" w:tentative="1">
      <w:start w:val="1"/>
      <w:numFmt w:val="bullet"/>
      <w:lvlText w:val="o"/>
      <w:lvlJc w:val="left"/>
      <w:pPr>
        <w:ind w:left="6945" w:hanging="360"/>
      </w:pPr>
      <w:rPr>
        <w:rFonts w:ascii="Courier New" w:hAnsi="Courier New" w:cs="Courier New" w:hint="default"/>
      </w:rPr>
    </w:lvl>
    <w:lvl w:ilvl="8" w:tplc="08090005" w:tentative="1">
      <w:start w:val="1"/>
      <w:numFmt w:val="bullet"/>
      <w:lvlText w:val=""/>
      <w:lvlJc w:val="left"/>
      <w:pPr>
        <w:ind w:left="7665" w:hanging="360"/>
      </w:pPr>
      <w:rPr>
        <w:rFonts w:ascii="Wingdings" w:hAnsi="Wingdings" w:hint="default"/>
      </w:rPr>
    </w:lvl>
  </w:abstractNum>
  <w:abstractNum w:abstractNumId="17" w15:restartNumberingAfterBreak="0">
    <w:nsid w:val="26A01200"/>
    <w:multiLevelType w:val="hybridMultilevel"/>
    <w:tmpl w:val="8078FF16"/>
    <w:name w:val="PwCListBullets16"/>
    <w:lvl w:ilvl="0" w:tplc="6EAC28EE">
      <w:start w:val="1"/>
      <w:numFmt w:val="bullet"/>
      <w:lvlText w:val=""/>
      <w:lvlJc w:val="left"/>
      <w:pPr>
        <w:ind w:left="1287" w:hanging="360"/>
      </w:pPr>
      <w:rPr>
        <w:rFonts w:ascii="Symbol" w:hAnsi="Symbol" w:hint="default"/>
      </w:rPr>
    </w:lvl>
    <w:lvl w:ilvl="1" w:tplc="AA46F120" w:tentative="1">
      <w:start w:val="1"/>
      <w:numFmt w:val="bullet"/>
      <w:lvlText w:val="o"/>
      <w:lvlJc w:val="left"/>
      <w:pPr>
        <w:ind w:left="2007" w:hanging="360"/>
      </w:pPr>
      <w:rPr>
        <w:rFonts w:ascii="Courier New" w:hAnsi="Courier New" w:hint="default"/>
      </w:rPr>
    </w:lvl>
    <w:lvl w:ilvl="2" w:tplc="0A4EC8A4" w:tentative="1">
      <w:start w:val="1"/>
      <w:numFmt w:val="bullet"/>
      <w:lvlText w:val=""/>
      <w:lvlJc w:val="left"/>
      <w:pPr>
        <w:ind w:left="2727" w:hanging="360"/>
      </w:pPr>
      <w:rPr>
        <w:rFonts w:ascii="Wingdings" w:hAnsi="Wingdings" w:hint="default"/>
      </w:rPr>
    </w:lvl>
    <w:lvl w:ilvl="3" w:tplc="D18A2F5A" w:tentative="1">
      <w:start w:val="1"/>
      <w:numFmt w:val="bullet"/>
      <w:lvlText w:val=""/>
      <w:lvlJc w:val="left"/>
      <w:pPr>
        <w:ind w:left="3447" w:hanging="360"/>
      </w:pPr>
      <w:rPr>
        <w:rFonts w:ascii="Symbol" w:hAnsi="Symbol" w:hint="default"/>
      </w:rPr>
    </w:lvl>
    <w:lvl w:ilvl="4" w:tplc="1EA4C696" w:tentative="1">
      <w:start w:val="1"/>
      <w:numFmt w:val="bullet"/>
      <w:lvlText w:val="o"/>
      <w:lvlJc w:val="left"/>
      <w:pPr>
        <w:ind w:left="4167" w:hanging="360"/>
      </w:pPr>
      <w:rPr>
        <w:rFonts w:ascii="Courier New" w:hAnsi="Courier New" w:hint="default"/>
      </w:rPr>
    </w:lvl>
    <w:lvl w:ilvl="5" w:tplc="0E1E16A0" w:tentative="1">
      <w:start w:val="1"/>
      <w:numFmt w:val="bullet"/>
      <w:lvlText w:val=""/>
      <w:lvlJc w:val="left"/>
      <w:pPr>
        <w:ind w:left="4887" w:hanging="360"/>
      </w:pPr>
      <w:rPr>
        <w:rFonts w:ascii="Wingdings" w:hAnsi="Wingdings" w:hint="default"/>
      </w:rPr>
    </w:lvl>
    <w:lvl w:ilvl="6" w:tplc="51045EBC" w:tentative="1">
      <w:start w:val="1"/>
      <w:numFmt w:val="bullet"/>
      <w:lvlText w:val=""/>
      <w:lvlJc w:val="left"/>
      <w:pPr>
        <w:ind w:left="5607" w:hanging="360"/>
      </w:pPr>
      <w:rPr>
        <w:rFonts w:ascii="Symbol" w:hAnsi="Symbol" w:hint="default"/>
      </w:rPr>
    </w:lvl>
    <w:lvl w:ilvl="7" w:tplc="CA825812" w:tentative="1">
      <w:start w:val="1"/>
      <w:numFmt w:val="bullet"/>
      <w:lvlText w:val="o"/>
      <w:lvlJc w:val="left"/>
      <w:pPr>
        <w:ind w:left="6327" w:hanging="360"/>
      </w:pPr>
      <w:rPr>
        <w:rFonts w:ascii="Courier New" w:hAnsi="Courier New" w:hint="default"/>
      </w:rPr>
    </w:lvl>
    <w:lvl w:ilvl="8" w:tplc="45D45CF4" w:tentative="1">
      <w:start w:val="1"/>
      <w:numFmt w:val="bullet"/>
      <w:lvlText w:val=""/>
      <w:lvlJc w:val="left"/>
      <w:pPr>
        <w:ind w:left="7047" w:hanging="360"/>
      </w:pPr>
      <w:rPr>
        <w:rFonts w:ascii="Wingdings" w:hAnsi="Wingdings" w:hint="default"/>
      </w:rPr>
    </w:lvl>
  </w:abstractNum>
  <w:abstractNum w:abstractNumId="18" w15:restartNumberingAfterBreak="0">
    <w:nsid w:val="2872515A"/>
    <w:multiLevelType w:val="hybridMultilevel"/>
    <w:tmpl w:val="5C42C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464DD7"/>
    <w:multiLevelType w:val="hybridMultilevel"/>
    <w:tmpl w:val="D3DAE044"/>
    <w:lvl w:ilvl="0" w:tplc="1E62098E">
      <w:start w:val="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B868F1"/>
    <w:multiLevelType w:val="hybridMultilevel"/>
    <w:tmpl w:val="524CB21E"/>
    <w:name w:val="PwCListBullets13"/>
    <w:lvl w:ilvl="0" w:tplc="336ACBE6">
      <w:start w:val="1"/>
      <w:numFmt w:val="bullet"/>
      <w:lvlText w:val=""/>
      <w:lvlJc w:val="left"/>
      <w:pPr>
        <w:ind w:left="1287" w:hanging="360"/>
      </w:pPr>
      <w:rPr>
        <w:rFonts w:ascii="Symbol" w:hAnsi="Symbol" w:hint="default"/>
      </w:rPr>
    </w:lvl>
    <w:lvl w:ilvl="1" w:tplc="CF20A648">
      <w:start w:val="1"/>
      <w:numFmt w:val="bullet"/>
      <w:lvlText w:val="o"/>
      <w:lvlJc w:val="left"/>
      <w:pPr>
        <w:ind w:left="2007" w:hanging="360"/>
      </w:pPr>
      <w:rPr>
        <w:rFonts w:ascii="Courier New" w:hAnsi="Courier New" w:hint="default"/>
      </w:rPr>
    </w:lvl>
    <w:lvl w:ilvl="2" w:tplc="9A147916" w:tentative="1">
      <w:start w:val="1"/>
      <w:numFmt w:val="bullet"/>
      <w:lvlText w:val=""/>
      <w:lvlJc w:val="left"/>
      <w:pPr>
        <w:ind w:left="2727" w:hanging="360"/>
      </w:pPr>
      <w:rPr>
        <w:rFonts w:ascii="Wingdings" w:hAnsi="Wingdings" w:hint="default"/>
      </w:rPr>
    </w:lvl>
    <w:lvl w:ilvl="3" w:tplc="CCA09B10" w:tentative="1">
      <w:start w:val="1"/>
      <w:numFmt w:val="bullet"/>
      <w:lvlText w:val=""/>
      <w:lvlJc w:val="left"/>
      <w:pPr>
        <w:ind w:left="3447" w:hanging="360"/>
      </w:pPr>
      <w:rPr>
        <w:rFonts w:ascii="Symbol" w:hAnsi="Symbol" w:hint="default"/>
      </w:rPr>
    </w:lvl>
    <w:lvl w:ilvl="4" w:tplc="5F56E724" w:tentative="1">
      <w:start w:val="1"/>
      <w:numFmt w:val="bullet"/>
      <w:lvlText w:val="o"/>
      <w:lvlJc w:val="left"/>
      <w:pPr>
        <w:ind w:left="4167" w:hanging="360"/>
      </w:pPr>
      <w:rPr>
        <w:rFonts w:ascii="Courier New" w:hAnsi="Courier New" w:hint="default"/>
      </w:rPr>
    </w:lvl>
    <w:lvl w:ilvl="5" w:tplc="0E32FA20" w:tentative="1">
      <w:start w:val="1"/>
      <w:numFmt w:val="bullet"/>
      <w:lvlText w:val=""/>
      <w:lvlJc w:val="left"/>
      <w:pPr>
        <w:ind w:left="4887" w:hanging="360"/>
      </w:pPr>
      <w:rPr>
        <w:rFonts w:ascii="Wingdings" w:hAnsi="Wingdings" w:hint="default"/>
      </w:rPr>
    </w:lvl>
    <w:lvl w:ilvl="6" w:tplc="39F8313C" w:tentative="1">
      <w:start w:val="1"/>
      <w:numFmt w:val="bullet"/>
      <w:lvlText w:val=""/>
      <w:lvlJc w:val="left"/>
      <w:pPr>
        <w:ind w:left="5607" w:hanging="360"/>
      </w:pPr>
      <w:rPr>
        <w:rFonts w:ascii="Symbol" w:hAnsi="Symbol" w:hint="default"/>
      </w:rPr>
    </w:lvl>
    <w:lvl w:ilvl="7" w:tplc="4E245338" w:tentative="1">
      <w:start w:val="1"/>
      <w:numFmt w:val="bullet"/>
      <w:lvlText w:val="o"/>
      <w:lvlJc w:val="left"/>
      <w:pPr>
        <w:ind w:left="6327" w:hanging="360"/>
      </w:pPr>
      <w:rPr>
        <w:rFonts w:ascii="Courier New" w:hAnsi="Courier New" w:hint="default"/>
      </w:rPr>
    </w:lvl>
    <w:lvl w:ilvl="8" w:tplc="171C09E4" w:tentative="1">
      <w:start w:val="1"/>
      <w:numFmt w:val="bullet"/>
      <w:lvlText w:val=""/>
      <w:lvlJc w:val="left"/>
      <w:pPr>
        <w:ind w:left="7047" w:hanging="360"/>
      </w:pPr>
      <w:rPr>
        <w:rFonts w:ascii="Wingdings" w:hAnsi="Wingdings" w:hint="default"/>
      </w:rPr>
    </w:lvl>
  </w:abstractNum>
  <w:abstractNum w:abstractNumId="21" w15:restartNumberingAfterBreak="0">
    <w:nsid w:val="335B655C"/>
    <w:multiLevelType w:val="hybridMultilevel"/>
    <w:tmpl w:val="7B284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E54D0C"/>
    <w:multiLevelType w:val="singleLevel"/>
    <w:tmpl w:val="7CCC0BE0"/>
    <w:lvl w:ilvl="0">
      <w:start w:val="1"/>
      <w:numFmt w:val="bullet"/>
      <w:pStyle w:val="Bullets"/>
      <w:lvlText w:val=""/>
      <w:lvlJc w:val="left"/>
      <w:pPr>
        <w:tabs>
          <w:tab w:val="num" w:pos="397"/>
        </w:tabs>
        <w:ind w:left="397" w:hanging="397"/>
      </w:pPr>
      <w:rPr>
        <w:rFonts w:ascii="Wingdings" w:hAnsi="Wingdings" w:hint="default"/>
        <w:color w:val="auto"/>
        <w:sz w:val="12"/>
      </w:rPr>
    </w:lvl>
  </w:abstractNum>
  <w:abstractNum w:abstractNumId="23" w15:restartNumberingAfterBreak="0">
    <w:nsid w:val="38984B8F"/>
    <w:multiLevelType w:val="hybridMultilevel"/>
    <w:tmpl w:val="D14E478A"/>
    <w:name w:val="PwCListNumbers12"/>
    <w:lvl w:ilvl="0" w:tplc="6E16C57C">
      <w:start w:val="1"/>
      <w:numFmt w:val="bullet"/>
      <w:lvlText w:val=""/>
      <w:lvlJc w:val="left"/>
      <w:pPr>
        <w:ind w:left="1287" w:hanging="360"/>
      </w:pPr>
      <w:rPr>
        <w:rFonts w:ascii="Symbol" w:hAnsi="Symbol" w:hint="default"/>
      </w:rPr>
    </w:lvl>
    <w:lvl w:ilvl="1" w:tplc="B5FCF4BE" w:tentative="1">
      <w:start w:val="1"/>
      <w:numFmt w:val="bullet"/>
      <w:lvlText w:val="o"/>
      <w:lvlJc w:val="left"/>
      <w:pPr>
        <w:ind w:left="2007" w:hanging="360"/>
      </w:pPr>
      <w:rPr>
        <w:rFonts w:ascii="Courier New" w:hAnsi="Courier New" w:hint="default"/>
      </w:rPr>
    </w:lvl>
    <w:lvl w:ilvl="2" w:tplc="A66CF586" w:tentative="1">
      <w:start w:val="1"/>
      <w:numFmt w:val="bullet"/>
      <w:lvlText w:val=""/>
      <w:lvlJc w:val="left"/>
      <w:pPr>
        <w:ind w:left="2727" w:hanging="360"/>
      </w:pPr>
      <w:rPr>
        <w:rFonts w:ascii="Wingdings" w:hAnsi="Wingdings" w:hint="default"/>
      </w:rPr>
    </w:lvl>
    <w:lvl w:ilvl="3" w:tplc="B07038E8" w:tentative="1">
      <w:start w:val="1"/>
      <w:numFmt w:val="bullet"/>
      <w:lvlText w:val=""/>
      <w:lvlJc w:val="left"/>
      <w:pPr>
        <w:ind w:left="3447" w:hanging="360"/>
      </w:pPr>
      <w:rPr>
        <w:rFonts w:ascii="Symbol" w:hAnsi="Symbol" w:hint="default"/>
      </w:rPr>
    </w:lvl>
    <w:lvl w:ilvl="4" w:tplc="A686F506" w:tentative="1">
      <w:start w:val="1"/>
      <w:numFmt w:val="bullet"/>
      <w:lvlText w:val="o"/>
      <w:lvlJc w:val="left"/>
      <w:pPr>
        <w:ind w:left="4167" w:hanging="360"/>
      </w:pPr>
      <w:rPr>
        <w:rFonts w:ascii="Courier New" w:hAnsi="Courier New" w:hint="default"/>
      </w:rPr>
    </w:lvl>
    <w:lvl w:ilvl="5" w:tplc="78D26AFA" w:tentative="1">
      <w:start w:val="1"/>
      <w:numFmt w:val="bullet"/>
      <w:lvlText w:val=""/>
      <w:lvlJc w:val="left"/>
      <w:pPr>
        <w:ind w:left="4887" w:hanging="360"/>
      </w:pPr>
      <w:rPr>
        <w:rFonts w:ascii="Wingdings" w:hAnsi="Wingdings" w:hint="default"/>
      </w:rPr>
    </w:lvl>
    <w:lvl w:ilvl="6" w:tplc="62E8E954" w:tentative="1">
      <w:start w:val="1"/>
      <w:numFmt w:val="bullet"/>
      <w:lvlText w:val=""/>
      <w:lvlJc w:val="left"/>
      <w:pPr>
        <w:ind w:left="5607" w:hanging="360"/>
      </w:pPr>
      <w:rPr>
        <w:rFonts w:ascii="Symbol" w:hAnsi="Symbol" w:hint="default"/>
      </w:rPr>
    </w:lvl>
    <w:lvl w:ilvl="7" w:tplc="C27A5BE6" w:tentative="1">
      <w:start w:val="1"/>
      <w:numFmt w:val="bullet"/>
      <w:lvlText w:val="o"/>
      <w:lvlJc w:val="left"/>
      <w:pPr>
        <w:ind w:left="6327" w:hanging="360"/>
      </w:pPr>
      <w:rPr>
        <w:rFonts w:ascii="Courier New" w:hAnsi="Courier New" w:hint="default"/>
      </w:rPr>
    </w:lvl>
    <w:lvl w:ilvl="8" w:tplc="189A2446" w:tentative="1">
      <w:start w:val="1"/>
      <w:numFmt w:val="bullet"/>
      <w:lvlText w:val=""/>
      <w:lvlJc w:val="left"/>
      <w:pPr>
        <w:ind w:left="7047" w:hanging="360"/>
      </w:pPr>
      <w:rPr>
        <w:rFonts w:ascii="Wingdings" w:hAnsi="Wingdings" w:hint="default"/>
      </w:rPr>
    </w:lvl>
  </w:abstractNum>
  <w:abstractNum w:abstractNumId="24" w15:restartNumberingAfterBreak="0">
    <w:nsid w:val="3A230064"/>
    <w:multiLevelType w:val="hybridMultilevel"/>
    <w:tmpl w:val="692E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840EB8"/>
    <w:multiLevelType w:val="hybridMultilevel"/>
    <w:tmpl w:val="C8F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FC180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FE86921"/>
    <w:multiLevelType w:val="hybridMultilevel"/>
    <w:tmpl w:val="DC6496E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28" w15:restartNumberingAfterBreak="0">
    <w:nsid w:val="42365E82"/>
    <w:multiLevelType w:val="hybridMultilevel"/>
    <w:tmpl w:val="F79A7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E43EE7"/>
    <w:multiLevelType w:val="hybridMultilevel"/>
    <w:tmpl w:val="DFBE1184"/>
    <w:lvl w:ilvl="0" w:tplc="08090001">
      <w:start w:val="1"/>
      <w:numFmt w:val="bullet"/>
      <w:lvlText w:val=""/>
      <w:lvlJc w:val="left"/>
      <w:pPr>
        <w:ind w:left="76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44386540"/>
    <w:multiLevelType w:val="hybridMultilevel"/>
    <w:tmpl w:val="91D663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45771E04"/>
    <w:multiLevelType w:val="hybridMultilevel"/>
    <w:tmpl w:val="53BCC2F0"/>
    <w:lvl w:ilvl="0" w:tplc="6BBA1B1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59A598B"/>
    <w:multiLevelType w:val="hybridMultilevel"/>
    <w:tmpl w:val="CB2E5F6E"/>
    <w:name w:val="PwCListBullets14"/>
    <w:lvl w:ilvl="0" w:tplc="BD169BC6">
      <w:start w:val="1"/>
      <w:numFmt w:val="bullet"/>
      <w:lvlText w:val=""/>
      <w:lvlJc w:val="left"/>
      <w:pPr>
        <w:ind w:left="748" w:hanging="360"/>
      </w:pPr>
      <w:rPr>
        <w:rFonts w:ascii="Symbol" w:hAnsi="Symbol" w:hint="default"/>
      </w:rPr>
    </w:lvl>
    <w:lvl w:ilvl="1" w:tplc="6888C5D4" w:tentative="1">
      <w:start w:val="1"/>
      <w:numFmt w:val="bullet"/>
      <w:lvlText w:val="o"/>
      <w:lvlJc w:val="left"/>
      <w:pPr>
        <w:ind w:left="1468" w:hanging="360"/>
      </w:pPr>
      <w:rPr>
        <w:rFonts w:ascii="Courier New" w:hAnsi="Courier New" w:hint="default"/>
      </w:rPr>
    </w:lvl>
    <w:lvl w:ilvl="2" w:tplc="FC8647D2" w:tentative="1">
      <w:start w:val="1"/>
      <w:numFmt w:val="bullet"/>
      <w:lvlText w:val=""/>
      <w:lvlJc w:val="left"/>
      <w:pPr>
        <w:ind w:left="2188" w:hanging="360"/>
      </w:pPr>
      <w:rPr>
        <w:rFonts w:ascii="Wingdings" w:hAnsi="Wingdings" w:hint="default"/>
      </w:rPr>
    </w:lvl>
    <w:lvl w:ilvl="3" w:tplc="B8A06938" w:tentative="1">
      <w:start w:val="1"/>
      <w:numFmt w:val="bullet"/>
      <w:lvlText w:val=""/>
      <w:lvlJc w:val="left"/>
      <w:pPr>
        <w:ind w:left="2908" w:hanging="360"/>
      </w:pPr>
      <w:rPr>
        <w:rFonts w:ascii="Symbol" w:hAnsi="Symbol" w:hint="default"/>
      </w:rPr>
    </w:lvl>
    <w:lvl w:ilvl="4" w:tplc="1D689954" w:tentative="1">
      <w:start w:val="1"/>
      <w:numFmt w:val="bullet"/>
      <w:lvlText w:val="o"/>
      <w:lvlJc w:val="left"/>
      <w:pPr>
        <w:ind w:left="3628" w:hanging="360"/>
      </w:pPr>
      <w:rPr>
        <w:rFonts w:ascii="Courier New" w:hAnsi="Courier New" w:hint="default"/>
      </w:rPr>
    </w:lvl>
    <w:lvl w:ilvl="5" w:tplc="C39CD472" w:tentative="1">
      <w:start w:val="1"/>
      <w:numFmt w:val="bullet"/>
      <w:lvlText w:val=""/>
      <w:lvlJc w:val="left"/>
      <w:pPr>
        <w:ind w:left="4348" w:hanging="360"/>
      </w:pPr>
      <w:rPr>
        <w:rFonts w:ascii="Wingdings" w:hAnsi="Wingdings" w:hint="default"/>
      </w:rPr>
    </w:lvl>
    <w:lvl w:ilvl="6" w:tplc="CDA0EC00" w:tentative="1">
      <w:start w:val="1"/>
      <w:numFmt w:val="bullet"/>
      <w:lvlText w:val=""/>
      <w:lvlJc w:val="left"/>
      <w:pPr>
        <w:ind w:left="5068" w:hanging="360"/>
      </w:pPr>
      <w:rPr>
        <w:rFonts w:ascii="Symbol" w:hAnsi="Symbol" w:hint="default"/>
      </w:rPr>
    </w:lvl>
    <w:lvl w:ilvl="7" w:tplc="593A8F7C" w:tentative="1">
      <w:start w:val="1"/>
      <w:numFmt w:val="bullet"/>
      <w:lvlText w:val="o"/>
      <w:lvlJc w:val="left"/>
      <w:pPr>
        <w:ind w:left="5788" w:hanging="360"/>
      </w:pPr>
      <w:rPr>
        <w:rFonts w:ascii="Courier New" w:hAnsi="Courier New" w:hint="default"/>
      </w:rPr>
    </w:lvl>
    <w:lvl w:ilvl="8" w:tplc="EC3C4160" w:tentative="1">
      <w:start w:val="1"/>
      <w:numFmt w:val="bullet"/>
      <w:lvlText w:val=""/>
      <w:lvlJc w:val="left"/>
      <w:pPr>
        <w:ind w:left="6508" w:hanging="360"/>
      </w:pPr>
      <w:rPr>
        <w:rFonts w:ascii="Wingdings" w:hAnsi="Wingdings" w:hint="default"/>
      </w:rPr>
    </w:lvl>
  </w:abstractNum>
  <w:abstractNum w:abstractNumId="33" w15:restartNumberingAfterBreak="0">
    <w:nsid w:val="49E232BC"/>
    <w:multiLevelType w:val="hybridMultilevel"/>
    <w:tmpl w:val="28465286"/>
    <w:name w:val="PwCListNumbers13"/>
    <w:lvl w:ilvl="0" w:tplc="7A36E6E6">
      <w:start w:val="1"/>
      <w:numFmt w:val="bullet"/>
      <w:lvlText w:val=""/>
      <w:lvlJc w:val="left"/>
      <w:pPr>
        <w:ind w:left="1287" w:hanging="360"/>
      </w:pPr>
      <w:rPr>
        <w:rFonts w:ascii="Symbol" w:hAnsi="Symbol" w:hint="default"/>
      </w:rPr>
    </w:lvl>
    <w:lvl w:ilvl="1" w:tplc="8D7A1F4A" w:tentative="1">
      <w:start w:val="1"/>
      <w:numFmt w:val="bullet"/>
      <w:lvlText w:val="o"/>
      <w:lvlJc w:val="left"/>
      <w:pPr>
        <w:ind w:left="2007" w:hanging="360"/>
      </w:pPr>
      <w:rPr>
        <w:rFonts w:ascii="Courier New" w:hAnsi="Courier New" w:hint="default"/>
      </w:rPr>
    </w:lvl>
    <w:lvl w:ilvl="2" w:tplc="9D9CE88A" w:tentative="1">
      <w:start w:val="1"/>
      <w:numFmt w:val="bullet"/>
      <w:lvlText w:val=""/>
      <w:lvlJc w:val="left"/>
      <w:pPr>
        <w:ind w:left="2727" w:hanging="360"/>
      </w:pPr>
      <w:rPr>
        <w:rFonts w:ascii="Wingdings" w:hAnsi="Wingdings" w:hint="default"/>
      </w:rPr>
    </w:lvl>
    <w:lvl w:ilvl="3" w:tplc="89726490" w:tentative="1">
      <w:start w:val="1"/>
      <w:numFmt w:val="bullet"/>
      <w:lvlText w:val=""/>
      <w:lvlJc w:val="left"/>
      <w:pPr>
        <w:ind w:left="3447" w:hanging="360"/>
      </w:pPr>
      <w:rPr>
        <w:rFonts w:ascii="Symbol" w:hAnsi="Symbol" w:hint="default"/>
      </w:rPr>
    </w:lvl>
    <w:lvl w:ilvl="4" w:tplc="6AF22CA0" w:tentative="1">
      <w:start w:val="1"/>
      <w:numFmt w:val="bullet"/>
      <w:lvlText w:val="o"/>
      <w:lvlJc w:val="left"/>
      <w:pPr>
        <w:ind w:left="4167" w:hanging="360"/>
      </w:pPr>
      <w:rPr>
        <w:rFonts w:ascii="Courier New" w:hAnsi="Courier New" w:hint="default"/>
      </w:rPr>
    </w:lvl>
    <w:lvl w:ilvl="5" w:tplc="42CCF8D8" w:tentative="1">
      <w:start w:val="1"/>
      <w:numFmt w:val="bullet"/>
      <w:lvlText w:val=""/>
      <w:lvlJc w:val="left"/>
      <w:pPr>
        <w:ind w:left="4887" w:hanging="360"/>
      </w:pPr>
      <w:rPr>
        <w:rFonts w:ascii="Wingdings" w:hAnsi="Wingdings" w:hint="default"/>
      </w:rPr>
    </w:lvl>
    <w:lvl w:ilvl="6" w:tplc="14C669CE" w:tentative="1">
      <w:start w:val="1"/>
      <w:numFmt w:val="bullet"/>
      <w:lvlText w:val=""/>
      <w:lvlJc w:val="left"/>
      <w:pPr>
        <w:ind w:left="5607" w:hanging="360"/>
      </w:pPr>
      <w:rPr>
        <w:rFonts w:ascii="Symbol" w:hAnsi="Symbol" w:hint="default"/>
      </w:rPr>
    </w:lvl>
    <w:lvl w:ilvl="7" w:tplc="7E144D7E" w:tentative="1">
      <w:start w:val="1"/>
      <w:numFmt w:val="bullet"/>
      <w:lvlText w:val="o"/>
      <w:lvlJc w:val="left"/>
      <w:pPr>
        <w:ind w:left="6327" w:hanging="360"/>
      </w:pPr>
      <w:rPr>
        <w:rFonts w:ascii="Courier New" w:hAnsi="Courier New" w:hint="default"/>
      </w:rPr>
    </w:lvl>
    <w:lvl w:ilvl="8" w:tplc="717AB3D8" w:tentative="1">
      <w:start w:val="1"/>
      <w:numFmt w:val="bullet"/>
      <w:lvlText w:val=""/>
      <w:lvlJc w:val="left"/>
      <w:pPr>
        <w:ind w:left="7047" w:hanging="360"/>
      </w:pPr>
      <w:rPr>
        <w:rFonts w:ascii="Wingdings" w:hAnsi="Wingdings" w:hint="default"/>
      </w:rPr>
    </w:lvl>
  </w:abstractNum>
  <w:abstractNum w:abstractNumId="34" w15:restartNumberingAfterBreak="0">
    <w:nsid w:val="4AF54D02"/>
    <w:multiLevelType w:val="hybridMultilevel"/>
    <w:tmpl w:val="05004F06"/>
    <w:lvl w:ilvl="0" w:tplc="6BBA1B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B1D67A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20F5F36"/>
    <w:multiLevelType w:val="hybridMultilevel"/>
    <w:tmpl w:val="C07287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72856A6"/>
    <w:multiLevelType w:val="hybridMultilevel"/>
    <w:tmpl w:val="B1E64090"/>
    <w:lvl w:ilvl="0" w:tplc="6BBA1B1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7A35C17"/>
    <w:multiLevelType w:val="hybridMultilevel"/>
    <w:tmpl w:val="550AF4A6"/>
    <w:name w:val="PwCListNumbers14"/>
    <w:lvl w:ilvl="0" w:tplc="80A6EBD2">
      <w:start w:val="1"/>
      <w:numFmt w:val="bullet"/>
      <w:lvlText w:val=""/>
      <w:lvlJc w:val="left"/>
      <w:pPr>
        <w:ind w:left="1287" w:hanging="360"/>
      </w:pPr>
      <w:rPr>
        <w:rFonts w:ascii="Symbol" w:hAnsi="Symbol" w:hint="default"/>
      </w:rPr>
    </w:lvl>
    <w:lvl w:ilvl="1" w:tplc="578AB9C4" w:tentative="1">
      <w:start w:val="1"/>
      <w:numFmt w:val="bullet"/>
      <w:lvlText w:val="o"/>
      <w:lvlJc w:val="left"/>
      <w:pPr>
        <w:ind w:left="2007" w:hanging="360"/>
      </w:pPr>
      <w:rPr>
        <w:rFonts w:ascii="Courier New" w:hAnsi="Courier New" w:hint="default"/>
      </w:rPr>
    </w:lvl>
    <w:lvl w:ilvl="2" w:tplc="209AFE58" w:tentative="1">
      <w:start w:val="1"/>
      <w:numFmt w:val="bullet"/>
      <w:lvlText w:val=""/>
      <w:lvlJc w:val="left"/>
      <w:pPr>
        <w:ind w:left="2727" w:hanging="360"/>
      </w:pPr>
      <w:rPr>
        <w:rFonts w:ascii="Wingdings" w:hAnsi="Wingdings" w:hint="default"/>
      </w:rPr>
    </w:lvl>
    <w:lvl w:ilvl="3" w:tplc="0720D3F6" w:tentative="1">
      <w:start w:val="1"/>
      <w:numFmt w:val="bullet"/>
      <w:lvlText w:val=""/>
      <w:lvlJc w:val="left"/>
      <w:pPr>
        <w:ind w:left="3447" w:hanging="360"/>
      </w:pPr>
      <w:rPr>
        <w:rFonts w:ascii="Symbol" w:hAnsi="Symbol" w:hint="default"/>
      </w:rPr>
    </w:lvl>
    <w:lvl w:ilvl="4" w:tplc="39DAEC5E" w:tentative="1">
      <w:start w:val="1"/>
      <w:numFmt w:val="bullet"/>
      <w:lvlText w:val="o"/>
      <w:lvlJc w:val="left"/>
      <w:pPr>
        <w:ind w:left="4167" w:hanging="360"/>
      </w:pPr>
      <w:rPr>
        <w:rFonts w:ascii="Courier New" w:hAnsi="Courier New" w:hint="default"/>
      </w:rPr>
    </w:lvl>
    <w:lvl w:ilvl="5" w:tplc="50FADE66" w:tentative="1">
      <w:start w:val="1"/>
      <w:numFmt w:val="bullet"/>
      <w:lvlText w:val=""/>
      <w:lvlJc w:val="left"/>
      <w:pPr>
        <w:ind w:left="4887" w:hanging="360"/>
      </w:pPr>
      <w:rPr>
        <w:rFonts w:ascii="Wingdings" w:hAnsi="Wingdings" w:hint="default"/>
      </w:rPr>
    </w:lvl>
    <w:lvl w:ilvl="6" w:tplc="6D9A108E" w:tentative="1">
      <w:start w:val="1"/>
      <w:numFmt w:val="bullet"/>
      <w:lvlText w:val=""/>
      <w:lvlJc w:val="left"/>
      <w:pPr>
        <w:ind w:left="5607" w:hanging="360"/>
      </w:pPr>
      <w:rPr>
        <w:rFonts w:ascii="Symbol" w:hAnsi="Symbol" w:hint="default"/>
      </w:rPr>
    </w:lvl>
    <w:lvl w:ilvl="7" w:tplc="78A832A2" w:tentative="1">
      <w:start w:val="1"/>
      <w:numFmt w:val="bullet"/>
      <w:lvlText w:val="o"/>
      <w:lvlJc w:val="left"/>
      <w:pPr>
        <w:ind w:left="6327" w:hanging="360"/>
      </w:pPr>
      <w:rPr>
        <w:rFonts w:ascii="Courier New" w:hAnsi="Courier New" w:hint="default"/>
      </w:rPr>
    </w:lvl>
    <w:lvl w:ilvl="8" w:tplc="F4D2A9E0" w:tentative="1">
      <w:start w:val="1"/>
      <w:numFmt w:val="bullet"/>
      <w:lvlText w:val=""/>
      <w:lvlJc w:val="left"/>
      <w:pPr>
        <w:ind w:left="7047" w:hanging="360"/>
      </w:pPr>
      <w:rPr>
        <w:rFonts w:ascii="Wingdings" w:hAnsi="Wingdings" w:hint="default"/>
      </w:rPr>
    </w:lvl>
  </w:abstractNum>
  <w:abstractNum w:abstractNumId="39" w15:restartNumberingAfterBreak="0">
    <w:nsid w:val="57D8332D"/>
    <w:multiLevelType w:val="multilevel"/>
    <w:tmpl w:val="0A0CEF8A"/>
    <w:lvl w:ilvl="0">
      <w:start w:val="4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84049C6"/>
    <w:multiLevelType w:val="hybridMultilevel"/>
    <w:tmpl w:val="D130C3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116EB7"/>
    <w:multiLevelType w:val="hybridMultilevel"/>
    <w:tmpl w:val="89725BEE"/>
    <w:lvl w:ilvl="0" w:tplc="FEF815FA">
      <w:numFmt w:val="bullet"/>
      <w:lvlText w:val="-"/>
      <w:lvlJc w:val="left"/>
      <w:pPr>
        <w:ind w:left="915" w:hanging="360"/>
      </w:pPr>
      <w:rPr>
        <w:rFonts w:ascii="Arial" w:eastAsia="Arial" w:hAnsi="Arial" w:cs="Aria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42" w15:restartNumberingAfterBreak="0">
    <w:nsid w:val="5CA56542"/>
    <w:multiLevelType w:val="hybridMultilevel"/>
    <w:tmpl w:val="BDFCF7BE"/>
    <w:name w:val="PwCListBullets12"/>
    <w:lvl w:ilvl="0" w:tplc="F7CC1782">
      <w:start w:val="1"/>
      <w:numFmt w:val="bullet"/>
      <w:lvlText w:val=""/>
      <w:lvlJc w:val="left"/>
      <w:pPr>
        <w:ind w:left="1287" w:hanging="360"/>
      </w:pPr>
      <w:rPr>
        <w:rFonts w:ascii="Symbol" w:hAnsi="Symbol" w:hint="default"/>
      </w:rPr>
    </w:lvl>
    <w:lvl w:ilvl="1" w:tplc="5120C2E2" w:tentative="1">
      <w:start w:val="1"/>
      <w:numFmt w:val="bullet"/>
      <w:lvlText w:val="o"/>
      <w:lvlJc w:val="left"/>
      <w:pPr>
        <w:ind w:left="2007" w:hanging="360"/>
      </w:pPr>
      <w:rPr>
        <w:rFonts w:ascii="Courier New" w:hAnsi="Courier New" w:hint="default"/>
      </w:rPr>
    </w:lvl>
    <w:lvl w:ilvl="2" w:tplc="09541530" w:tentative="1">
      <w:start w:val="1"/>
      <w:numFmt w:val="bullet"/>
      <w:lvlText w:val=""/>
      <w:lvlJc w:val="left"/>
      <w:pPr>
        <w:ind w:left="2727" w:hanging="360"/>
      </w:pPr>
      <w:rPr>
        <w:rFonts w:ascii="Wingdings" w:hAnsi="Wingdings" w:hint="default"/>
      </w:rPr>
    </w:lvl>
    <w:lvl w:ilvl="3" w:tplc="3648F8B2" w:tentative="1">
      <w:start w:val="1"/>
      <w:numFmt w:val="bullet"/>
      <w:lvlText w:val=""/>
      <w:lvlJc w:val="left"/>
      <w:pPr>
        <w:ind w:left="3447" w:hanging="360"/>
      </w:pPr>
      <w:rPr>
        <w:rFonts w:ascii="Symbol" w:hAnsi="Symbol" w:hint="default"/>
      </w:rPr>
    </w:lvl>
    <w:lvl w:ilvl="4" w:tplc="644E99B4" w:tentative="1">
      <w:start w:val="1"/>
      <w:numFmt w:val="bullet"/>
      <w:lvlText w:val="o"/>
      <w:lvlJc w:val="left"/>
      <w:pPr>
        <w:ind w:left="4167" w:hanging="360"/>
      </w:pPr>
      <w:rPr>
        <w:rFonts w:ascii="Courier New" w:hAnsi="Courier New" w:hint="default"/>
      </w:rPr>
    </w:lvl>
    <w:lvl w:ilvl="5" w:tplc="24564D8E" w:tentative="1">
      <w:start w:val="1"/>
      <w:numFmt w:val="bullet"/>
      <w:lvlText w:val=""/>
      <w:lvlJc w:val="left"/>
      <w:pPr>
        <w:ind w:left="4887" w:hanging="360"/>
      </w:pPr>
      <w:rPr>
        <w:rFonts w:ascii="Wingdings" w:hAnsi="Wingdings" w:hint="default"/>
      </w:rPr>
    </w:lvl>
    <w:lvl w:ilvl="6" w:tplc="B06CCB1E" w:tentative="1">
      <w:start w:val="1"/>
      <w:numFmt w:val="bullet"/>
      <w:lvlText w:val=""/>
      <w:lvlJc w:val="left"/>
      <w:pPr>
        <w:ind w:left="5607" w:hanging="360"/>
      </w:pPr>
      <w:rPr>
        <w:rFonts w:ascii="Symbol" w:hAnsi="Symbol" w:hint="default"/>
      </w:rPr>
    </w:lvl>
    <w:lvl w:ilvl="7" w:tplc="BF663392" w:tentative="1">
      <w:start w:val="1"/>
      <w:numFmt w:val="bullet"/>
      <w:lvlText w:val="o"/>
      <w:lvlJc w:val="left"/>
      <w:pPr>
        <w:ind w:left="6327" w:hanging="360"/>
      </w:pPr>
      <w:rPr>
        <w:rFonts w:ascii="Courier New" w:hAnsi="Courier New" w:hint="default"/>
      </w:rPr>
    </w:lvl>
    <w:lvl w:ilvl="8" w:tplc="F0A69F5C" w:tentative="1">
      <w:start w:val="1"/>
      <w:numFmt w:val="bullet"/>
      <w:lvlText w:val=""/>
      <w:lvlJc w:val="left"/>
      <w:pPr>
        <w:ind w:left="7047" w:hanging="360"/>
      </w:pPr>
      <w:rPr>
        <w:rFonts w:ascii="Wingdings" w:hAnsi="Wingdings" w:hint="default"/>
      </w:rPr>
    </w:lvl>
  </w:abstractNum>
  <w:abstractNum w:abstractNumId="43" w15:restartNumberingAfterBreak="0">
    <w:nsid w:val="5FCB3A27"/>
    <w:multiLevelType w:val="hybridMultilevel"/>
    <w:tmpl w:val="8C36A04C"/>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44" w15:restartNumberingAfterBreak="0">
    <w:nsid w:val="63C842D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763110D"/>
    <w:multiLevelType w:val="hybridMultilevel"/>
    <w:tmpl w:val="B2E8F7F2"/>
    <w:lvl w:ilvl="0" w:tplc="08090001">
      <w:start w:val="1"/>
      <w:numFmt w:val="decimal"/>
      <w:pStyle w:val="CodeNotesbody"/>
      <w:lvlText w:val="A%1"/>
      <w:lvlJc w:val="left"/>
      <w:pPr>
        <w:tabs>
          <w:tab w:val="num" w:pos="0"/>
        </w:tabs>
        <w:ind w:left="720" w:hanging="360"/>
      </w:pPr>
      <w:rPr>
        <w:rFonts w:cs="Times New Roman" w:hint="default"/>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46" w15:restartNumberingAfterBreak="0">
    <w:nsid w:val="6B43453A"/>
    <w:multiLevelType w:val="hybridMultilevel"/>
    <w:tmpl w:val="1D0CD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DC71FD"/>
    <w:multiLevelType w:val="hybridMultilevel"/>
    <w:tmpl w:val="93FE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4A5DEB"/>
    <w:multiLevelType w:val="hybridMultilevel"/>
    <w:tmpl w:val="8910A61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9" w15:restartNumberingAfterBreak="0">
    <w:nsid w:val="72591CA9"/>
    <w:multiLevelType w:val="multilevel"/>
    <w:tmpl w:val="B790A32C"/>
    <w:styleLink w:val="PwCListBullets1"/>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
      <w:lvlJc w:val="left"/>
      <w:pPr>
        <w:tabs>
          <w:tab w:val="num" w:pos="794"/>
        </w:tabs>
        <w:ind w:left="794" w:hanging="397"/>
      </w:pPr>
      <w:rPr>
        <w:rFonts w:ascii="Symbol" w:hAnsi="Symbol" w:hint="default"/>
      </w:rPr>
    </w:lvl>
    <w:lvl w:ilvl="2">
      <w:start w:val="1"/>
      <w:numFmt w:val="bullet"/>
      <w:pStyle w:val="ListBullet3"/>
      <w:lvlText w:val=""/>
      <w:lvlJc w:val="left"/>
      <w:pPr>
        <w:tabs>
          <w:tab w:val="num" w:pos="1191"/>
        </w:tabs>
        <w:ind w:left="1191" w:hanging="397"/>
      </w:pPr>
      <w:rPr>
        <w:rFonts w:ascii="Symbol" w:hAnsi="Symbol" w:hint="default"/>
      </w:rPr>
    </w:lvl>
    <w:lvl w:ilvl="3">
      <w:start w:val="1"/>
      <w:numFmt w:val="bullet"/>
      <w:pStyle w:val="ListBullet4"/>
      <w:lvlText w:val=""/>
      <w:lvlJc w:val="left"/>
      <w:pPr>
        <w:tabs>
          <w:tab w:val="num" w:pos="1588"/>
        </w:tabs>
        <w:ind w:left="1588" w:hanging="397"/>
      </w:pPr>
      <w:rPr>
        <w:rFonts w:ascii="Symbol" w:hAnsi="Symbol" w:hint="default"/>
      </w:rPr>
    </w:lvl>
    <w:lvl w:ilvl="4">
      <w:start w:val="1"/>
      <w:numFmt w:val="bullet"/>
      <w:pStyle w:val="ListBullet5"/>
      <w:lvlText w:val=""/>
      <w:lvlJc w:val="left"/>
      <w:pPr>
        <w:tabs>
          <w:tab w:val="num" w:pos="1985"/>
        </w:tabs>
        <w:ind w:left="1985" w:hanging="397"/>
      </w:pPr>
      <w:rPr>
        <w:rFonts w:ascii="Symbol" w:hAnsi="Symbol" w:hint="default"/>
      </w:rPr>
    </w:lvl>
    <w:lvl w:ilvl="5">
      <w:start w:val="1"/>
      <w:numFmt w:val="bullet"/>
      <w:lvlText w:val=""/>
      <w:lvlJc w:val="left"/>
      <w:pPr>
        <w:tabs>
          <w:tab w:val="num" w:pos="2381"/>
        </w:tabs>
        <w:ind w:left="2382" w:hanging="397"/>
      </w:pPr>
      <w:rPr>
        <w:rFonts w:ascii="Symbol" w:hAnsi="Symbol" w:hint="default"/>
      </w:rPr>
    </w:lvl>
    <w:lvl w:ilvl="6">
      <w:start w:val="1"/>
      <w:numFmt w:val="bullet"/>
      <w:lvlText w:val=""/>
      <w:lvlJc w:val="left"/>
      <w:pPr>
        <w:tabs>
          <w:tab w:val="num" w:pos="2778"/>
        </w:tabs>
        <w:ind w:left="2779" w:hanging="397"/>
      </w:pPr>
      <w:rPr>
        <w:rFonts w:ascii="Symbol" w:hAnsi="Symbol" w:hint="default"/>
      </w:rPr>
    </w:lvl>
    <w:lvl w:ilvl="7">
      <w:start w:val="1"/>
      <w:numFmt w:val="bullet"/>
      <w:lvlText w:val=""/>
      <w:lvlJc w:val="left"/>
      <w:pPr>
        <w:tabs>
          <w:tab w:val="num" w:pos="3175"/>
        </w:tabs>
        <w:ind w:left="3176" w:hanging="397"/>
      </w:pPr>
      <w:rPr>
        <w:rFonts w:ascii="Symbol" w:hAnsi="Symbol" w:hint="default"/>
      </w:rPr>
    </w:lvl>
    <w:lvl w:ilvl="8">
      <w:start w:val="1"/>
      <w:numFmt w:val="bullet"/>
      <w:lvlText w:val=""/>
      <w:lvlJc w:val="left"/>
      <w:pPr>
        <w:tabs>
          <w:tab w:val="num" w:pos="3572"/>
        </w:tabs>
        <w:ind w:left="3573" w:hanging="397"/>
      </w:pPr>
      <w:rPr>
        <w:rFonts w:ascii="Symbol" w:hAnsi="Symbol" w:hint="default"/>
      </w:rPr>
    </w:lvl>
  </w:abstractNum>
  <w:abstractNum w:abstractNumId="50" w15:restartNumberingAfterBreak="0">
    <w:nsid w:val="74955A3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7D56CC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92A183E"/>
    <w:multiLevelType w:val="hybridMultilevel"/>
    <w:tmpl w:val="C0E257D6"/>
    <w:name w:val="PwCListBullets1"/>
    <w:lvl w:ilvl="0" w:tplc="506E255A">
      <w:start w:val="31"/>
      <w:numFmt w:val="decimal"/>
      <w:lvlText w:val="%1"/>
      <w:lvlJc w:val="left"/>
      <w:pPr>
        <w:ind w:left="1494" w:hanging="927"/>
      </w:pPr>
      <w:rPr>
        <w:rFonts w:eastAsia="Times New Roman" w:cs="Times New Roman" w:hint="default"/>
        <w:b w:val="0"/>
      </w:rPr>
    </w:lvl>
    <w:lvl w:ilvl="1" w:tplc="49E65F3E" w:tentative="1">
      <w:start w:val="1"/>
      <w:numFmt w:val="bullet"/>
      <w:lvlText w:val="o"/>
      <w:lvlJc w:val="left"/>
      <w:pPr>
        <w:ind w:left="1647" w:hanging="360"/>
      </w:pPr>
      <w:rPr>
        <w:rFonts w:ascii="Courier New" w:hAnsi="Courier New" w:hint="default"/>
      </w:rPr>
    </w:lvl>
    <w:lvl w:ilvl="2" w:tplc="549C570E" w:tentative="1">
      <w:start w:val="1"/>
      <w:numFmt w:val="bullet"/>
      <w:lvlText w:val=""/>
      <w:lvlJc w:val="left"/>
      <w:pPr>
        <w:ind w:left="2367" w:hanging="360"/>
      </w:pPr>
      <w:rPr>
        <w:rFonts w:ascii="Wingdings" w:hAnsi="Wingdings" w:hint="default"/>
      </w:rPr>
    </w:lvl>
    <w:lvl w:ilvl="3" w:tplc="0DCE1D16" w:tentative="1">
      <w:start w:val="1"/>
      <w:numFmt w:val="bullet"/>
      <w:lvlText w:val=""/>
      <w:lvlJc w:val="left"/>
      <w:pPr>
        <w:ind w:left="3087" w:hanging="360"/>
      </w:pPr>
      <w:rPr>
        <w:rFonts w:ascii="Symbol" w:hAnsi="Symbol" w:hint="default"/>
      </w:rPr>
    </w:lvl>
    <w:lvl w:ilvl="4" w:tplc="3C8C5864" w:tentative="1">
      <w:start w:val="1"/>
      <w:numFmt w:val="bullet"/>
      <w:lvlText w:val="o"/>
      <w:lvlJc w:val="left"/>
      <w:pPr>
        <w:ind w:left="3807" w:hanging="360"/>
      </w:pPr>
      <w:rPr>
        <w:rFonts w:ascii="Courier New" w:hAnsi="Courier New" w:hint="default"/>
      </w:rPr>
    </w:lvl>
    <w:lvl w:ilvl="5" w:tplc="47A29ED8" w:tentative="1">
      <w:start w:val="1"/>
      <w:numFmt w:val="bullet"/>
      <w:lvlText w:val=""/>
      <w:lvlJc w:val="left"/>
      <w:pPr>
        <w:ind w:left="4527" w:hanging="360"/>
      </w:pPr>
      <w:rPr>
        <w:rFonts w:ascii="Wingdings" w:hAnsi="Wingdings" w:hint="default"/>
      </w:rPr>
    </w:lvl>
    <w:lvl w:ilvl="6" w:tplc="48426FBE" w:tentative="1">
      <w:start w:val="1"/>
      <w:numFmt w:val="bullet"/>
      <w:lvlText w:val=""/>
      <w:lvlJc w:val="left"/>
      <w:pPr>
        <w:ind w:left="5247" w:hanging="360"/>
      </w:pPr>
      <w:rPr>
        <w:rFonts w:ascii="Symbol" w:hAnsi="Symbol" w:hint="default"/>
      </w:rPr>
    </w:lvl>
    <w:lvl w:ilvl="7" w:tplc="5B5A1B04" w:tentative="1">
      <w:start w:val="1"/>
      <w:numFmt w:val="bullet"/>
      <w:lvlText w:val="o"/>
      <w:lvlJc w:val="left"/>
      <w:pPr>
        <w:ind w:left="5967" w:hanging="360"/>
      </w:pPr>
      <w:rPr>
        <w:rFonts w:ascii="Courier New" w:hAnsi="Courier New" w:hint="default"/>
      </w:rPr>
    </w:lvl>
    <w:lvl w:ilvl="8" w:tplc="CF849C10" w:tentative="1">
      <w:start w:val="1"/>
      <w:numFmt w:val="bullet"/>
      <w:lvlText w:val=""/>
      <w:lvlJc w:val="left"/>
      <w:pPr>
        <w:ind w:left="6687" w:hanging="360"/>
      </w:pPr>
      <w:rPr>
        <w:rFonts w:ascii="Wingdings" w:hAnsi="Wingdings" w:hint="default"/>
      </w:rPr>
    </w:lvl>
  </w:abstractNum>
  <w:abstractNum w:abstractNumId="53" w15:restartNumberingAfterBreak="0">
    <w:nsid w:val="7C784FB4"/>
    <w:multiLevelType w:val="hybridMultilevel"/>
    <w:tmpl w:val="140ECB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9"/>
  </w:num>
  <w:num w:numId="2">
    <w:abstractNumId w:val="3"/>
  </w:num>
  <w:num w:numId="3">
    <w:abstractNumId w:val="1"/>
  </w:num>
  <w:num w:numId="4">
    <w:abstractNumId w:val="45"/>
  </w:num>
  <w:num w:numId="5">
    <w:abstractNumId w:val="30"/>
  </w:num>
  <w:num w:numId="6">
    <w:abstractNumId w:val="50"/>
  </w:num>
  <w:num w:numId="7">
    <w:abstractNumId w:val="10"/>
  </w:num>
  <w:num w:numId="8">
    <w:abstractNumId w:val="26"/>
  </w:num>
  <w:num w:numId="9">
    <w:abstractNumId w:val="15"/>
  </w:num>
  <w:num w:numId="10">
    <w:abstractNumId w:val="44"/>
  </w:num>
  <w:num w:numId="11">
    <w:abstractNumId w:val="35"/>
  </w:num>
  <w:num w:numId="12">
    <w:abstractNumId w:val="51"/>
  </w:num>
  <w:num w:numId="13">
    <w:abstractNumId w:val="14"/>
  </w:num>
  <w:num w:numId="14">
    <w:abstractNumId w:val="53"/>
  </w:num>
  <w:num w:numId="15">
    <w:abstractNumId w:val="40"/>
  </w:num>
  <w:num w:numId="16">
    <w:abstractNumId w:val="11"/>
  </w:num>
  <w:num w:numId="17">
    <w:abstractNumId w:val="22"/>
  </w:num>
  <w:num w:numId="18">
    <w:abstractNumId w:val="0"/>
    <w:lvlOverride w:ilvl="0">
      <w:startOverride w:val="6"/>
      <w:lvl w:ilvl="0">
        <w:start w:val="6"/>
        <w:numFmt w:val="decimal"/>
        <w:pStyle w:val="Quick1"/>
        <w:lvlText w:val="%1."/>
        <w:lvlJc w:val="left"/>
        <w:rPr>
          <w:rFonts w:cs="Times New Roman"/>
        </w:rPr>
      </w:lvl>
    </w:lvlOverride>
  </w:num>
  <w:num w:numId="19">
    <w:abstractNumId w:val="48"/>
  </w:num>
  <w:num w:numId="20">
    <w:abstractNumId w:val="6"/>
  </w:num>
  <w:num w:numId="21">
    <w:abstractNumId w:val="36"/>
  </w:num>
  <w:num w:numId="22">
    <w:abstractNumId w:val="8"/>
  </w:num>
  <w:num w:numId="23">
    <w:abstractNumId w:val="5"/>
  </w:num>
  <w:num w:numId="24">
    <w:abstractNumId w:val="43"/>
  </w:num>
  <w:num w:numId="25">
    <w:abstractNumId w:val="16"/>
  </w:num>
  <w:num w:numId="26">
    <w:abstractNumId w:val="9"/>
  </w:num>
  <w:num w:numId="27">
    <w:abstractNumId w:val="28"/>
  </w:num>
  <w:num w:numId="28">
    <w:abstractNumId w:val="18"/>
  </w:num>
  <w:num w:numId="29">
    <w:abstractNumId w:val="7"/>
  </w:num>
  <w:num w:numId="30">
    <w:abstractNumId w:val="19"/>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47"/>
  </w:num>
  <w:num w:numId="34">
    <w:abstractNumId w:val="13"/>
  </w:num>
  <w:num w:numId="35">
    <w:abstractNumId w:val="24"/>
  </w:num>
  <w:num w:numId="36">
    <w:abstractNumId w:val="12"/>
  </w:num>
  <w:num w:numId="37">
    <w:abstractNumId w:val="46"/>
  </w:num>
  <w:num w:numId="38">
    <w:abstractNumId w:val="39"/>
  </w:num>
  <w:num w:numId="39">
    <w:abstractNumId w:val="2"/>
  </w:num>
  <w:num w:numId="40">
    <w:abstractNumId w:val="27"/>
  </w:num>
  <w:num w:numId="41">
    <w:abstractNumId w:val="41"/>
  </w:num>
  <w:num w:numId="42">
    <w:abstractNumId w:val="37"/>
  </w:num>
  <w:num w:numId="43">
    <w:abstractNumId w:val="34"/>
  </w:num>
  <w:num w:numId="44">
    <w:abstractNumId w:val="31"/>
  </w:num>
  <w:num w:numId="45">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20"/>
  <w:defaultTableStyle w:val="ListTable3-Accent51"/>
  <w:drawingGridHorizontalSpacing w:val="105"/>
  <w:displayHorizontalDrawingGridEvery w:val="2"/>
  <w:characterSpacingControl w:val="doNotCompress"/>
  <w:hdrShapeDefaults>
    <o:shapedefaults v:ext="edit" spidmax="431105">
      <o:colormru v:ext="edit" colors="#aafcf4,#e5fd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E5F"/>
    <w:rsid w:val="00000005"/>
    <w:rsid w:val="00000155"/>
    <w:rsid w:val="000001C3"/>
    <w:rsid w:val="00000290"/>
    <w:rsid w:val="000002CB"/>
    <w:rsid w:val="00000309"/>
    <w:rsid w:val="00000343"/>
    <w:rsid w:val="000004BF"/>
    <w:rsid w:val="000005C6"/>
    <w:rsid w:val="0000065A"/>
    <w:rsid w:val="00000694"/>
    <w:rsid w:val="00000776"/>
    <w:rsid w:val="000008F2"/>
    <w:rsid w:val="000009BC"/>
    <w:rsid w:val="000009D6"/>
    <w:rsid w:val="00000C51"/>
    <w:rsid w:val="00000CB5"/>
    <w:rsid w:val="00001075"/>
    <w:rsid w:val="00001734"/>
    <w:rsid w:val="000017D4"/>
    <w:rsid w:val="000017F8"/>
    <w:rsid w:val="000018EF"/>
    <w:rsid w:val="00001900"/>
    <w:rsid w:val="00001A12"/>
    <w:rsid w:val="00001CBA"/>
    <w:rsid w:val="00001D3C"/>
    <w:rsid w:val="00002600"/>
    <w:rsid w:val="00002707"/>
    <w:rsid w:val="00002727"/>
    <w:rsid w:val="0000282A"/>
    <w:rsid w:val="00002A3C"/>
    <w:rsid w:val="00002A60"/>
    <w:rsid w:val="00002A92"/>
    <w:rsid w:val="00002D9F"/>
    <w:rsid w:val="000032E5"/>
    <w:rsid w:val="000034E0"/>
    <w:rsid w:val="0000362A"/>
    <w:rsid w:val="0000379C"/>
    <w:rsid w:val="000037D3"/>
    <w:rsid w:val="0000391B"/>
    <w:rsid w:val="00004085"/>
    <w:rsid w:val="000044C8"/>
    <w:rsid w:val="000046F1"/>
    <w:rsid w:val="0000471D"/>
    <w:rsid w:val="000047C0"/>
    <w:rsid w:val="000047C4"/>
    <w:rsid w:val="00004872"/>
    <w:rsid w:val="00004A2A"/>
    <w:rsid w:val="00004F29"/>
    <w:rsid w:val="0000516A"/>
    <w:rsid w:val="00005216"/>
    <w:rsid w:val="00005315"/>
    <w:rsid w:val="00005698"/>
    <w:rsid w:val="00005857"/>
    <w:rsid w:val="000059BE"/>
    <w:rsid w:val="00005BFD"/>
    <w:rsid w:val="00006183"/>
    <w:rsid w:val="0000694E"/>
    <w:rsid w:val="00006AB4"/>
    <w:rsid w:val="00006CBC"/>
    <w:rsid w:val="00006E3B"/>
    <w:rsid w:val="00006F2F"/>
    <w:rsid w:val="00007054"/>
    <w:rsid w:val="00007257"/>
    <w:rsid w:val="000077EF"/>
    <w:rsid w:val="0000797C"/>
    <w:rsid w:val="00007D17"/>
    <w:rsid w:val="000100AF"/>
    <w:rsid w:val="00010172"/>
    <w:rsid w:val="000101F7"/>
    <w:rsid w:val="00010416"/>
    <w:rsid w:val="00010757"/>
    <w:rsid w:val="00010776"/>
    <w:rsid w:val="000108B3"/>
    <w:rsid w:val="0001094C"/>
    <w:rsid w:val="00010977"/>
    <w:rsid w:val="000109D3"/>
    <w:rsid w:val="00010BA7"/>
    <w:rsid w:val="00010C7D"/>
    <w:rsid w:val="00010D62"/>
    <w:rsid w:val="00010E22"/>
    <w:rsid w:val="000111A6"/>
    <w:rsid w:val="00011485"/>
    <w:rsid w:val="000114FC"/>
    <w:rsid w:val="00011513"/>
    <w:rsid w:val="00011688"/>
    <w:rsid w:val="000116D8"/>
    <w:rsid w:val="00011B65"/>
    <w:rsid w:val="00011C6A"/>
    <w:rsid w:val="00012371"/>
    <w:rsid w:val="0001262D"/>
    <w:rsid w:val="00012A35"/>
    <w:rsid w:val="00012AEA"/>
    <w:rsid w:val="00012D37"/>
    <w:rsid w:val="00012EE7"/>
    <w:rsid w:val="00013176"/>
    <w:rsid w:val="000131CA"/>
    <w:rsid w:val="000134DC"/>
    <w:rsid w:val="00013501"/>
    <w:rsid w:val="000137A4"/>
    <w:rsid w:val="0001391C"/>
    <w:rsid w:val="00013A21"/>
    <w:rsid w:val="00013A67"/>
    <w:rsid w:val="00013B8F"/>
    <w:rsid w:val="00013D69"/>
    <w:rsid w:val="000141CB"/>
    <w:rsid w:val="00014235"/>
    <w:rsid w:val="000143DD"/>
    <w:rsid w:val="000144C0"/>
    <w:rsid w:val="00014566"/>
    <w:rsid w:val="00014582"/>
    <w:rsid w:val="00014738"/>
    <w:rsid w:val="00014886"/>
    <w:rsid w:val="0001489B"/>
    <w:rsid w:val="00014AD3"/>
    <w:rsid w:val="00014B49"/>
    <w:rsid w:val="00014E8C"/>
    <w:rsid w:val="00015224"/>
    <w:rsid w:val="00015427"/>
    <w:rsid w:val="000157C3"/>
    <w:rsid w:val="00015890"/>
    <w:rsid w:val="000158E3"/>
    <w:rsid w:val="00015D8E"/>
    <w:rsid w:val="00015E40"/>
    <w:rsid w:val="00015F7A"/>
    <w:rsid w:val="000160B7"/>
    <w:rsid w:val="000162A6"/>
    <w:rsid w:val="0001686E"/>
    <w:rsid w:val="00016944"/>
    <w:rsid w:val="000169AF"/>
    <w:rsid w:val="00016BFF"/>
    <w:rsid w:val="000173A3"/>
    <w:rsid w:val="0001740F"/>
    <w:rsid w:val="00017646"/>
    <w:rsid w:val="0001781D"/>
    <w:rsid w:val="000178DB"/>
    <w:rsid w:val="00017B94"/>
    <w:rsid w:val="00017CE7"/>
    <w:rsid w:val="00017DE8"/>
    <w:rsid w:val="00017ED1"/>
    <w:rsid w:val="00020D40"/>
    <w:rsid w:val="000211D2"/>
    <w:rsid w:val="000211E6"/>
    <w:rsid w:val="000212CA"/>
    <w:rsid w:val="00021308"/>
    <w:rsid w:val="00021817"/>
    <w:rsid w:val="00021899"/>
    <w:rsid w:val="00021B5D"/>
    <w:rsid w:val="00021BBE"/>
    <w:rsid w:val="00021EE6"/>
    <w:rsid w:val="0002208F"/>
    <w:rsid w:val="000222E6"/>
    <w:rsid w:val="00022570"/>
    <w:rsid w:val="00022620"/>
    <w:rsid w:val="000226A2"/>
    <w:rsid w:val="00022717"/>
    <w:rsid w:val="00022782"/>
    <w:rsid w:val="00022C28"/>
    <w:rsid w:val="00022C64"/>
    <w:rsid w:val="00022D40"/>
    <w:rsid w:val="00023016"/>
    <w:rsid w:val="0002389A"/>
    <w:rsid w:val="000238D2"/>
    <w:rsid w:val="0002395C"/>
    <w:rsid w:val="00023977"/>
    <w:rsid w:val="000239E3"/>
    <w:rsid w:val="00023BA1"/>
    <w:rsid w:val="00023E05"/>
    <w:rsid w:val="0002406C"/>
    <w:rsid w:val="0002409E"/>
    <w:rsid w:val="000240AB"/>
    <w:rsid w:val="00024112"/>
    <w:rsid w:val="00024180"/>
    <w:rsid w:val="000241A1"/>
    <w:rsid w:val="00024338"/>
    <w:rsid w:val="000244B5"/>
    <w:rsid w:val="0002462B"/>
    <w:rsid w:val="00024726"/>
    <w:rsid w:val="00024C1C"/>
    <w:rsid w:val="00024C29"/>
    <w:rsid w:val="00024C58"/>
    <w:rsid w:val="000252E0"/>
    <w:rsid w:val="00025358"/>
    <w:rsid w:val="00025620"/>
    <w:rsid w:val="00025AE9"/>
    <w:rsid w:val="00025CAA"/>
    <w:rsid w:val="00025F9F"/>
    <w:rsid w:val="000260E3"/>
    <w:rsid w:val="00026332"/>
    <w:rsid w:val="000264E3"/>
    <w:rsid w:val="00026670"/>
    <w:rsid w:val="00026AA6"/>
    <w:rsid w:val="00026B55"/>
    <w:rsid w:val="00026CC4"/>
    <w:rsid w:val="00026CCC"/>
    <w:rsid w:val="0002714B"/>
    <w:rsid w:val="0002715A"/>
    <w:rsid w:val="0002752D"/>
    <w:rsid w:val="000278F0"/>
    <w:rsid w:val="00027C00"/>
    <w:rsid w:val="00027C24"/>
    <w:rsid w:val="00027CD6"/>
    <w:rsid w:val="00027CF0"/>
    <w:rsid w:val="000302EA"/>
    <w:rsid w:val="0003047F"/>
    <w:rsid w:val="00030496"/>
    <w:rsid w:val="00030521"/>
    <w:rsid w:val="00030663"/>
    <w:rsid w:val="0003098C"/>
    <w:rsid w:val="00030A17"/>
    <w:rsid w:val="00030B02"/>
    <w:rsid w:val="00030B6E"/>
    <w:rsid w:val="00030DA0"/>
    <w:rsid w:val="00030E1B"/>
    <w:rsid w:val="00030F03"/>
    <w:rsid w:val="00030F0C"/>
    <w:rsid w:val="00030F0E"/>
    <w:rsid w:val="00031772"/>
    <w:rsid w:val="000317C1"/>
    <w:rsid w:val="00031AF6"/>
    <w:rsid w:val="00031B0B"/>
    <w:rsid w:val="00031B7C"/>
    <w:rsid w:val="00031BED"/>
    <w:rsid w:val="00031C86"/>
    <w:rsid w:val="00031E0D"/>
    <w:rsid w:val="00031E1A"/>
    <w:rsid w:val="00031F1D"/>
    <w:rsid w:val="00031F59"/>
    <w:rsid w:val="00031FD9"/>
    <w:rsid w:val="000320FA"/>
    <w:rsid w:val="00032333"/>
    <w:rsid w:val="0003237E"/>
    <w:rsid w:val="000325D6"/>
    <w:rsid w:val="0003275F"/>
    <w:rsid w:val="00032907"/>
    <w:rsid w:val="0003293C"/>
    <w:rsid w:val="00032A21"/>
    <w:rsid w:val="00032AE2"/>
    <w:rsid w:val="00032AE8"/>
    <w:rsid w:val="00032C06"/>
    <w:rsid w:val="00032E01"/>
    <w:rsid w:val="00032E85"/>
    <w:rsid w:val="000333C8"/>
    <w:rsid w:val="0003345C"/>
    <w:rsid w:val="000335F8"/>
    <w:rsid w:val="000336CC"/>
    <w:rsid w:val="000337E8"/>
    <w:rsid w:val="0003393C"/>
    <w:rsid w:val="00033952"/>
    <w:rsid w:val="00033B8B"/>
    <w:rsid w:val="00033E41"/>
    <w:rsid w:val="00033EB7"/>
    <w:rsid w:val="00033ECF"/>
    <w:rsid w:val="00033F81"/>
    <w:rsid w:val="0003406B"/>
    <w:rsid w:val="0003420D"/>
    <w:rsid w:val="000344D4"/>
    <w:rsid w:val="000347B6"/>
    <w:rsid w:val="0003486A"/>
    <w:rsid w:val="000348A2"/>
    <w:rsid w:val="00034A2A"/>
    <w:rsid w:val="00034C82"/>
    <w:rsid w:val="00034E09"/>
    <w:rsid w:val="00034FF5"/>
    <w:rsid w:val="00035141"/>
    <w:rsid w:val="00035523"/>
    <w:rsid w:val="00035825"/>
    <w:rsid w:val="000358A8"/>
    <w:rsid w:val="000358A9"/>
    <w:rsid w:val="00035ECB"/>
    <w:rsid w:val="00035F36"/>
    <w:rsid w:val="000360AE"/>
    <w:rsid w:val="0003630F"/>
    <w:rsid w:val="00036479"/>
    <w:rsid w:val="00036AA4"/>
    <w:rsid w:val="00036AF8"/>
    <w:rsid w:val="00036C6F"/>
    <w:rsid w:val="00036D1A"/>
    <w:rsid w:val="00036F8E"/>
    <w:rsid w:val="00036FEA"/>
    <w:rsid w:val="0003712C"/>
    <w:rsid w:val="00037221"/>
    <w:rsid w:val="00037275"/>
    <w:rsid w:val="0003728B"/>
    <w:rsid w:val="000372B8"/>
    <w:rsid w:val="0003744C"/>
    <w:rsid w:val="000374A7"/>
    <w:rsid w:val="00037858"/>
    <w:rsid w:val="00037C75"/>
    <w:rsid w:val="00037F30"/>
    <w:rsid w:val="000401DE"/>
    <w:rsid w:val="000401FA"/>
    <w:rsid w:val="0004040C"/>
    <w:rsid w:val="0004065D"/>
    <w:rsid w:val="000406FE"/>
    <w:rsid w:val="000409B4"/>
    <w:rsid w:val="00040BF8"/>
    <w:rsid w:val="00040F25"/>
    <w:rsid w:val="0004115E"/>
    <w:rsid w:val="00041791"/>
    <w:rsid w:val="00041DE9"/>
    <w:rsid w:val="0004214D"/>
    <w:rsid w:val="0004267F"/>
    <w:rsid w:val="00042770"/>
    <w:rsid w:val="00042867"/>
    <w:rsid w:val="000428A0"/>
    <w:rsid w:val="000429CB"/>
    <w:rsid w:val="00042DB1"/>
    <w:rsid w:val="00043296"/>
    <w:rsid w:val="00043313"/>
    <w:rsid w:val="0004346B"/>
    <w:rsid w:val="000437A9"/>
    <w:rsid w:val="00043B23"/>
    <w:rsid w:val="00043C31"/>
    <w:rsid w:val="0004410B"/>
    <w:rsid w:val="000441D0"/>
    <w:rsid w:val="00044928"/>
    <w:rsid w:val="000449A7"/>
    <w:rsid w:val="000449FF"/>
    <w:rsid w:val="00044AA0"/>
    <w:rsid w:val="00044B87"/>
    <w:rsid w:val="00044B8F"/>
    <w:rsid w:val="00044FC2"/>
    <w:rsid w:val="0004504F"/>
    <w:rsid w:val="000450A5"/>
    <w:rsid w:val="000450E1"/>
    <w:rsid w:val="00045151"/>
    <w:rsid w:val="0004535C"/>
    <w:rsid w:val="00045842"/>
    <w:rsid w:val="0004596F"/>
    <w:rsid w:val="00045992"/>
    <w:rsid w:val="000459E2"/>
    <w:rsid w:val="00045AD9"/>
    <w:rsid w:val="00045B6D"/>
    <w:rsid w:val="00045BE4"/>
    <w:rsid w:val="00045C43"/>
    <w:rsid w:val="00045F6A"/>
    <w:rsid w:val="0004602D"/>
    <w:rsid w:val="00046265"/>
    <w:rsid w:val="000464F8"/>
    <w:rsid w:val="000465B3"/>
    <w:rsid w:val="000468FD"/>
    <w:rsid w:val="0004697B"/>
    <w:rsid w:val="00046C9A"/>
    <w:rsid w:val="00046E51"/>
    <w:rsid w:val="00046F71"/>
    <w:rsid w:val="0004739D"/>
    <w:rsid w:val="0004751B"/>
    <w:rsid w:val="000476F6"/>
    <w:rsid w:val="00047A01"/>
    <w:rsid w:val="00047FFB"/>
    <w:rsid w:val="000502B8"/>
    <w:rsid w:val="0005031A"/>
    <w:rsid w:val="00050419"/>
    <w:rsid w:val="00050704"/>
    <w:rsid w:val="00050865"/>
    <w:rsid w:val="00050A79"/>
    <w:rsid w:val="00050C7A"/>
    <w:rsid w:val="00050D41"/>
    <w:rsid w:val="00050F54"/>
    <w:rsid w:val="00050F8D"/>
    <w:rsid w:val="000511FD"/>
    <w:rsid w:val="00051379"/>
    <w:rsid w:val="000516B0"/>
    <w:rsid w:val="00051948"/>
    <w:rsid w:val="00051A2B"/>
    <w:rsid w:val="00051A43"/>
    <w:rsid w:val="00051AAE"/>
    <w:rsid w:val="00051D68"/>
    <w:rsid w:val="00051F46"/>
    <w:rsid w:val="00052200"/>
    <w:rsid w:val="000525F3"/>
    <w:rsid w:val="000529F7"/>
    <w:rsid w:val="00052A30"/>
    <w:rsid w:val="00052E68"/>
    <w:rsid w:val="00053501"/>
    <w:rsid w:val="00053680"/>
    <w:rsid w:val="00053BE6"/>
    <w:rsid w:val="00053C59"/>
    <w:rsid w:val="00053CD2"/>
    <w:rsid w:val="00053D1C"/>
    <w:rsid w:val="00053E4C"/>
    <w:rsid w:val="00053EFE"/>
    <w:rsid w:val="0005407E"/>
    <w:rsid w:val="000543CF"/>
    <w:rsid w:val="000543D6"/>
    <w:rsid w:val="00054606"/>
    <w:rsid w:val="000546A3"/>
    <w:rsid w:val="000546E2"/>
    <w:rsid w:val="00054797"/>
    <w:rsid w:val="00054A06"/>
    <w:rsid w:val="00054A88"/>
    <w:rsid w:val="00054BE1"/>
    <w:rsid w:val="00054D6B"/>
    <w:rsid w:val="00054DBA"/>
    <w:rsid w:val="00054FCB"/>
    <w:rsid w:val="0005516B"/>
    <w:rsid w:val="00055353"/>
    <w:rsid w:val="000553FD"/>
    <w:rsid w:val="0005580C"/>
    <w:rsid w:val="00055A0D"/>
    <w:rsid w:val="00055A21"/>
    <w:rsid w:val="00055D2A"/>
    <w:rsid w:val="00055EAF"/>
    <w:rsid w:val="00055FB7"/>
    <w:rsid w:val="000561AD"/>
    <w:rsid w:val="00056421"/>
    <w:rsid w:val="00056464"/>
    <w:rsid w:val="00056545"/>
    <w:rsid w:val="0005691F"/>
    <w:rsid w:val="00056B89"/>
    <w:rsid w:val="00056E5F"/>
    <w:rsid w:val="00056F50"/>
    <w:rsid w:val="0005716D"/>
    <w:rsid w:val="000573C1"/>
    <w:rsid w:val="0005762A"/>
    <w:rsid w:val="00057655"/>
    <w:rsid w:val="000577AA"/>
    <w:rsid w:val="000578F4"/>
    <w:rsid w:val="0005794A"/>
    <w:rsid w:val="000579A8"/>
    <w:rsid w:val="000579C2"/>
    <w:rsid w:val="00057C32"/>
    <w:rsid w:val="00060424"/>
    <w:rsid w:val="000605A4"/>
    <w:rsid w:val="00060894"/>
    <w:rsid w:val="0006093B"/>
    <w:rsid w:val="00060A7C"/>
    <w:rsid w:val="00060B84"/>
    <w:rsid w:val="00060C07"/>
    <w:rsid w:val="00060CA5"/>
    <w:rsid w:val="00060E9E"/>
    <w:rsid w:val="00061055"/>
    <w:rsid w:val="00061169"/>
    <w:rsid w:val="000612F3"/>
    <w:rsid w:val="0006143E"/>
    <w:rsid w:val="0006149B"/>
    <w:rsid w:val="00061621"/>
    <w:rsid w:val="00061756"/>
    <w:rsid w:val="000618FC"/>
    <w:rsid w:val="00061917"/>
    <w:rsid w:val="000619C0"/>
    <w:rsid w:val="00061AEB"/>
    <w:rsid w:val="00061CCD"/>
    <w:rsid w:val="00061D71"/>
    <w:rsid w:val="00061F77"/>
    <w:rsid w:val="00062206"/>
    <w:rsid w:val="0006233C"/>
    <w:rsid w:val="00062465"/>
    <w:rsid w:val="000626EC"/>
    <w:rsid w:val="00062726"/>
    <w:rsid w:val="00062798"/>
    <w:rsid w:val="00062974"/>
    <w:rsid w:val="00062A61"/>
    <w:rsid w:val="00062ABB"/>
    <w:rsid w:val="00062C20"/>
    <w:rsid w:val="00062C56"/>
    <w:rsid w:val="00062D50"/>
    <w:rsid w:val="00062E02"/>
    <w:rsid w:val="00062E6D"/>
    <w:rsid w:val="000632B1"/>
    <w:rsid w:val="000632D2"/>
    <w:rsid w:val="0006360B"/>
    <w:rsid w:val="000636A6"/>
    <w:rsid w:val="00063B04"/>
    <w:rsid w:val="00063B11"/>
    <w:rsid w:val="00063ED9"/>
    <w:rsid w:val="00064145"/>
    <w:rsid w:val="000642C4"/>
    <w:rsid w:val="00064388"/>
    <w:rsid w:val="000643A8"/>
    <w:rsid w:val="000644BA"/>
    <w:rsid w:val="00064579"/>
    <w:rsid w:val="00064CF1"/>
    <w:rsid w:val="00064D8E"/>
    <w:rsid w:val="00064E09"/>
    <w:rsid w:val="00064F9A"/>
    <w:rsid w:val="000654B5"/>
    <w:rsid w:val="000655F7"/>
    <w:rsid w:val="0006563F"/>
    <w:rsid w:val="00065B40"/>
    <w:rsid w:val="00065C6D"/>
    <w:rsid w:val="00065C6F"/>
    <w:rsid w:val="00065EBA"/>
    <w:rsid w:val="00065EDD"/>
    <w:rsid w:val="000663A2"/>
    <w:rsid w:val="000664DA"/>
    <w:rsid w:val="00066B3C"/>
    <w:rsid w:val="00066C0C"/>
    <w:rsid w:val="00066F17"/>
    <w:rsid w:val="00067097"/>
    <w:rsid w:val="000671A9"/>
    <w:rsid w:val="00067466"/>
    <w:rsid w:val="000676E3"/>
    <w:rsid w:val="000677A6"/>
    <w:rsid w:val="00067B41"/>
    <w:rsid w:val="00067B75"/>
    <w:rsid w:val="00067BBD"/>
    <w:rsid w:val="00067D66"/>
    <w:rsid w:val="00067DB2"/>
    <w:rsid w:val="00067E3D"/>
    <w:rsid w:val="00067EED"/>
    <w:rsid w:val="00070260"/>
    <w:rsid w:val="00070712"/>
    <w:rsid w:val="000708CE"/>
    <w:rsid w:val="0007091A"/>
    <w:rsid w:val="00070D19"/>
    <w:rsid w:val="00070FA5"/>
    <w:rsid w:val="00071133"/>
    <w:rsid w:val="0007125F"/>
    <w:rsid w:val="00071537"/>
    <w:rsid w:val="00071958"/>
    <w:rsid w:val="00071D33"/>
    <w:rsid w:val="00071D39"/>
    <w:rsid w:val="00071E02"/>
    <w:rsid w:val="00071EBE"/>
    <w:rsid w:val="00071EFF"/>
    <w:rsid w:val="00072096"/>
    <w:rsid w:val="00072177"/>
    <w:rsid w:val="0007217C"/>
    <w:rsid w:val="00072188"/>
    <w:rsid w:val="00072242"/>
    <w:rsid w:val="0007249D"/>
    <w:rsid w:val="0007286E"/>
    <w:rsid w:val="00072994"/>
    <w:rsid w:val="0007312E"/>
    <w:rsid w:val="00073205"/>
    <w:rsid w:val="0007332E"/>
    <w:rsid w:val="000733AB"/>
    <w:rsid w:val="0007351E"/>
    <w:rsid w:val="00073575"/>
    <w:rsid w:val="00073929"/>
    <w:rsid w:val="000739BD"/>
    <w:rsid w:val="00073B41"/>
    <w:rsid w:val="00073BF7"/>
    <w:rsid w:val="00073C5A"/>
    <w:rsid w:val="00073F2C"/>
    <w:rsid w:val="000744B3"/>
    <w:rsid w:val="000744FA"/>
    <w:rsid w:val="000749DC"/>
    <w:rsid w:val="00074AE6"/>
    <w:rsid w:val="00074B52"/>
    <w:rsid w:val="00074DE0"/>
    <w:rsid w:val="00075A55"/>
    <w:rsid w:val="00075C8E"/>
    <w:rsid w:val="00076099"/>
    <w:rsid w:val="0007648A"/>
    <w:rsid w:val="000764A5"/>
    <w:rsid w:val="000766DE"/>
    <w:rsid w:val="00076A82"/>
    <w:rsid w:val="00076DB3"/>
    <w:rsid w:val="00076DC5"/>
    <w:rsid w:val="0007724F"/>
    <w:rsid w:val="000775D5"/>
    <w:rsid w:val="00077612"/>
    <w:rsid w:val="00077881"/>
    <w:rsid w:val="00077939"/>
    <w:rsid w:val="00077968"/>
    <w:rsid w:val="00077B73"/>
    <w:rsid w:val="00077CC3"/>
    <w:rsid w:val="00080130"/>
    <w:rsid w:val="00080234"/>
    <w:rsid w:val="000802F0"/>
    <w:rsid w:val="00080644"/>
    <w:rsid w:val="000806E7"/>
    <w:rsid w:val="00080704"/>
    <w:rsid w:val="00080A53"/>
    <w:rsid w:val="00080AD3"/>
    <w:rsid w:val="00080B57"/>
    <w:rsid w:val="00080E67"/>
    <w:rsid w:val="0008109A"/>
    <w:rsid w:val="00081118"/>
    <w:rsid w:val="00081340"/>
    <w:rsid w:val="0008137E"/>
    <w:rsid w:val="000815B6"/>
    <w:rsid w:val="00081945"/>
    <w:rsid w:val="00081C5C"/>
    <w:rsid w:val="00081D98"/>
    <w:rsid w:val="00081E95"/>
    <w:rsid w:val="0008264D"/>
    <w:rsid w:val="00082A3B"/>
    <w:rsid w:val="00082B10"/>
    <w:rsid w:val="00082CFB"/>
    <w:rsid w:val="00082F68"/>
    <w:rsid w:val="00083084"/>
    <w:rsid w:val="0008349D"/>
    <w:rsid w:val="0008375F"/>
    <w:rsid w:val="00083796"/>
    <w:rsid w:val="000837BC"/>
    <w:rsid w:val="00083806"/>
    <w:rsid w:val="0008401F"/>
    <w:rsid w:val="00084143"/>
    <w:rsid w:val="0008424F"/>
    <w:rsid w:val="00084258"/>
    <w:rsid w:val="00084693"/>
    <w:rsid w:val="000846A2"/>
    <w:rsid w:val="000848C7"/>
    <w:rsid w:val="000849C1"/>
    <w:rsid w:val="00084A23"/>
    <w:rsid w:val="00084AC5"/>
    <w:rsid w:val="00084AE1"/>
    <w:rsid w:val="00084D73"/>
    <w:rsid w:val="00084DA3"/>
    <w:rsid w:val="00085764"/>
    <w:rsid w:val="000857A0"/>
    <w:rsid w:val="00085857"/>
    <w:rsid w:val="00085923"/>
    <w:rsid w:val="00085944"/>
    <w:rsid w:val="000859B7"/>
    <w:rsid w:val="00085C95"/>
    <w:rsid w:val="00085DB2"/>
    <w:rsid w:val="00085F32"/>
    <w:rsid w:val="00086069"/>
    <w:rsid w:val="0008621D"/>
    <w:rsid w:val="00086263"/>
    <w:rsid w:val="0008639B"/>
    <w:rsid w:val="00086D02"/>
    <w:rsid w:val="00086DA4"/>
    <w:rsid w:val="00086E26"/>
    <w:rsid w:val="00086F4E"/>
    <w:rsid w:val="00087128"/>
    <w:rsid w:val="000876BB"/>
    <w:rsid w:val="0008781D"/>
    <w:rsid w:val="00087BBA"/>
    <w:rsid w:val="00087DDC"/>
    <w:rsid w:val="00087EA5"/>
    <w:rsid w:val="000900B9"/>
    <w:rsid w:val="0009010A"/>
    <w:rsid w:val="000903CF"/>
    <w:rsid w:val="0009058B"/>
    <w:rsid w:val="000905F0"/>
    <w:rsid w:val="00090753"/>
    <w:rsid w:val="000907B8"/>
    <w:rsid w:val="00090A9A"/>
    <w:rsid w:val="00090BD6"/>
    <w:rsid w:val="00090E93"/>
    <w:rsid w:val="00090EEF"/>
    <w:rsid w:val="00090F98"/>
    <w:rsid w:val="0009107A"/>
    <w:rsid w:val="00091369"/>
    <w:rsid w:val="00091445"/>
    <w:rsid w:val="00091AA7"/>
    <w:rsid w:val="00091C37"/>
    <w:rsid w:val="00091C50"/>
    <w:rsid w:val="0009224B"/>
    <w:rsid w:val="000923DB"/>
    <w:rsid w:val="0009240A"/>
    <w:rsid w:val="000925FF"/>
    <w:rsid w:val="000926D3"/>
    <w:rsid w:val="000929DE"/>
    <w:rsid w:val="00092ACB"/>
    <w:rsid w:val="00092CD8"/>
    <w:rsid w:val="00092D37"/>
    <w:rsid w:val="00092DF5"/>
    <w:rsid w:val="00092EB3"/>
    <w:rsid w:val="0009307D"/>
    <w:rsid w:val="00093118"/>
    <w:rsid w:val="00093321"/>
    <w:rsid w:val="000933F2"/>
    <w:rsid w:val="00093DAA"/>
    <w:rsid w:val="00094149"/>
    <w:rsid w:val="0009424F"/>
    <w:rsid w:val="000942C6"/>
    <w:rsid w:val="000945F0"/>
    <w:rsid w:val="00094869"/>
    <w:rsid w:val="00094AE7"/>
    <w:rsid w:val="00094B24"/>
    <w:rsid w:val="00094E15"/>
    <w:rsid w:val="00094E7C"/>
    <w:rsid w:val="00095225"/>
    <w:rsid w:val="00095303"/>
    <w:rsid w:val="0009546C"/>
    <w:rsid w:val="000959C7"/>
    <w:rsid w:val="00095B78"/>
    <w:rsid w:val="00095D28"/>
    <w:rsid w:val="00095DCB"/>
    <w:rsid w:val="00095EB6"/>
    <w:rsid w:val="00095FCE"/>
    <w:rsid w:val="0009602F"/>
    <w:rsid w:val="00096263"/>
    <w:rsid w:val="00096663"/>
    <w:rsid w:val="000966C2"/>
    <w:rsid w:val="000967FF"/>
    <w:rsid w:val="00096811"/>
    <w:rsid w:val="00096995"/>
    <w:rsid w:val="000969F3"/>
    <w:rsid w:val="00096D11"/>
    <w:rsid w:val="00096F54"/>
    <w:rsid w:val="0009700D"/>
    <w:rsid w:val="00097512"/>
    <w:rsid w:val="0009752E"/>
    <w:rsid w:val="0009755C"/>
    <w:rsid w:val="00097790"/>
    <w:rsid w:val="00097A4D"/>
    <w:rsid w:val="00097AD1"/>
    <w:rsid w:val="00097D20"/>
    <w:rsid w:val="00097D8E"/>
    <w:rsid w:val="00097F9F"/>
    <w:rsid w:val="000A026A"/>
    <w:rsid w:val="000A05CC"/>
    <w:rsid w:val="000A062C"/>
    <w:rsid w:val="000A0785"/>
    <w:rsid w:val="000A0F0B"/>
    <w:rsid w:val="000A1054"/>
    <w:rsid w:val="000A11BF"/>
    <w:rsid w:val="000A141E"/>
    <w:rsid w:val="000A1422"/>
    <w:rsid w:val="000A151A"/>
    <w:rsid w:val="000A168A"/>
    <w:rsid w:val="000A168E"/>
    <w:rsid w:val="000A18E3"/>
    <w:rsid w:val="000A1A7E"/>
    <w:rsid w:val="000A1B44"/>
    <w:rsid w:val="000A1BAE"/>
    <w:rsid w:val="000A1BDE"/>
    <w:rsid w:val="000A1C95"/>
    <w:rsid w:val="000A1E96"/>
    <w:rsid w:val="000A1E9E"/>
    <w:rsid w:val="000A1F61"/>
    <w:rsid w:val="000A2006"/>
    <w:rsid w:val="000A2491"/>
    <w:rsid w:val="000A2613"/>
    <w:rsid w:val="000A28A8"/>
    <w:rsid w:val="000A2E93"/>
    <w:rsid w:val="000A3322"/>
    <w:rsid w:val="000A3323"/>
    <w:rsid w:val="000A3532"/>
    <w:rsid w:val="000A35CD"/>
    <w:rsid w:val="000A3833"/>
    <w:rsid w:val="000A3852"/>
    <w:rsid w:val="000A3897"/>
    <w:rsid w:val="000A3927"/>
    <w:rsid w:val="000A39F2"/>
    <w:rsid w:val="000A3A43"/>
    <w:rsid w:val="000A3B1E"/>
    <w:rsid w:val="000A3E73"/>
    <w:rsid w:val="000A40C0"/>
    <w:rsid w:val="000A417E"/>
    <w:rsid w:val="000A4238"/>
    <w:rsid w:val="000A4429"/>
    <w:rsid w:val="000A4544"/>
    <w:rsid w:val="000A4800"/>
    <w:rsid w:val="000A4929"/>
    <w:rsid w:val="000A4CC9"/>
    <w:rsid w:val="000A4CF7"/>
    <w:rsid w:val="000A517B"/>
    <w:rsid w:val="000A51FE"/>
    <w:rsid w:val="000A52D4"/>
    <w:rsid w:val="000A53E4"/>
    <w:rsid w:val="000A554D"/>
    <w:rsid w:val="000A56FB"/>
    <w:rsid w:val="000A57FC"/>
    <w:rsid w:val="000A5AA8"/>
    <w:rsid w:val="000A5B40"/>
    <w:rsid w:val="000A5E4A"/>
    <w:rsid w:val="000A5F89"/>
    <w:rsid w:val="000A6080"/>
    <w:rsid w:val="000A6129"/>
    <w:rsid w:val="000A61A7"/>
    <w:rsid w:val="000A6484"/>
    <w:rsid w:val="000A65B8"/>
    <w:rsid w:val="000A661C"/>
    <w:rsid w:val="000A67C5"/>
    <w:rsid w:val="000A681E"/>
    <w:rsid w:val="000A69F3"/>
    <w:rsid w:val="000A6D15"/>
    <w:rsid w:val="000A6D9F"/>
    <w:rsid w:val="000A6E49"/>
    <w:rsid w:val="000A707F"/>
    <w:rsid w:val="000A763F"/>
    <w:rsid w:val="000A7935"/>
    <w:rsid w:val="000A7B9E"/>
    <w:rsid w:val="000A7DE5"/>
    <w:rsid w:val="000A7DFA"/>
    <w:rsid w:val="000A7E7D"/>
    <w:rsid w:val="000B0199"/>
    <w:rsid w:val="000B0256"/>
    <w:rsid w:val="000B04EE"/>
    <w:rsid w:val="000B06B2"/>
    <w:rsid w:val="000B0A5E"/>
    <w:rsid w:val="000B0EF7"/>
    <w:rsid w:val="000B10E7"/>
    <w:rsid w:val="000B113D"/>
    <w:rsid w:val="000B13E5"/>
    <w:rsid w:val="000B1641"/>
    <w:rsid w:val="000B1ABC"/>
    <w:rsid w:val="000B1CA0"/>
    <w:rsid w:val="000B1CBE"/>
    <w:rsid w:val="000B1E44"/>
    <w:rsid w:val="000B21B1"/>
    <w:rsid w:val="000B225B"/>
    <w:rsid w:val="000B24A3"/>
    <w:rsid w:val="000B261E"/>
    <w:rsid w:val="000B2A0C"/>
    <w:rsid w:val="000B2F09"/>
    <w:rsid w:val="000B3213"/>
    <w:rsid w:val="000B324C"/>
    <w:rsid w:val="000B3319"/>
    <w:rsid w:val="000B338E"/>
    <w:rsid w:val="000B3554"/>
    <w:rsid w:val="000B3AEA"/>
    <w:rsid w:val="000B3B73"/>
    <w:rsid w:val="000B3C73"/>
    <w:rsid w:val="000B3F66"/>
    <w:rsid w:val="000B3F67"/>
    <w:rsid w:val="000B4161"/>
    <w:rsid w:val="000B4192"/>
    <w:rsid w:val="000B433C"/>
    <w:rsid w:val="000B4491"/>
    <w:rsid w:val="000B468A"/>
    <w:rsid w:val="000B495A"/>
    <w:rsid w:val="000B502C"/>
    <w:rsid w:val="000B5055"/>
    <w:rsid w:val="000B522C"/>
    <w:rsid w:val="000B5339"/>
    <w:rsid w:val="000B53D5"/>
    <w:rsid w:val="000B543A"/>
    <w:rsid w:val="000B5876"/>
    <w:rsid w:val="000B591A"/>
    <w:rsid w:val="000B5947"/>
    <w:rsid w:val="000B598B"/>
    <w:rsid w:val="000B59BA"/>
    <w:rsid w:val="000B5B9A"/>
    <w:rsid w:val="000B602C"/>
    <w:rsid w:val="000B6141"/>
    <w:rsid w:val="000B6226"/>
    <w:rsid w:val="000B654C"/>
    <w:rsid w:val="000B685D"/>
    <w:rsid w:val="000B6EA2"/>
    <w:rsid w:val="000B70A1"/>
    <w:rsid w:val="000B7158"/>
    <w:rsid w:val="000B71FD"/>
    <w:rsid w:val="000B746D"/>
    <w:rsid w:val="000B7628"/>
    <w:rsid w:val="000B79C6"/>
    <w:rsid w:val="000B7B3A"/>
    <w:rsid w:val="000B7B6E"/>
    <w:rsid w:val="000B7B90"/>
    <w:rsid w:val="000B7DE6"/>
    <w:rsid w:val="000C00A0"/>
    <w:rsid w:val="000C0268"/>
    <w:rsid w:val="000C035C"/>
    <w:rsid w:val="000C0476"/>
    <w:rsid w:val="000C04CE"/>
    <w:rsid w:val="000C0522"/>
    <w:rsid w:val="000C07A8"/>
    <w:rsid w:val="000C07E6"/>
    <w:rsid w:val="000C0ACC"/>
    <w:rsid w:val="000C0B33"/>
    <w:rsid w:val="000C0D63"/>
    <w:rsid w:val="000C0FEB"/>
    <w:rsid w:val="000C1459"/>
    <w:rsid w:val="000C147B"/>
    <w:rsid w:val="000C18A4"/>
    <w:rsid w:val="000C19AA"/>
    <w:rsid w:val="000C1B41"/>
    <w:rsid w:val="000C1C3C"/>
    <w:rsid w:val="000C1F36"/>
    <w:rsid w:val="000C2144"/>
    <w:rsid w:val="000C2218"/>
    <w:rsid w:val="000C2769"/>
    <w:rsid w:val="000C27DD"/>
    <w:rsid w:val="000C27E5"/>
    <w:rsid w:val="000C29BA"/>
    <w:rsid w:val="000C29D1"/>
    <w:rsid w:val="000C2B79"/>
    <w:rsid w:val="000C2DB0"/>
    <w:rsid w:val="000C2F1B"/>
    <w:rsid w:val="000C3210"/>
    <w:rsid w:val="000C32A5"/>
    <w:rsid w:val="000C3576"/>
    <w:rsid w:val="000C3612"/>
    <w:rsid w:val="000C3765"/>
    <w:rsid w:val="000C38F2"/>
    <w:rsid w:val="000C39E3"/>
    <w:rsid w:val="000C4545"/>
    <w:rsid w:val="000C4652"/>
    <w:rsid w:val="000C4662"/>
    <w:rsid w:val="000C47E7"/>
    <w:rsid w:val="000C49D6"/>
    <w:rsid w:val="000C4A12"/>
    <w:rsid w:val="000C4A21"/>
    <w:rsid w:val="000C533E"/>
    <w:rsid w:val="000C5B0E"/>
    <w:rsid w:val="000C5F49"/>
    <w:rsid w:val="000C6111"/>
    <w:rsid w:val="000C63FE"/>
    <w:rsid w:val="000C6569"/>
    <w:rsid w:val="000C657F"/>
    <w:rsid w:val="000C669F"/>
    <w:rsid w:val="000C6ADE"/>
    <w:rsid w:val="000C6C9D"/>
    <w:rsid w:val="000C6FC3"/>
    <w:rsid w:val="000C7221"/>
    <w:rsid w:val="000C7252"/>
    <w:rsid w:val="000C731D"/>
    <w:rsid w:val="000C7411"/>
    <w:rsid w:val="000C74A1"/>
    <w:rsid w:val="000C74E7"/>
    <w:rsid w:val="000C74E8"/>
    <w:rsid w:val="000C78DE"/>
    <w:rsid w:val="000C7930"/>
    <w:rsid w:val="000C79F9"/>
    <w:rsid w:val="000C7B84"/>
    <w:rsid w:val="000C7E96"/>
    <w:rsid w:val="000C7FF0"/>
    <w:rsid w:val="000D00BF"/>
    <w:rsid w:val="000D01A3"/>
    <w:rsid w:val="000D03BD"/>
    <w:rsid w:val="000D04B3"/>
    <w:rsid w:val="000D05F7"/>
    <w:rsid w:val="000D0773"/>
    <w:rsid w:val="000D091A"/>
    <w:rsid w:val="000D0AF0"/>
    <w:rsid w:val="000D0D2A"/>
    <w:rsid w:val="000D11D7"/>
    <w:rsid w:val="000D1208"/>
    <w:rsid w:val="000D1283"/>
    <w:rsid w:val="000D134E"/>
    <w:rsid w:val="000D135C"/>
    <w:rsid w:val="000D1456"/>
    <w:rsid w:val="000D16F2"/>
    <w:rsid w:val="000D1797"/>
    <w:rsid w:val="000D17AA"/>
    <w:rsid w:val="000D17DF"/>
    <w:rsid w:val="000D19DC"/>
    <w:rsid w:val="000D1A64"/>
    <w:rsid w:val="000D1F14"/>
    <w:rsid w:val="000D25DA"/>
    <w:rsid w:val="000D2600"/>
    <w:rsid w:val="000D26F0"/>
    <w:rsid w:val="000D2CCA"/>
    <w:rsid w:val="000D2CDB"/>
    <w:rsid w:val="000D2E06"/>
    <w:rsid w:val="000D34A1"/>
    <w:rsid w:val="000D370C"/>
    <w:rsid w:val="000D37B3"/>
    <w:rsid w:val="000D3AFB"/>
    <w:rsid w:val="000D3D0E"/>
    <w:rsid w:val="000D3E01"/>
    <w:rsid w:val="000D414D"/>
    <w:rsid w:val="000D4188"/>
    <w:rsid w:val="000D437F"/>
    <w:rsid w:val="000D438D"/>
    <w:rsid w:val="000D43C3"/>
    <w:rsid w:val="000D4833"/>
    <w:rsid w:val="000D4912"/>
    <w:rsid w:val="000D4925"/>
    <w:rsid w:val="000D4938"/>
    <w:rsid w:val="000D4F64"/>
    <w:rsid w:val="000D50A2"/>
    <w:rsid w:val="000D5240"/>
    <w:rsid w:val="000D524F"/>
    <w:rsid w:val="000D5359"/>
    <w:rsid w:val="000D5761"/>
    <w:rsid w:val="000D5764"/>
    <w:rsid w:val="000D58DF"/>
    <w:rsid w:val="000D5AED"/>
    <w:rsid w:val="000D5BCD"/>
    <w:rsid w:val="000D5D31"/>
    <w:rsid w:val="000D5D9D"/>
    <w:rsid w:val="000D5FA1"/>
    <w:rsid w:val="000D62A1"/>
    <w:rsid w:val="000D6574"/>
    <w:rsid w:val="000D6717"/>
    <w:rsid w:val="000D6770"/>
    <w:rsid w:val="000D6A2F"/>
    <w:rsid w:val="000D6B69"/>
    <w:rsid w:val="000D6E22"/>
    <w:rsid w:val="000D6F17"/>
    <w:rsid w:val="000D6F99"/>
    <w:rsid w:val="000D7428"/>
    <w:rsid w:val="000D75FB"/>
    <w:rsid w:val="000D78C6"/>
    <w:rsid w:val="000D7998"/>
    <w:rsid w:val="000D7A82"/>
    <w:rsid w:val="000D7A9A"/>
    <w:rsid w:val="000D7DAE"/>
    <w:rsid w:val="000D7EDB"/>
    <w:rsid w:val="000E0122"/>
    <w:rsid w:val="000E03AE"/>
    <w:rsid w:val="000E04E1"/>
    <w:rsid w:val="000E0784"/>
    <w:rsid w:val="000E07F3"/>
    <w:rsid w:val="000E0A33"/>
    <w:rsid w:val="000E0C0C"/>
    <w:rsid w:val="000E0D06"/>
    <w:rsid w:val="000E0D94"/>
    <w:rsid w:val="000E0F13"/>
    <w:rsid w:val="000E0F98"/>
    <w:rsid w:val="000E0FF7"/>
    <w:rsid w:val="000E118D"/>
    <w:rsid w:val="000E1215"/>
    <w:rsid w:val="000E121A"/>
    <w:rsid w:val="000E154C"/>
    <w:rsid w:val="000E1D0F"/>
    <w:rsid w:val="000E1D9E"/>
    <w:rsid w:val="000E2184"/>
    <w:rsid w:val="000E23BF"/>
    <w:rsid w:val="000E25FD"/>
    <w:rsid w:val="000E275B"/>
    <w:rsid w:val="000E2967"/>
    <w:rsid w:val="000E2A4C"/>
    <w:rsid w:val="000E2B9E"/>
    <w:rsid w:val="000E2CB8"/>
    <w:rsid w:val="000E2D9D"/>
    <w:rsid w:val="000E33B4"/>
    <w:rsid w:val="000E3497"/>
    <w:rsid w:val="000E3536"/>
    <w:rsid w:val="000E36EC"/>
    <w:rsid w:val="000E36F3"/>
    <w:rsid w:val="000E3C9C"/>
    <w:rsid w:val="000E4139"/>
    <w:rsid w:val="000E42D6"/>
    <w:rsid w:val="000E4333"/>
    <w:rsid w:val="000E4442"/>
    <w:rsid w:val="000E4524"/>
    <w:rsid w:val="000E4988"/>
    <w:rsid w:val="000E4AD5"/>
    <w:rsid w:val="000E4C53"/>
    <w:rsid w:val="000E4E1E"/>
    <w:rsid w:val="000E4E2B"/>
    <w:rsid w:val="000E50D4"/>
    <w:rsid w:val="000E585A"/>
    <w:rsid w:val="000E5931"/>
    <w:rsid w:val="000E59BB"/>
    <w:rsid w:val="000E59BF"/>
    <w:rsid w:val="000E5B24"/>
    <w:rsid w:val="000E5C64"/>
    <w:rsid w:val="000E5FDC"/>
    <w:rsid w:val="000E610C"/>
    <w:rsid w:val="000E6347"/>
    <w:rsid w:val="000E6BA5"/>
    <w:rsid w:val="000E71D8"/>
    <w:rsid w:val="000E7413"/>
    <w:rsid w:val="000E7739"/>
    <w:rsid w:val="000E7CEF"/>
    <w:rsid w:val="000E7E5F"/>
    <w:rsid w:val="000F04C9"/>
    <w:rsid w:val="000F0731"/>
    <w:rsid w:val="000F0837"/>
    <w:rsid w:val="000F0F1C"/>
    <w:rsid w:val="000F11C4"/>
    <w:rsid w:val="000F16EE"/>
    <w:rsid w:val="000F1784"/>
    <w:rsid w:val="000F1AD7"/>
    <w:rsid w:val="000F1B71"/>
    <w:rsid w:val="000F1C4D"/>
    <w:rsid w:val="000F1D4B"/>
    <w:rsid w:val="000F2057"/>
    <w:rsid w:val="000F208C"/>
    <w:rsid w:val="000F2437"/>
    <w:rsid w:val="000F247E"/>
    <w:rsid w:val="000F25C6"/>
    <w:rsid w:val="000F29B9"/>
    <w:rsid w:val="000F2B04"/>
    <w:rsid w:val="000F2DB3"/>
    <w:rsid w:val="000F2E71"/>
    <w:rsid w:val="000F3032"/>
    <w:rsid w:val="000F3312"/>
    <w:rsid w:val="000F339E"/>
    <w:rsid w:val="000F3673"/>
    <w:rsid w:val="000F37B7"/>
    <w:rsid w:val="000F3D61"/>
    <w:rsid w:val="000F3D77"/>
    <w:rsid w:val="000F3D88"/>
    <w:rsid w:val="000F427F"/>
    <w:rsid w:val="000F4291"/>
    <w:rsid w:val="000F459B"/>
    <w:rsid w:val="000F497F"/>
    <w:rsid w:val="000F4C1C"/>
    <w:rsid w:val="000F4D20"/>
    <w:rsid w:val="000F4EB6"/>
    <w:rsid w:val="000F4F42"/>
    <w:rsid w:val="000F5071"/>
    <w:rsid w:val="000F51E9"/>
    <w:rsid w:val="000F5340"/>
    <w:rsid w:val="000F5358"/>
    <w:rsid w:val="000F54C3"/>
    <w:rsid w:val="000F5524"/>
    <w:rsid w:val="000F56F3"/>
    <w:rsid w:val="000F5858"/>
    <w:rsid w:val="000F5A49"/>
    <w:rsid w:val="000F5B42"/>
    <w:rsid w:val="000F5D62"/>
    <w:rsid w:val="000F5DE9"/>
    <w:rsid w:val="000F5E2E"/>
    <w:rsid w:val="000F6506"/>
    <w:rsid w:val="000F6581"/>
    <w:rsid w:val="000F665D"/>
    <w:rsid w:val="000F68B0"/>
    <w:rsid w:val="000F6945"/>
    <w:rsid w:val="000F6AE4"/>
    <w:rsid w:val="000F6B00"/>
    <w:rsid w:val="000F6B89"/>
    <w:rsid w:val="000F6DAD"/>
    <w:rsid w:val="000F6FC7"/>
    <w:rsid w:val="000F72C1"/>
    <w:rsid w:val="000F72C6"/>
    <w:rsid w:val="000F73A1"/>
    <w:rsid w:val="000F73D9"/>
    <w:rsid w:val="000F7457"/>
    <w:rsid w:val="000F752E"/>
    <w:rsid w:val="000F76B3"/>
    <w:rsid w:val="000F77D3"/>
    <w:rsid w:val="000F7A6D"/>
    <w:rsid w:val="000F7E01"/>
    <w:rsid w:val="000F7ED0"/>
    <w:rsid w:val="000F7F1E"/>
    <w:rsid w:val="0010033C"/>
    <w:rsid w:val="001004EC"/>
    <w:rsid w:val="00100689"/>
    <w:rsid w:val="00100906"/>
    <w:rsid w:val="0010095D"/>
    <w:rsid w:val="00100AB4"/>
    <w:rsid w:val="00100BBC"/>
    <w:rsid w:val="00100BE0"/>
    <w:rsid w:val="00101021"/>
    <w:rsid w:val="0010109F"/>
    <w:rsid w:val="00101191"/>
    <w:rsid w:val="001011DA"/>
    <w:rsid w:val="001012B1"/>
    <w:rsid w:val="00101363"/>
    <w:rsid w:val="00101454"/>
    <w:rsid w:val="00101613"/>
    <w:rsid w:val="00101909"/>
    <w:rsid w:val="00101BAF"/>
    <w:rsid w:val="00101C40"/>
    <w:rsid w:val="00101FAA"/>
    <w:rsid w:val="0010203C"/>
    <w:rsid w:val="00102151"/>
    <w:rsid w:val="001023DF"/>
    <w:rsid w:val="00102459"/>
    <w:rsid w:val="0010266E"/>
    <w:rsid w:val="0010267E"/>
    <w:rsid w:val="00102A01"/>
    <w:rsid w:val="00102A24"/>
    <w:rsid w:val="00102BC9"/>
    <w:rsid w:val="00102D86"/>
    <w:rsid w:val="0010348B"/>
    <w:rsid w:val="00103B5E"/>
    <w:rsid w:val="00103C74"/>
    <w:rsid w:val="00103DA9"/>
    <w:rsid w:val="00103E45"/>
    <w:rsid w:val="00103EEF"/>
    <w:rsid w:val="00104025"/>
    <w:rsid w:val="0010410D"/>
    <w:rsid w:val="0010414C"/>
    <w:rsid w:val="00104257"/>
    <w:rsid w:val="001044C6"/>
    <w:rsid w:val="00104633"/>
    <w:rsid w:val="001049DA"/>
    <w:rsid w:val="00104C44"/>
    <w:rsid w:val="00104CEE"/>
    <w:rsid w:val="001051C8"/>
    <w:rsid w:val="00105233"/>
    <w:rsid w:val="00105412"/>
    <w:rsid w:val="001055B9"/>
    <w:rsid w:val="001056E3"/>
    <w:rsid w:val="0010575A"/>
    <w:rsid w:val="001057C1"/>
    <w:rsid w:val="00105A44"/>
    <w:rsid w:val="00105A81"/>
    <w:rsid w:val="00105BC6"/>
    <w:rsid w:val="00105CAA"/>
    <w:rsid w:val="00105CDC"/>
    <w:rsid w:val="00105DA1"/>
    <w:rsid w:val="00105EAF"/>
    <w:rsid w:val="00106048"/>
    <w:rsid w:val="001060C1"/>
    <w:rsid w:val="001061CE"/>
    <w:rsid w:val="001061E6"/>
    <w:rsid w:val="001062B1"/>
    <w:rsid w:val="0010634A"/>
    <w:rsid w:val="00106776"/>
    <w:rsid w:val="00106BF9"/>
    <w:rsid w:val="0010704F"/>
    <w:rsid w:val="0010723C"/>
    <w:rsid w:val="00107725"/>
    <w:rsid w:val="0010794C"/>
    <w:rsid w:val="00107E62"/>
    <w:rsid w:val="001101A3"/>
    <w:rsid w:val="001102E7"/>
    <w:rsid w:val="0011048C"/>
    <w:rsid w:val="00110A3B"/>
    <w:rsid w:val="00110B45"/>
    <w:rsid w:val="00110BC6"/>
    <w:rsid w:val="00110D88"/>
    <w:rsid w:val="00110E29"/>
    <w:rsid w:val="00110EC3"/>
    <w:rsid w:val="0011103C"/>
    <w:rsid w:val="0011152D"/>
    <w:rsid w:val="001115AE"/>
    <w:rsid w:val="0011167B"/>
    <w:rsid w:val="00111739"/>
    <w:rsid w:val="0011179A"/>
    <w:rsid w:val="00111840"/>
    <w:rsid w:val="00111993"/>
    <w:rsid w:val="00111A19"/>
    <w:rsid w:val="00111C5D"/>
    <w:rsid w:val="00111F86"/>
    <w:rsid w:val="00111FDE"/>
    <w:rsid w:val="00112063"/>
    <w:rsid w:val="001121EA"/>
    <w:rsid w:val="001129B7"/>
    <w:rsid w:val="00112ECA"/>
    <w:rsid w:val="00113179"/>
    <w:rsid w:val="001131FA"/>
    <w:rsid w:val="0011349D"/>
    <w:rsid w:val="0011367A"/>
    <w:rsid w:val="00113779"/>
    <w:rsid w:val="00113927"/>
    <w:rsid w:val="00113965"/>
    <w:rsid w:val="00113DBD"/>
    <w:rsid w:val="0011434B"/>
    <w:rsid w:val="00114431"/>
    <w:rsid w:val="00114475"/>
    <w:rsid w:val="001146DD"/>
    <w:rsid w:val="0011478A"/>
    <w:rsid w:val="001147B5"/>
    <w:rsid w:val="00114B7B"/>
    <w:rsid w:val="00114C69"/>
    <w:rsid w:val="00114E41"/>
    <w:rsid w:val="00114E74"/>
    <w:rsid w:val="00114EA6"/>
    <w:rsid w:val="00114EF3"/>
    <w:rsid w:val="00115753"/>
    <w:rsid w:val="00115848"/>
    <w:rsid w:val="00115AB3"/>
    <w:rsid w:val="00115BAD"/>
    <w:rsid w:val="00115C9F"/>
    <w:rsid w:val="00116835"/>
    <w:rsid w:val="00116A07"/>
    <w:rsid w:val="00116CBF"/>
    <w:rsid w:val="00116F21"/>
    <w:rsid w:val="0011729A"/>
    <w:rsid w:val="001174CA"/>
    <w:rsid w:val="001174E0"/>
    <w:rsid w:val="001174F7"/>
    <w:rsid w:val="00117B4A"/>
    <w:rsid w:val="00117B85"/>
    <w:rsid w:val="00117D04"/>
    <w:rsid w:val="00117F23"/>
    <w:rsid w:val="0012004A"/>
    <w:rsid w:val="00120080"/>
    <w:rsid w:val="00120182"/>
    <w:rsid w:val="001202F3"/>
    <w:rsid w:val="001203AA"/>
    <w:rsid w:val="0012050A"/>
    <w:rsid w:val="0012051B"/>
    <w:rsid w:val="0012067F"/>
    <w:rsid w:val="00120716"/>
    <w:rsid w:val="001208B9"/>
    <w:rsid w:val="001209A5"/>
    <w:rsid w:val="00120BC5"/>
    <w:rsid w:val="00120CAD"/>
    <w:rsid w:val="00120F13"/>
    <w:rsid w:val="001215CA"/>
    <w:rsid w:val="0012161D"/>
    <w:rsid w:val="001218FF"/>
    <w:rsid w:val="0012198E"/>
    <w:rsid w:val="001219FF"/>
    <w:rsid w:val="00121A0E"/>
    <w:rsid w:val="00121D71"/>
    <w:rsid w:val="00122494"/>
    <w:rsid w:val="001225B2"/>
    <w:rsid w:val="0012279C"/>
    <w:rsid w:val="001227F3"/>
    <w:rsid w:val="00122812"/>
    <w:rsid w:val="0012292D"/>
    <w:rsid w:val="001229C4"/>
    <w:rsid w:val="00122B2F"/>
    <w:rsid w:val="00122C00"/>
    <w:rsid w:val="00122C5A"/>
    <w:rsid w:val="00122E20"/>
    <w:rsid w:val="00122E27"/>
    <w:rsid w:val="00122F63"/>
    <w:rsid w:val="00123048"/>
    <w:rsid w:val="001231A6"/>
    <w:rsid w:val="00123297"/>
    <w:rsid w:val="001235EA"/>
    <w:rsid w:val="00123661"/>
    <w:rsid w:val="0012369F"/>
    <w:rsid w:val="001236AD"/>
    <w:rsid w:val="00123D4A"/>
    <w:rsid w:val="00123E3D"/>
    <w:rsid w:val="0012408B"/>
    <w:rsid w:val="00124448"/>
    <w:rsid w:val="0012465C"/>
    <w:rsid w:val="0012472A"/>
    <w:rsid w:val="0012473A"/>
    <w:rsid w:val="0012483E"/>
    <w:rsid w:val="00124A1C"/>
    <w:rsid w:val="00124BB9"/>
    <w:rsid w:val="00124C98"/>
    <w:rsid w:val="00124DCD"/>
    <w:rsid w:val="00124E5F"/>
    <w:rsid w:val="001250D9"/>
    <w:rsid w:val="00125233"/>
    <w:rsid w:val="00125755"/>
    <w:rsid w:val="00125C0F"/>
    <w:rsid w:val="00125D5E"/>
    <w:rsid w:val="00126162"/>
    <w:rsid w:val="001266AA"/>
    <w:rsid w:val="00126836"/>
    <w:rsid w:val="0012688B"/>
    <w:rsid w:val="001269FD"/>
    <w:rsid w:val="00126A3F"/>
    <w:rsid w:val="00126B9D"/>
    <w:rsid w:val="00126BD4"/>
    <w:rsid w:val="00126C5D"/>
    <w:rsid w:val="00126D93"/>
    <w:rsid w:val="00126DE0"/>
    <w:rsid w:val="00127177"/>
    <w:rsid w:val="0012720E"/>
    <w:rsid w:val="00127280"/>
    <w:rsid w:val="0012729B"/>
    <w:rsid w:val="0012732E"/>
    <w:rsid w:val="001274A1"/>
    <w:rsid w:val="00127853"/>
    <w:rsid w:val="00127927"/>
    <w:rsid w:val="00127A17"/>
    <w:rsid w:val="00127A26"/>
    <w:rsid w:val="00127CC0"/>
    <w:rsid w:val="00127FD0"/>
    <w:rsid w:val="001300FC"/>
    <w:rsid w:val="0013033C"/>
    <w:rsid w:val="00130479"/>
    <w:rsid w:val="00130499"/>
    <w:rsid w:val="0013089F"/>
    <w:rsid w:val="001308D6"/>
    <w:rsid w:val="001309A5"/>
    <w:rsid w:val="00130CB3"/>
    <w:rsid w:val="00130D49"/>
    <w:rsid w:val="00130D57"/>
    <w:rsid w:val="001314FB"/>
    <w:rsid w:val="00131A07"/>
    <w:rsid w:val="00131B17"/>
    <w:rsid w:val="00131B3F"/>
    <w:rsid w:val="00131B9B"/>
    <w:rsid w:val="00131CB5"/>
    <w:rsid w:val="00131F67"/>
    <w:rsid w:val="00132382"/>
    <w:rsid w:val="001325A2"/>
    <w:rsid w:val="00132A6E"/>
    <w:rsid w:val="00132B2B"/>
    <w:rsid w:val="00132B61"/>
    <w:rsid w:val="00132FC7"/>
    <w:rsid w:val="00133162"/>
    <w:rsid w:val="00133615"/>
    <w:rsid w:val="001336F0"/>
    <w:rsid w:val="0013377B"/>
    <w:rsid w:val="0013378E"/>
    <w:rsid w:val="001338CD"/>
    <w:rsid w:val="00133AD2"/>
    <w:rsid w:val="00133BD7"/>
    <w:rsid w:val="00133D61"/>
    <w:rsid w:val="00133D99"/>
    <w:rsid w:val="00134440"/>
    <w:rsid w:val="00134480"/>
    <w:rsid w:val="00134738"/>
    <w:rsid w:val="0013476A"/>
    <w:rsid w:val="00134867"/>
    <w:rsid w:val="00134AAE"/>
    <w:rsid w:val="00134E8F"/>
    <w:rsid w:val="00134F1D"/>
    <w:rsid w:val="00135371"/>
    <w:rsid w:val="001358CE"/>
    <w:rsid w:val="001359A4"/>
    <w:rsid w:val="00135A9B"/>
    <w:rsid w:val="00135E98"/>
    <w:rsid w:val="001361A4"/>
    <w:rsid w:val="0013632B"/>
    <w:rsid w:val="00136348"/>
    <w:rsid w:val="001363F1"/>
    <w:rsid w:val="00136430"/>
    <w:rsid w:val="0013658B"/>
    <w:rsid w:val="001365F1"/>
    <w:rsid w:val="0013675C"/>
    <w:rsid w:val="00136B67"/>
    <w:rsid w:val="00136C90"/>
    <w:rsid w:val="00137033"/>
    <w:rsid w:val="001372E5"/>
    <w:rsid w:val="0013743D"/>
    <w:rsid w:val="00137446"/>
    <w:rsid w:val="0013752F"/>
    <w:rsid w:val="001378D1"/>
    <w:rsid w:val="00137A99"/>
    <w:rsid w:val="00137BE7"/>
    <w:rsid w:val="00137D09"/>
    <w:rsid w:val="00137F92"/>
    <w:rsid w:val="0014023E"/>
    <w:rsid w:val="00140537"/>
    <w:rsid w:val="00140775"/>
    <w:rsid w:val="001407E4"/>
    <w:rsid w:val="00140820"/>
    <w:rsid w:val="00140882"/>
    <w:rsid w:val="001409B0"/>
    <w:rsid w:val="00140AFB"/>
    <w:rsid w:val="00140BC9"/>
    <w:rsid w:val="00140EC6"/>
    <w:rsid w:val="001410A9"/>
    <w:rsid w:val="001410BD"/>
    <w:rsid w:val="00141403"/>
    <w:rsid w:val="00141563"/>
    <w:rsid w:val="00141909"/>
    <w:rsid w:val="00141A32"/>
    <w:rsid w:val="00141A3B"/>
    <w:rsid w:val="00141CFC"/>
    <w:rsid w:val="0014218B"/>
    <w:rsid w:val="00142263"/>
    <w:rsid w:val="0014242D"/>
    <w:rsid w:val="00142453"/>
    <w:rsid w:val="0014277E"/>
    <w:rsid w:val="00142975"/>
    <w:rsid w:val="00142983"/>
    <w:rsid w:val="00142A8D"/>
    <w:rsid w:val="00142CCA"/>
    <w:rsid w:val="00142E06"/>
    <w:rsid w:val="00143589"/>
    <w:rsid w:val="00143D7C"/>
    <w:rsid w:val="00143E42"/>
    <w:rsid w:val="00143EC4"/>
    <w:rsid w:val="00144006"/>
    <w:rsid w:val="001443E7"/>
    <w:rsid w:val="00144896"/>
    <w:rsid w:val="00144A01"/>
    <w:rsid w:val="00144D84"/>
    <w:rsid w:val="0014507B"/>
    <w:rsid w:val="0014585E"/>
    <w:rsid w:val="00145A63"/>
    <w:rsid w:val="00145C4E"/>
    <w:rsid w:val="00145D42"/>
    <w:rsid w:val="00145E1C"/>
    <w:rsid w:val="00145EB9"/>
    <w:rsid w:val="00146106"/>
    <w:rsid w:val="0014611E"/>
    <w:rsid w:val="001461E6"/>
    <w:rsid w:val="001465EA"/>
    <w:rsid w:val="00146777"/>
    <w:rsid w:val="0014691C"/>
    <w:rsid w:val="00146B61"/>
    <w:rsid w:val="00146D6A"/>
    <w:rsid w:val="00146DAF"/>
    <w:rsid w:val="00146F1B"/>
    <w:rsid w:val="001470D6"/>
    <w:rsid w:val="00147257"/>
    <w:rsid w:val="001473AE"/>
    <w:rsid w:val="00147873"/>
    <w:rsid w:val="00147AD2"/>
    <w:rsid w:val="00147C4A"/>
    <w:rsid w:val="0015009B"/>
    <w:rsid w:val="001503A4"/>
    <w:rsid w:val="00150567"/>
    <w:rsid w:val="00150693"/>
    <w:rsid w:val="00150724"/>
    <w:rsid w:val="00150BD5"/>
    <w:rsid w:val="00150BF6"/>
    <w:rsid w:val="00150C13"/>
    <w:rsid w:val="00150CC7"/>
    <w:rsid w:val="00150F0E"/>
    <w:rsid w:val="00150F40"/>
    <w:rsid w:val="00150F71"/>
    <w:rsid w:val="001510A8"/>
    <w:rsid w:val="00151301"/>
    <w:rsid w:val="0015131D"/>
    <w:rsid w:val="00151432"/>
    <w:rsid w:val="001514AE"/>
    <w:rsid w:val="001514DE"/>
    <w:rsid w:val="00151843"/>
    <w:rsid w:val="001518F6"/>
    <w:rsid w:val="00151AAF"/>
    <w:rsid w:val="00151AFB"/>
    <w:rsid w:val="001521EF"/>
    <w:rsid w:val="001523F2"/>
    <w:rsid w:val="00152643"/>
    <w:rsid w:val="00152679"/>
    <w:rsid w:val="00152755"/>
    <w:rsid w:val="00152890"/>
    <w:rsid w:val="00152B71"/>
    <w:rsid w:val="00152E0E"/>
    <w:rsid w:val="00152E52"/>
    <w:rsid w:val="00152F6D"/>
    <w:rsid w:val="00153094"/>
    <w:rsid w:val="0015342B"/>
    <w:rsid w:val="001535E7"/>
    <w:rsid w:val="001538A7"/>
    <w:rsid w:val="001538C6"/>
    <w:rsid w:val="00153BEA"/>
    <w:rsid w:val="00153E32"/>
    <w:rsid w:val="00153EB4"/>
    <w:rsid w:val="00153F26"/>
    <w:rsid w:val="00153FF4"/>
    <w:rsid w:val="0015420D"/>
    <w:rsid w:val="0015478E"/>
    <w:rsid w:val="0015484F"/>
    <w:rsid w:val="00154BAB"/>
    <w:rsid w:val="00154C6A"/>
    <w:rsid w:val="00154CE1"/>
    <w:rsid w:val="001552BC"/>
    <w:rsid w:val="001552C6"/>
    <w:rsid w:val="001556E2"/>
    <w:rsid w:val="001558F7"/>
    <w:rsid w:val="00155AB4"/>
    <w:rsid w:val="00155BC0"/>
    <w:rsid w:val="00155BEA"/>
    <w:rsid w:val="00155F71"/>
    <w:rsid w:val="00156213"/>
    <w:rsid w:val="00156277"/>
    <w:rsid w:val="00156304"/>
    <w:rsid w:val="00156428"/>
    <w:rsid w:val="00156526"/>
    <w:rsid w:val="00156609"/>
    <w:rsid w:val="0015669D"/>
    <w:rsid w:val="001566DC"/>
    <w:rsid w:val="001567A1"/>
    <w:rsid w:val="001567E1"/>
    <w:rsid w:val="00156904"/>
    <w:rsid w:val="00156BAB"/>
    <w:rsid w:val="00156DB7"/>
    <w:rsid w:val="00156DE8"/>
    <w:rsid w:val="00156EC3"/>
    <w:rsid w:val="00156FAC"/>
    <w:rsid w:val="001573FE"/>
    <w:rsid w:val="0015748A"/>
    <w:rsid w:val="0015753C"/>
    <w:rsid w:val="0015759E"/>
    <w:rsid w:val="001575C7"/>
    <w:rsid w:val="00157646"/>
    <w:rsid w:val="00157680"/>
    <w:rsid w:val="00157B5F"/>
    <w:rsid w:val="00157BFF"/>
    <w:rsid w:val="00157F0F"/>
    <w:rsid w:val="00157FC8"/>
    <w:rsid w:val="00157FC9"/>
    <w:rsid w:val="00160191"/>
    <w:rsid w:val="001602C0"/>
    <w:rsid w:val="00160354"/>
    <w:rsid w:val="00160802"/>
    <w:rsid w:val="00161446"/>
    <w:rsid w:val="001614A0"/>
    <w:rsid w:val="0016195A"/>
    <w:rsid w:val="001619B4"/>
    <w:rsid w:val="001619D7"/>
    <w:rsid w:val="00161C99"/>
    <w:rsid w:val="00161E71"/>
    <w:rsid w:val="00161ED3"/>
    <w:rsid w:val="00162017"/>
    <w:rsid w:val="0016221E"/>
    <w:rsid w:val="00162301"/>
    <w:rsid w:val="00162B97"/>
    <w:rsid w:val="00162CE6"/>
    <w:rsid w:val="00162D8E"/>
    <w:rsid w:val="00162F28"/>
    <w:rsid w:val="001630DB"/>
    <w:rsid w:val="0016352A"/>
    <w:rsid w:val="0016361A"/>
    <w:rsid w:val="001638BA"/>
    <w:rsid w:val="00163990"/>
    <w:rsid w:val="00163D68"/>
    <w:rsid w:val="00163D88"/>
    <w:rsid w:val="00163DF6"/>
    <w:rsid w:val="001642B1"/>
    <w:rsid w:val="00164534"/>
    <w:rsid w:val="00164827"/>
    <w:rsid w:val="001648E5"/>
    <w:rsid w:val="00164A76"/>
    <w:rsid w:val="00164AC3"/>
    <w:rsid w:val="00164C39"/>
    <w:rsid w:val="00164DE5"/>
    <w:rsid w:val="00165040"/>
    <w:rsid w:val="001650A6"/>
    <w:rsid w:val="001651D4"/>
    <w:rsid w:val="00165464"/>
    <w:rsid w:val="001654A5"/>
    <w:rsid w:val="00165815"/>
    <w:rsid w:val="001659D9"/>
    <w:rsid w:val="00165A98"/>
    <w:rsid w:val="00165D6E"/>
    <w:rsid w:val="00166180"/>
    <w:rsid w:val="00166397"/>
    <w:rsid w:val="00166419"/>
    <w:rsid w:val="001669BB"/>
    <w:rsid w:val="00166B3F"/>
    <w:rsid w:val="00167041"/>
    <w:rsid w:val="001672B5"/>
    <w:rsid w:val="00167366"/>
    <w:rsid w:val="0016779A"/>
    <w:rsid w:val="001678D5"/>
    <w:rsid w:val="0016798B"/>
    <w:rsid w:val="00167997"/>
    <w:rsid w:val="00167D12"/>
    <w:rsid w:val="00167D24"/>
    <w:rsid w:val="00167DC5"/>
    <w:rsid w:val="00167FAA"/>
    <w:rsid w:val="00170036"/>
    <w:rsid w:val="001700A8"/>
    <w:rsid w:val="0017022E"/>
    <w:rsid w:val="001705F4"/>
    <w:rsid w:val="001707C1"/>
    <w:rsid w:val="00170982"/>
    <w:rsid w:val="00170C76"/>
    <w:rsid w:val="00170C9D"/>
    <w:rsid w:val="00170FF5"/>
    <w:rsid w:val="00171161"/>
    <w:rsid w:val="00171427"/>
    <w:rsid w:val="00171AF8"/>
    <w:rsid w:val="00171BEE"/>
    <w:rsid w:val="00171E1B"/>
    <w:rsid w:val="00171F83"/>
    <w:rsid w:val="00172060"/>
    <w:rsid w:val="0017225D"/>
    <w:rsid w:val="00172291"/>
    <w:rsid w:val="0017234D"/>
    <w:rsid w:val="0017268C"/>
    <w:rsid w:val="001728FD"/>
    <w:rsid w:val="00172A7A"/>
    <w:rsid w:val="00172A86"/>
    <w:rsid w:val="00172C29"/>
    <w:rsid w:val="00172E69"/>
    <w:rsid w:val="00172EAE"/>
    <w:rsid w:val="0017375E"/>
    <w:rsid w:val="00173A5C"/>
    <w:rsid w:val="00173B3D"/>
    <w:rsid w:val="00173BAE"/>
    <w:rsid w:val="00173F94"/>
    <w:rsid w:val="0017429E"/>
    <w:rsid w:val="001742A7"/>
    <w:rsid w:val="001743FF"/>
    <w:rsid w:val="001746CA"/>
    <w:rsid w:val="001746D0"/>
    <w:rsid w:val="00174A0F"/>
    <w:rsid w:val="00174C6D"/>
    <w:rsid w:val="00174EEF"/>
    <w:rsid w:val="00174F74"/>
    <w:rsid w:val="001754CE"/>
    <w:rsid w:val="00175A6D"/>
    <w:rsid w:val="00175CFA"/>
    <w:rsid w:val="00176061"/>
    <w:rsid w:val="00176065"/>
    <w:rsid w:val="0017607F"/>
    <w:rsid w:val="001763BE"/>
    <w:rsid w:val="00176A33"/>
    <w:rsid w:val="00176B25"/>
    <w:rsid w:val="00176BA9"/>
    <w:rsid w:val="00176CFC"/>
    <w:rsid w:val="00176D56"/>
    <w:rsid w:val="00176D9D"/>
    <w:rsid w:val="0017707A"/>
    <w:rsid w:val="00177091"/>
    <w:rsid w:val="00177190"/>
    <w:rsid w:val="001773F9"/>
    <w:rsid w:val="00177DC8"/>
    <w:rsid w:val="00177F1D"/>
    <w:rsid w:val="00177FA6"/>
    <w:rsid w:val="001804B7"/>
    <w:rsid w:val="001805F4"/>
    <w:rsid w:val="0018077D"/>
    <w:rsid w:val="00180980"/>
    <w:rsid w:val="00180B1E"/>
    <w:rsid w:val="00180BA9"/>
    <w:rsid w:val="00180BF3"/>
    <w:rsid w:val="00181033"/>
    <w:rsid w:val="00181056"/>
    <w:rsid w:val="001813BC"/>
    <w:rsid w:val="001813EC"/>
    <w:rsid w:val="00181458"/>
    <w:rsid w:val="00181497"/>
    <w:rsid w:val="001817CC"/>
    <w:rsid w:val="00181C0D"/>
    <w:rsid w:val="0018204F"/>
    <w:rsid w:val="00182513"/>
    <w:rsid w:val="00182634"/>
    <w:rsid w:val="001826F1"/>
    <w:rsid w:val="001829EF"/>
    <w:rsid w:val="00182A83"/>
    <w:rsid w:val="00182CAA"/>
    <w:rsid w:val="00182E8D"/>
    <w:rsid w:val="00182ECD"/>
    <w:rsid w:val="00182F11"/>
    <w:rsid w:val="0018307D"/>
    <w:rsid w:val="001832F6"/>
    <w:rsid w:val="00183591"/>
    <w:rsid w:val="00183612"/>
    <w:rsid w:val="0018363E"/>
    <w:rsid w:val="001836C1"/>
    <w:rsid w:val="0018373F"/>
    <w:rsid w:val="0018397F"/>
    <w:rsid w:val="00183A0A"/>
    <w:rsid w:val="00183A51"/>
    <w:rsid w:val="00183D10"/>
    <w:rsid w:val="00183E8A"/>
    <w:rsid w:val="0018417F"/>
    <w:rsid w:val="00184463"/>
    <w:rsid w:val="00184822"/>
    <w:rsid w:val="001849D1"/>
    <w:rsid w:val="00184D56"/>
    <w:rsid w:val="00184FBB"/>
    <w:rsid w:val="00185021"/>
    <w:rsid w:val="0018509A"/>
    <w:rsid w:val="001852D1"/>
    <w:rsid w:val="00185384"/>
    <w:rsid w:val="001853D2"/>
    <w:rsid w:val="001854F8"/>
    <w:rsid w:val="001855DB"/>
    <w:rsid w:val="001858EC"/>
    <w:rsid w:val="00185C4B"/>
    <w:rsid w:val="00185CCB"/>
    <w:rsid w:val="00185EF8"/>
    <w:rsid w:val="001860E2"/>
    <w:rsid w:val="00186111"/>
    <w:rsid w:val="00186135"/>
    <w:rsid w:val="001861CC"/>
    <w:rsid w:val="001862B2"/>
    <w:rsid w:val="001862D5"/>
    <w:rsid w:val="00186380"/>
    <w:rsid w:val="00186432"/>
    <w:rsid w:val="0018648D"/>
    <w:rsid w:val="001864AA"/>
    <w:rsid w:val="001865BC"/>
    <w:rsid w:val="001867A6"/>
    <w:rsid w:val="00186871"/>
    <w:rsid w:val="001869AF"/>
    <w:rsid w:val="00186D82"/>
    <w:rsid w:val="00187236"/>
    <w:rsid w:val="001874CC"/>
    <w:rsid w:val="00187A4E"/>
    <w:rsid w:val="00187E18"/>
    <w:rsid w:val="00190013"/>
    <w:rsid w:val="0019048D"/>
    <w:rsid w:val="0019078B"/>
    <w:rsid w:val="001907A9"/>
    <w:rsid w:val="00190869"/>
    <w:rsid w:val="001909F5"/>
    <w:rsid w:val="00190A73"/>
    <w:rsid w:val="00190B53"/>
    <w:rsid w:val="00190BC5"/>
    <w:rsid w:val="00190C22"/>
    <w:rsid w:val="00190E67"/>
    <w:rsid w:val="00190F8C"/>
    <w:rsid w:val="00191079"/>
    <w:rsid w:val="001910AC"/>
    <w:rsid w:val="0019134B"/>
    <w:rsid w:val="0019139B"/>
    <w:rsid w:val="00191430"/>
    <w:rsid w:val="0019149F"/>
    <w:rsid w:val="00191CA2"/>
    <w:rsid w:val="00191CE5"/>
    <w:rsid w:val="00191FA8"/>
    <w:rsid w:val="00192121"/>
    <w:rsid w:val="001924B5"/>
    <w:rsid w:val="001926D6"/>
    <w:rsid w:val="00192C61"/>
    <w:rsid w:val="00192CAE"/>
    <w:rsid w:val="00192EF8"/>
    <w:rsid w:val="00193054"/>
    <w:rsid w:val="0019306E"/>
    <w:rsid w:val="001936ED"/>
    <w:rsid w:val="00193BB9"/>
    <w:rsid w:val="00193F40"/>
    <w:rsid w:val="001940C0"/>
    <w:rsid w:val="0019443C"/>
    <w:rsid w:val="00194504"/>
    <w:rsid w:val="0019454A"/>
    <w:rsid w:val="00194595"/>
    <w:rsid w:val="001946AE"/>
    <w:rsid w:val="0019485B"/>
    <w:rsid w:val="00194D85"/>
    <w:rsid w:val="00194DBF"/>
    <w:rsid w:val="001950E6"/>
    <w:rsid w:val="0019524A"/>
    <w:rsid w:val="001952DF"/>
    <w:rsid w:val="0019558D"/>
    <w:rsid w:val="00195841"/>
    <w:rsid w:val="00195CB3"/>
    <w:rsid w:val="00195CFC"/>
    <w:rsid w:val="00195D35"/>
    <w:rsid w:val="00195D6A"/>
    <w:rsid w:val="00195E94"/>
    <w:rsid w:val="001960D2"/>
    <w:rsid w:val="00196140"/>
    <w:rsid w:val="00196151"/>
    <w:rsid w:val="001962F2"/>
    <w:rsid w:val="001965B3"/>
    <w:rsid w:val="00196808"/>
    <w:rsid w:val="00196A82"/>
    <w:rsid w:val="00196C32"/>
    <w:rsid w:val="00196D3D"/>
    <w:rsid w:val="00196E32"/>
    <w:rsid w:val="00197135"/>
    <w:rsid w:val="001971B4"/>
    <w:rsid w:val="001972D5"/>
    <w:rsid w:val="0019748F"/>
    <w:rsid w:val="0019776D"/>
    <w:rsid w:val="00197AA4"/>
    <w:rsid w:val="00197AB1"/>
    <w:rsid w:val="001A053A"/>
    <w:rsid w:val="001A06A3"/>
    <w:rsid w:val="001A0AA5"/>
    <w:rsid w:val="001A0F84"/>
    <w:rsid w:val="001A101A"/>
    <w:rsid w:val="001A118E"/>
    <w:rsid w:val="001A1649"/>
    <w:rsid w:val="001A1671"/>
    <w:rsid w:val="001A1AFE"/>
    <w:rsid w:val="001A220B"/>
    <w:rsid w:val="001A2333"/>
    <w:rsid w:val="001A2367"/>
    <w:rsid w:val="001A2407"/>
    <w:rsid w:val="001A24D1"/>
    <w:rsid w:val="001A252D"/>
    <w:rsid w:val="001A2639"/>
    <w:rsid w:val="001A2742"/>
    <w:rsid w:val="001A276C"/>
    <w:rsid w:val="001A27C2"/>
    <w:rsid w:val="001A28A6"/>
    <w:rsid w:val="001A28B2"/>
    <w:rsid w:val="001A2B63"/>
    <w:rsid w:val="001A2EE2"/>
    <w:rsid w:val="001A3265"/>
    <w:rsid w:val="001A3325"/>
    <w:rsid w:val="001A35CA"/>
    <w:rsid w:val="001A35F4"/>
    <w:rsid w:val="001A377E"/>
    <w:rsid w:val="001A3858"/>
    <w:rsid w:val="001A3892"/>
    <w:rsid w:val="001A3C4B"/>
    <w:rsid w:val="001A3CC4"/>
    <w:rsid w:val="001A3D6B"/>
    <w:rsid w:val="001A3F09"/>
    <w:rsid w:val="001A40C7"/>
    <w:rsid w:val="001A4134"/>
    <w:rsid w:val="001A428A"/>
    <w:rsid w:val="001A4477"/>
    <w:rsid w:val="001A46C2"/>
    <w:rsid w:val="001A4D2F"/>
    <w:rsid w:val="001A4F9A"/>
    <w:rsid w:val="001A5020"/>
    <w:rsid w:val="001A507F"/>
    <w:rsid w:val="001A515F"/>
    <w:rsid w:val="001A551D"/>
    <w:rsid w:val="001A5771"/>
    <w:rsid w:val="001A57FA"/>
    <w:rsid w:val="001A597B"/>
    <w:rsid w:val="001A5A83"/>
    <w:rsid w:val="001A5D90"/>
    <w:rsid w:val="001A5E89"/>
    <w:rsid w:val="001A5F76"/>
    <w:rsid w:val="001A61D3"/>
    <w:rsid w:val="001A6263"/>
    <w:rsid w:val="001A64B4"/>
    <w:rsid w:val="001A6563"/>
    <w:rsid w:val="001A69CA"/>
    <w:rsid w:val="001A6ACF"/>
    <w:rsid w:val="001A6ADB"/>
    <w:rsid w:val="001A6B9C"/>
    <w:rsid w:val="001A6EA9"/>
    <w:rsid w:val="001A6EC9"/>
    <w:rsid w:val="001A703F"/>
    <w:rsid w:val="001A714B"/>
    <w:rsid w:val="001A72CB"/>
    <w:rsid w:val="001A74CF"/>
    <w:rsid w:val="001A74E5"/>
    <w:rsid w:val="001A79FA"/>
    <w:rsid w:val="001A7BA8"/>
    <w:rsid w:val="001A7CD5"/>
    <w:rsid w:val="001A7D33"/>
    <w:rsid w:val="001A7F68"/>
    <w:rsid w:val="001B02AC"/>
    <w:rsid w:val="001B0453"/>
    <w:rsid w:val="001B0559"/>
    <w:rsid w:val="001B0837"/>
    <w:rsid w:val="001B0A66"/>
    <w:rsid w:val="001B0BDD"/>
    <w:rsid w:val="001B0C3E"/>
    <w:rsid w:val="001B0FD3"/>
    <w:rsid w:val="001B10E4"/>
    <w:rsid w:val="001B1196"/>
    <w:rsid w:val="001B1296"/>
    <w:rsid w:val="001B168D"/>
    <w:rsid w:val="001B1A6D"/>
    <w:rsid w:val="001B1ECD"/>
    <w:rsid w:val="001B20A2"/>
    <w:rsid w:val="001B231B"/>
    <w:rsid w:val="001B247B"/>
    <w:rsid w:val="001B28A1"/>
    <w:rsid w:val="001B29D0"/>
    <w:rsid w:val="001B2BFF"/>
    <w:rsid w:val="001B3235"/>
    <w:rsid w:val="001B327A"/>
    <w:rsid w:val="001B3391"/>
    <w:rsid w:val="001B3532"/>
    <w:rsid w:val="001B3723"/>
    <w:rsid w:val="001B379D"/>
    <w:rsid w:val="001B3BCE"/>
    <w:rsid w:val="001B3C4F"/>
    <w:rsid w:val="001B3DFA"/>
    <w:rsid w:val="001B404F"/>
    <w:rsid w:val="001B4073"/>
    <w:rsid w:val="001B40D8"/>
    <w:rsid w:val="001B41DD"/>
    <w:rsid w:val="001B439E"/>
    <w:rsid w:val="001B4A62"/>
    <w:rsid w:val="001B4B49"/>
    <w:rsid w:val="001B4E2D"/>
    <w:rsid w:val="001B532E"/>
    <w:rsid w:val="001B55CB"/>
    <w:rsid w:val="001B57D8"/>
    <w:rsid w:val="001B5E09"/>
    <w:rsid w:val="001B5E4C"/>
    <w:rsid w:val="001B616C"/>
    <w:rsid w:val="001B666E"/>
    <w:rsid w:val="001B6784"/>
    <w:rsid w:val="001B6CC0"/>
    <w:rsid w:val="001B7070"/>
    <w:rsid w:val="001B74D7"/>
    <w:rsid w:val="001B7659"/>
    <w:rsid w:val="001B776C"/>
    <w:rsid w:val="001B78C7"/>
    <w:rsid w:val="001B7988"/>
    <w:rsid w:val="001C00A0"/>
    <w:rsid w:val="001C0109"/>
    <w:rsid w:val="001C014B"/>
    <w:rsid w:val="001C0235"/>
    <w:rsid w:val="001C0245"/>
    <w:rsid w:val="001C0529"/>
    <w:rsid w:val="001C053B"/>
    <w:rsid w:val="001C056D"/>
    <w:rsid w:val="001C06CD"/>
    <w:rsid w:val="001C0D18"/>
    <w:rsid w:val="001C0E0D"/>
    <w:rsid w:val="001C0E20"/>
    <w:rsid w:val="001C0E34"/>
    <w:rsid w:val="001C0F0D"/>
    <w:rsid w:val="001C10BE"/>
    <w:rsid w:val="001C1277"/>
    <w:rsid w:val="001C13A9"/>
    <w:rsid w:val="001C13F5"/>
    <w:rsid w:val="001C14AE"/>
    <w:rsid w:val="001C1561"/>
    <w:rsid w:val="001C1728"/>
    <w:rsid w:val="001C1A01"/>
    <w:rsid w:val="001C1A49"/>
    <w:rsid w:val="001C1FC9"/>
    <w:rsid w:val="001C2248"/>
    <w:rsid w:val="001C229D"/>
    <w:rsid w:val="001C22AF"/>
    <w:rsid w:val="001C239E"/>
    <w:rsid w:val="001C23B4"/>
    <w:rsid w:val="001C23FB"/>
    <w:rsid w:val="001C2408"/>
    <w:rsid w:val="001C26B1"/>
    <w:rsid w:val="001C28E9"/>
    <w:rsid w:val="001C2C44"/>
    <w:rsid w:val="001C2FE4"/>
    <w:rsid w:val="001C3049"/>
    <w:rsid w:val="001C315C"/>
    <w:rsid w:val="001C3254"/>
    <w:rsid w:val="001C3295"/>
    <w:rsid w:val="001C330A"/>
    <w:rsid w:val="001C3349"/>
    <w:rsid w:val="001C337D"/>
    <w:rsid w:val="001C3447"/>
    <w:rsid w:val="001C365D"/>
    <w:rsid w:val="001C3823"/>
    <w:rsid w:val="001C3BC2"/>
    <w:rsid w:val="001C3ED1"/>
    <w:rsid w:val="001C41FB"/>
    <w:rsid w:val="001C42EE"/>
    <w:rsid w:val="001C4326"/>
    <w:rsid w:val="001C43CF"/>
    <w:rsid w:val="001C4402"/>
    <w:rsid w:val="001C4745"/>
    <w:rsid w:val="001C47BB"/>
    <w:rsid w:val="001C48C3"/>
    <w:rsid w:val="001C4A6A"/>
    <w:rsid w:val="001C4A8A"/>
    <w:rsid w:val="001C4A8E"/>
    <w:rsid w:val="001C4B70"/>
    <w:rsid w:val="001C4D08"/>
    <w:rsid w:val="001C4E0E"/>
    <w:rsid w:val="001C4F29"/>
    <w:rsid w:val="001C4F92"/>
    <w:rsid w:val="001C5206"/>
    <w:rsid w:val="001C52FD"/>
    <w:rsid w:val="001C541A"/>
    <w:rsid w:val="001C54E7"/>
    <w:rsid w:val="001C5638"/>
    <w:rsid w:val="001C565F"/>
    <w:rsid w:val="001C57AC"/>
    <w:rsid w:val="001C5989"/>
    <w:rsid w:val="001C5B97"/>
    <w:rsid w:val="001C5BB9"/>
    <w:rsid w:val="001C5BCA"/>
    <w:rsid w:val="001C5C28"/>
    <w:rsid w:val="001C5CAA"/>
    <w:rsid w:val="001C5E99"/>
    <w:rsid w:val="001C5EB7"/>
    <w:rsid w:val="001C605B"/>
    <w:rsid w:val="001C60C5"/>
    <w:rsid w:val="001C6507"/>
    <w:rsid w:val="001C664A"/>
    <w:rsid w:val="001C6663"/>
    <w:rsid w:val="001C68B9"/>
    <w:rsid w:val="001C6BD6"/>
    <w:rsid w:val="001C6F84"/>
    <w:rsid w:val="001C7261"/>
    <w:rsid w:val="001C72BD"/>
    <w:rsid w:val="001C73F1"/>
    <w:rsid w:val="001C7472"/>
    <w:rsid w:val="001C7629"/>
    <w:rsid w:val="001C76A9"/>
    <w:rsid w:val="001C7701"/>
    <w:rsid w:val="001C7763"/>
    <w:rsid w:val="001C7989"/>
    <w:rsid w:val="001C7FC5"/>
    <w:rsid w:val="001D037F"/>
    <w:rsid w:val="001D0763"/>
    <w:rsid w:val="001D08BC"/>
    <w:rsid w:val="001D0A8D"/>
    <w:rsid w:val="001D0B09"/>
    <w:rsid w:val="001D0BB6"/>
    <w:rsid w:val="001D0DB6"/>
    <w:rsid w:val="001D112C"/>
    <w:rsid w:val="001D1489"/>
    <w:rsid w:val="001D1491"/>
    <w:rsid w:val="001D1691"/>
    <w:rsid w:val="001D16D1"/>
    <w:rsid w:val="001D1741"/>
    <w:rsid w:val="001D1E72"/>
    <w:rsid w:val="001D1FF6"/>
    <w:rsid w:val="001D2258"/>
    <w:rsid w:val="001D2271"/>
    <w:rsid w:val="001D2358"/>
    <w:rsid w:val="001D239D"/>
    <w:rsid w:val="001D2438"/>
    <w:rsid w:val="001D2647"/>
    <w:rsid w:val="001D2878"/>
    <w:rsid w:val="001D287E"/>
    <w:rsid w:val="001D301D"/>
    <w:rsid w:val="001D3365"/>
    <w:rsid w:val="001D3648"/>
    <w:rsid w:val="001D38E4"/>
    <w:rsid w:val="001D3908"/>
    <w:rsid w:val="001D3AC2"/>
    <w:rsid w:val="001D3F15"/>
    <w:rsid w:val="001D4CAB"/>
    <w:rsid w:val="001D50BB"/>
    <w:rsid w:val="001D5690"/>
    <w:rsid w:val="001D581D"/>
    <w:rsid w:val="001D591F"/>
    <w:rsid w:val="001D59DE"/>
    <w:rsid w:val="001D5AD0"/>
    <w:rsid w:val="001D5CD0"/>
    <w:rsid w:val="001D5D6D"/>
    <w:rsid w:val="001D5F50"/>
    <w:rsid w:val="001D5FB9"/>
    <w:rsid w:val="001D605C"/>
    <w:rsid w:val="001D622D"/>
    <w:rsid w:val="001D629A"/>
    <w:rsid w:val="001D66FB"/>
    <w:rsid w:val="001D6793"/>
    <w:rsid w:val="001D683A"/>
    <w:rsid w:val="001D68B2"/>
    <w:rsid w:val="001D6A1E"/>
    <w:rsid w:val="001D6A4D"/>
    <w:rsid w:val="001D6A90"/>
    <w:rsid w:val="001D6D67"/>
    <w:rsid w:val="001D6F4A"/>
    <w:rsid w:val="001D7024"/>
    <w:rsid w:val="001D7474"/>
    <w:rsid w:val="001D760C"/>
    <w:rsid w:val="001D7ABF"/>
    <w:rsid w:val="001D7BD3"/>
    <w:rsid w:val="001D7DF7"/>
    <w:rsid w:val="001E02FA"/>
    <w:rsid w:val="001E0304"/>
    <w:rsid w:val="001E0385"/>
    <w:rsid w:val="001E067E"/>
    <w:rsid w:val="001E082F"/>
    <w:rsid w:val="001E0CB7"/>
    <w:rsid w:val="001E0E16"/>
    <w:rsid w:val="001E0E6E"/>
    <w:rsid w:val="001E1198"/>
    <w:rsid w:val="001E12AB"/>
    <w:rsid w:val="001E1644"/>
    <w:rsid w:val="001E16F0"/>
    <w:rsid w:val="001E1795"/>
    <w:rsid w:val="001E1E07"/>
    <w:rsid w:val="001E1E95"/>
    <w:rsid w:val="001E1F52"/>
    <w:rsid w:val="001E1FDB"/>
    <w:rsid w:val="001E2188"/>
    <w:rsid w:val="001E2264"/>
    <w:rsid w:val="001E2AFB"/>
    <w:rsid w:val="001E2C46"/>
    <w:rsid w:val="001E2E15"/>
    <w:rsid w:val="001E2EEA"/>
    <w:rsid w:val="001E3ED3"/>
    <w:rsid w:val="001E45B7"/>
    <w:rsid w:val="001E4748"/>
    <w:rsid w:val="001E482C"/>
    <w:rsid w:val="001E4F09"/>
    <w:rsid w:val="001E5059"/>
    <w:rsid w:val="001E5241"/>
    <w:rsid w:val="001E5456"/>
    <w:rsid w:val="001E5552"/>
    <w:rsid w:val="001E57A2"/>
    <w:rsid w:val="001E5812"/>
    <w:rsid w:val="001E581A"/>
    <w:rsid w:val="001E5945"/>
    <w:rsid w:val="001E5C3E"/>
    <w:rsid w:val="001E5D8F"/>
    <w:rsid w:val="001E5F2A"/>
    <w:rsid w:val="001E6032"/>
    <w:rsid w:val="001E609C"/>
    <w:rsid w:val="001E609D"/>
    <w:rsid w:val="001E6113"/>
    <w:rsid w:val="001E635D"/>
    <w:rsid w:val="001E635F"/>
    <w:rsid w:val="001E63A9"/>
    <w:rsid w:val="001E663D"/>
    <w:rsid w:val="001E66C1"/>
    <w:rsid w:val="001E6846"/>
    <w:rsid w:val="001E6914"/>
    <w:rsid w:val="001E6E88"/>
    <w:rsid w:val="001E731C"/>
    <w:rsid w:val="001E740F"/>
    <w:rsid w:val="001E7480"/>
    <w:rsid w:val="001E7488"/>
    <w:rsid w:val="001E7585"/>
    <w:rsid w:val="001E762B"/>
    <w:rsid w:val="001E779A"/>
    <w:rsid w:val="001E784B"/>
    <w:rsid w:val="001E78DB"/>
    <w:rsid w:val="001E7D6A"/>
    <w:rsid w:val="001E7DDD"/>
    <w:rsid w:val="001E7EFC"/>
    <w:rsid w:val="001F050E"/>
    <w:rsid w:val="001F06FB"/>
    <w:rsid w:val="001F07BD"/>
    <w:rsid w:val="001F083E"/>
    <w:rsid w:val="001F0AD0"/>
    <w:rsid w:val="001F0B09"/>
    <w:rsid w:val="001F0C8A"/>
    <w:rsid w:val="001F0D49"/>
    <w:rsid w:val="001F0F1A"/>
    <w:rsid w:val="001F11A2"/>
    <w:rsid w:val="001F1852"/>
    <w:rsid w:val="001F18E5"/>
    <w:rsid w:val="001F1C1A"/>
    <w:rsid w:val="001F1DDA"/>
    <w:rsid w:val="001F2027"/>
    <w:rsid w:val="001F2310"/>
    <w:rsid w:val="001F2591"/>
    <w:rsid w:val="001F2598"/>
    <w:rsid w:val="001F25BA"/>
    <w:rsid w:val="001F26A7"/>
    <w:rsid w:val="001F27B2"/>
    <w:rsid w:val="001F29C5"/>
    <w:rsid w:val="001F2D81"/>
    <w:rsid w:val="001F30F7"/>
    <w:rsid w:val="001F3271"/>
    <w:rsid w:val="001F339D"/>
    <w:rsid w:val="001F34B8"/>
    <w:rsid w:val="001F3502"/>
    <w:rsid w:val="001F3566"/>
    <w:rsid w:val="001F3E2E"/>
    <w:rsid w:val="001F3E65"/>
    <w:rsid w:val="001F3FF6"/>
    <w:rsid w:val="001F40CE"/>
    <w:rsid w:val="001F4249"/>
    <w:rsid w:val="001F4250"/>
    <w:rsid w:val="001F451A"/>
    <w:rsid w:val="001F4DD5"/>
    <w:rsid w:val="001F4F6C"/>
    <w:rsid w:val="001F58D9"/>
    <w:rsid w:val="001F5AC6"/>
    <w:rsid w:val="001F5B2E"/>
    <w:rsid w:val="001F5FFE"/>
    <w:rsid w:val="001F604A"/>
    <w:rsid w:val="001F63AD"/>
    <w:rsid w:val="001F65E9"/>
    <w:rsid w:val="001F67BF"/>
    <w:rsid w:val="001F68FF"/>
    <w:rsid w:val="001F710D"/>
    <w:rsid w:val="001F726E"/>
    <w:rsid w:val="001F7275"/>
    <w:rsid w:val="001F72B7"/>
    <w:rsid w:val="001F7469"/>
    <w:rsid w:val="001F7482"/>
    <w:rsid w:val="001F75F5"/>
    <w:rsid w:val="001F764C"/>
    <w:rsid w:val="001F78DA"/>
    <w:rsid w:val="001F7BFD"/>
    <w:rsid w:val="001F7EC0"/>
    <w:rsid w:val="002000B7"/>
    <w:rsid w:val="00200136"/>
    <w:rsid w:val="00200328"/>
    <w:rsid w:val="00200444"/>
    <w:rsid w:val="00200A1E"/>
    <w:rsid w:val="00200DAB"/>
    <w:rsid w:val="00200EA9"/>
    <w:rsid w:val="00201048"/>
    <w:rsid w:val="002010BC"/>
    <w:rsid w:val="0020126C"/>
    <w:rsid w:val="002017AD"/>
    <w:rsid w:val="00201EC4"/>
    <w:rsid w:val="00202246"/>
    <w:rsid w:val="0020229E"/>
    <w:rsid w:val="002024B1"/>
    <w:rsid w:val="00202C29"/>
    <w:rsid w:val="00202DEC"/>
    <w:rsid w:val="00202DFF"/>
    <w:rsid w:val="00202F59"/>
    <w:rsid w:val="0020346F"/>
    <w:rsid w:val="002035D3"/>
    <w:rsid w:val="0020369D"/>
    <w:rsid w:val="002037D6"/>
    <w:rsid w:val="002038D9"/>
    <w:rsid w:val="00203BAD"/>
    <w:rsid w:val="00203EDE"/>
    <w:rsid w:val="00204330"/>
    <w:rsid w:val="0020436A"/>
    <w:rsid w:val="00204470"/>
    <w:rsid w:val="00204530"/>
    <w:rsid w:val="002048F8"/>
    <w:rsid w:val="0020494F"/>
    <w:rsid w:val="00204CC4"/>
    <w:rsid w:val="00204F5F"/>
    <w:rsid w:val="0020513A"/>
    <w:rsid w:val="0020559E"/>
    <w:rsid w:val="002055BA"/>
    <w:rsid w:val="0020591F"/>
    <w:rsid w:val="00205D42"/>
    <w:rsid w:val="00205DD0"/>
    <w:rsid w:val="00205FD2"/>
    <w:rsid w:val="0020605E"/>
    <w:rsid w:val="00206544"/>
    <w:rsid w:val="00206738"/>
    <w:rsid w:val="002067DB"/>
    <w:rsid w:val="00206976"/>
    <w:rsid w:val="00206B75"/>
    <w:rsid w:val="00206CA0"/>
    <w:rsid w:val="00207329"/>
    <w:rsid w:val="002073EA"/>
    <w:rsid w:val="00207665"/>
    <w:rsid w:val="0020774F"/>
    <w:rsid w:val="00207774"/>
    <w:rsid w:val="002077E6"/>
    <w:rsid w:val="002078A0"/>
    <w:rsid w:val="00207A4D"/>
    <w:rsid w:val="00207B33"/>
    <w:rsid w:val="00207B6C"/>
    <w:rsid w:val="00210403"/>
    <w:rsid w:val="00210792"/>
    <w:rsid w:val="00210863"/>
    <w:rsid w:val="002108C1"/>
    <w:rsid w:val="00210919"/>
    <w:rsid w:val="00210B5F"/>
    <w:rsid w:val="00210C94"/>
    <w:rsid w:val="00210DA0"/>
    <w:rsid w:val="00210FF8"/>
    <w:rsid w:val="002116D5"/>
    <w:rsid w:val="002117F3"/>
    <w:rsid w:val="00211A75"/>
    <w:rsid w:val="00211D11"/>
    <w:rsid w:val="00211D51"/>
    <w:rsid w:val="00211D6E"/>
    <w:rsid w:val="00211DD5"/>
    <w:rsid w:val="002120FE"/>
    <w:rsid w:val="002121AE"/>
    <w:rsid w:val="002121F2"/>
    <w:rsid w:val="00212200"/>
    <w:rsid w:val="002124B3"/>
    <w:rsid w:val="002124C2"/>
    <w:rsid w:val="0021260C"/>
    <w:rsid w:val="002126EF"/>
    <w:rsid w:val="00212702"/>
    <w:rsid w:val="00212716"/>
    <w:rsid w:val="00212C7A"/>
    <w:rsid w:val="00212E52"/>
    <w:rsid w:val="00213109"/>
    <w:rsid w:val="00213121"/>
    <w:rsid w:val="00213297"/>
    <w:rsid w:val="002134A7"/>
    <w:rsid w:val="0021360A"/>
    <w:rsid w:val="002137DD"/>
    <w:rsid w:val="00213B7D"/>
    <w:rsid w:val="00213E90"/>
    <w:rsid w:val="00213ED3"/>
    <w:rsid w:val="0021402A"/>
    <w:rsid w:val="002140BA"/>
    <w:rsid w:val="00214182"/>
    <w:rsid w:val="002141D9"/>
    <w:rsid w:val="00214253"/>
    <w:rsid w:val="0021452D"/>
    <w:rsid w:val="00214809"/>
    <w:rsid w:val="00214820"/>
    <w:rsid w:val="00214A42"/>
    <w:rsid w:val="00214B24"/>
    <w:rsid w:val="00214B9D"/>
    <w:rsid w:val="00214ED1"/>
    <w:rsid w:val="00215578"/>
    <w:rsid w:val="00215680"/>
    <w:rsid w:val="002156A9"/>
    <w:rsid w:val="00215889"/>
    <w:rsid w:val="002158E9"/>
    <w:rsid w:val="00215C43"/>
    <w:rsid w:val="00215F3E"/>
    <w:rsid w:val="00216271"/>
    <w:rsid w:val="00216299"/>
    <w:rsid w:val="002164CF"/>
    <w:rsid w:val="0021654D"/>
    <w:rsid w:val="002166B7"/>
    <w:rsid w:val="0021684B"/>
    <w:rsid w:val="00216881"/>
    <w:rsid w:val="002169E0"/>
    <w:rsid w:val="00216A4B"/>
    <w:rsid w:val="00216A5F"/>
    <w:rsid w:val="00216D27"/>
    <w:rsid w:val="0021702B"/>
    <w:rsid w:val="002170A8"/>
    <w:rsid w:val="00217519"/>
    <w:rsid w:val="0021757A"/>
    <w:rsid w:val="0021762D"/>
    <w:rsid w:val="002176BD"/>
    <w:rsid w:val="00217722"/>
    <w:rsid w:val="0021778F"/>
    <w:rsid w:val="00217A86"/>
    <w:rsid w:val="00217AF1"/>
    <w:rsid w:val="00217D1D"/>
    <w:rsid w:val="0022012C"/>
    <w:rsid w:val="0022065C"/>
    <w:rsid w:val="002206ED"/>
    <w:rsid w:val="00220711"/>
    <w:rsid w:val="00220C5D"/>
    <w:rsid w:val="00220C9E"/>
    <w:rsid w:val="00220D82"/>
    <w:rsid w:val="00220FA7"/>
    <w:rsid w:val="002210BA"/>
    <w:rsid w:val="002210D8"/>
    <w:rsid w:val="00221417"/>
    <w:rsid w:val="002217D6"/>
    <w:rsid w:val="002219F3"/>
    <w:rsid w:val="00221CE5"/>
    <w:rsid w:val="00221EA4"/>
    <w:rsid w:val="00221FC1"/>
    <w:rsid w:val="00222117"/>
    <w:rsid w:val="0022213C"/>
    <w:rsid w:val="00222262"/>
    <w:rsid w:val="0022239F"/>
    <w:rsid w:val="00222A7D"/>
    <w:rsid w:val="00222ACA"/>
    <w:rsid w:val="00222CF5"/>
    <w:rsid w:val="00222D30"/>
    <w:rsid w:val="002231D5"/>
    <w:rsid w:val="00223201"/>
    <w:rsid w:val="002233CD"/>
    <w:rsid w:val="0022349A"/>
    <w:rsid w:val="00223D20"/>
    <w:rsid w:val="00223EBD"/>
    <w:rsid w:val="00224377"/>
    <w:rsid w:val="0022441C"/>
    <w:rsid w:val="0022461C"/>
    <w:rsid w:val="00224840"/>
    <w:rsid w:val="002248F9"/>
    <w:rsid w:val="002249DB"/>
    <w:rsid w:val="00224AB3"/>
    <w:rsid w:val="00224AE2"/>
    <w:rsid w:val="00224BC3"/>
    <w:rsid w:val="00224E1A"/>
    <w:rsid w:val="00225406"/>
    <w:rsid w:val="00225637"/>
    <w:rsid w:val="00225702"/>
    <w:rsid w:val="00225745"/>
    <w:rsid w:val="002257FF"/>
    <w:rsid w:val="0022581E"/>
    <w:rsid w:val="002258E5"/>
    <w:rsid w:val="00225A14"/>
    <w:rsid w:val="00225B59"/>
    <w:rsid w:val="00225E94"/>
    <w:rsid w:val="00226318"/>
    <w:rsid w:val="00226633"/>
    <w:rsid w:val="0022676D"/>
    <w:rsid w:val="00226886"/>
    <w:rsid w:val="00226942"/>
    <w:rsid w:val="00226DD9"/>
    <w:rsid w:val="00226EAA"/>
    <w:rsid w:val="00227193"/>
    <w:rsid w:val="002272A4"/>
    <w:rsid w:val="0022770B"/>
    <w:rsid w:val="002279AA"/>
    <w:rsid w:val="00227A2B"/>
    <w:rsid w:val="00227B8F"/>
    <w:rsid w:val="00227BF8"/>
    <w:rsid w:val="002305CE"/>
    <w:rsid w:val="00230630"/>
    <w:rsid w:val="00230B9E"/>
    <w:rsid w:val="00230D02"/>
    <w:rsid w:val="00230E6F"/>
    <w:rsid w:val="00230FEE"/>
    <w:rsid w:val="0023113B"/>
    <w:rsid w:val="00231149"/>
    <w:rsid w:val="002311C5"/>
    <w:rsid w:val="0023123B"/>
    <w:rsid w:val="00231317"/>
    <w:rsid w:val="002314BA"/>
    <w:rsid w:val="0023161D"/>
    <w:rsid w:val="00231640"/>
    <w:rsid w:val="002317AE"/>
    <w:rsid w:val="0023184B"/>
    <w:rsid w:val="00231C39"/>
    <w:rsid w:val="00231D6B"/>
    <w:rsid w:val="00231E5A"/>
    <w:rsid w:val="002321C0"/>
    <w:rsid w:val="00232265"/>
    <w:rsid w:val="002322C4"/>
    <w:rsid w:val="0023230E"/>
    <w:rsid w:val="002325D5"/>
    <w:rsid w:val="00232727"/>
    <w:rsid w:val="0023284F"/>
    <w:rsid w:val="0023292B"/>
    <w:rsid w:val="00232A75"/>
    <w:rsid w:val="00232CDD"/>
    <w:rsid w:val="00232D85"/>
    <w:rsid w:val="00232E9E"/>
    <w:rsid w:val="002331A7"/>
    <w:rsid w:val="00233258"/>
    <w:rsid w:val="00233293"/>
    <w:rsid w:val="002332ED"/>
    <w:rsid w:val="002333E1"/>
    <w:rsid w:val="00233426"/>
    <w:rsid w:val="0023348D"/>
    <w:rsid w:val="0023359E"/>
    <w:rsid w:val="0023368F"/>
    <w:rsid w:val="002336CE"/>
    <w:rsid w:val="002339F4"/>
    <w:rsid w:val="00233CAC"/>
    <w:rsid w:val="00233D64"/>
    <w:rsid w:val="00233DBA"/>
    <w:rsid w:val="00233F02"/>
    <w:rsid w:val="00233F4C"/>
    <w:rsid w:val="00233FE3"/>
    <w:rsid w:val="002340BD"/>
    <w:rsid w:val="002341D8"/>
    <w:rsid w:val="00234299"/>
    <w:rsid w:val="002342F3"/>
    <w:rsid w:val="0023495A"/>
    <w:rsid w:val="00234B0B"/>
    <w:rsid w:val="00234B49"/>
    <w:rsid w:val="00234BEF"/>
    <w:rsid w:val="00234D25"/>
    <w:rsid w:val="00234ECE"/>
    <w:rsid w:val="00235139"/>
    <w:rsid w:val="002351B4"/>
    <w:rsid w:val="0023520A"/>
    <w:rsid w:val="00235453"/>
    <w:rsid w:val="00235487"/>
    <w:rsid w:val="00235651"/>
    <w:rsid w:val="0023570E"/>
    <w:rsid w:val="00235C17"/>
    <w:rsid w:val="00235C9A"/>
    <w:rsid w:val="00235D47"/>
    <w:rsid w:val="00235FB4"/>
    <w:rsid w:val="002361DF"/>
    <w:rsid w:val="0023639B"/>
    <w:rsid w:val="00236793"/>
    <w:rsid w:val="00236A03"/>
    <w:rsid w:val="00236BD8"/>
    <w:rsid w:val="00236CA0"/>
    <w:rsid w:val="00236DF0"/>
    <w:rsid w:val="00236F64"/>
    <w:rsid w:val="00236FC9"/>
    <w:rsid w:val="002372F1"/>
    <w:rsid w:val="002373CB"/>
    <w:rsid w:val="00237401"/>
    <w:rsid w:val="00237589"/>
    <w:rsid w:val="002376DD"/>
    <w:rsid w:val="00237B80"/>
    <w:rsid w:val="00237B9F"/>
    <w:rsid w:val="00237C7D"/>
    <w:rsid w:val="002400A0"/>
    <w:rsid w:val="0024018B"/>
    <w:rsid w:val="002404D0"/>
    <w:rsid w:val="0024057C"/>
    <w:rsid w:val="00240916"/>
    <w:rsid w:val="00240B1C"/>
    <w:rsid w:val="00240D64"/>
    <w:rsid w:val="00240F35"/>
    <w:rsid w:val="00241269"/>
    <w:rsid w:val="0024134B"/>
    <w:rsid w:val="00241433"/>
    <w:rsid w:val="002414C8"/>
    <w:rsid w:val="00241508"/>
    <w:rsid w:val="002417C3"/>
    <w:rsid w:val="00241862"/>
    <w:rsid w:val="0024186A"/>
    <w:rsid w:val="0024192B"/>
    <w:rsid w:val="00241A79"/>
    <w:rsid w:val="00241CED"/>
    <w:rsid w:val="00241D8F"/>
    <w:rsid w:val="00241E31"/>
    <w:rsid w:val="00242162"/>
    <w:rsid w:val="00242336"/>
    <w:rsid w:val="00242507"/>
    <w:rsid w:val="00242736"/>
    <w:rsid w:val="0024281D"/>
    <w:rsid w:val="00242A8C"/>
    <w:rsid w:val="00242F73"/>
    <w:rsid w:val="00243316"/>
    <w:rsid w:val="0024333B"/>
    <w:rsid w:val="002433ED"/>
    <w:rsid w:val="002434F7"/>
    <w:rsid w:val="00243CBE"/>
    <w:rsid w:val="00243E85"/>
    <w:rsid w:val="00243ED7"/>
    <w:rsid w:val="002443D1"/>
    <w:rsid w:val="00244476"/>
    <w:rsid w:val="00244A07"/>
    <w:rsid w:val="00244D0D"/>
    <w:rsid w:val="00244D83"/>
    <w:rsid w:val="00244DE3"/>
    <w:rsid w:val="0024521E"/>
    <w:rsid w:val="00245234"/>
    <w:rsid w:val="00245265"/>
    <w:rsid w:val="002453EC"/>
    <w:rsid w:val="0024543A"/>
    <w:rsid w:val="00245474"/>
    <w:rsid w:val="002454AD"/>
    <w:rsid w:val="00245700"/>
    <w:rsid w:val="00245845"/>
    <w:rsid w:val="00245974"/>
    <w:rsid w:val="00245981"/>
    <w:rsid w:val="00245C31"/>
    <w:rsid w:val="00245F08"/>
    <w:rsid w:val="002460EF"/>
    <w:rsid w:val="00246105"/>
    <w:rsid w:val="00246234"/>
    <w:rsid w:val="00246314"/>
    <w:rsid w:val="00246323"/>
    <w:rsid w:val="002464FD"/>
    <w:rsid w:val="0024654B"/>
    <w:rsid w:val="0024663A"/>
    <w:rsid w:val="00246A63"/>
    <w:rsid w:val="00246BF1"/>
    <w:rsid w:val="00246C7C"/>
    <w:rsid w:val="00246DF0"/>
    <w:rsid w:val="00246E05"/>
    <w:rsid w:val="00246ECF"/>
    <w:rsid w:val="00246EFC"/>
    <w:rsid w:val="002471BF"/>
    <w:rsid w:val="002471F0"/>
    <w:rsid w:val="002475B4"/>
    <w:rsid w:val="0024766D"/>
    <w:rsid w:val="002476E9"/>
    <w:rsid w:val="002478D6"/>
    <w:rsid w:val="002478E6"/>
    <w:rsid w:val="00247AE9"/>
    <w:rsid w:val="00247BB3"/>
    <w:rsid w:val="00247F0A"/>
    <w:rsid w:val="002500B8"/>
    <w:rsid w:val="0025019D"/>
    <w:rsid w:val="002505FF"/>
    <w:rsid w:val="00250616"/>
    <w:rsid w:val="0025062E"/>
    <w:rsid w:val="00250678"/>
    <w:rsid w:val="002506F4"/>
    <w:rsid w:val="00250929"/>
    <w:rsid w:val="00250945"/>
    <w:rsid w:val="00250B10"/>
    <w:rsid w:val="00250C2D"/>
    <w:rsid w:val="00250D61"/>
    <w:rsid w:val="00250EFA"/>
    <w:rsid w:val="00250F0A"/>
    <w:rsid w:val="0025163D"/>
    <w:rsid w:val="0025175A"/>
    <w:rsid w:val="0025184A"/>
    <w:rsid w:val="002518BD"/>
    <w:rsid w:val="00251C04"/>
    <w:rsid w:val="00251F18"/>
    <w:rsid w:val="00251F59"/>
    <w:rsid w:val="0025208D"/>
    <w:rsid w:val="002520D1"/>
    <w:rsid w:val="00252474"/>
    <w:rsid w:val="00252585"/>
    <w:rsid w:val="002526B3"/>
    <w:rsid w:val="002527C2"/>
    <w:rsid w:val="00252980"/>
    <w:rsid w:val="00252ECE"/>
    <w:rsid w:val="002530F0"/>
    <w:rsid w:val="00253302"/>
    <w:rsid w:val="00253649"/>
    <w:rsid w:val="002536E8"/>
    <w:rsid w:val="002537CE"/>
    <w:rsid w:val="00253965"/>
    <w:rsid w:val="00253BAE"/>
    <w:rsid w:val="00253F45"/>
    <w:rsid w:val="00254289"/>
    <w:rsid w:val="0025479A"/>
    <w:rsid w:val="002547BA"/>
    <w:rsid w:val="00254A28"/>
    <w:rsid w:val="00254ABB"/>
    <w:rsid w:val="00254B99"/>
    <w:rsid w:val="00254BAE"/>
    <w:rsid w:val="00254D38"/>
    <w:rsid w:val="00254DE8"/>
    <w:rsid w:val="00255061"/>
    <w:rsid w:val="002550C5"/>
    <w:rsid w:val="00255122"/>
    <w:rsid w:val="0025512C"/>
    <w:rsid w:val="002551C8"/>
    <w:rsid w:val="0025553F"/>
    <w:rsid w:val="00255841"/>
    <w:rsid w:val="0025588B"/>
    <w:rsid w:val="002558A7"/>
    <w:rsid w:val="00255B41"/>
    <w:rsid w:val="002561AF"/>
    <w:rsid w:val="00256314"/>
    <w:rsid w:val="00256403"/>
    <w:rsid w:val="002566CB"/>
    <w:rsid w:val="002567C8"/>
    <w:rsid w:val="00256A0E"/>
    <w:rsid w:val="00256DF5"/>
    <w:rsid w:val="00256EC8"/>
    <w:rsid w:val="00256F95"/>
    <w:rsid w:val="002571D5"/>
    <w:rsid w:val="002574FF"/>
    <w:rsid w:val="00257510"/>
    <w:rsid w:val="00257A4F"/>
    <w:rsid w:val="00257ABE"/>
    <w:rsid w:val="00257B6C"/>
    <w:rsid w:val="00257BD3"/>
    <w:rsid w:val="00257DF7"/>
    <w:rsid w:val="00257E45"/>
    <w:rsid w:val="00257E78"/>
    <w:rsid w:val="00257E87"/>
    <w:rsid w:val="00260107"/>
    <w:rsid w:val="00260271"/>
    <w:rsid w:val="0026028D"/>
    <w:rsid w:val="0026053C"/>
    <w:rsid w:val="002607B4"/>
    <w:rsid w:val="002607F4"/>
    <w:rsid w:val="00260824"/>
    <w:rsid w:val="002608A9"/>
    <w:rsid w:val="00260A6A"/>
    <w:rsid w:val="00260BB7"/>
    <w:rsid w:val="00260CC6"/>
    <w:rsid w:val="00260DB8"/>
    <w:rsid w:val="00260ED2"/>
    <w:rsid w:val="00260F5A"/>
    <w:rsid w:val="002610D3"/>
    <w:rsid w:val="002612B2"/>
    <w:rsid w:val="002613FB"/>
    <w:rsid w:val="00261810"/>
    <w:rsid w:val="00261849"/>
    <w:rsid w:val="002618E7"/>
    <w:rsid w:val="00261A57"/>
    <w:rsid w:val="00261A70"/>
    <w:rsid w:val="0026200B"/>
    <w:rsid w:val="00262069"/>
    <w:rsid w:val="0026213A"/>
    <w:rsid w:val="0026270A"/>
    <w:rsid w:val="00262999"/>
    <w:rsid w:val="00262F42"/>
    <w:rsid w:val="00263295"/>
    <w:rsid w:val="0026340D"/>
    <w:rsid w:val="00263459"/>
    <w:rsid w:val="002634C4"/>
    <w:rsid w:val="002636C4"/>
    <w:rsid w:val="00263AD4"/>
    <w:rsid w:val="00263C5C"/>
    <w:rsid w:val="00263CDB"/>
    <w:rsid w:val="00263F25"/>
    <w:rsid w:val="002647BF"/>
    <w:rsid w:val="002649B9"/>
    <w:rsid w:val="00264A88"/>
    <w:rsid w:val="00264CAB"/>
    <w:rsid w:val="00264D10"/>
    <w:rsid w:val="00264D6D"/>
    <w:rsid w:val="00264E45"/>
    <w:rsid w:val="002650B1"/>
    <w:rsid w:val="002656CA"/>
    <w:rsid w:val="0026580A"/>
    <w:rsid w:val="00265852"/>
    <w:rsid w:val="00266075"/>
    <w:rsid w:val="00266099"/>
    <w:rsid w:val="002664EA"/>
    <w:rsid w:val="002665B0"/>
    <w:rsid w:val="0026661A"/>
    <w:rsid w:val="0026664F"/>
    <w:rsid w:val="00266680"/>
    <w:rsid w:val="00266750"/>
    <w:rsid w:val="00266818"/>
    <w:rsid w:val="00266C25"/>
    <w:rsid w:val="00266FEC"/>
    <w:rsid w:val="00267161"/>
    <w:rsid w:val="00267627"/>
    <w:rsid w:val="002679E8"/>
    <w:rsid w:val="00267B4B"/>
    <w:rsid w:val="00267C78"/>
    <w:rsid w:val="00270083"/>
    <w:rsid w:val="00270102"/>
    <w:rsid w:val="00270277"/>
    <w:rsid w:val="002704DC"/>
    <w:rsid w:val="0027063B"/>
    <w:rsid w:val="00270649"/>
    <w:rsid w:val="00270785"/>
    <w:rsid w:val="00270A89"/>
    <w:rsid w:val="00270E15"/>
    <w:rsid w:val="00271248"/>
    <w:rsid w:val="002716C6"/>
    <w:rsid w:val="002717DC"/>
    <w:rsid w:val="00271B1D"/>
    <w:rsid w:val="00271E60"/>
    <w:rsid w:val="00271E7B"/>
    <w:rsid w:val="00271EDF"/>
    <w:rsid w:val="0027203D"/>
    <w:rsid w:val="0027218F"/>
    <w:rsid w:val="00272253"/>
    <w:rsid w:val="002722A2"/>
    <w:rsid w:val="002724B9"/>
    <w:rsid w:val="002729A3"/>
    <w:rsid w:val="00272FE8"/>
    <w:rsid w:val="002730D6"/>
    <w:rsid w:val="00273137"/>
    <w:rsid w:val="00273172"/>
    <w:rsid w:val="002731A6"/>
    <w:rsid w:val="002735DC"/>
    <w:rsid w:val="0027389C"/>
    <w:rsid w:val="00273BB6"/>
    <w:rsid w:val="00273C07"/>
    <w:rsid w:val="00273C6C"/>
    <w:rsid w:val="00273EC5"/>
    <w:rsid w:val="00273FDD"/>
    <w:rsid w:val="0027409C"/>
    <w:rsid w:val="0027425C"/>
    <w:rsid w:val="00274336"/>
    <w:rsid w:val="002747C7"/>
    <w:rsid w:val="00274960"/>
    <w:rsid w:val="00274971"/>
    <w:rsid w:val="0027498D"/>
    <w:rsid w:val="00274A6D"/>
    <w:rsid w:val="00274DB3"/>
    <w:rsid w:val="00274E84"/>
    <w:rsid w:val="00274EFF"/>
    <w:rsid w:val="00274FBA"/>
    <w:rsid w:val="00274FE6"/>
    <w:rsid w:val="00275226"/>
    <w:rsid w:val="0027564B"/>
    <w:rsid w:val="002758DF"/>
    <w:rsid w:val="00275914"/>
    <w:rsid w:val="002759A6"/>
    <w:rsid w:val="00275A8C"/>
    <w:rsid w:val="00275BCE"/>
    <w:rsid w:val="00275DAF"/>
    <w:rsid w:val="00275E58"/>
    <w:rsid w:val="00275E85"/>
    <w:rsid w:val="00275F37"/>
    <w:rsid w:val="00275FD1"/>
    <w:rsid w:val="00276032"/>
    <w:rsid w:val="002762CC"/>
    <w:rsid w:val="002763C5"/>
    <w:rsid w:val="0027657C"/>
    <w:rsid w:val="002765EF"/>
    <w:rsid w:val="0027696C"/>
    <w:rsid w:val="00276ACF"/>
    <w:rsid w:val="00276C09"/>
    <w:rsid w:val="00277018"/>
    <w:rsid w:val="00277026"/>
    <w:rsid w:val="002771D2"/>
    <w:rsid w:val="00277276"/>
    <w:rsid w:val="00277277"/>
    <w:rsid w:val="002775DE"/>
    <w:rsid w:val="00277750"/>
    <w:rsid w:val="00277981"/>
    <w:rsid w:val="00277C9D"/>
    <w:rsid w:val="00277CBC"/>
    <w:rsid w:val="00277F57"/>
    <w:rsid w:val="0028016A"/>
    <w:rsid w:val="00280292"/>
    <w:rsid w:val="002802F2"/>
    <w:rsid w:val="00280393"/>
    <w:rsid w:val="002803D8"/>
    <w:rsid w:val="0028053D"/>
    <w:rsid w:val="00280583"/>
    <w:rsid w:val="00280586"/>
    <w:rsid w:val="00280B78"/>
    <w:rsid w:val="00280C08"/>
    <w:rsid w:val="00280C80"/>
    <w:rsid w:val="0028107C"/>
    <w:rsid w:val="0028142A"/>
    <w:rsid w:val="00281490"/>
    <w:rsid w:val="00281DFD"/>
    <w:rsid w:val="00281E63"/>
    <w:rsid w:val="0028208B"/>
    <w:rsid w:val="00282225"/>
    <w:rsid w:val="0028258C"/>
    <w:rsid w:val="00282661"/>
    <w:rsid w:val="00282C54"/>
    <w:rsid w:val="00282F78"/>
    <w:rsid w:val="0028306C"/>
    <w:rsid w:val="00283117"/>
    <w:rsid w:val="0028337A"/>
    <w:rsid w:val="00283669"/>
    <w:rsid w:val="00283B3E"/>
    <w:rsid w:val="00283E7A"/>
    <w:rsid w:val="00283EFC"/>
    <w:rsid w:val="0028400D"/>
    <w:rsid w:val="002846FB"/>
    <w:rsid w:val="00284745"/>
    <w:rsid w:val="00284873"/>
    <w:rsid w:val="00284B60"/>
    <w:rsid w:val="00284CAE"/>
    <w:rsid w:val="00285222"/>
    <w:rsid w:val="002855D5"/>
    <w:rsid w:val="00285A77"/>
    <w:rsid w:val="00285AD1"/>
    <w:rsid w:val="00285ADA"/>
    <w:rsid w:val="00285D6B"/>
    <w:rsid w:val="00285D76"/>
    <w:rsid w:val="00285E64"/>
    <w:rsid w:val="00286115"/>
    <w:rsid w:val="00286147"/>
    <w:rsid w:val="00286255"/>
    <w:rsid w:val="0028635B"/>
    <w:rsid w:val="0028659A"/>
    <w:rsid w:val="002865EB"/>
    <w:rsid w:val="00286893"/>
    <w:rsid w:val="00286923"/>
    <w:rsid w:val="00286B2D"/>
    <w:rsid w:val="00286D11"/>
    <w:rsid w:val="00286DC0"/>
    <w:rsid w:val="00286DE2"/>
    <w:rsid w:val="00286EDB"/>
    <w:rsid w:val="00286F42"/>
    <w:rsid w:val="002873FA"/>
    <w:rsid w:val="00287419"/>
    <w:rsid w:val="0028758E"/>
    <w:rsid w:val="00287602"/>
    <w:rsid w:val="002876B3"/>
    <w:rsid w:val="002877C1"/>
    <w:rsid w:val="00287876"/>
    <w:rsid w:val="00287AD7"/>
    <w:rsid w:val="00287F37"/>
    <w:rsid w:val="00290077"/>
    <w:rsid w:val="002903CB"/>
    <w:rsid w:val="00290934"/>
    <w:rsid w:val="00290B28"/>
    <w:rsid w:val="00290D04"/>
    <w:rsid w:val="00290D91"/>
    <w:rsid w:val="0029107A"/>
    <w:rsid w:val="002910F6"/>
    <w:rsid w:val="00291316"/>
    <w:rsid w:val="00291654"/>
    <w:rsid w:val="002916BD"/>
    <w:rsid w:val="0029173B"/>
    <w:rsid w:val="002917CC"/>
    <w:rsid w:val="00291A36"/>
    <w:rsid w:val="00291AC1"/>
    <w:rsid w:val="00291D38"/>
    <w:rsid w:val="00291F68"/>
    <w:rsid w:val="0029225D"/>
    <w:rsid w:val="0029226E"/>
    <w:rsid w:val="002923D4"/>
    <w:rsid w:val="0029269A"/>
    <w:rsid w:val="00292A4B"/>
    <w:rsid w:val="00292B66"/>
    <w:rsid w:val="00292CE5"/>
    <w:rsid w:val="00292E44"/>
    <w:rsid w:val="00292F20"/>
    <w:rsid w:val="00293949"/>
    <w:rsid w:val="002939DA"/>
    <w:rsid w:val="002939E3"/>
    <w:rsid w:val="00293BB8"/>
    <w:rsid w:val="00293DB5"/>
    <w:rsid w:val="00293F69"/>
    <w:rsid w:val="00294231"/>
    <w:rsid w:val="002945E6"/>
    <w:rsid w:val="002945F7"/>
    <w:rsid w:val="002947A1"/>
    <w:rsid w:val="002947A7"/>
    <w:rsid w:val="002947C2"/>
    <w:rsid w:val="002948AA"/>
    <w:rsid w:val="00294BAD"/>
    <w:rsid w:val="00294C6C"/>
    <w:rsid w:val="00294CD1"/>
    <w:rsid w:val="00294FDE"/>
    <w:rsid w:val="00295040"/>
    <w:rsid w:val="002950B1"/>
    <w:rsid w:val="00295323"/>
    <w:rsid w:val="00295502"/>
    <w:rsid w:val="0029550A"/>
    <w:rsid w:val="00295671"/>
    <w:rsid w:val="00295864"/>
    <w:rsid w:val="00295A21"/>
    <w:rsid w:val="00295B54"/>
    <w:rsid w:val="00295CD2"/>
    <w:rsid w:val="00295E9A"/>
    <w:rsid w:val="00295F10"/>
    <w:rsid w:val="00295F52"/>
    <w:rsid w:val="002964C7"/>
    <w:rsid w:val="00296757"/>
    <w:rsid w:val="00296B66"/>
    <w:rsid w:val="00296C5B"/>
    <w:rsid w:val="00296C87"/>
    <w:rsid w:val="00296E39"/>
    <w:rsid w:val="00296E68"/>
    <w:rsid w:val="0029714F"/>
    <w:rsid w:val="00297295"/>
    <w:rsid w:val="0029729D"/>
    <w:rsid w:val="002972C3"/>
    <w:rsid w:val="00297303"/>
    <w:rsid w:val="00297392"/>
    <w:rsid w:val="00297522"/>
    <w:rsid w:val="00297BB0"/>
    <w:rsid w:val="00297C39"/>
    <w:rsid w:val="00297D31"/>
    <w:rsid w:val="002A02DE"/>
    <w:rsid w:val="002A0A5E"/>
    <w:rsid w:val="002A0ED2"/>
    <w:rsid w:val="002A0F74"/>
    <w:rsid w:val="002A1139"/>
    <w:rsid w:val="002A18B2"/>
    <w:rsid w:val="002A18F2"/>
    <w:rsid w:val="002A1AE6"/>
    <w:rsid w:val="002A24C7"/>
    <w:rsid w:val="002A264A"/>
    <w:rsid w:val="002A284A"/>
    <w:rsid w:val="002A2D72"/>
    <w:rsid w:val="002A2F31"/>
    <w:rsid w:val="002A3080"/>
    <w:rsid w:val="002A30E5"/>
    <w:rsid w:val="002A31A8"/>
    <w:rsid w:val="002A32AB"/>
    <w:rsid w:val="002A34D3"/>
    <w:rsid w:val="002A3730"/>
    <w:rsid w:val="002A3790"/>
    <w:rsid w:val="002A3AF1"/>
    <w:rsid w:val="002A3B8B"/>
    <w:rsid w:val="002A3F27"/>
    <w:rsid w:val="002A42D0"/>
    <w:rsid w:val="002A45D6"/>
    <w:rsid w:val="002A478A"/>
    <w:rsid w:val="002A489B"/>
    <w:rsid w:val="002A4B4D"/>
    <w:rsid w:val="002A50CD"/>
    <w:rsid w:val="002A50F6"/>
    <w:rsid w:val="002A57B9"/>
    <w:rsid w:val="002A5981"/>
    <w:rsid w:val="002A5B65"/>
    <w:rsid w:val="002A5D91"/>
    <w:rsid w:val="002A5EB8"/>
    <w:rsid w:val="002A62F0"/>
    <w:rsid w:val="002A635A"/>
    <w:rsid w:val="002A688F"/>
    <w:rsid w:val="002A6923"/>
    <w:rsid w:val="002A6A1B"/>
    <w:rsid w:val="002A6AAC"/>
    <w:rsid w:val="002A6B8A"/>
    <w:rsid w:val="002A6CBF"/>
    <w:rsid w:val="002A6D5E"/>
    <w:rsid w:val="002A6D79"/>
    <w:rsid w:val="002A6DEB"/>
    <w:rsid w:val="002A6DFB"/>
    <w:rsid w:val="002A6FA3"/>
    <w:rsid w:val="002A7038"/>
    <w:rsid w:val="002A7107"/>
    <w:rsid w:val="002A717D"/>
    <w:rsid w:val="002A72E0"/>
    <w:rsid w:val="002A76CE"/>
    <w:rsid w:val="002A771D"/>
    <w:rsid w:val="002A775E"/>
    <w:rsid w:val="002A779E"/>
    <w:rsid w:val="002A7825"/>
    <w:rsid w:val="002A787D"/>
    <w:rsid w:val="002A78A6"/>
    <w:rsid w:val="002A78C0"/>
    <w:rsid w:val="002A7A2C"/>
    <w:rsid w:val="002A7FE7"/>
    <w:rsid w:val="002B0061"/>
    <w:rsid w:val="002B0069"/>
    <w:rsid w:val="002B0073"/>
    <w:rsid w:val="002B01CB"/>
    <w:rsid w:val="002B0398"/>
    <w:rsid w:val="002B06F2"/>
    <w:rsid w:val="002B0FFB"/>
    <w:rsid w:val="002B114B"/>
    <w:rsid w:val="002B1298"/>
    <w:rsid w:val="002B14F5"/>
    <w:rsid w:val="002B152A"/>
    <w:rsid w:val="002B155A"/>
    <w:rsid w:val="002B1563"/>
    <w:rsid w:val="002B1597"/>
    <w:rsid w:val="002B1630"/>
    <w:rsid w:val="002B17F5"/>
    <w:rsid w:val="002B1A00"/>
    <w:rsid w:val="002B1AB6"/>
    <w:rsid w:val="002B1D4A"/>
    <w:rsid w:val="002B2177"/>
    <w:rsid w:val="002B2406"/>
    <w:rsid w:val="002B27B1"/>
    <w:rsid w:val="002B2961"/>
    <w:rsid w:val="002B2A5E"/>
    <w:rsid w:val="002B2C2B"/>
    <w:rsid w:val="002B2DB1"/>
    <w:rsid w:val="002B2FD7"/>
    <w:rsid w:val="002B300D"/>
    <w:rsid w:val="002B303F"/>
    <w:rsid w:val="002B3477"/>
    <w:rsid w:val="002B35A2"/>
    <w:rsid w:val="002B3923"/>
    <w:rsid w:val="002B3A32"/>
    <w:rsid w:val="002B3F1A"/>
    <w:rsid w:val="002B43AB"/>
    <w:rsid w:val="002B43AD"/>
    <w:rsid w:val="002B460E"/>
    <w:rsid w:val="002B46D5"/>
    <w:rsid w:val="002B47EE"/>
    <w:rsid w:val="002B4CA1"/>
    <w:rsid w:val="002B4E99"/>
    <w:rsid w:val="002B53BB"/>
    <w:rsid w:val="002B5473"/>
    <w:rsid w:val="002B5B78"/>
    <w:rsid w:val="002B5F67"/>
    <w:rsid w:val="002B657F"/>
    <w:rsid w:val="002B65DD"/>
    <w:rsid w:val="002B6699"/>
    <w:rsid w:val="002B6901"/>
    <w:rsid w:val="002B699D"/>
    <w:rsid w:val="002B6C27"/>
    <w:rsid w:val="002B6E11"/>
    <w:rsid w:val="002B6EC7"/>
    <w:rsid w:val="002B6EE5"/>
    <w:rsid w:val="002B748F"/>
    <w:rsid w:val="002B7869"/>
    <w:rsid w:val="002B7CA0"/>
    <w:rsid w:val="002B7DFC"/>
    <w:rsid w:val="002B7E13"/>
    <w:rsid w:val="002B7E91"/>
    <w:rsid w:val="002C007D"/>
    <w:rsid w:val="002C00C9"/>
    <w:rsid w:val="002C017C"/>
    <w:rsid w:val="002C0314"/>
    <w:rsid w:val="002C03FF"/>
    <w:rsid w:val="002C05EF"/>
    <w:rsid w:val="002C0647"/>
    <w:rsid w:val="002C0678"/>
    <w:rsid w:val="002C06E3"/>
    <w:rsid w:val="002C0759"/>
    <w:rsid w:val="002C0C89"/>
    <w:rsid w:val="002C0D32"/>
    <w:rsid w:val="002C0EDD"/>
    <w:rsid w:val="002C0F22"/>
    <w:rsid w:val="002C0F4D"/>
    <w:rsid w:val="002C105A"/>
    <w:rsid w:val="002C10EF"/>
    <w:rsid w:val="002C1198"/>
    <w:rsid w:val="002C11BA"/>
    <w:rsid w:val="002C1415"/>
    <w:rsid w:val="002C1544"/>
    <w:rsid w:val="002C155D"/>
    <w:rsid w:val="002C16F0"/>
    <w:rsid w:val="002C1B8C"/>
    <w:rsid w:val="002C1E04"/>
    <w:rsid w:val="002C1E97"/>
    <w:rsid w:val="002C1FED"/>
    <w:rsid w:val="002C2027"/>
    <w:rsid w:val="002C2119"/>
    <w:rsid w:val="002C21DC"/>
    <w:rsid w:val="002C2493"/>
    <w:rsid w:val="002C2634"/>
    <w:rsid w:val="002C2683"/>
    <w:rsid w:val="002C295D"/>
    <w:rsid w:val="002C2EA9"/>
    <w:rsid w:val="002C2FFE"/>
    <w:rsid w:val="002C31EB"/>
    <w:rsid w:val="002C3343"/>
    <w:rsid w:val="002C33B1"/>
    <w:rsid w:val="002C351A"/>
    <w:rsid w:val="002C3623"/>
    <w:rsid w:val="002C36B0"/>
    <w:rsid w:val="002C36DE"/>
    <w:rsid w:val="002C3FCE"/>
    <w:rsid w:val="002C40F2"/>
    <w:rsid w:val="002C43DD"/>
    <w:rsid w:val="002C4449"/>
    <w:rsid w:val="002C47C8"/>
    <w:rsid w:val="002C482F"/>
    <w:rsid w:val="002C4863"/>
    <w:rsid w:val="002C49C5"/>
    <w:rsid w:val="002C4CE8"/>
    <w:rsid w:val="002C4E66"/>
    <w:rsid w:val="002C4EEF"/>
    <w:rsid w:val="002C516F"/>
    <w:rsid w:val="002C52AA"/>
    <w:rsid w:val="002C56F2"/>
    <w:rsid w:val="002C5A06"/>
    <w:rsid w:val="002C5ABE"/>
    <w:rsid w:val="002C5DC0"/>
    <w:rsid w:val="002C5F4D"/>
    <w:rsid w:val="002C5FDB"/>
    <w:rsid w:val="002C5FEA"/>
    <w:rsid w:val="002C614E"/>
    <w:rsid w:val="002C61E0"/>
    <w:rsid w:val="002C6552"/>
    <w:rsid w:val="002C6876"/>
    <w:rsid w:val="002C68B5"/>
    <w:rsid w:val="002C6DBC"/>
    <w:rsid w:val="002C6E2E"/>
    <w:rsid w:val="002C6FB0"/>
    <w:rsid w:val="002C715B"/>
    <w:rsid w:val="002C7268"/>
    <w:rsid w:val="002C7498"/>
    <w:rsid w:val="002C79EC"/>
    <w:rsid w:val="002C7CCB"/>
    <w:rsid w:val="002C7D04"/>
    <w:rsid w:val="002C7DD9"/>
    <w:rsid w:val="002C7E48"/>
    <w:rsid w:val="002D048C"/>
    <w:rsid w:val="002D0511"/>
    <w:rsid w:val="002D0797"/>
    <w:rsid w:val="002D07C1"/>
    <w:rsid w:val="002D0885"/>
    <w:rsid w:val="002D0904"/>
    <w:rsid w:val="002D0AA6"/>
    <w:rsid w:val="002D0C7C"/>
    <w:rsid w:val="002D1252"/>
    <w:rsid w:val="002D1262"/>
    <w:rsid w:val="002D1482"/>
    <w:rsid w:val="002D1606"/>
    <w:rsid w:val="002D185A"/>
    <w:rsid w:val="002D191C"/>
    <w:rsid w:val="002D1BEC"/>
    <w:rsid w:val="002D1CEE"/>
    <w:rsid w:val="002D1D0E"/>
    <w:rsid w:val="002D1E04"/>
    <w:rsid w:val="002D1ECB"/>
    <w:rsid w:val="002D1FD9"/>
    <w:rsid w:val="002D20B6"/>
    <w:rsid w:val="002D21F5"/>
    <w:rsid w:val="002D2475"/>
    <w:rsid w:val="002D2480"/>
    <w:rsid w:val="002D2747"/>
    <w:rsid w:val="002D2769"/>
    <w:rsid w:val="002D2F8B"/>
    <w:rsid w:val="002D33D6"/>
    <w:rsid w:val="002D3483"/>
    <w:rsid w:val="002D34FD"/>
    <w:rsid w:val="002D35F5"/>
    <w:rsid w:val="002D37E7"/>
    <w:rsid w:val="002D3806"/>
    <w:rsid w:val="002D3A85"/>
    <w:rsid w:val="002D3BAA"/>
    <w:rsid w:val="002D3FBB"/>
    <w:rsid w:val="002D4122"/>
    <w:rsid w:val="002D41B4"/>
    <w:rsid w:val="002D434D"/>
    <w:rsid w:val="002D43A2"/>
    <w:rsid w:val="002D4792"/>
    <w:rsid w:val="002D4A0F"/>
    <w:rsid w:val="002D4B5F"/>
    <w:rsid w:val="002D4D66"/>
    <w:rsid w:val="002D4F79"/>
    <w:rsid w:val="002D4FBB"/>
    <w:rsid w:val="002D4FC5"/>
    <w:rsid w:val="002D52FA"/>
    <w:rsid w:val="002D5480"/>
    <w:rsid w:val="002D5954"/>
    <w:rsid w:val="002D5B29"/>
    <w:rsid w:val="002D5C0D"/>
    <w:rsid w:val="002D5CD2"/>
    <w:rsid w:val="002D5CE5"/>
    <w:rsid w:val="002D5D03"/>
    <w:rsid w:val="002D5E7E"/>
    <w:rsid w:val="002D613F"/>
    <w:rsid w:val="002D62A3"/>
    <w:rsid w:val="002D633E"/>
    <w:rsid w:val="002D6365"/>
    <w:rsid w:val="002D63EE"/>
    <w:rsid w:val="002D6538"/>
    <w:rsid w:val="002D6754"/>
    <w:rsid w:val="002D68D9"/>
    <w:rsid w:val="002D6ADA"/>
    <w:rsid w:val="002D6C3C"/>
    <w:rsid w:val="002D6CA3"/>
    <w:rsid w:val="002D6D97"/>
    <w:rsid w:val="002D6F03"/>
    <w:rsid w:val="002D71C3"/>
    <w:rsid w:val="002D7407"/>
    <w:rsid w:val="002D742B"/>
    <w:rsid w:val="002D7861"/>
    <w:rsid w:val="002D7958"/>
    <w:rsid w:val="002D7A00"/>
    <w:rsid w:val="002D7B9B"/>
    <w:rsid w:val="002D7C12"/>
    <w:rsid w:val="002D7E87"/>
    <w:rsid w:val="002E010D"/>
    <w:rsid w:val="002E01CC"/>
    <w:rsid w:val="002E04A7"/>
    <w:rsid w:val="002E1301"/>
    <w:rsid w:val="002E14E0"/>
    <w:rsid w:val="002E150F"/>
    <w:rsid w:val="002E16FC"/>
    <w:rsid w:val="002E174B"/>
    <w:rsid w:val="002E18C3"/>
    <w:rsid w:val="002E19D7"/>
    <w:rsid w:val="002E19F4"/>
    <w:rsid w:val="002E1B07"/>
    <w:rsid w:val="002E1EA2"/>
    <w:rsid w:val="002E1F20"/>
    <w:rsid w:val="002E2049"/>
    <w:rsid w:val="002E2090"/>
    <w:rsid w:val="002E24DC"/>
    <w:rsid w:val="002E2A2A"/>
    <w:rsid w:val="002E2B72"/>
    <w:rsid w:val="002E2C3C"/>
    <w:rsid w:val="002E2CDE"/>
    <w:rsid w:val="002E2FF7"/>
    <w:rsid w:val="002E3104"/>
    <w:rsid w:val="002E3176"/>
    <w:rsid w:val="002E3257"/>
    <w:rsid w:val="002E32BF"/>
    <w:rsid w:val="002E3AE4"/>
    <w:rsid w:val="002E405D"/>
    <w:rsid w:val="002E4151"/>
    <w:rsid w:val="002E41B7"/>
    <w:rsid w:val="002E41F2"/>
    <w:rsid w:val="002E4217"/>
    <w:rsid w:val="002E4354"/>
    <w:rsid w:val="002E47DD"/>
    <w:rsid w:val="002E4AB3"/>
    <w:rsid w:val="002E4AF7"/>
    <w:rsid w:val="002E4DF9"/>
    <w:rsid w:val="002E4E27"/>
    <w:rsid w:val="002E4FF0"/>
    <w:rsid w:val="002E5161"/>
    <w:rsid w:val="002E5286"/>
    <w:rsid w:val="002E542F"/>
    <w:rsid w:val="002E5726"/>
    <w:rsid w:val="002E5BEF"/>
    <w:rsid w:val="002E5EB6"/>
    <w:rsid w:val="002E60D9"/>
    <w:rsid w:val="002E613A"/>
    <w:rsid w:val="002E621D"/>
    <w:rsid w:val="002E63BB"/>
    <w:rsid w:val="002E688B"/>
    <w:rsid w:val="002E6993"/>
    <w:rsid w:val="002E6B8B"/>
    <w:rsid w:val="002E6BF8"/>
    <w:rsid w:val="002E6CEA"/>
    <w:rsid w:val="002E7086"/>
    <w:rsid w:val="002E70B4"/>
    <w:rsid w:val="002E728D"/>
    <w:rsid w:val="002E744C"/>
    <w:rsid w:val="002E74E2"/>
    <w:rsid w:val="002E7643"/>
    <w:rsid w:val="002E7674"/>
    <w:rsid w:val="002E7A7B"/>
    <w:rsid w:val="002E7B3E"/>
    <w:rsid w:val="002E7B77"/>
    <w:rsid w:val="002E7B7C"/>
    <w:rsid w:val="002F0134"/>
    <w:rsid w:val="002F0243"/>
    <w:rsid w:val="002F02D2"/>
    <w:rsid w:val="002F0520"/>
    <w:rsid w:val="002F0538"/>
    <w:rsid w:val="002F0672"/>
    <w:rsid w:val="002F0759"/>
    <w:rsid w:val="002F07A4"/>
    <w:rsid w:val="002F09BA"/>
    <w:rsid w:val="002F0A25"/>
    <w:rsid w:val="002F0DA3"/>
    <w:rsid w:val="002F0F89"/>
    <w:rsid w:val="002F1016"/>
    <w:rsid w:val="002F14AD"/>
    <w:rsid w:val="002F158A"/>
    <w:rsid w:val="002F1922"/>
    <w:rsid w:val="002F19BC"/>
    <w:rsid w:val="002F20BB"/>
    <w:rsid w:val="002F218B"/>
    <w:rsid w:val="002F2608"/>
    <w:rsid w:val="002F26F1"/>
    <w:rsid w:val="002F2985"/>
    <w:rsid w:val="002F2C87"/>
    <w:rsid w:val="002F2F77"/>
    <w:rsid w:val="002F3044"/>
    <w:rsid w:val="002F32D2"/>
    <w:rsid w:val="002F36BA"/>
    <w:rsid w:val="002F379B"/>
    <w:rsid w:val="002F3892"/>
    <w:rsid w:val="002F3980"/>
    <w:rsid w:val="002F3A61"/>
    <w:rsid w:val="002F3BC3"/>
    <w:rsid w:val="002F3C44"/>
    <w:rsid w:val="002F4160"/>
    <w:rsid w:val="002F439F"/>
    <w:rsid w:val="002F43B9"/>
    <w:rsid w:val="002F482D"/>
    <w:rsid w:val="002F518C"/>
    <w:rsid w:val="002F5915"/>
    <w:rsid w:val="002F5A13"/>
    <w:rsid w:val="002F5E57"/>
    <w:rsid w:val="002F5E8C"/>
    <w:rsid w:val="002F6372"/>
    <w:rsid w:val="002F63A1"/>
    <w:rsid w:val="002F654C"/>
    <w:rsid w:val="002F65E8"/>
    <w:rsid w:val="002F6827"/>
    <w:rsid w:val="002F68A3"/>
    <w:rsid w:val="002F6940"/>
    <w:rsid w:val="002F6C2E"/>
    <w:rsid w:val="002F6FBD"/>
    <w:rsid w:val="002F6FC3"/>
    <w:rsid w:val="002F7091"/>
    <w:rsid w:val="002F7180"/>
    <w:rsid w:val="002F7722"/>
    <w:rsid w:val="002F772A"/>
    <w:rsid w:val="002F78AF"/>
    <w:rsid w:val="002F7F01"/>
    <w:rsid w:val="003000FE"/>
    <w:rsid w:val="00300601"/>
    <w:rsid w:val="003009EA"/>
    <w:rsid w:val="00300A29"/>
    <w:rsid w:val="00300A3F"/>
    <w:rsid w:val="00301261"/>
    <w:rsid w:val="00301299"/>
    <w:rsid w:val="00301365"/>
    <w:rsid w:val="003014FB"/>
    <w:rsid w:val="0030183C"/>
    <w:rsid w:val="003019CE"/>
    <w:rsid w:val="00301D19"/>
    <w:rsid w:val="00301DD8"/>
    <w:rsid w:val="0030210E"/>
    <w:rsid w:val="00302180"/>
    <w:rsid w:val="00302348"/>
    <w:rsid w:val="003023F7"/>
    <w:rsid w:val="00302455"/>
    <w:rsid w:val="003025AF"/>
    <w:rsid w:val="003026E3"/>
    <w:rsid w:val="00302AB0"/>
    <w:rsid w:val="00302E1B"/>
    <w:rsid w:val="00302E1E"/>
    <w:rsid w:val="003032F5"/>
    <w:rsid w:val="00303523"/>
    <w:rsid w:val="0030353B"/>
    <w:rsid w:val="0030384E"/>
    <w:rsid w:val="0030386E"/>
    <w:rsid w:val="00303CA3"/>
    <w:rsid w:val="00303EF9"/>
    <w:rsid w:val="0030433B"/>
    <w:rsid w:val="003043A4"/>
    <w:rsid w:val="00304415"/>
    <w:rsid w:val="003045E4"/>
    <w:rsid w:val="00304C48"/>
    <w:rsid w:val="00304ED8"/>
    <w:rsid w:val="00304F80"/>
    <w:rsid w:val="003050E5"/>
    <w:rsid w:val="00305294"/>
    <w:rsid w:val="0030571C"/>
    <w:rsid w:val="00305971"/>
    <w:rsid w:val="00305B45"/>
    <w:rsid w:val="00305CAA"/>
    <w:rsid w:val="00305EC0"/>
    <w:rsid w:val="00305F13"/>
    <w:rsid w:val="00305F33"/>
    <w:rsid w:val="00306081"/>
    <w:rsid w:val="003060A1"/>
    <w:rsid w:val="00306140"/>
    <w:rsid w:val="0030622F"/>
    <w:rsid w:val="003064E3"/>
    <w:rsid w:val="003065BB"/>
    <w:rsid w:val="00306A99"/>
    <w:rsid w:val="00306CF1"/>
    <w:rsid w:val="00306F1B"/>
    <w:rsid w:val="00306F77"/>
    <w:rsid w:val="003073D6"/>
    <w:rsid w:val="00307413"/>
    <w:rsid w:val="003074BE"/>
    <w:rsid w:val="0030752C"/>
    <w:rsid w:val="00307600"/>
    <w:rsid w:val="00307A5B"/>
    <w:rsid w:val="00307CC7"/>
    <w:rsid w:val="00307D83"/>
    <w:rsid w:val="00310437"/>
    <w:rsid w:val="00310595"/>
    <w:rsid w:val="00310897"/>
    <w:rsid w:val="00310AAC"/>
    <w:rsid w:val="00310B11"/>
    <w:rsid w:val="00310BA7"/>
    <w:rsid w:val="00310D83"/>
    <w:rsid w:val="003110E4"/>
    <w:rsid w:val="00311409"/>
    <w:rsid w:val="0031160A"/>
    <w:rsid w:val="0031163C"/>
    <w:rsid w:val="00311666"/>
    <w:rsid w:val="003116EE"/>
    <w:rsid w:val="003118B1"/>
    <w:rsid w:val="00311C14"/>
    <w:rsid w:val="00311F38"/>
    <w:rsid w:val="00312731"/>
    <w:rsid w:val="003129AE"/>
    <w:rsid w:val="00312A36"/>
    <w:rsid w:val="00312CA1"/>
    <w:rsid w:val="00312D04"/>
    <w:rsid w:val="00312DB8"/>
    <w:rsid w:val="00312E61"/>
    <w:rsid w:val="00312EB0"/>
    <w:rsid w:val="00312EC6"/>
    <w:rsid w:val="00312F55"/>
    <w:rsid w:val="0031303D"/>
    <w:rsid w:val="003130A8"/>
    <w:rsid w:val="00313211"/>
    <w:rsid w:val="00313397"/>
    <w:rsid w:val="003133F9"/>
    <w:rsid w:val="003135CE"/>
    <w:rsid w:val="00313778"/>
    <w:rsid w:val="003138B8"/>
    <w:rsid w:val="00313D31"/>
    <w:rsid w:val="00313D80"/>
    <w:rsid w:val="00313E1A"/>
    <w:rsid w:val="00314055"/>
    <w:rsid w:val="00314096"/>
    <w:rsid w:val="00314290"/>
    <w:rsid w:val="003142A2"/>
    <w:rsid w:val="003146DC"/>
    <w:rsid w:val="0031498C"/>
    <w:rsid w:val="00315153"/>
    <w:rsid w:val="00315264"/>
    <w:rsid w:val="0031534F"/>
    <w:rsid w:val="0031542E"/>
    <w:rsid w:val="0031552B"/>
    <w:rsid w:val="00315533"/>
    <w:rsid w:val="00315604"/>
    <w:rsid w:val="00315917"/>
    <w:rsid w:val="00315B4F"/>
    <w:rsid w:val="00315C3E"/>
    <w:rsid w:val="00315DA5"/>
    <w:rsid w:val="00315E1E"/>
    <w:rsid w:val="00316108"/>
    <w:rsid w:val="003161B5"/>
    <w:rsid w:val="0031646D"/>
    <w:rsid w:val="0031659B"/>
    <w:rsid w:val="003165B0"/>
    <w:rsid w:val="00316676"/>
    <w:rsid w:val="00316679"/>
    <w:rsid w:val="003167C0"/>
    <w:rsid w:val="003169F7"/>
    <w:rsid w:val="00316B2A"/>
    <w:rsid w:val="00316B77"/>
    <w:rsid w:val="00316D10"/>
    <w:rsid w:val="00316DCF"/>
    <w:rsid w:val="003173F8"/>
    <w:rsid w:val="0031743A"/>
    <w:rsid w:val="003175C9"/>
    <w:rsid w:val="00317790"/>
    <w:rsid w:val="003177BB"/>
    <w:rsid w:val="0031781C"/>
    <w:rsid w:val="0031791E"/>
    <w:rsid w:val="00317A70"/>
    <w:rsid w:val="00317BCA"/>
    <w:rsid w:val="00317EBB"/>
    <w:rsid w:val="00317FD7"/>
    <w:rsid w:val="00320174"/>
    <w:rsid w:val="00320187"/>
    <w:rsid w:val="00320306"/>
    <w:rsid w:val="0032034C"/>
    <w:rsid w:val="00320539"/>
    <w:rsid w:val="00320627"/>
    <w:rsid w:val="00320733"/>
    <w:rsid w:val="00320A9D"/>
    <w:rsid w:val="00320D84"/>
    <w:rsid w:val="00320E23"/>
    <w:rsid w:val="00320E2E"/>
    <w:rsid w:val="00320ED0"/>
    <w:rsid w:val="00321029"/>
    <w:rsid w:val="00321102"/>
    <w:rsid w:val="0032122E"/>
    <w:rsid w:val="0032133A"/>
    <w:rsid w:val="00321380"/>
    <w:rsid w:val="00321450"/>
    <w:rsid w:val="003219C6"/>
    <w:rsid w:val="003219C9"/>
    <w:rsid w:val="00321A96"/>
    <w:rsid w:val="00321C5C"/>
    <w:rsid w:val="00321DFD"/>
    <w:rsid w:val="00321F40"/>
    <w:rsid w:val="0032200C"/>
    <w:rsid w:val="00322203"/>
    <w:rsid w:val="003222CB"/>
    <w:rsid w:val="003224F6"/>
    <w:rsid w:val="003225A1"/>
    <w:rsid w:val="00322BF5"/>
    <w:rsid w:val="00322C47"/>
    <w:rsid w:val="00322D15"/>
    <w:rsid w:val="003230EC"/>
    <w:rsid w:val="00323259"/>
    <w:rsid w:val="00323612"/>
    <w:rsid w:val="00323B97"/>
    <w:rsid w:val="00323BFD"/>
    <w:rsid w:val="00323C73"/>
    <w:rsid w:val="00323E2C"/>
    <w:rsid w:val="00323F28"/>
    <w:rsid w:val="00323F70"/>
    <w:rsid w:val="00323FE3"/>
    <w:rsid w:val="003240B5"/>
    <w:rsid w:val="0032443B"/>
    <w:rsid w:val="00324619"/>
    <w:rsid w:val="003246E1"/>
    <w:rsid w:val="00324713"/>
    <w:rsid w:val="00324920"/>
    <w:rsid w:val="00324ACF"/>
    <w:rsid w:val="00324AE5"/>
    <w:rsid w:val="00324C80"/>
    <w:rsid w:val="003250AB"/>
    <w:rsid w:val="00325311"/>
    <w:rsid w:val="0032537D"/>
    <w:rsid w:val="0032538E"/>
    <w:rsid w:val="003254DC"/>
    <w:rsid w:val="00325B9A"/>
    <w:rsid w:val="00325C61"/>
    <w:rsid w:val="00325D81"/>
    <w:rsid w:val="00325EE9"/>
    <w:rsid w:val="003260F2"/>
    <w:rsid w:val="003263CC"/>
    <w:rsid w:val="00326542"/>
    <w:rsid w:val="0032655A"/>
    <w:rsid w:val="00326733"/>
    <w:rsid w:val="00326781"/>
    <w:rsid w:val="003267B3"/>
    <w:rsid w:val="00326CEA"/>
    <w:rsid w:val="00326E0B"/>
    <w:rsid w:val="00326E4D"/>
    <w:rsid w:val="00326EA5"/>
    <w:rsid w:val="003270B0"/>
    <w:rsid w:val="003276D4"/>
    <w:rsid w:val="003277C6"/>
    <w:rsid w:val="00327852"/>
    <w:rsid w:val="00327B47"/>
    <w:rsid w:val="00327CA4"/>
    <w:rsid w:val="00327CCA"/>
    <w:rsid w:val="00327EEC"/>
    <w:rsid w:val="00327FED"/>
    <w:rsid w:val="0033029A"/>
    <w:rsid w:val="003302A0"/>
    <w:rsid w:val="00330328"/>
    <w:rsid w:val="0033066B"/>
    <w:rsid w:val="00330771"/>
    <w:rsid w:val="0033077F"/>
    <w:rsid w:val="00330D1F"/>
    <w:rsid w:val="00330F54"/>
    <w:rsid w:val="00331480"/>
    <w:rsid w:val="0033148A"/>
    <w:rsid w:val="00331570"/>
    <w:rsid w:val="0033177E"/>
    <w:rsid w:val="00331A68"/>
    <w:rsid w:val="00331DCA"/>
    <w:rsid w:val="00331EAF"/>
    <w:rsid w:val="00331F65"/>
    <w:rsid w:val="0033245B"/>
    <w:rsid w:val="003324EC"/>
    <w:rsid w:val="003326F2"/>
    <w:rsid w:val="00332802"/>
    <w:rsid w:val="00332B15"/>
    <w:rsid w:val="00332B2D"/>
    <w:rsid w:val="00332CBD"/>
    <w:rsid w:val="00332D9B"/>
    <w:rsid w:val="00333071"/>
    <w:rsid w:val="00333280"/>
    <w:rsid w:val="0033349A"/>
    <w:rsid w:val="00333B83"/>
    <w:rsid w:val="00333C22"/>
    <w:rsid w:val="00333D67"/>
    <w:rsid w:val="00333E13"/>
    <w:rsid w:val="00333FC3"/>
    <w:rsid w:val="0033447A"/>
    <w:rsid w:val="00334CB2"/>
    <w:rsid w:val="00334CF7"/>
    <w:rsid w:val="00335113"/>
    <w:rsid w:val="00335225"/>
    <w:rsid w:val="00335291"/>
    <w:rsid w:val="00335377"/>
    <w:rsid w:val="00335596"/>
    <w:rsid w:val="0033578F"/>
    <w:rsid w:val="00335872"/>
    <w:rsid w:val="003359C9"/>
    <w:rsid w:val="00335B27"/>
    <w:rsid w:val="003361C3"/>
    <w:rsid w:val="003361FF"/>
    <w:rsid w:val="00336394"/>
    <w:rsid w:val="003364E6"/>
    <w:rsid w:val="00336BE0"/>
    <w:rsid w:val="00336D43"/>
    <w:rsid w:val="003373AD"/>
    <w:rsid w:val="003375C9"/>
    <w:rsid w:val="00337734"/>
    <w:rsid w:val="003378F2"/>
    <w:rsid w:val="00337CC2"/>
    <w:rsid w:val="00337FAE"/>
    <w:rsid w:val="0034018B"/>
    <w:rsid w:val="003401AC"/>
    <w:rsid w:val="003404A4"/>
    <w:rsid w:val="00340B16"/>
    <w:rsid w:val="0034103D"/>
    <w:rsid w:val="003412BB"/>
    <w:rsid w:val="00341390"/>
    <w:rsid w:val="00341397"/>
    <w:rsid w:val="003414A5"/>
    <w:rsid w:val="00341507"/>
    <w:rsid w:val="00341541"/>
    <w:rsid w:val="003415F5"/>
    <w:rsid w:val="00341619"/>
    <w:rsid w:val="00341B58"/>
    <w:rsid w:val="00341C87"/>
    <w:rsid w:val="003420D8"/>
    <w:rsid w:val="00342146"/>
    <w:rsid w:val="00342552"/>
    <w:rsid w:val="003426EF"/>
    <w:rsid w:val="003427EA"/>
    <w:rsid w:val="003429A3"/>
    <w:rsid w:val="003429E5"/>
    <w:rsid w:val="00342FCD"/>
    <w:rsid w:val="00343096"/>
    <w:rsid w:val="003430F8"/>
    <w:rsid w:val="0034313D"/>
    <w:rsid w:val="00343265"/>
    <w:rsid w:val="003432C6"/>
    <w:rsid w:val="003433CF"/>
    <w:rsid w:val="003434AD"/>
    <w:rsid w:val="0034356D"/>
    <w:rsid w:val="00343AFF"/>
    <w:rsid w:val="00343BA8"/>
    <w:rsid w:val="00343BEB"/>
    <w:rsid w:val="00343D9B"/>
    <w:rsid w:val="00343EEB"/>
    <w:rsid w:val="00344217"/>
    <w:rsid w:val="00344233"/>
    <w:rsid w:val="003443F8"/>
    <w:rsid w:val="0034458C"/>
    <w:rsid w:val="0034491E"/>
    <w:rsid w:val="00344AD8"/>
    <w:rsid w:val="00344D32"/>
    <w:rsid w:val="00344E2B"/>
    <w:rsid w:val="00345256"/>
    <w:rsid w:val="00345343"/>
    <w:rsid w:val="00345374"/>
    <w:rsid w:val="003453E8"/>
    <w:rsid w:val="003456B0"/>
    <w:rsid w:val="003456E3"/>
    <w:rsid w:val="0034574F"/>
    <w:rsid w:val="00345818"/>
    <w:rsid w:val="00345A85"/>
    <w:rsid w:val="00345A91"/>
    <w:rsid w:val="00345AA1"/>
    <w:rsid w:val="00345C82"/>
    <w:rsid w:val="00345DB2"/>
    <w:rsid w:val="00345F0A"/>
    <w:rsid w:val="00345F45"/>
    <w:rsid w:val="00346234"/>
    <w:rsid w:val="003462EA"/>
    <w:rsid w:val="00346410"/>
    <w:rsid w:val="003464A2"/>
    <w:rsid w:val="0034663F"/>
    <w:rsid w:val="003466AA"/>
    <w:rsid w:val="003468DA"/>
    <w:rsid w:val="003469C6"/>
    <w:rsid w:val="00346A43"/>
    <w:rsid w:val="00346B56"/>
    <w:rsid w:val="00346D86"/>
    <w:rsid w:val="00346DBF"/>
    <w:rsid w:val="00346E44"/>
    <w:rsid w:val="00347131"/>
    <w:rsid w:val="00347140"/>
    <w:rsid w:val="003477C0"/>
    <w:rsid w:val="003477C7"/>
    <w:rsid w:val="00347883"/>
    <w:rsid w:val="00347885"/>
    <w:rsid w:val="00347A5B"/>
    <w:rsid w:val="00347B42"/>
    <w:rsid w:val="00347B68"/>
    <w:rsid w:val="00347CCF"/>
    <w:rsid w:val="00347FF5"/>
    <w:rsid w:val="003501DA"/>
    <w:rsid w:val="00350313"/>
    <w:rsid w:val="003503FE"/>
    <w:rsid w:val="0035074F"/>
    <w:rsid w:val="0035086E"/>
    <w:rsid w:val="00350A6F"/>
    <w:rsid w:val="00350F85"/>
    <w:rsid w:val="003511ED"/>
    <w:rsid w:val="003512EB"/>
    <w:rsid w:val="0035151A"/>
    <w:rsid w:val="00351633"/>
    <w:rsid w:val="0035167F"/>
    <w:rsid w:val="00351737"/>
    <w:rsid w:val="00351793"/>
    <w:rsid w:val="003518EF"/>
    <w:rsid w:val="00351A98"/>
    <w:rsid w:val="00351BB4"/>
    <w:rsid w:val="00351DE5"/>
    <w:rsid w:val="00351E01"/>
    <w:rsid w:val="00351EDA"/>
    <w:rsid w:val="00351F89"/>
    <w:rsid w:val="003520B8"/>
    <w:rsid w:val="003521F7"/>
    <w:rsid w:val="0035224E"/>
    <w:rsid w:val="0035230C"/>
    <w:rsid w:val="003524B1"/>
    <w:rsid w:val="0035259B"/>
    <w:rsid w:val="003525C1"/>
    <w:rsid w:val="0035286D"/>
    <w:rsid w:val="003529E0"/>
    <w:rsid w:val="00352A17"/>
    <w:rsid w:val="00352A34"/>
    <w:rsid w:val="00352C3F"/>
    <w:rsid w:val="00352FF7"/>
    <w:rsid w:val="0035317D"/>
    <w:rsid w:val="0035318D"/>
    <w:rsid w:val="003531C9"/>
    <w:rsid w:val="0035351C"/>
    <w:rsid w:val="00353B74"/>
    <w:rsid w:val="00353C39"/>
    <w:rsid w:val="00353D64"/>
    <w:rsid w:val="003541E5"/>
    <w:rsid w:val="0035424C"/>
    <w:rsid w:val="003543DB"/>
    <w:rsid w:val="003545EC"/>
    <w:rsid w:val="00354B28"/>
    <w:rsid w:val="00354B31"/>
    <w:rsid w:val="00354DBC"/>
    <w:rsid w:val="00354FAD"/>
    <w:rsid w:val="0035577E"/>
    <w:rsid w:val="003557EA"/>
    <w:rsid w:val="0035586A"/>
    <w:rsid w:val="003558B1"/>
    <w:rsid w:val="00355A30"/>
    <w:rsid w:val="00355AFE"/>
    <w:rsid w:val="00355D81"/>
    <w:rsid w:val="00355DCA"/>
    <w:rsid w:val="00355E1D"/>
    <w:rsid w:val="00355EAC"/>
    <w:rsid w:val="00355F20"/>
    <w:rsid w:val="00355F35"/>
    <w:rsid w:val="00356242"/>
    <w:rsid w:val="0035628A"/>
    <w:rsid w:val="0035630E"/>
    <w:rsid w:val="0035657C"/>
    <w:rsid w:val="003566C8"/>
    <w:rsid w:val="00356838"/>
    <w:rsid w:val="00356BCB"/>
    <w:rsid w:val="00356CD6"/>
    <w:rsid w:val="00357767"/>
    <w:rsid w:val="003578C7"/>
    <w:rsid w:val="00357950"/>
    <w:rsid w:val="003579D4"/>
    <w:rsid w:val="00357A18"/>
    <w:rsid w:val="00357ABD"/>
    <w:rsid w:val="00357C33"/>
    <w:rsid w:val="00360128"/>
    <w:rsid w:val="00360301"/>
    <w:rsid w:val="00360393"/>
    <w:rsid w:val="0036055C"/>
    <w:rsid w:val="0036062C"/>
    <w:rsid w:val="00360691"/>
    <w:rsid w:val="00360ABB"/>
    <w:rsid w:val="00360B10"/>
    <w:rsid w:val="00360B9A"/>
    <w:rsid w:val="0036102B"/>
    <w:rsid w:val="003610D1"/>
    <w:rsid w:val="00361186"/>
    <w:rsid w:val="003611D4"/>
    <w:rsid w:val="00361475"/>
    <w:rsid w:val="00361696"/>
    <w:rsid w:val="003619D3"/>
    <w:rsid w:val="00361DCA"/>
    <w:rsid w:val="0036203D"/>
    <w:rsid w:val="00362064"/>
    <w:rsid w:val="00362232"/>
    <w:rsid w:val="0036225D"/>
    <w:rsid w:val="00362285"/>
    <w:rsid w:val="003623C0"/>
    <w:rsid w:val="003625B7"/>
    <w:rsid w:val="003625F8"/>
    <w:rsid w:val="003627EA"/>
    <w:rsid w:val="003628B3"/>
    <w:rsid w:val="00362AED"/>
    <w:rsid w:val="003633C9"/>
    <w:rsid w:val="00363462"/>
    <w:rsid w:val="003634E7"/>
    <w:rsid w:val="00363704"/>
    <w:rsid w:val="003637B9"/>
    <w:rsid w:val="00363801"/>
    <w:rsid w:val="003639AD"/>
    <w:rsid w:val="00363D1D"/>
    <w:rsid w:val="00363EEF"/>
    <w:rsid w:val="003640C1"/>
    <w:rsid w:val="00364230"/>
    <w:rsid w:val="003647C7"/>
    <w:rsid w:val="00364811"/>
    <w:rsid w:val="003649BD"/>
    <w:rsid w:val="00364AC7"/>
    <w:rsid w:val="00364AF2"/>
    <w:rsid w:val="00364EB4"/>
    <w:rsid w:val="00364F1C"/>
    <w:rsid w:val="00365143"/>
    <w:rsid w:val="00365173"/>
    <w:rsid w:val="003653DC"/>
    <w:rsid w:val="003654C6"/>
    <w:rsid w:val="003655D9"/>
    <w:rsid w:val="00365750"/>
    <w:rsid w:val="0036594B"/>
    <w:rsid w:val="00365B9D"/>
    <w:rsid w:val="00365E43"/>
    <w:rsid w:val="0036628F"/>
    <w:rsid w:val="003664B3"/>
    <w:rsid w:val="00366857"/>
    <w:rsid w:val="003669A1"/>
    <w:rsid w:val="00366FE2"/>
    <w:rsid w:val="00367009"/>
    <w:rsid w:val="0036706C"/>
    <w:rsid w:val="0036738E"/>
    <w:rsid w:val="003676AF"/>
    <w:rsid w:val="003678C2"/>
    <w:rsid w:val="003679A7"/>
    <w:rsid w:val="00367B26"/>
    <w:rsid w:val="00367B2F"/>
    <w:rsid w:val="00367B6E"/>
    <w:rsid w:val="00367FB9"/>
    <w:rsid w:val="00370242"/>
    <w:rsid w:val="00370472"/>
    <w:rsid w:val="00370690"/>
    <w:rsid w:val="003706F5"/>
    <w:rsid w:val="00370946"/>
    <w:rsid w:val="00370995"/>
    <w:rsid w:val="00370A60"/>
    <w:rsid w:val="00370BAC"/>
    <w:rsid w:val="00370C48"/>
    <w:rsid w:val="003713B6"/>
    <w:rsid w:val="003714DC"/>
    <w:rsid w:val="003719F5"/>
    <w:rsid w:val="00371B34"/>
    <w:rsid w:val="0037232E"/>
    <w:rsid w:val="00372398"/>
    <w:rsid w:val="00372688"/>
    <w:rsid w:val="003727D0"/>
    <w:rsid w:val="003729E0"/>
    <w:rsid w:val="00372A63"/>
    <w:rsid w:val="00372ACC"/>
    <w:rsid w:val="00372BBC"/>
    <w:rsid w:val="00372BDA"/>
    <w:rsid w:val="00372D5C"/>
    <w:rsid w:val="00372F39"/>
    <w:rsid w:val="00373108"/>
    <w:rsid w:val="0037319C"/>
    <w:rsid w:val="003733B1"/>
    <w:rsid w:val="0037372B"/>
    <w:rsid w:val="00373909"/>
    <w:rsid w:val="00373C47"/>
    <w:rsid w:val="00373CCD"/>
    <w:rsid w:val="00373DCB"/>
    <w:rsid w:val="00373F87"/>
    <w:rsid w:val="00373FA5"/>
    <w:rsid w:val="00374184"/>
    <w:rsid w:val="003741BC"/>
    <w:rsid w:val="003745D9"/>
    <w:rsid w:val="00374684"/>
    <w:rsid w:val="00374931"/>
    <w:rsid w:val="00374A9A"/>
    <w:rsid w:val="00374B2D"/>
    <w:rsid w:val="00374BC3"/>
    <w:rsid w:val="0037510E"/>
    <w:rsid w:val="003753FE"/>
    <w:rsid w:val="00375585"/>
    <w:rsid w:val="00375621"/>
    <w:rsid w:val="00375635"/>
    <w:rsid w:val="00375649"/>
    <w:rsid w:val="00375748"/>
    <w:rsid w:val="003758B1"/>
    <w:rsid w:val="003758FE"/>
    <w:rsid w:val="00375FC2"/>
    <w:rsid w:val="003760C6"/>
    <w:rsid w:val="0037615A"/>
    <w:rsid w:val="0037624F"/>
    <w:rsid w:val="00376574"/>
    <w:rsid w:val="003765DF"/>
    <w:rsid w:val="0037662D"/>
    <w:rsid w:val="003766E5"/>
    <w:rsid w:val="00376772"/>
    <w:rsid w:val="00376988"/>
    <w:rsid w:val="003769C4"/>
    <w:rsid w:val="00376BF8"/>
    <w:rsid w:val="00377087"/>
    <w:rsid w:val="003770AA"/>
    <w:rsid w:val="00377104"/>
    <w:rsid w:val="003771D1"/>
    <w:rsid w:val="00377703"/>
    <w:rsid w:val="00377976"/>
    <w:rsid w:val="00377CE9"/>
    <w:rsid w:val="00377DC7"/>
    <w:rsid w:val="00377FB8"/>
    <w:rsid w:val="00380009"/>
    <w:rsid w:val="0038039B"/>
    <w:rsid w:val="0038046A"/>
    <w:rsid w:val="00380533"/>
    <w:rsid w:val="003805B6"/>
    <w:rsid w:val="003805E9"/>
    <w:rsid w:val="0038064E"/>
    <w:rsid w:val="00380737"/>
    <w:rsid w:val="00380887"/>
    <w:rsid w:val="003808D6"/>
    <w:rsid w:val="003809B4"/>
    <w:rsid w:val="00380A72"/>
    <w:rsid w:val="00380B6E"/>
    <w:rsid w:val="00380BB2"/>
    <w:rsid w:val="00380D5F"/>
    <w:rsid w:val="0038117E"/>
    <w:rsid w:val="003815BA"/>
    <w:rsid w:val="00381994"/>
    <w:rsid w:val="00381AC7"/>
    <w:rsid w:val="00381E2F"/>
    <w:rsid w:val="00381F71"/>
    <w:rsid w:val="00382057"/>
    <w:rsid w:val="003820CB"/>
    <w:rsid w:val="003822A6"/>
    <w:rsid w:val="00382338"/>
    <w:rsid w:val="00382349"/>
    <w:rsid w:val="0038238F"/>
    <w:rsid w:val="0038241A"/>
    <w:rsid w:val="0038254B"/>
    <w:rsid w:val="003827C1"/>
    <w:rsid w:val="003828F4"/>
    <w:rsid w:val="00382A2A"/>
    <w:rsid w:val="00382CCB"/>
    <w:rsid w:val="00382DB8"/>
    <w:rsid w:val="00383002"/>
    <w:rsid w:val="003831DF"/>
    <w:rsid w:val="003836D5"/>
    <w:rsid w:val="003839A2"/>
    <w:rsid w:val="00383F5B"/>
    <w:rsid w:val="00384134"/>
    <w:rsid w:val="003841E2"/>
    <w:rsid w:val="003842C0"/>
    <w:rsid w:val="003843A8"/>
    <w:rsid w:val="0038448F"/>
    <w:rsid w:val="00384540"/>
    <w:rsid w:val="00384609"/>
    <w:rsid w:val="003847C0"/>
    <w:rsid w:val="0038480C"/>
    <w:rsid w:val="00384937"/>
    <w:rsid w:val="003849A8"/>
    <w:rsid w:val="00384A2E"/>
    <w:rsid w:val="00384F45"/>
    <w:rsid w:val="003850CB"/>
    <w:rsid w:val="0038519A"/>
    <w:rsid w:val="0038526F"/>
    <w:rsid w:val="003852B8"/>
    <w:rsid w:val="00385373"/>
    <w:rsid w:val="00385472"/>
    <w:rsid w:val="00385541"/>
    <w:rsid w:val="003859AE"/>
    <w:rsid w:val="00385BB1"/>
    <w:rsid w:val="00385CA0"/>
    <w:rsid w:val="00385DE0"/>
    <w:rsid w:val="0038614E"/>
    <w:rsid w:val="003861B6"/>
    <w:rsid w:val="003861F0"/>
    <w:rsid w:val="00386736"/>
    <w:rsid w:val="00386CD2"/>
    <w:rsid w:val="00386EE8"/>
    <w:rsid w:val="00386F65"/>
    <w:rsid w:val="003870EA"/>
    <w:rsid w:val="00387296"/>
    <w:rsid w:val="003874DF"/>
    <w:rsid w:val="003875B4"/>
    <w:rsid w:val="00387603"/>
    <w:rsid w:val="00387667"/>
    <w:rsid w:val="00387697"/>
    <w:rsid w:val="003876E6"/>
    <w:rsid w:val="00387750"/>
    <w:rsid w:val="00387833"/>
    <w:rsid w:val="00387CBD"/>
    <w:rsid w:val="00387D92"/>
    <w:rsid w:val="00390296"/>
    <w:rsid w:val="003903B7"/>
    <w:rsid w:val="00390778"/>
    <w:rsid w:val="00390896"/>
    <w:rsid w:val="00390D4A"/>
    <w:rsid w:val="00390D52"/>
    <w:rsid w:val="003910CE"/>
    <w:rsid w:val="003911E1"/>
    <w:rsid w:val="003912B8"/>
    <w:rsid w:val="00391657"/>
    <w:rsid w:val="003916A1"/>
    <w:rsid w:val="003916C0"/>
    <w:rsid w:val="003919E7"/>
    <w:rsid w:val="00391B5A"/>
    <w:rsid w:val="00391B76"/>
    <w:rsid w:val="00391E39"/>
    <w:rsid w:val="00391FAB"/>
    <w:rsid w:val="003920F3"/>
    <w:rsid w:val="00392363"/>
    <w:rsid w:val="0039245B"/>
    <w:rsid w:val="0039263A"/>
    <w:rsid w:val="00392695"/>
    <w:rsid w:val="00392810"/>
    <w:rsid w:val="00392824"/>
    <w:rsid w:val="00392996"/>
    <w:rsid w:val="00392D38"/>
    <w:rsid w:val="00392D69"/>
    <w:rsid w:val="00393355"/>
    <w:rsid w:val="003933BF"/>
    <w:rsid w:val="0039360C"/>
    <w:rsid w:val="003938F3"/>
    <w:rsid w:val="00393986"/>
    <w:rsid w:val="00393C1D"/>
    <w:rsid w:val="00393E80"/>
    <w:rsid w:val="00393F01"/>
    <w:rsid w:val="0039437C"/>
    <w:rsid w:val="00394616"/>
    <w:rsid w:val="003947F4"/>
    <w:rsid w:val="00394918"/>
    <w:rsid w:val="003949CC"/>
    <w:rsid w:val="00394B87"/>
    <w:rsid w:val="00394E69"/>
    <w:rsid w:val="003950D8"/>
    <w:rsid w:val="0039535E"/>
    <w:rsid w:val="003953DF"/>
    <w:rsid w:val="003954D6"/>
    <w:rsid w:val="00395502"/>
    <w:rsid w:val="00395F13"/>
    <w:rsid w:val="00395F5B"/>
    <w:rsid w:val="00395F6B"/>
    <w:rsid w:val="00395FFB"/>
    <w:rsid w:val="00396009"/>
    <w:rsid w:val="0039602F"/>
    <w:rsid w:val="003961C0"/>
    <w:rsid w:val="00396253"/>
    <w:rsid w:val="003962CA"/>
    <w:rsid w:val="00396384"/>
    <w:rsid w:val="003966C2"/>
    <w:rsid w:val="003968E8"/>
    <w:rsid w:val="00396C16"/>
    <w:rsid w:val="00396DA8"/>
    <w:rsid w:val="00396DD6"/>
    <w:rsid w:val="00396DE9"/>
    <w:rsid w:val="003970FA"/>
    <w:rsid w:val="00397717"/>
    <w:rsid w:val="003977CA"/>
    <w:rsid w:val="00397B9B"/>
    <w:rsid w:val="00397BFD"/>
    <w:rsid w:val="00397CBB"/>
    <w:rsid w:val="00397E51"/>
    <w:rsid w:val="00397FCC"/>
    <w:rsid w:val="003A0183"/>
    <w:rsid w:val="003A037D"/>
    <w:rsid w:val="003A049C"/>
    <w:rsid w:val="003A05EA"/>
    <w:rsid w:val="003A0620"/>
    <w:rsid w:val="003A0B5E"/>
    <w:rsid w:val="003A0F24"/>
    <w:rsid w:val="003A0FF6"/>
    <w:rsid w:val="003A12B4"/>
    <w:rsid w:val="003A12C6"/>
    <w:rsid w:val="003A1959"/>
    <w:rsid w:val="003A1C27"/>
    <w:rsid w:val="003A1D9B"/>
    <w:rsid w:val="003A1F32"/>
    <w:rsid w:val="003A20B8"/>
    <w:rsid w:val="003A20D8"/>
    <w:rsid w:val="003A2130"/>
    <w:rsid w:val="003A23B4"/>
    <w:rsid w:val="003A251D"/>
    <w:rsid w:val="003A267B"/>
    <w:rsid w:val="003A2731"/>
    <w:rsid w:val="003A277A"/>
    <w:rsid w:val="003A27C6"/>
    <w:rsid w:val="003A2842"/>
    <w:rsid w:val="003A3217"/>
    <w:rsid w:val="003A33E9"/>
    <w:rsid w:val="003A35BF"/>
    <w:rsid w:val="003A35EA"/>
    <w:rsid w:val="003A365A"/>
    <w:rsid w:val="003A37D5"/>
    <w:rsid w:val="003A3825"/>
    <w:rsid w:val="003A3C96"/>
    <w:rsid w:val="003A3DD2"/>
    <w:rsid w:val="003A40E7"/>
    <w:rsid w:val="003A411E"/>
    <w:rsid w:val="003A432F"/>
    <w:rsid w:val="003A43B2"/>
    <w:rsid w:val="003A4508"/>
    <w:rsid w:val="003A4917"/>
    <w:rsid w:val="003A4C73"/>
    <w:rsid w:val="003A4CDB"/>
    <w:rsid w:val="003A4DE5"/>
    <w:rsid w:val="003A5011"/>
    <w:rsid w:val="003A502C"/>
    <w:rsid w:val="003A509C"/>
    <w:rsid w:val="003A50C1"/>
    <w:rsid w:val="003A5161"/>
    <w:rsid w:val="003A5244"/>
    <w:rsid w:val="003A560B"/>
    <w:rsid w:val="003A5805"/>
    <w:rsid w:val="003A5AE2"/>
    <w:rsid w:val="003A5BBE"/>
    <w:rsid w:val="003A5E82"/>
    <w:rsid w:val="003A5F95"/>
    <w:rsid w:val="003A60EB"/>
    <w:rsid w:val="003A6200"/>
    <w:rsid w:val="003A62F1"/>
    <w:rsid w:val="003A664C"/>
    <w:rsid w:val="003A67F7"/>
    <w:rsid w:val="003A68FC"/>
    <w:rsid w:val="003A6ABB"/>
    <w:rsid w:val="003A6B95"/>
    <w:rsid w:val="003A704A"/>
    <w:rsid w:val="003A70B5"/>
    <w:rsid w:val="003A718E"/>
    <w:rsid w:val="003A7458"/>
    <w:rsid w:val="003A74E2"/>
    <w:rsid w:val="003A7AB1"/>
    <w:rsid w:val="003A7C2B"/>
    <w:rsid w:val="003A7D50"/>
    <w:rsid w:val="003A7E4C"/>
    <w:rsid w:val="003B00C2"/>
    <w:rsid w:val="003B01C8"/>
    <w:rsid w:val="003B02D6"/>
    <w:rsid w:val="003B0355"/>
    <w:rsid w:val="003B05F7"/>
    <w:rsid w:val="003B0690"/>
    <w:rsid w:val="003B0D2B"/>
    <w:rsid w:val="003B0DEC"/>
    <w:rsid w:val="003B0E3C"/>
    <w:rsid w:val="003B0E67"/>
    <w:rsid w:val="003B1163"/>
    <w:rsid w:val="003B1588"/>
    <w:rsid w:val="003B1750"/>
    <w:rsid w:val="003B1793"/>
    <w:rsid w:val="003B17A8"/>
    <w:rsid w:val="003B1903"/>
    <w:rsid w:val="003B1A64"/>
    <w:rsid w:val="003B1CA6"/>
    <w:rsid w:val="003B207F"/>
    <w:rsid w:val="003B209D"/>
    <w:rsid w:val="003B21F6"/>
    <w:rsid w:val="003B23ED"/>
    <w:rsid w:val="003B2532"/>
    <w:rsid w:val="003B257A"/>
    <w:rsid w:val="003B265B"/>
    <w:rsid w:val="003B26A2"/>
    <w:rsid w:val="003B2745"/>
    <w:rsid w:val="003B27B7"/>
    <w:rsid w:val="003B280B"/>
    <w:rsid w:val="003B2D1D"/>
    <w:rsid w:val="003B2F85"/>
    <w:rsid w:val="003B2FDE"/>
    <w:rsid w:val="003B344C"/>
    <w:rsid w:val="003B35C3"/>
    <w:rsid w:val="003B38BD"/>
    <w:rsid w:val="003B397D"/>
    <w:rsid w:val="003B398E"/>
    <w:rsid w:val="003B3D95"/>
    <w:rsid w:val="003B4008"/>
    <w:rsid w:val="003B4021"/>
    <w:rsid w:val="003B40B0"/>
    <w:rsid w:val="003B425E"/>
    <w:rsid w:val="003B4297"/>
    <w:rsid w:val="003B42C2"/>
    <w:rsid w:val="003B4352"/>
    <w:rsid w:val="003B4644"/>
    <w:rsid w:val="003B4BD5"/>
    <w:rsid w:val="003B4C06"/>
    <w:rsid w:val="003B4C19"/>
    <w:rsid w:val="003B4CCD"/>
    <w:rsid w:val="003B4CDA"/>
    <w:rsid w:val="003B4E94"/>
    <w:rsid w:val="003B51B4"/>
    <w:rsid w:val="003B528E"/>
    <w:rsid w:val="003B546C"/>
    <w:rsid w:val="003B55F4"/>
    <w:rsid w:val="003B565E"/>
    <w:rsid w:val="003B57E7"/>
    <w:rsid w:val="003B59CF"/>
    <w:rsid w:val="003B5B9B"/>
    <w:rsid w:val="003B5CB2"/>
    <w:rsid w:val="003B5D25"/>
    <w:rsid w:val="003B5DDB"/>
    <w:rsid w:val="003B5EC9"/>
    <w:rsid w:val="003B5F4E"/>
    <w:rsid w:val="003B602E"/>
    <w:rsid w:val="003B6097"/>
    <w:rsid w:val="003B60F7"/>
    <w:rsid w:val="003B6508"/>
    <w:rsid w:val="003B6B93"/>
    <w:rsid w:val="003B6C8F"/>
    <w:rsid w:val="003B6E12"/>
    <w:rsid w:val="003B6FA9"/>
    <w:rsid w:val="003B6FAE"/>
    <w:rsid w:val="003B70D3"/>
    <w:rsid w:val="003B7164"/>
    <w:rsid w:val="003B72C5"/>
    <w:rsid w:val="003B7421"/>
    <w:rsid w:val="003B7436"/>
    <w:rsid w:val="003B74A4"/>
    <w:rsid w:val="003B754E"/>
    <w:rsid w:val="003B75C6"/>
    <w:rsid w:val="003B7840"/>
    <w:rsid w:val="003B79FC"/>
    <w:rsid w:val="003B7A71"/>
    <w:rsid w:val="003B7A8A"/>
    <w:rsid w:val="003B7ADB"/>
    <w:rsid w:val="003C005F"/>
    <w:rsid w:val="003C0431"/>
    <w:rsid w:val="003C0748"/>
    <w:rsid w:val="003C084D"/>
    <w:rsid w:val="003C0C11"/>
    <w:rsid w:val="003C0DBE"/>
    <w:rsid w:val="003C114B"/>
    <w:rsid w:val="003C12E2"/>
    <w:rsid w:val="003C1447"/>
    <w:rsid w:val="003C164B"/>
    <w:rsid w:val="003C1781"/>
    <w:rsid w:val="003C18CC"/>
    <w:rsid w:val="003C222E"/>
    <w:rsid w:val="003C2275"/>
    <w:rsid w:val="003C2293"/>
    <w:rsid w:val="003C235E"/>
    <w:rsid w:val="003C240E"/>
    <w:rsid w:val="003C27DC"/>
    <w:rsid w:val="003C3063"/>
    <w:rsid w:val="003C325F"/>
    <w:rsid w:val="003C33D4"/>
    <w:rsid w:val="003C3597"/>
    <w:rsid w:val="003C35D2"/>
    <w:rsid w:val="003C389D"/>
    <w:rsid w:val="003C38D0"/>
    <w:rsid w:val="003C3B76"/>
    <w:rsid w:val="003C42B6"/>
    <w:rsid w:val="003C44F4"/>
    <w:rsid w:val="003C4541"/>
    <w:rsid w:val="003C49C4"/>
    <w:rsid w:val="003C4B62"/>
    <w:rsid w:val="003C4C41"/>
    <w:rsid w:val="003C4CA3"/>
    <w:rsid w:val="003C5078"/>
    <w:rsid w:val="003C5094"/>
    <w:rsid w:val="003C5274"/>
    <w:rsid w:val="003C5E34"/>
    <w:rsid w:val="003C6138"/>
    <w:rsid w:val="003C63A1"/>
    <w:rsid w:val="003C6A78"/>
    <w:rsid w:val="003C6E06"/>
    <w:rsid w:val="003C6FFB"/>
    <w:rsid w:val="003C71F6"/>
    <w:rsid w:val="003C726D"/>
    <w:rsid w:val="003C7288"/>
    <w:rsid w:val="003C7333"/>
    <w:rsid w:val="003C73A2"/>
    <w:rsid w:val="003C74F8"/>
    <w:rsid w:val="003C76D0"/>
    <w:rsid w:val="003C788E"/>
    <w:rsid w:val="003C79D8"/>
    <w:rsid w:val="003C7A52"/>
    <w:rsid w:val="003C7AC7"/>
    <w:rsid w:val="003C7C19"/>
    <w:rsid w:val="003D000B"/>
    <w:rsid w:val="003D0145"/>
    <w:rsid w:val="003D01EF"/>
    <w:rsid w:val="003D036D"/>
    <w:rsid w:val="003D03F9"/>
    <w:rsid w:val="003D07D4"/>
    <w:rsid w:val="003D08FD"/>
    <w:rsid w:val="003D09D8"/>
    <w:rsid w:val="003D0B01"/>
    <w:rsid w:val="003D0B76"/>
    <w:rsid w:val="003D0CCA"/>
    <w:rsid w:val="003D0CD9"/>
    <w:rsid w:val="003D0E53"/>
    <w:rsid w:val="003D0EB4"/>
    <w:rsid w:val="003D10B5"/>
    <w:rsid w:val="003D1160"/>
    <w:rsid w:val="003D134D"/>
    <w:rsid w:val="003D1889"/>
    <w:rsid w:val="003D1931"/>
    <w:rsid w:val="003D19B5"/>
    <w:rsid w:val="003D1B80"/>
    <w:rsid w:val="003D1D6A"/>
    <w:rsid w:val="003D1E61"/>
    <w:rsid w:val="003D1E6B"/>
    <w:rsid w:val="003D1EA9"/>
    <w:rsid w:val="003D1F01"/>
    <w:rsid w:val="003D2562"/>
    <w:rsid w:val="003D26D8"/>
    <w:rsid w:val="003D2956"/>
    <w:rsid w:val="003D2EC1"/>
    <w:rsid w:val="003D2FD3"/>
    <w:rsid w:val="003D3042"/>
    <w:rsid w:val="003D33C8"/>
    <w:rsid w:val="003D34CB"/>
    <w:rsid w:val="003D3734"/>
    <w:rsid w:val="003D3991"/>
    <w:rsid w:val="003D3B74"/>
    <w:rsid w:val="003D3ED2"/>
    <w:rsid w:val="003D3F58"/>
    <w:rsid w:val="003D3FD9"/>
    <w:rsid w:val="003D4452"/>
    <w:rsid w:val="003D44B8"/>
    <w:rsid w:val="003D4922"/>
    <w:rsid w:val="003D4E80"/>
    <w:rsid w:val="003D4E9E"/>
    <w:rsid w:val="003D4F9C"/>
    <w:rsid w:val="003D52EE"/>
    <w:rsid w:val="003D5A07"/>
    <w:rsid w:val="003D5A6D"/>
    <w:rsid w:val="003D5A77"/>
    <w:rsid w:val="003D5AF5"/>
    <w:rsid w:val="003D5B4B"/>
    <w:rsid w:val="003D6295"/>
    <w:rsid w:val="003D6475"/>
    <w:rsid w:val="003D658D"/>
    <w:rsid w:val="003D66C3"/>
    <w:rsid w:val="003D66C9"/>
    <w:rsid w:val="003D6741"/>
    <w:rsid w:val="003D6968"/>
    <w:rsid w:val="003D6FA7"/>
    <w:rsid w:val="003D70AE"/>
    <w:rsid w:val="003D72B3"/>
    <w:rsid w:val="003D7365"/>
    <w:rsid w:val="003D745D"/>
    <w:rsid w:val="003D79B7"/>
    <w:rsid w:val="003D79FF"/>
    <w:rsid w:val="003D7F20"/>
    <w:rsid w:val="003E0113"/>
    <w:rsid w:val="003E023B"/>
    <w:rsid w:val="003E0397"/>
    <w:rsid w:val="003E06B6"/>
    <w:rsid w:val="003E0DC2"/>
    <w:rsid w:val="003E106D"/>
    <w:rsid w:val="003E10B4"/>
    <w:rsid w:val="003E10DE"/>
    <w:rsid w:val="003E1170"/>
    <w:rsid w:val="003E1388"/>
    <w:rsid w:val="003E13B1"/>
    <w:rsid w:val="003E1633"/>
    <w:rsid w:val="003E1751"/>
    <w:rsid w:val="003E183F"/>
    <w:rsid w:val="003E1884"/>
    <w:rsid w:val="003E1DFB"/>
    <w:rsid w:val="003E1E7F"/>
    <w:rsid w:val="003E1ED6"/>
    <w:rsid w:val="003E2802"/>
    <w:rsid w:val="003E2891"/>
    <w:rsid w:val="003E2B95"/>
    <w:rsid w:val="003E2D20"/>
    <w:rsid w:val="003E2E76"/>
    <w:rsid w:val="003E2F0A"/>
    <w:rsid w:val="003E3235"/>
    <w:rsid w:val="003E357A"/>
    <w:rsid w:val="003E3625"/>
    <w:rsid w:val="003E38F5"/>
    <w:rsid w:val="003E39A5"/>
    <w:rsid w:val="003E3C9D"/>
    <w:rsid w:val="003E404F"/>
    <w:rsid w:val="003E4150"/>
    <w:rsid w:val="003E42D5"/>
    <w:rsid w:val="003E4475"/>
    <w:rsid w:val="003E4957"/>
    <w:rsid w:val="003E4978"/>
    <w:rsid w:val="003E4A7E"/>
    <w:rsid w:val="003E4AEC"/>
    <w:rsid w:val="003E4AFB"/>
    <w:rsid w:val="003E4FC5"/>
    <w:rsid w:val="003E50D9"/>
    <w:rsid w:val="003E5184"/>
    <w:rsid w:val="003E569E"/>
    <w:rsid w:val="003E5A02"/>
    <w:rsid w:val="003E5B13"/>
    <w:rsid w:val="003E5B86"/>
    <w:rsid w:val="003E5C1C"/>
    <w:rsid w:val="003E5F50"/>
    <w:rsid w:val="003E62A4"/>
    <w:rsid w:val="003E6AB7"/>
    <w:rsid w:val="003E6BC7"/>
    <w:rsid w:val="003E6E79"/>
    <w:rsid w:val="003E6F73"/>
    <w:rsid w:val="003E7293"/>
    <w:rsid w:val="003E75F7"/>
    <w:rsid w:val="003E7C8E"/>
    <w:rsid w:val="003E7D04"/>
    <w:rsid w:val="003F00AD"/>
    <w:rsid w:val="003F01CE"/>
    <w:rsid w:val="003F0595"/>
    <w:rsid w:val="003F076E"/>
    <w:rsid w:val="003F07D1"/>
    <w:rsid w:val="003F08E7"/>
    <w:rsid w:val="003F0A93"/>
    <w:rsid w:val="003F0BBC"/>
    <w:rsid w:val="003F0C14"/>
    <w:rsid w:val="003F0C95"/>
    <w:rsid w:val="003F0CE3"/>
    <w:rsid w:val="003F0D63"/>
    <w:rsid w:val="003F0EA6"/>
    <w:rsid w:val="003F0F2E"/>
    <w:rsid w:val="003F1047"/>
    <w:rsid w:val="003F117E"/>
    <w:rsid w:val="003F1465"/>
    <w:rsid w:val="003F1602"/>
    <w:rsid w:val="003F1692"/>
    <w:rsid w:val="003F1C45"/>
    <w:rsid w:val="003F1DBA"/>
    <w:rsid w:val="003F1EB4"/>
    <w:rsid w:val="003F1F5A"/>
    <w:rsid w:val="003F2179"/>
    <w:rsid w:val="003F2550"/>
    <w:rsid w:val="003F2998"/>
    <w:rsid w:val="003F2CCA"/>
    <w:rsid w:val="003F2CF6"/>
    <w:rsid w:val="003F2D12"/>
    <w:rsid w:val="003F2E3D"/>
    <w:rsid w:val="003F2FD9"/>
    <w:rsid w:val="003F2FF3"/>
    <w:rsid w:val="003F314D"/>
    <w:rsid w:val="003F34FC"/>
    <w:rsid w:val="003F3504"/>
    <w:rsid w:val="003F35A0"/>
    <w:rsid w:val="003F36BD"/>
    <w:rsid w:val="003F3859"/>
    <w:rsid w:val="003F38FC"/>
    <w:rsid w:val="003F3A49"/>
    <w:rsid w:val="003F3AAC"/>
    <w:rsid w:val="003F3CF7"/>
    <w:rsid w:val="003F3ECD"/>
    <w:rsid w:val="003F3F45"/>
    <w:rsid w:val="003F4152"/>
    <w:rsid w:val="003F42F7"/>
    <w:rsid w:val="003F43D8"/>
    <w:rsid w:val="003F466A"/>
    <w:rsid w:val="003F4733"/>
    <w:rsid w:val="003F4ED1"/>
    <w:rsid w:val="003F5180"/>
    <w:rsid w:val="003F53D1"/>
    <w:rsid w:val="003F55C4"/>
    <w:rsid w:val="003F5684"/>
    <w:rsid w:val="003F56AB"/>
    <w:rsid w:val="003F5EED"/>
    <w:rsid w:val="003F5F28"/>
    <w:rsid w:val="003F600D"/>
    <w:rsid w:val="003F6109"/>
    <w:rsid w:val="003F612E"/>
    <w:rsid w:val="003F62DB"/>
    <w:rsid w:val="003F644B"/>
    <w:rsid w:val="003F6481"/>
    <w:rsid w:val="003F6596"/>
    <w:rsid w:val="003F66D2"/>
    <w:rsid w:val="003F697F"/>
    <w:rsid w:val="003F6DC6"/>
    <w:rsid w:val="003F6E0A"/>
    <w:rsid w:val="003F6EA4"/>
    <w:rsid w:val="003F6ED0"/>
    <w:rsid w:val="003F7089"/>
    <w:rsid w:val="003F7252"/>
    <w:rsid w:val="003F72EF"/>
    <w:rsid w:val="003F731C"/>
    <w:rsid w:val="003F7399"/>
    <w:rsid w:val="003F7582"/>
    <w:rsid w:val="003F79B5"/>
    <w:rsid w:val="003F79E7"/>
    <w:rsid w:val="003F7B54"/>
    <w:rsid w:val="003F7CD5"/>
    <w:rsid w:val="003F7EDC"/>
    <w:rsid w:val="003F7F38"/>
    <w:rsid w:val="004003F6"/>
    <w:rsid w:val="004004FE"/>
    <w:rsid w:val="0040058A"/>
    <w:rsid w:val="0040060D"/>
    <w:rsid w:val="00400729"/>
    <w:rsid w:val="00400BEC"/>
    <w:rsid w:val="00400CBE"/>
    <w:rsid w:val="00400D51"/>
    <w:rsid w:val="00400E27"/>
    <w:rsid w:val="00401395"/>
    <w:rsid w:val="00401483"/>
    <w:rsid w:val="004014F3"/>
    <w:rsid w:val="00401708"/>
    <w:rsid w:val="00401764"/>
    <w:rsid w:val="004018B2"/>
    <w:rsid w:val="00401938"/>
    <w:rsid w:val="0040197B"/>
    <w:rsid w:val="00401CF7"/>
    <w:rsid w:val="00401E0E"/>
    <w:rsid w:val="00401E81"/>
    <w:rsid w:val="00401FCD"/>
    <w:rsid w:val="00402318"/>
    <w:rsid w:val="0040231A"/>
    <w:rsid w:val="0040259B"/>
    <w:rsid w:val="00402981"/>
    <w:rsid w:val="00402CB2"/>
    <w:rsid w:val="00402D8B"/>
    <w:rsid w:val="00402FE4"/>
    <w:rsid w:val="004032A0"/>
    <w:rsid w:val="00403335"/>
    <w:rsid w:val="004033C3"/>
    <w:rsid w:val="00403824"/>
    <w:rsid w:val="00403A6C"/>
    <w:rsid w:val="00403B2F"/>
    <w:rsid w:val="00403BA0"/>
    <w:rsid w:val="00403DF2"/>
    <w:rsid w:val="00403E4E"/>
    <w:rsid w:val="0040411A"/>
    <w:rsid w:val="00404134"/>
    <w:rsid w:val="00404140"/>
    <w:rsid w:val="00404284"/>
    <w:rsid w:val="004044AB"/>
    <w:rsid w:val="004044F1"/>
    <w:rsid w:val="00404B39"/>
    <w:rsid w:val="00404E41"/>
    <w:rsid w:val="00404FB3"/>
    <w:rsid w:val="00405189"/>
    <w:rsid w:val="004053B5"/>
    <w:rsid w:val="0040547E"/>
    <w:rsid w:val="004055D9"/>
    <w:rsid w:val="00405885"/>
    <w:rsid w:val="00405890"/>
    <w:rsid w:val="00405AC8"/>
    <w:rsid w:val="00405B29"/>
    <w:rsid w:val="00405DD0"/>
    <w:rsid w:val="00405E05"/>
    <w:rsid w:val="00405F4F"/>
    <w:rsid w:val="0040607C"/>
    <w:rsid w:val="004064BE"/>
    <w:rsid w:val="004064D6"/>
    <w:rsid w:val="004064DD"/>
    <w:rsid w:val="004067D5"/>
    <w:rsid w:val="00406ACA"/>
    <w:rsid w:val="00407134"/>
    <w:rsid w:val="0040734D"/>
    <w:rsid w:val="00407356"/>
    <w:rsid w:val="004075BE"/>
    <w:rsid w:val="004076A0"/>
    <w:rsid w:val="00407724"/>
    <w:rsid w:val="00407A68"/>
    <w:rsid w:val="00407D28"/>
    <w:rsid w:val="00407D3D"/>
    <w:rsid w:val="00407D99"/>
    <w:rsid w:val="00410079"/>
    <w:rsid w:val="00410572"/>
    <w:rsid w:val="00410782"/>
    <w:rsid w:val="00410B44"/>
    <w:rsid w:val="00410B86"/>
    <w:rsid w:val="00410BCC"/>
    <w:rsid w:val="00410EEF"/>
    <w:rsid w:val="00411114"/>
    <w:rsid w:val="00411376"/>
    <w:rsid w:val="00411708"/>
    <w:rsid w:val="00411855"/>
    <w:rsid w:val="004118C9"/>
    <w:rsid w:val="00411D25"/>
    <w:rsid w:val="0041227A"/>
    <w:rsid w:val="00412310"/>
    <w:rsid w:val="00412758"/>
    <w:rsid w:val="004128C8"/>
    <w:rsid w:val="00412BEF"/>
    <w:rsid w:val="00412E9D"/>
    <w:rsid w:val="00412FEE"/>
    <w:rsid w:val="00413072"/>
    <w:rsid w:val="00413100"/>
    <w:rsid w:val="0041340F"/>
    <w:rsid w:val="00413D20"/>
    <w:rsid w:val="00413EF7"/>
    <w:rsid w:val="00414207"/>
    <w:rsid w:val="00414262"/>
    <w:rsid w:val="00414681"/>
    <w:rsid w:val="00414684"/>
    <w:rsid w:val="004148B2"/>
    <w:rsid w:val="0041498B"/>
    <w:rsid w:val="00414A28"/>
    <w:rsid w:val="00414A39"/>
    <w:rsid w:val="00414B20"/>
    <w:rsid w:val="00414F8B"/>
    <w:rsid w:val="0041519E"/>
    <w:rsid w:val="004151E4"/>
    <w:rsid w:val="00415245"/>
    <w:rsid w:val="00415305"/>
    <w:rsid w:val="00415441"/>
    <w:rsid w:val="00415731"/>
    <w:rsid w:val="004158AA"/>
    <w:rsid w:val="00415DAD"/>
    <w:rsid w:val="00415DC1"/>
    <w:rsid w:val="00415DE5"/>
    <w:rsid w:val="00415F09"/>
    <w:rsid w:val="00416589"/>
    <w:rsid w:val="00416796"/>
    <w:rsid w:val="00416865"/>
    <w:rsid w:val="00416887"/>
    <w:rsid w:val="004168D9"/>
    <w:rsid w:val="004168F5"/>
    <w:rsid w:val="00416AB8"/>
    <w:rsid w:val="00416C83"/>
    <w:rsid w:val="00416D6E"/>
    <w:rsid w:val="00416D7A"/>
    <w:rsid w:val="00416FB7"/>
    <w:rsid w:val="004174F3"/>
    <w:rsid w:val="00417710"/>
    <w:rsid w:val="00417CD3"/>
    <w:rsid w:val="00417E52"/>
    <w:rsid w:val="0042021C"/>
    <w:rsid w:val="0042023F"/>
    <w:rsid w:val="004203C3"/>
    <w:rsid w:val="004205C0"/>
    <w:rsid w:val="004206F4"/>
    <w:rsid w:val="00420C21"/>
    <w:rsid w:val="00420C50"/>
    <w:rsid w:val="00420CAC"/>
    <w:rsid w:val="00420FD6"/>
    <w:rsid w:val="004211CA"/>
    <w:rsid w:val="0042124E"/>
    <w:rsid w:val="00421333"/>
    <w:rsid w:val="00421340"/>
    <w:rsid w:val="0042144B"/>
    <w:rsid w:val="004214F6"/>
    <w:rsid w:val="00421521"/>
    <w:rsid w:val="004218A5"/>
    <w:rsid w:val="0042191A"/>
    <w:rsid w:val="00421AF3"/>
    <w:rsid w:val="00421DB5"/>
    <w:rsid w:val="004221C6"/>
    <w:rsid w:val="0042226D"/>
    <w:rsid w:val="0042242D"/>
    <w:rsid w:val="00422454"/>
    <w:rsid w:val="004227C8"/>
    <w:rsid w:val="004227CC"/>
    <w:rsid w:val="00422D30"/>
    <w:rsid w:val="004231C0"/>
    <w:rsid w:val="00423858"/>
    <w:rsid w:val="00423875"/>
    <w:rsid w:val="004239C4"/>
    <w:rsid w:val="004239C9"/>
    <w:rsid w:val="00423B69"/>
    <w:rsid w:val="00423E0F"/>
    <w:rsid w:val="00423EB7"/>
    <w:rsid w:val="00423FD6"/>
    <w:rsid w:val="00423FED"/>
    <w:rsid w:val="0042478E"/>
    <w:rsid w:val="004247DA"/>
    <w:rsid w:val="00424971"/>
    <w:rsid w:val="004249C5"/>
    <w:rsid w:val="00424C21"/>
    <w:rsid w:val="00424F92"/>
    <w:rsid w:val="0042509F"/>
    <w:rsid w:val="00425211"/>
    <w:rsid w:val="004254EA"/>
    <w:rsid w:val="00425611"/>
    <w:rsid w:val="00425B16"/>
    <w:rsid w:val="00425D7C"/>
    <w:rsid w:val="00425F9D"/>
    <w:rsid w:val="004264E8"/>
    <w:rsid w:val="004269B9"/>
    <w:rsid w:val="004269FA"/>
    <w:rsid w:val="00426A1E"/>
    <w:rsid w:val="00426A40"/>
    <w:rsid w:val="00426C82"/>
    <w:rsid w:val="00426DFC"/>
    <w:rsid w:val="004271A0"/>
    <w:rsid w:val="004271EB"/>
    <w:rsid w:val="00427458"/>
    <w:rsid w:val="0042746A"/>
    <w:rsid w:val="00427479"/>
    <w:rsid w:val="0042765F"/>
    <w:rsid w:val="00427B20"/>
    <w:rsid w:val="00427B7B"/>
    <w:rsid w:val="00430227"/>
    <w:rsid w:val="0043071E"/>
    <w:rsid w:val="00430731"/>
    <w:rsid w:val="0043096A"/>
    <w:rsid w:val="00430B86"/>
    <w:rsid w:val="00430D26"/>
    <w:rsid w:val="00430D9C"/>
    <w:rsid w:val="00431311"/>
    <w:rsid w:val="00431459"/>
    <w:rsid w:val="004316C9"/>
    <w:rsid w:val="004318DC"/>
    <w:rsid w:val="00431ED0"/>
    <w:rsid w:val="00432051"/>
    <w:rsid w:val="004320B8"/>
    <w:rsid w:val="004321DA"/>
    <w:rsid w:val="00432242"/>
    <w:rsid w:val="004323CC"/>
    <w:rsid w:val="004323F7"/>
    <w:rsid w:val="0043265E"/>
    <w:rsid w:val="00432670"/>
    <w:rsid w:val="004326B6"/>
    <w:rsid w:val="00432865"/>
    <w:rsid w:val="0043299C"/>
    <w:rsid w:val="00432AC0"/>
    <w:rsid w:val="00432B37"/>
    <w:rsid w:val="00432BDD"/>
    <w:rsid w:val="00432D29"/>
    <w:rsid w:val="00432DBE"/>
    <w:rsid w:val="00432E06"/>
    <w:rsid w:val="00432EDF"/>
    <w:rsid w:val="00432F2B"/>
    <w:rsid w:val="00433098"/>
    <w:rsid w:val="00433252"/>
    <w:rsid w:val="0043332C"/>
    <w:rsid w:val="0043347C"/>
    <w:rsid w:val="004338C5"/>
    <w:rsid w:val="0043391F"/>
    <w:rsid w:val="004339EF"/>
    <w:rsid w:val="00433B87"/>
    <w:rsid w:val="00433D37"/>
    <w:rsid w:val="00433DA2"/>
    <w:rsid w:val="00433E11"/>
    <w:rsid w:val="004343BC"/>
    <w:rsid w:val="00434441"/>
    <w:rsid w:val="004344A5"/>
    <w:rsid w:val="0043481E"/>
    <w:rsid w:val="00434A74"/>
    <w:rsid w:val="004353E7"/>
    <w:rsid w:val="00435913"/>
    <w:rsid w:val="00435AA8"/>
    <w:rsid w:val="00435C7F"/>
    <w:rsid w:val="00435FFE"/>
    <w:rsid w:val="00436096"/>
    <w:rsid w:val="00436163"/>
    <w:rsid w:val="00436254"/>
    <w:rsid w:val="00436300"/>
    <w:rsid w:val="004366C9"/>
    <w:rsid w:val="004368CF"/>
    <w:rsid w:val="004369BB"/>
    <w:rsid w:val="00436A45"/>
    <w:rsid w:val="00436AE7"/>
    <w:rsid w:val="00436B9F"/>
    <w:rsid w:val="00436BC4"/>
    <w:rsid w:val="00436C92"/>
    <w:rsid w:val="004372A2"/>
    <w:rsid w:val="004372F7"/>
    <w:rsid w:val="00437403"/>
    <w:rsid w:val="004374D1"/>
    <w:rsid w:val="00437569"/>
    <w:rsid w:val="004376B7"/>
    <w:rsid w:val="00437815"/>
    <w:rsid w:val="00437A3E"/>
    <w:rsid w:val="00437AEF"/>
    <w:rsid w:val="00437B77"/>
    <w:rsid w:val="00437DDA"/>
    <w:rsid w:val="00437EC7"/>
    <w:rsid w:val="004400B0"/>
    <w:rsid w:val="004403B9"/>
    <w:rsid w:val="004409C6"/>
    <w:rsid w:val="00440D69"/>
    <w:rsid w:val="00440E4B"/>
    <w:rsid w:val="00440F7E"/>
    <w:rsid w:val="0044115A"/>
    <w:rsid w:val="00441519"/>
    <w:rsid w:val="004415EB"/>
    <w:rsid w:val="00441679"/>
    <w:rsid w:val="0044183D"/>
    <w:rsid w:val="00441AB2"/>
    <w:rsid w:val="00442029"/>
    <w:rsid w:val="00442149"/>
    <w:rsid w:val="004423FD"/>
    <w:rsid w:val="004428C1"/>
    <w:rsid w:val="00442A31"/>
    <w:rsid w:val="00442C05"/>
    <w:rsid w:val="00442CB7"/>
    <w:rsid w:val="00442E33"/>
    <w:rsid w:val="00442E37"/>
    <w:rsid w:val="00443096"/>
    <w:rsid w:val="00443200"/>
    <w:rsid w:val="00443537"/>
    <w:rsid w:val="004435BB"/>
    <w:rsid w:val="004437B0"/>
    <w:rsid w:val="00443987"/>
    <w:rsid w:val="00443F30"/>
    <w:rsid w:val="00443F32"/>
    <w:rsid w:val="00444182"/>
    <w:rsid w:val="00444228"/>
    <w:rsid w:val="00444411"/>
    <w:rsid w:val="00444451"/>
    <w:rsid w:val="00444C6E"/>
    <w:rsid w:val="0044527D"/>
    <w:rsid w:val="00445582"/>
    <w:rsid w:val="004457B7"/>
    <w:rsid w:val="004457EE"/>
    <w:rsid w:val="00445BB9"/>
    <w:rsid w:val="00445C10"/>
    <w:rsid w:val="00445DBA"/>
    <w:rsid w:val="00446281"/>
    <w:rsid w:val="00446433"/>
    <w:rsid w:val="004466C0"/>
    <w:rsid w:val="0044680D"/>
    <w:rsid w:val="00446E28"/>
    <w:rsid w:val="00446F8C"/>
    <w:rsid w:val="0044713F"/>
    <w:rsid w:val="00447195"/>
    <w:rsid w:val="004471FA"/>
    <w:rsid w:val="004476F3"/>
    <w:rsid w:val="00447716"/>
    <w:rsid w:val="0044777B"/>
    <w:rsid w:val="00447832"/>
    <w:rsid w:val="004500E8"/>
    <w:rsid w:val="004500F7"/>
    <w:rsid w:val="0045020F"/>
    <w:rsid w:val="004503C8"/>
    <w:rsid w:val="00450460"/>
    <w:rsid w:val="00450A2B"/>
    <w:rsid w:val="00450C1B"/>
    <w:rsid w:val="00450D12"/>
    <w:rsid w:val="00450ED4"/>
    <w:rsid w:val="0045110C"/>
    <w:rsid w:val="00451215"/>
    <w:rsid w:val="004515F1"/>
    <w:rsid w:val="0045192B"/>
    <w:rsid w:val="00451936"/>
    <w:rsid w:val="00451C51"/>
    <w:rsid w:val="00451F54"/>
    <w:rsid w:val="00451F67"/>
    <w:rsid w:val="00452092"/>
    <w:rsid w:val="0045232A"/>
    <w:rsid w:val="0045254D"/>
    <w:rsid w:val="004530FB"/>
    <w:rsid w:val="00453338"/>
    <w:rsid w:val="004534BD"/>
    <w:rsid w:val="0045352A"/>
    <w:rsid w:val="004535DD"/>
    <w:rsid w:val="00453681"/>
    <w:rsid w:val="00453BE3"/>
    <w:rsid w:val="00453D27"/>
    <w:rsid w:val="00453DB6"/>
    <w:rsid w:val="00454020"/>
    <w:rsid w:val="0045442F"/>
    <w:rsid w:val="00454464"/>
    <w:rsid w:val="0045450A"/>
    <w:rsid w:val="00454CCA"/>
    <w:rsid w:val="00454D6D"/>
    <w:rsid w:val="00454F36"/>
    <w:rsid w:val="00455026"/>
    <w:rsid w:val="0045521B"/>
    <w:rsid w:val="0045532A"/>
    <w:rsid w:val="004554F8"/>
    <w:rsid w:val="00455657"/>
    <w:rsid w:val="0045594D"/>
    <w:rsid w:val="00455990"/>
    <w:rsid w:val="00455ADA"/>
    <w:rsid w:val="00455B16"/>
    <w:rsid w:val="00455CC6"/>
    <w:rsid w:val="00456809"/>
    <w:rsid w:val="00456B07"/>
    <w:rsid w:val="00456C4B"/>
    <w:rsid w:val="00456CFA"/>
    <w:rsid w:val="00456E8F"/>
    <w:rsid w:val="004571A2"/>
    <w:rsid w:val="004572EF"/>
    <w:rsid w:val="004573C7"/>
    <w:rsid w:val="004576A9"/>
    <w:rsid w:val="004579E4"/>
    <w:rsid w:val="00457A1B"/>
    <w:rsid w:val="00457CCF"/>
    <w:rsid w:val="00457FC2"/>
    <w:rsid w:val="00460035"/>
    <w:rsid w:val="004604D3"/>
    <w:rsid w:val="004605C3"/>
    <w:rsid w:val="004608B5"/>
    <w:rsid w:val="00460A93"/>
    <w:rsid w:val="00460BFD"/>
    <w:rsid w:val="00460D92"/>
    <w:rsid w:val="00460E81"/>
    <w:rsid w:val="00461274"/>
    <w:rsid w:val="004616D9"/>
    <w:rsid w:val="004616EA"/>
    <w:rsid w:val="00461D1F"/>
    <w:rsid w:val="00461E11"/>
    <w:rsid w:val="00461EFC"/>
    <w:rsid w:val="0046241A"/>
    <w:rsid w:val="00462461"/>
    <w:rsid w:val="00462731"/>
    <w:rsid w:val="0046280B"/>
    <w:rsid w:val="004629D1"/>
    <w:rsid w:val="00462B08"/>
    <w:rsid w:val="00462C08"/>
    <w:rsid w:val="00462F35"/>
    <w:rsid w:val="004631DE"/>
    <w:rsid w:val="004631E6"/>
    <w:rsid w:val="00463279"/>
    <w:rsid w:val="00463A49"/>
    <w:rsid w:val="00463C28"/>
    <w:rsid w:val="00463E35"/>
    <w:rsid w:val="004640C1"/>
    <w:rsid w:val="00464122"/>
    <w:rsid w:val="00464401"/>
    <w:rsid w:val="004646FD"/>
    <w:rsid w:val="00464A22"/>
    <w:rsid w:val="00464B5E"/>
    <w:rsid w:val="0046504B"/>
    <w:rsid w:val="00465279"/>
    <w:rsid w:val="004652DF"/>
    <w:rsid w:val="004660A1"/>
    <w:rsid w:val="0046612B"/>
    <w:rsid w:val="00466177"/>
    <w:rsid w:val="0046623E"/>
    <w:rsid w:val="0046638D"/>
    <w:rsid w:val="00466458"/>
    <w:rsid w:val="0046668F"/>
    <w:rsid w:val="004668D4"/>
    <w:rsid w:val="00466B0A"/>
    <w:rsid w:val="00466B68"/>
    <w:rsid w:val="00466D24"/>
    <w:rsid w:val="004670B0"/>
    <w:rsid w:val="0046718C"/>
    <w:rsid w:val="004674B2"/>
    <w:rsid w:val="00467558"/>
    <w:rsid w:val="004679BD"/>
    <w:rsid w:val="004679F7"/>
    <w:rsid w:val="00467A76"/>
    <w:rsid w:val="0047002C"/>
    <w:rsid w:val="00470226"/>
    <w:rsid w:val="00470254"/>
    <w:rsid w:val="00470285"/>
    <w:rsid w:val="004707E6"/>
    <w:rsid w:val="00470945"/>
    <w:rsid w:val="00470B51"/>
    <w:rsid w:val="00470B6B"/>
    <w:rsid w:val="00470B9D"/>
    <w:rsid w:val="00470EEE"/>
    <w:rsid w:val="00470EEF"/>
    <w:rsid w:val="00470F36"/>
    <w:rsid w:val="0047138F"/>
    <w:rsid w:val="0047174C"/>
    <w:rsid w:val="004719A5"/>
    <w:rsid w:val="00471A6D"/>
    <w:rsid w:val="00471B31"/>
    <w:rsid w:val="00471ED8"/>
    <w:rsid w:val="004723A7"/>
    <w:rsid w:val="004725A5"/>
    <w:rsid w:val="0047293C"/>
    <w:rsid w:val="004729FC"/>
    <w:rsid w:val="00472A1F"/>
    <w:rsid w:val="00472ACF"/>
    <w:rsid w:val="00472CC2"/>
    <w:rsid w:val="00472CC3"/>
    <w:rsid w:val="004730DC"/>
    <w:rsid w:val="00473300"/>
    <w:rsid w:val="004734E3"/>
    <w:rsid w:val="00473A5F"/>
    <w:rsid w:val="004740F1"/>
    <w:rsid w:val="00474273"/>
    <w:rsid w:val="004742FF"/>
    <w:rsid w:val="00474640"/>
    <w:rsid w:val="00474861"/>
    <w:rsid w:val="00474877"/>
    <w:rsid w:val="00474B0A"/>
    <w:rsid w:val="00474C23"/>
    <w:rsid w:val="00474E51"/>
    <w:rsid w:val="00474FD2"/>
    <w:rsid w:val="004754F2"/>
    <w:rsid w:val="0047555E"/>
    <w:rsid w:val="004759E6"/>
    <w:rsid w:val="00475DCB"/>
    <w:rsid w:val="0047642C"/>
    <w:rsid w:val="004766E6"/>
    <w:rsid w:val="00476876"/>
    <w:rsid w:val="00476B2A"/>
    <w:rsid w:val="00476C43"/>
    <w:rsid w:val="00476EAD"/>
    <w:rsid w:val="004770DC"/>
    <w:rsid w:val="004771F6"/>
    <w:rsid w:val="0047738E"/>
    <w:rsid w:val="004773C6"/>
    <w:rsid w:val="00477622"/>
    <w:rsid w:val="00477689"/>
    <w:rsid w:val="00477B4B"/>
    <w:rsid w:val="00480179"/>
    <w:rsid w:val="00480984"/>
    <w:rsid w:val="00480D5E"/>
    <w:rsid w:val="00480E68"/>
    <w:rsid w:val="00480F9B"/>
    <w:rsid w:val="00481104"/>
    <w:rsid w:val="00481336"/>
    <w:rsid w:val="00481485"/>
    <w:rsid w:val="004814A9"/>
    <w:rsid w:val="00481751"/>
    <w:rsid w:val="004818B8"/>
    <w:rsid w:val="00481935"/>
    <w:rsid w:val="00481A05"/>
    <w:rsid w:val="00481A64"/>
    <w:rsid w:val="00481B17"/>
    <w:rsid w:val="00481BFE"/>
    <w:rsid w:val="004821DB"/>
    <w:rsid w:val="00482225"/>
    <w:rsid w:val="0048250D"/>
    <w:rsid w:val="004825A2"/>
    <w:rsid w:val="00482735"/>
    <w:rsid w:val="00482746"/>
    <w:rsid w:val="00482A81"/>
    <w:rsid w:val="00482ACC"/>
    <w:rsid w:val="004831C2"/>
    <w:rsid w:val="00483673"/>
    <w:rsid w:val="00483778"/>
    <w:rsid w:val="00483A47"/>
    <w:rsid w:val="00483C16"/>
    <w:rsid w:val="00483EC0"/>
    <w:rsid w:val="004843C5"/>
    <w:rsid w:val="004844CD"/>
    <w:rsid w:val="004844ED"/>
    <w:rsid w:val="004845F7"/>
    <w:rsid w:val="004846D3"/>
    <w:rsid w:val="0048473A"/>
    <w:rsid w:val="00484B4F"/>
    <w:rsid w:val="00484B66"/>
    <w:rsid w:val="00484EE9"/>
    <w:rsid w:val="00484F44"/>
    <w:rsid w:val="0048521C"/>
    <w:rsid w:val="004855F1"/>
    <w:rsid w:val="00485631"/>
    <w:rsid w:val="00485651"/>
    <w:rsid w:val="00485B7E"/>
    <w:rsid w:val="00485ECE"/>
    <w:rsid w:val="00485F18"/>
    <w:rsid w:val="00485FE3"/>
    <w:rsid w:val="0048602B"/>
    <w:rsid w:val="00486086"/>
    <w:rsid w:val="004860CF"/>
    <w:rsid w:val="004862C5"/>
    <w:rsid w:val="00486ACC"/>
    <w:rsid w:val="00486BA7"/>
    <w:rsid w:val="00486BDA"/>
    <w:rsid w:val="00486C4B"/>
    <w:rsid w:val="00486E9F"/>
    <w:rsid w:val="004873C2"/>
    <w:rsid w:val="0048793D"/>
    <w:rsid w:val="00487B3B"/>
    <w:rsid w:val="00487C6D"/>
    <w:rsid w:val="00487C99"/>
    <w:rsid w:val="00487E56"/>
    <w:rsid w:val="00490201"/>
    <w:rsid w:val="00490275"/>
    <w:rsid w:val="004902A6"/>
    <w:rsid w:val="00490498"/>
    <w:rsid w:val="004904BC"/>
    <w:rsid w:val="00490733"/>
    <w:rsid w:val="0049086D"/>
    <w:rsid w:val="00490FE6"/>
    <w:rsid w:val="0049123A"/>
    <w:rsid w:val="00491393"/>
    <w:rsid w:val="0049152E"/>
    <w:rsid w:val="0049159B"/>
    <w:rsid w:val="00491749"/>
    <w:rsid w:val="004919DE"/>
    <w:rsid w:val="00491A61"/>
    <w:rsid w:val="00491D1B"/>
    <w:rsid w:val="00491DC7"/>
    <w:rsid w:val="00491DD3"/>
    <w:rsid w:val="0049239E"/>
    <w:rsid w:val="00492531"/>
    <w:rsid w:val="004926A3"/>
    <w:rsid w:val="00492743"/>
    <w:rsid w:val="0049299F"/>
    <w:rsid w:val="004929B3"/>
    <w:rsid w:val="00492A30"/>
    <w:rsid w:val="00493167"/>
    <w:rsid w:val="00493378"/>
    <w:rsid w:val="00493526"/>
    <w:rsid w:val="004937F3"/>
    <w:rsid w:val="004939BC"/>
    <w:rsid w:val="00493CB8"/>
    <w:rsid w:val="00493CF2"/>
    <w:rsid w:val="00494899"/>
    <w:rsid w:val="0049491E"/>
    <w:rsid w:val="00494A7B"/>
    <w:rsid w:val="0049503B"/>
    <w:rsid w:val="00495123"/>
    <w:rsid w:val="00495476"/>
    <w:rsid w:val="004957E7"/>
    <w:rsid w:val="00495D36"/>
    <w:rsid w:val="00495D9F"/>
    <w:rsid w:val="00495DB2"/>
    <w:rsid w:val="00495DEE"/>
    <w:rsid w:val="00496211"/>
    <w:rsid w:val="004967E5"/>
    <w:rsid w:val="00496BD2"/>
    <w:rsid w:val="00496D04"/>
    <w:rsid w:val="00496DE6"/>
    <w:rsid w:val="00496E82"/>
    <w:rsid w:val="00496EA5"/>
    <w:rsid w:val="004971CE"/>
    <w:rsid w:val="00497409"/>
    <w:rsid w:val="0049772A"/>
    <w:rsid w:val="0049774F"/>
    <w:rsid w:val="004978D1"/>
    <w:rsid w:val="00497B33"/>
    <w:rsid w:val="00497BE0"/>
    <w:rsid w:val="00497DFC"/>
    <w:rsid w:val="00497EAC"/>
    <w:rsid w:val="00497F1F"/>
    <w:rsid w:val="00497F74"/>
    <w:rsid w:val="004A009A"/>
    <w:rsid w:val="004A0228"/>
    <w:rsid w:val="004A0289"/>
    <w:rsid w:val="004A0418"/>
    <w:rsid w:val="004A05F2"/>
    <w:rsid w:val="004A0795"/>
    <w:rsid w:val="004A07A3"/>
    <w:rsid w:val="004A0B4E"/>
    <w:rsid w:val="004A0CD6"/>
    <w:rsid w:val="004A0DC1"/>
    <w:rsid w:val="004A1210"/>
    <w:rsid w:val="004A1322"/>
    <w:rsid w:val="004A15BE"/>
    <w:rsid w:val="004A1B74"/>
    <w:rsid w:val="004A1BD5"/>
    <w:rsid w:val="004A1CDA"/>
    <w:rsid w:val="004A1F40"/>
    <w:rsid w:val="004A1F62"/>
    <w:rsid w:val="004A1FD4"/>
    <w:rsid w:val="004A225B"/>
    <w:rsid w:val="004A24DA"/>
    <w:rsid w:val="004A26CE"/>
    <w:rsid w:val="004A2827"/>
    <w:rsid w:val="004A288C"/>
    <w:rsid w:val="004A290A"/>
    <w:rsid w:val="004A29A0"/>
    <w:rsid w:val="004A29BB"/>
    <w:rsid w:val="004A326A"/>
    <w:rsid w:val="004A328B"/>
    <w:rsid w:val="004A3AF5"/>
    <w:rsid w:val="004A3CDB"/>
    <w:rsid w:val="004A3D95"/>
    <w:rsid w:val="004A40EB"/>
    <w:rsid w:val="004A4223"/>
    <w:rsid w:val="004A4764"/>
    <w:rsid w:val="004A47C2"/>
    <w:rsid w:val="004A4A61"/>
    <w:rsid w:val="004A4E06"/>
    <w:rsid w:val="004A52DF"/>
    <w:rsid w:val="004A54EE"/>
    <w:rsid w:val="004A55A0"/>
    <w:rsid w:val="004A563D"/>
    <w:rsid w:val="004A5966"/>
    <w:rsid w:val="004A5CC9"/>
    <w:rsid w:val="004A5DEE"/>
    <w:rsid w:val="004A6624"/>
    <w:rsid w:val="004A6771"/>
    <w:rsid w:val="004A68F9"/>
    <w:rsid w:val="004A6C62"/>
    <w:rsid w:val="004A784F"/>
    <w:rsid w:val="004A78BB"/>
    <w:rsid w:val="004A79DC"/>
    <w:rsid w:val="004A7A36"/>
    <w:rsid w:val="004A7CD5"/>
    <w:rsid w:val="004B056D"/>
    <w:rsid w:val="004B0610"/>
    <w:rsid w:val="004B088E"/>
    <w:rsid w:val="004B08E3"/>
    <w:rsid w:val="004B0A4C"/>
    <w:rsid w:val="004B0AF5"/>
    <w:rsid w:val="004B0D2A"/>
    <w:rsid w:val="004B1014"/>
    <w:rsid w:val="004B113E"/>
    <w:rsid w:val="004B12DB"/>
    <w:rsid w:val="004B165E"/>
    <w:rsid w:val="004B1795"/>
    <w:rsid w:val="004B18D2"/>
    <w:rsid w:val="004B1A4A"/>
    <w:rsid w:val="004B1BEE"/>
    <w:rsid w:val="004B1D78"/>
    <w:rsid w:val="004B1F28"/>
    <w:rsid w:val="004B1FF5"/>
    <w:rsid w:val="004B20C1"/>
    <w:rsid w:val="004B2138"/>
    <w:rsid w:val="004B253D"/>
    <w:rsid w:val="004B2758"/>
    <w:rsid w:val="004B2779"/>
    <w:rsid w:val="004B2943"/>
    <w:rsid w:val="004B30A9"/>
    <w:rsid w:val="004B3340"/>
    <w:rsid w:val="004B352B"/>
    <w:rsid w:val="004B3532"/>
    <w:rsid w:val="004B38B0"/>
    <w:rsid w:val="004B3A85"/>
    <w:rsid w:val="004B3B16"/>
    <w:rsid w:val="004B3BBD"/>
    <w:rsid w:val="004B3DC9"/>
    <w:rsid w:val="004B3F35"/>
    <w:rsid w:val="004B42C5"/>
    <w:rsid w:val="004B4395"/>
    <w:rsid w:val="004B44DA"/>
    <w:rsid w:val="004B4936"/>
    <w:rsid w:val="004B49E0"/>
    <w:rsid w:val="004B4ABE"/>
    <w:rsid w:val="004B4C67"/>
    <w:rsid w:val="004B4EB8"/>
    <w:rsid w:val="004B4EB9"/>
    <w:rsid w:val="004B4EE9"/>
    <w:rsid w:val="004B5065"/>
    <w:rsid w:val="004B56DD"/>
    <w:rsid w:val="004B58A7"/>
    <w:rsid w:val="004B5993"/>
    <w:rsid w:val="004B5E98"/>
    <w:rsid w:val="004B68AE"/>
    <w:rsid w:val="004B68EA"/>
    <w:rsid w:val="004B6A16"/>
    <w:rsid w:val="004B6EAE"/>
    <w:rsid w:val="004B6FB4"/>
    <w:rsid w:val="004B6FF5"/>
    <w:rsid w:val="004B7124"/>
    <w:rsid w:val="004B741E"/>
    <w:rsid w:val="004B76A2"/>
    <w:rsid w:val="004B773C"/>
    <w:rsid w:val="004B7918"/>
    <w:rsid w:val="004B7A00"/>
    <w:rsid w:val="004B7A94"/>
    <w:rsid w:val="004B7C0D"/>
    <w:rsid w:val="004C015A"/>
    <w:rsid w:val="004C02C7"/>
    <w:rsid w:val="004C03EF"/>
    <w:rsid w:val="004C04D6"/>
    <w:rsid w:val="004C089C"/>
    <w:rsid w:val="004C0C0A"/>
    <w:rsid w:val="004C0E36"/>
    <w:rsid w:val="004C0ECA"/>
    <w:rsid w:val="004C1441"/>
    <w:rsid w:val="004C16D5"/>
    <w:rsid w:val="004C16E7"/>
    <w:rsid w:val="004C189A"/>
    <w:rsid w:val="004C18DA"/>
    <w:rsid w:val="004C1971"/>
    <w:rsid w:val="004C1A38"/>
    <w:rsid w:val="004C1F0E"/>
    <w:rsid w:val="004C20F6"/>
    <w:rsid w:val="004C249B"/>
    <w:rsid w:val="004C2588"/>
    <w:rsid w:val="004C2651"/>
    <w:rsid w:val="004C26A2"/>
    <w:rsid w:val="004C2885"/>
    <w:rsid w:val="004C28DB"/>
    <w:rsid w:val="004C29A9"/>
    <w:rsid w:val="004C2D78"/>
    <w:rsid w:val="004C2F21"/>
    <w:rsid w:val="004C3208"/>
    <w:rsid w:val="004C3269"/>
    <w:rsid w:val="004C36A6"/>
    <w:rsid w:val="004C3736"/>
    <w:rsid w:val="004C382E"/>
    <w:rsid w:val="004C3C49"/>
    <w:rsid w:val="004C3E75"/>
    <w:rsid w:val="004C3F33"/>
    <w:rsid w:val="004C3FA4"/>
    <w:rsid w:val="004C4461"/>
    <w:rsid w:val="004C4766"/>
    <w:rsid w:val="004C4773"/>
    <w:rsid w:val="004C47B8"/>
    <w:rsid w:val="004C4A56"/>
    <w:rsid w:val="004C4B3E"/>
    <w:rsid w:val="004C4B4F"/>
    <w:rsid w:val="004C4C2F"/>
    <w:rsid w:val="004C4C71"/>
    <w:rsid w:val="004C4E41"/>
    <w:rsid w:val="004C5191"/>
    <w:rsid w:val="004C519A"/>
    <w:rsid w:val="004C51C9"/>
    <w:rsid w:val="004C5582"/>
    <w:rsid w:val="004C5757"/>
    <w:rsid w:val="004C5821"/>
    <w:rsid w:val="004C5A77"/>
    <w:rsid w:val="004C5CF7"/>
    <w:rsid w:val="004C5E39"/>
    <w:rsid w:val="004C5E87"/>
    <w:rsid w:val="004C5E98"/>
    <w:rsid w:val="004C5EDC"/>
    <w:rsid w:val="004C601C"/>
    <w:rsid w:val="004C6043"/>
    <w:rsid w:val="004C6A87"/>
    <w:rsid w:val="004C6C90"/>
    <w:rsid w:val="004C6F51"/>
    <w:rsid w:val="004C7052"/>
    <w:rsid w:val="004C7313"/>
    <w:rsid w:val="004C74FF"/>
    <w:rsid w:val="004C7658"/>
    <w:rsid w:val="004C7980"/>
    <w:rsid w:val="004C7B10"/>
    <w:rsid w:val="004C7C2F"/>
    <w:rsid w:val="004C7E42"/>
    <w:rsid w:val="004C7FA1"/>
    <w:rsid w:val="004C7FBA"/>
    <w:rsid w:val="004D00EC"/>
    <w:rsid w:val="004D01B7"/>
    <w:rsid w:val="004D048A"/>
    <w:rsid w:val="004D09F3"/>
    <w:rsid w:val="004D0BE9"/>
    <w:rsid w:val="004D0C2D"/>
    <w:rsid w:val="004D0D84"/>
    <w:rsid w:val="004D0E74"/>
    <w:rsid w:val="004D117C"/>
    <w:rsid w:val="004D127B"/>
    <w:rsid w:val="004D1369"/>
    <w:rsid w:val="004D13DB"/>
    <w:rsid w:val="004D1637"/>
    <w:rsid w:val="004D1B73"/>
    <w:rsid w:val="004D1C35"/>
    <w:rsid w:val="004D2332"/>
    <w:rsid w:val="004D2351"/>
    <w:rsid w:val="004D2400"/>
    <w:rsid w:val="004D2585"/>
    <w:rsid w:val="004D2809"/>
    <w:rsid w:val="004D2AA9"/>
    <w:rsid w:val="004D2FC3"/>
    <w:rsid w:val="004D2FD2"/>
    <w:rsid w:val="004D316B"/>
    <w:rsid w:val="004D3274"/>
    <w:rsid w:val="004D353B"/>
    <w:rsid w:val="004D399F"/>
    <w:rsid w:val="004D3B2A"/>
    <w:rsid w:val="004D40AC"/>
    <w:rsid w:val="004D42F7"/>
    <w:rsid w:val="004D438F"/>
    <w:rsid w:val="004D44DB"/>
    <w:rsid w:val="004D454C"/>
    <w:rsid w:val="004D46CD"/>
    <w:rsid w:val="004D46E0"/>
    <w:rsid w:val="004D4940"/>
    <w:rsid w:val="004D4C59"/>
    <w:rsid w:val="004D4E76"/>
    <w:rsid w:val="004D55AD"/>
    <w:rsid w:val="004D55DA"/>
    <w:rsid w:val="004D57A9"/>
    <w:rsid w:val="004D5814"/>
    <w:rsid w:val="004D58BD"/>
    <w:rsid w:val="004D5998"/>
    <w:rsid w:val="004D6067"/>
    <w:rsid w:val="004D6310"/>
    <w:rsid w:val="004D6603"/>
    <w:rsid w:val="004D69DA"/>
    <w:rsid w:val="004D6F53"/>
    <w:rsid w:val="004D6FBD"/>
    <w:rsid w:val="004D70BD"/>
    <w:rsid w:val="004D7219"/>
    <w:rsid w:val="004D7288"/>
    <w:rsid w:val="004D74BC"/>
    <w:rsid w:val="004D7552"/>
    <w:rsid w:val="004D774E"/>
    <w:rsid w:val="004D7A76"/>
    <w:rsid w:val="004D7C97"/>
    <w:rsid w:val="004E005C"/>
    <w:rsid w:val="004E00A5"/>
    <w:rsid w:val="004E0171"/>
    <w:rsid w:val="004E01B2"/>
    <w:rsid w:val="004E01F2"/>
    <w:rsid w:val="004E03A1"/>
    <w:rsid w:val="004E04A6"/>
    <w:rsid w:val="004E052D"/>
    <w:rsid w:val="004E0BCE"/>
    <w:rsid w:val="004E0C62"/>
    <w:rsid w:val="004E0E08"/>
    <w:rsid w:val="004E0EF9"/>
    <w:rsid w:val="004E0F38"/>
    <w:rsid w:val="004E100A"/>
    <w:rsid w:val="004E11D6"/>
    <w:rsid w:val="004E13EC"/>
    <w:rsid w:val="004E14A8"/>
    <w:rsid w:val="004E1998"/>
    <w:rsid w:val="004E1D2C"/>
    <w:rsid w:val="004E2452"/>
    <w:rsid w:val="004E2A87"/>
    <w:rsid w:val="004E2B4B"/>
    <w:rsid w:val="004E2DAF"/>
    <w:rsid w:val="004E2DBC"/>
    <w:rsid w:val="004E2F3A"/>
    <w:rsid w:val="004E30CF"/>
    <w:rsid w:val="004E313D"/>
    <w:rsid w:val="004E3310"/>
    <w:rsid w:val="004E364A"/>
    <w:rsid w:val="004E37EC"/>
    <w:rsid w:val="004E3B4D"/>
    <w:rsid w:val="004E409A"/>
    <w:rsid w:val="004E4338"/>
    <w:rsid w:val="004E436B"/>
    <w:rsid w:val="004E4508"/>
    <w:rsid w:val="004E4786"/>
    <w:rsid w:val="004E4F4A"/>
    <w:rsid w:val="004E51A4"/>
    <w:rsid w:val="004E51DD"/>
    <w:rsid w:val="004E5258"/>
    <w:rsid w:val="004E53D8"/>
    <w:rsid w:val="004E5804"/>
    <w:rsid w:val="004E585D"/>
    <w:rsid w:val="004E5B6B"/>
    <w:rsid w:val="004E5F91"/>
    <w:rsid w:val="004E61E1"/>
    <w:rsid w:val="004E63E7"/>
    <w:rsid w:val="004E6CD8"/>
    <w:rsid w:val="004E6E1E"/>
    <w:rsid w:val="004E716D"/>
    <w:rsid w:val="004E7423"/>
    <w:rsid w:val="004E752B"/>
    <w:rsid w:val="004E778C"/>
    <w:rsid w:val="004E7F0A"/>
    <w:rsid w:val="004F0447"/>
    <w:rsid w:val="004F0545"/>
    <w:rsid w:val="004F0731"/>
    <w:rsid w:val="004F075A"/>
    <w:rsid w:val="004F0958"/>
    <w:rsid w:val="004F0ADA"/>
    <w:rsid w:val="004F0D77"/>
    <w:rsid w:val="004F113E"/>
    <w:rsid w:val="004F119A"/>
    <w:rsid w:val="004F11A5"/>
    <w:rsid w:val="004F1310"/>
    <w:rsid w:val="004F14BA"/>
    <w:rsid w:val="004F1766"/>
    <w:rsid w:val="004F197B"/>
    <w:rsid w:val="004F1A2C"/>
    <w:rsid w:val="004F1A84"/>
    <w:rsid w:val="004F1BEF"/>
    <w:rsid w:val="004F1D4B"/>
    <w:rsid w:val="004F1F27"/>
    <w:rsid w:val="004F2093"/>
    <w:rsid w:val="004F2132"/>
    <w:rsid w:val="004F22DA"/>
    <w:rsid w:val="004F2AB9"/>
    <w:rsid w:val="004F2BE5"/>
    <w:rsid w:val="004F2C2A"/>
    <w:rsid w:val="004F2D1F"/>
    <w:rsid w:val="004F303D"/>
    <w:rsid w:val="004F3144"/>
    <w:rsid w:val="004F33EB"/>
    <w:rsid w:val="004F34B7"/>
    <w:rsid w:val="004F36E4"/>
    <w:rsid w:val="004F37C9"/>
    <w:rsid w:val="004F3B37"/>
    <w:rsid w:val="004F41E8"/>
    <w:rsid w:val="004F453C"/>
    <w:rsid w:val="004F465F"/>
    <w:rsid w:val="004F47CB"/>
    <w:rsid w:val="004F47E2"/>
    <w:rsid w:val="004F47F5"/>
    <w:rsid w:val="004F4874"/>
    <w:rsid w:val="004F4A05"/>
    <w:rsid w:val="004F4F32"/>
    <w:rsid w:val="004F5305"/>
    <w:rsid w:val="004F552B"/>
    <w:rsid w:val="004F5646"/>
    <w:rsid w:val="004F5687"/>
    <w:rsid w:val="004F570E"/>
    <w:rsid w:val="004F5A65"/>
    <w:rsid w:val="004F5C44"/>
    <w:rsid w:val="004F5DDB"/>
    <w:rsid w:val="004F644F"/>
    <w:rsid w:val="004F6622"/>
    <w:rsid w:val="004F6871"/>
    <w:rsid w:val="004F689E"/>
    <w:rsid w:val="004F69F6"/>
    <w:rsid w:val="004F6C3C"/>
    <w:rsid w:val="004F6C5C"/>
    <w:rsid w:val="004F6D42"/>
    <w:rsid w:val="004F6DDF"/>
    <w:rsid w:val="004F70AB"/>
    <w:rsid w:val="004F7395"/>
    <w:rsid w:val="004F73F0"/>
    <w:rsid w:val="004F7546"/>
    <w:rsid w:val="004F755D"/>
    <w:rsid w:val="004F7684"/>
    <w:rsid w:val="004F7737"/>
    <w:rsid w:val="004F773E"/>
    <w:rsid w:val="004F7767"/>
    <w:rsid w:val="004F794B"/>
    <w:rsid w:val="004F7CB5"/>
    <w:rsid w:val="004F7D3F"/>
    <w:rsid w:val="004F7D94"/>
    <w:rsid w:val="004F7E14"/>
    <w:rsid w:val="004F7E7B"/>
    <w:rsid w:val="004F7E8E"/>
    <w:rsid w:val="005005F0"/>
    <w:rsid w:val="00500CD9"/>
    <w:rsid w:val="00500D29"/>
    <w:rsid w:val="00500DA3"/>
    <w:rsid w:val="00501431"/>
    <w:rsid w:val="00501B70"/>
    <w:rsid w:val="00501C02"/>
    <w:rsid w:val="00501C24"/>
    <w:rsid w:val="00501C3D"/>
    <w:rsid w:val="00501CAB"/>
    <w:rsid w:val="00501FA2"/>
    <w:rsid w:val="005023BD"/>
    <w:rsid w:val="005023E2"/>
    <w:rsid w:val="005024EF"/>
    <w:rsid w:val="00502698"/>
    <w:rsid w:val="00502836"/>
    <w:rsid w:val="0050285C"/>
    <w:rsid w:val="005029DB"/>
    <w:rsid w:val="005029E5"/>
    <w:rsid w:val="00502A01"/>
    <w:rsid w:val="00502A34"/>
    <w:rsid w:val="00502AEC"/>
    <w:rsid w:val="00502B51"/>
    <w:rsid w:val="00502CF1"/>
    <w:rsid w:val="00503063"/>
    <w:rsid w:val="00503400"/>
    <w:rsid w:val="005035F3"/>
    <w:rsid w:val="0050370D"/>
    <w:rsid w:val="0050371D"/>
    <w:rsid w:val="0050384B"/>
    <w:rsid w:val="0050394E"/>
    <w:rsid w:val="00503CC4"/>
    <w:rsid w:val="00503D00"/>
    <w:rsid w:val="00503DA0"/>
    <w:rsid w:val="00503E29"/>
    <w:rsid w:val="00504158"/>
    <w:rsid w:val="005041A9"/>
    <w:rsid w:val="005042B5"/>
    <w:rsid w:val="0050433C"/>
    <w:rsid w:val="00504428"/>
    <w:rsid w:val="0050448D"/>
    <w:rsid w:val="005044B1"/>
    <w:rsid w:val="005049D9"/>
    <w:rsid w:val="005049E9"/>
    <w:rsid w:val="00504B2A"/>
    <w:rsid w:val="00504C4C"/>
    <w:rsid w:val="00504DFA"/>
    <w:rsid w:val="0050507D"/>
    <w:rsid w:val="005057E6"/>
    <w:rsid w:val="00505A0B"/>
    <w:rsid w:val="00505A89"/>
    <w:rsid w:val="00505DD8"/>
    <w:rsid w:val="005065F4"/>
    <w:rsid w:val="00506621"/>
    <w:rsid w:val="00506799"/>
    <w:rsid w:val="005067D5"/>
    <w:rsid w:val="005067F5"/>
    <w:rsid w:val="0050689C"/>
    <w:rsid w:val="00506AF9"/>
    <w:rsid w:val="00506C7A"/>
    <w:rsid w:val="00506E53"/>
    <w:rsid w:val="00506E8D"/>
    <w:rsid w:val="00507100"/>
    <w:rsid w:val="0050728E"/>
    <w:rsid w:val="00507528"/>
    <w:rsid w:val="0050760F"/>
    <w:rsid w:val="005076F6"/>
    <w:rsid w:val="00507998"/>
    <w:rsid w:val="00507A6D"/>
    <w:rsid w:val="00507B73"/>
    <w:rsid w:val="00507CB2"/>
    <w:rsid w:val="005102B4"/>
    <w:rsid w:val="005105C7"/>
    <w:rsid w:val="00510888"/>
    <w:rsid w:val="00510AA9"/>
    <w:rsid w:val="00510C5B"/>
    <w:rsid w:val="005112E3"/>
    <w:rsid w:val="0051156F"/>
    <w:rsid w:val="00511676"/>
    <w:rsid w:val="00511932"/>
    <w:rsid w:val="00511AB2"/>
    <w:rsid w:val="00511C96"/>
    <w:rsid w:val="00511F38"/>
    <w:rsid w:val="00511FEB"/>
    <w:rsid w:val="0051210C"/>
    <w:rsid w:val="005121CA"/>
    <w:rsid w:val="00512592"/>
    <w:rsid w:val="0051266A"/>
    <w:rsid w:val="00512AE3"/>
    <w:rsid w:val="00512FF5"/>
    <w:rsid w:val="005136A2"/>
    <w:rsid w:val="00513738"/>
    <w:rsid w:val="005137EC"/>
    <w:rsid w:val="00513894"/>
    <w:rsid w:val="00513B7B"/>
    <w:rsid w:val="00513BFE"/>
    <w:rsid w:val="00513D64"/>
    <w:rsid w:val="00513F34"/>
    <w:rsid w:val="0051409D"/>
    <w:rsid w:val="00514268"/>
    <w:rsid w:val="00514283"/>
    <w:rsid w:val="00514913"/>
    <w:rsid w:val="005149B6"/>
    <w:rsid w:val="00514B22"/>
    <w:rsid w:val="00514B3B"/>
    <w:rsid w:val="00514F41"/>
    <w:rsid w:val="005152F0"/>
    <w:rsid w:val="005156DE"/>
    <w:rsid w:val="00515F76"/>
    <w:rsid w:val="00515FF8"/>
    <w:rsid w:val="00516190"/>
    <w:rsid w:val="00516327"/>
    <w:rsid w:val="00516380"/>
    <w:rsid w:val="00516589"/>
    <w:rsid w:val="005165AD"/>
    <w:rsid w:val="005165E5"/>
    <w:rsid w:val="0051680F"/>
    <w:rsid w:val="00516B39"/>
    <w:rsid w:val="00516C07"/>
    <w:rsid w:val="00516D3A"/>
    <w:rsid w:val="0051749D"/>
    <w:rsid w:val="00517540"/>
    <w:rsid w:val="0051758A"/>
    <w:rsid w:val="00517F16"/>
    <w:rsid w:val="00517F46"/>
    <w:rsid w:val="0052012C"/>
    <w:rsid w:val="005202AE"/>
    <w:rsid w:val="00520B0F"/>
    <w:rsid w:val="00520B37"/>
    <w:rsid w:val="0052108A"/>
    <w:rsid w:val="0052119A"/>
    <w:rsid w:val="00521280"/>
    <w:rsid w:val="00521368"/>
    <w:rsid w:val="00521741"/>
    <w:rsid w:val="00521A49"/>
    <w:rsid w:val="00521AA2"/>
    <w:rsid w:val="00521CD0"/>
    <w:rsid w:val="00521D86"/>
    <w:rsid w:val="00521EB9"/>
    <w:rsid w:val="00521F88"/>
    <w:rsid w:val="00522023"/>
    <w:rsid w:val="005221AB"/>
    <w:rsid w:val="005221B5"/>
    <w:rsid w:val="005222FD"/>
    <w:rsid w:val="00522460"/>
    <w:rsid w:val="00522640"/>
    <w:rsid w:val="005226F0"/>
    <w:rsid w:val="00522864"/>
    <w:rsid w:val="00522A6C"/>
    <w:rsid w:val="00522D80"/>
    <w:rsid w:val="00522DDD"/>
    <w:rsid w:val="00522FA0"/>
    <w:rsid w:val="00523004"/>
    <w:rsid w:val="00523805"/>
    <w:rsid w:val="00523A15"/>
    <w:rsid w:val="00523C54"/>
    <w:rsid w:val="00523CD0"/>
    <w:rsid w:val="00523D7F"/>
    <w:rsid w:val="00523E4E"/>
    <w:rsid w:val="00523EA1"/>
    <w:rsid w:val="0052421C"/>
    <w:rsid w:val="00524378"/>
    <w:rsid w:val="005243A6"/>
    <w:rsid w:val="005244F4"/>
    <w:rsid w:val="0052453E"/>
    <w:rsid w:val="00524575"/>
    <w:rsid w:val="005247AD"/>
    <w:rsid w:val="00524ABA"/>
    <w:rsid w:val="00524C35"/>
    <w:rsid w:val="00524D15"/>
    <w:rsid w:val="00524DCD"/>
    <w:rsid w:val="00524E98"/>
    <w:rsid w:val="00524FAB"/>
    <w:rsid w:val="005253A3"/>
    <w:rsid w:val="00525838"/>
    <w:rsid w:val="005259CB"/>
    <w:rsid w:val="00525D40"/>
    <w:rsid w:val="00526096"/>
    <w:rsid w:val="005260BD"/>
    <w:rsid w:val="005260D4"/>
    <w:rsid w:val="00526288"/>
    <w:rsid w:val="0052629D"/>
    <w:rsid w:val="00526332"/>
    <w:rsid w:val="0052665E"/>
    <w:rsid w:val="0052688E"/>
    <w:rsid w:val="005268EF"/>
    <w:rsid w:val="00526AAA"/>
    <w:rsid w:val="005271FF"/>
    <w:rsid w:val="00527244"/>
    <w:rsid w:val="005277EC"/>
    <w:rsid w:val="00527B2F"/>
    <w:rsid w:val="00527E1B"/>
    <w:rsid w:val="005303D4"/>
    <w:rsid w:val="005308A5"/>
    <w:rsid w:val="00530D58"/>
    <w:rsid w:val="00530E2A"/>
    <w:rsid w:val="00530F73"/>
    <w:rsid w:val="00531042"/>
    <w:rsid w:val="00531138"/>
    <w:rsid w:val="0053169B"/>
    <w:rsid w:val="00531867"/>
    <w:rsid w:val="005318C9"/>
    <w:rsid w:val="005319B0"/>
    <w:rsid w:val="00531B6E"/>
    <w:rsid w:val="00531C48"/>
    <w:rsid w:val="00531D06"/>
    <w:rsid w:val="0053221D"/>
    <w:rsid w:val="00532540"/>
    <w:rsid w:val="00532548"/>
    <w:rsid w:val="0053256E"/>
    <w:rsid w:val="00532774"/>
    <w:rsid w:val="00532942"/>
    <w:rsid w:val="00532E18"/>
    <w:rsid w:val="0053317A"/>
    <w:rsid w:val="005336FB"/>
    <w:rsid w:val="005337E9"/>
    <w:rsid w:val="005337EA"/>
    <w:rsid w:val="00533D20"/>
    <w:rsid w:val="00533DA9"/>
    <w:rsid w:val="00533DDE"/>
    <w:rsid w:val="00533E62"/>
    <w:rsid w:val="00533F54"/>
    <w:rsid w:val="005340F8"/>
    <w:rsid w:val="00534126"/>
    <w:rsid w:val="00534275"/>
    <w:rsid w:val="005345E2"/>
    <w:rsid w:val="005346C5"/>
    <w:rsid w:val="005349B5"/>
    <w:rsid w:val="005349F4"/>
    <w:rsid w:val="00534A3C"/>
    <w:rsid w:val="00534E5C"/>
    <w:rsid w:val="00535098"/>
    <w:rsid w:val="005351FC"/>
    <w:rsid w:val="0053521B"/>
    <w:rsid w:val="005352B6"/>
    <w:rsid w:val="0053557E"/>
    <w:rsid w:val="005357E4"/>
    <w:rsid w:val="0053583B"/>
    <w:rsid w:val="00535A41"/>
    <w:rsid w:val="00535C75"/>
    <w:rsid w:val="00535E07"/>
    <w:rsid w:val="005363BF"/>
    <w:rsid w:val="00536775"/>
    <w:rsid w:val="00536CFB"/>
    <w:rsid w:val="00536DA9"/>
    <w:rsid w:val="00536E80"/>
    <w:rsid w:val="005370D5"/>
    <w:rsid w:val="0053711D"/>
    <w:rsid w:val="00537462"/>
    <w:rsid w:val="00537465"/>
    <w:rsid w:val="005379EE"/>
    <w:rsid w:val="00537A80"/>
    <w:rsid w:val="00537B24"/>
    <w:rsid w:val="00537F0C"/>
    <w:rsid w:val="00537F91"/>
    <w:rsid w:val="00537FA7"/>
    <w:rsid w:val="00537FC9"/>
    <w:rsid w:val="00540000"/>
    <w:rsid w:val="00540182"/>
    <w:rsid w:val="005402B5"/>
    <w:rsid w:val="005402F3"/>
    <w:rsid w:val="0054040F"/>
    <w:rsid w:val="00540714"/>
    <w:rsid w:val="00540A58"/>
    <w:rsid w:val="00540BE7"/>
    <w:rsid w:val="00540C27"/>
    <w:rsid w:val="00540DB0"/>
    <w:rsid w:val="00540DE9"/>
    <w:rsid w:val="00541341"/>
    <w:rsid w:val="0054138E"/>
    <w:rsid w:val="0054162E"/>
    <w:rsid w:val="00541B33"/>
    <w:rsid w:val="00541FEE"/>
    <w:rsid w:val="0054210A"/>
    <w:rsid w:val="0054228B"/>
    <w:rsid w:val="00542748"/>
    <w:rsid w:val="0054285C"/>
    <w:rsid w:val="00542891"/>
    <w:rsid w:val="005428C7"/>
    <w:rsid w:val="00542A1E"/>
    <w:rsid w:val="00542C3E"/>
    <w:rsid w:val="00542E5A"/>
    <w:rsid w:val="0054308F"/>
    <w:rsid w:val="005430E9"/>
    <w:rsid w:val="0054330C"/>
    <w:rsid w:val="005435A6"/>
    <w:rsid w:val="00543808"/>
    <w:rsid w:val="005439CE"/>
    <w:rsid w:val="00543A2B"/>
    <w:rsid w:val="00543B69"/>
    <w:rsid w:val="00543C35"/>
    <w:rsid w:val="00543EBB"/>
    <w:rsid w:val="005440A7"/>
    <w:rsid w:val="00544161"/>
    <w:rsid w:val="005442EB"/>
    <w:rsid w:val="0054436B"/>
    <w:rsid w:val="00544735"/>
    <w:rsid w:val="00544848"/>
    <w:rsid w:val="005448BC"/>
    <w:rsid w:val="00544960"/>
    <w:rsid w:val="00544A09"/>
    <w:rsid w:val="00544E13"/>
    <w:rsid w:val="00544F34"/>
    <w:rsid w:val="00545134"/>
    <w:rsid w:val="00545296"/>
    <w:rsid w:val="0054529B"/>
    <w:rsid w:val="005452D0"/>
    <w:rsid w:val="0054538E"/>
    <w:rsid w:val="005453AE"/>
    <w:rsid w:val="005453B2"/>
    <w:rsid w:val="005453B3"/>
    <w:rsid w:val="00545C65"/>
    <w:rsid w:val="00545D15"/>
    <w:rsid w:val="00545DA2"/>
    <w:rsid w:val="00545E0D"/>
    <w:rsid w:val="00545F92"/>
    <w:rsid w:val="00546065"/>
    <w:rsid w:val="005460AF"/>
    <w:rsid w:val="0054656F"/>
    <w:rsid w:val="0054659B"/>
    <w:rsid w:val="005465E4"/>
    <w:rsid w:val="005466B0"/>
    <w:rsid w:val="00546719"/>
    <w:rsid w:val="00546B1B"/>
    <w:rsid w:val="00546ED1"/>
    <w:rsid w:val="00547199"/>
    <w:rsid w:val="005472B5"/>
    <w:rsid w:val="00547509"/>
    <w:rsid w:val="0054792A"/>
    <w:rsid w:val="00547999"/>
    <w:rsid w:val="00547A7A"/>
    <w:rsid w:val="00547B7B"/>
    <w:rsid w:val="00547D54"/>
    <w:rsid w:val="00547D94"/>
    <w:rsid w:val="00547E3B"/>
    <w:rsid w:val="00547ED6"/>
    <w:rsid w:val="00550170"/>
    <w:rsid w:val="0055029C"/>
    <w:rsid w:val="00550498"/>
    <w:rsid w:val="005506E0"/>
    <w:rsid w:val="00550947"/>
    <w:rsid w:val="00550C3E"/>
    <w:rsid w:val="00550E61"/>
    <w:rsid w:val="00551046"/>
    <w:rsid w:val="0055108D"/>
    <w:rsid w:val="00551200"/>
    <w:rsid w:val="00551296"/>
    <w:rsid w:val="005514D8"/>
    <w:rsid w:val="00551630"/>
    <w:rsid w:val="0055184E"/>
    <w:rsid w:val="005519F5"/>
    <w:rsid w:val="00551A83"/>
    <w:rsid w:val="00551B39"/>
    <w:rsid w:val="00551B55"/>
    <w:rsid w:val="00551C16"/>
    <w:rsid w:val="00551CB6"/>
    <w:rsid w:val="00551DE5"/>
    <w:rsid w:val="00551F74"/>
    <w:rsid w:val="005520F7"/>
    <w:rsid w:val="0055213A"/>
    <w:rsid w:val="00552376"/>
    <w:rsid w:val="005524ED"/>
    <w:rsid w:val="00552A03"/>
    <w:rsid w:val="00552AED"/>
    <w:rsid w:val="00552E51"/>
    <w:rsid w:val="00552FE4"/>
    <w:rsid w:val="00553207"/>
    <w:rsid w:val="00553218"/>
    <w:rsid w:val="00553323"/>
    <w:rsid w:val="00553895"/>
    <w:rsid w:val="005538A6"/>
    <w:rsid w:val="005539EA"/>
    <w:rsid w:val="00553BE9"/>
    <w:rsid w:val="00553C8E"/>
    <w:rsid w:val="00553CB8"/>
    <w:rsid w:val="00553EC9"/>
    <w:rsid w:val="00554165"/>
    <w:rsid w:val="0055458F"/>
    <w:rsid w:val="005545E9"/>
    <w:rsid w:val="00554654"/>
    <w:rsid w:val="0055471B"/>
    <w:rsid w:val="0055474B"/>
    <w:rsid w:val="00554882"/>
    <w:rsid w:val="005548C5"/>
    <w:rsid w:val="0055498C"/>
    <w:rsid w:val="00554B1A"/>
    <w:rsid w:val="00554C58"/>
    <w:rsid w:val="00554D0D"/>
    <w:rsid w:val="00554E56"/>
    <w:rsid w:val="00554ECA"/>
    <w:rsid w:val="00555470"/>
    <w:rsid w:val="005554C6"/>
    <w:rsid w:val="00555858"/>
    <w:rsid w:val="00555B5E"/>
    <w:rsid w:val="00555BA7"/>
    <w:rsid w:val="00555C05"/>
    <w:rsid w:val="00555C69"/>
    <w:rsid w:val="00555CE4"/>
    <w:rsid w:val="00555F8D"/>
    <w:rsid w:val="00556047"/>
    <w:rsid w:val="005560FE"/>
    <w:rsid w:val="0055612A"/>
    <w:rsid w:val="0055643C"/>
    <w:rsid w:val="00556BBC"/>
    <w:rsid w:val="005573C5"/>
    <w:rsid w:val="00557457"/>
    <w:rsid w:val="00557E4C"/>
    <w:rsid w:val="00557F93"/>
    <w:rsid w:val="00560093"/>
    <w:rsid w:val="005600F8"/>
    <w:rsid w:val="005601A7"/>
    <w:rsid w:val="005602AC"/>
    <w:rsid w:val="0056045F"/>
    <w:rsid w:val="0056052C"/>
    <w:rsid w:val="00560537"/>
    <w:rsid w:val="0056071D"/>
    <w:rsid w:val="005607AB"/>
    <w:rsid w:val="005607C0"/>
    <w:rsid w:val="005608EE"/>
    <w:rsid w:val="00560A73"/>
    <w:rsid w:val="00560B3F"/>
    <w:rsid w:val="00560CE7"/>
    <w:rsid w:val="00560CF4"/>
    <w:rsid w:val="00560E22"/>
    <w:rsid w:val="00560F3A"/>
    <w:rsid w:val="00560FC3"/>
    <w:rsid w:val="00560FF8"/>
    <w:rsid w:val="00561340"/>
    <w:rsid w:val="005615AC"/>
    <w:rsid w:val="005615F7"/>
    <w:rsid w:val="00561924"/>
    <w:rsid w:val="00561A8D"/>
    <w:rsid w:val="00561BD1"/>
    <w:rsid w:val="00561D73"/>
    <w:rsid w:val="00561EEE"/>
    <w:rsid w:val="00561F2F"/>
    <w:rsid w:val="0056200A"/>
    <w:rsid w:val="005620E0"/>
    <w:rsid w:val="005620F4"/>
    <w:rsid w:val="005621BD"/>
    <w:rsid w:val="005623FE"/>
    <w:rsid w:val="00562430"/>
    <w:rsid w:val="00562617"/>
    <w:rsid w:val="00562686"/>
    <w:rsid w:val="0056280E"/>
    <w:rsid w:val="00562923"/>
    <w:rsid w:val="00562C80"/>
    <w:rsid w:val="005636A4"/>
    <w:rsid w:val="005639C2"/>
    <w:rsid w:val="00563A0A"/>
    <w:rsid w:val="00563AC4"/>
    <w:rsid w:val="00564021"/>
    <w:rsid w:val="00564261"/>
    <w:rsid w:val="00564B43"/>
    <w:rsid w:val="00564B83"/>
    <w:rsid w:val="00564CCF"/>
    <w:rsid w:val="00564F35"/>
    <w:rsid w:val="00564F81"/>
    <w:rsid w:val="00564FF2"/>
    <w:rsid w:val="00565227"/>
    <w:rsid w:val="00565281"/>
    <w:rsid w:val="0056529C"/>
    <w:rsid w:val="005654E8"/>
    <w:rsid w:val="005655CE"/>
    <w:rsid w:val="00565728"/>
    <w:rsid w:val="00565A1D"/>
    <w:rsid w:val="00565A3E"/>
    <w:rsid w:val="00565A44"/>
    <w:rsid w:val="00565AE2"/>
    <w:rsid w:val="00565BAF"/>
    <w:rsid w:val="00565E0C"/>
    <w:rsid w:val="00565F85"/>
    <w:rsid w:val="00566178"/>
    <w:rsid w:val="005663AD"/>
    <w:rsid w:val="00566B45"/>
    <w:rsid w:val="00566DE8"/>
    <w:rsid w:val="00566F0C"/>
    <w:rsid w:val="0056703A"/>
    <w:rsid w:val="0056728B"/>
    <w:rsid w:val="0056732B"/>
    <w:rsid w:val="0056742A"/>
    <w:rsid w:val="005675C9"/>
    <w:rsid w:val="005679D2"/>
    <w:rsid w:val="00567C1C"/>
    <w:rsid w:val="00567C4A"/>
    <w:rsid w:val="00567FB2"/>
    <w:rsid w:val="00567FEC"/>
    <w:rsid w:val="0057012E"/>
    <w:rsid w:val="005702DF"/>
    <w:rsid w:val="00570522"/>
    <w:rsid w:val="005705D3"/>
    <w:rsid w:val="005706B5"/>
    <w:rsid w:val="005707A2"/>
    <w:rsid w:val="00570CD9"/>
    <w:rsid w:val="00570E8C"/>
    <w:rsid w:val="00570F31"/>
    <w:rsid w:val="0057132E"/>
    <w:rsid w:val="0057133E"/>
    <w:rsid w:val="005713A3"/>
    <w:rsid w:val="005718BF"/>
    <w:rsid w:val="0057194E"/>
    <w:rsid w:val="00571A30"/>
    <w:rsid w:val="00571B52"/>
    <w:rsid w:val="00571C2F"/>
    <w:rsid w:val="00571E08"/>
    <w:rsid w:val="00571EEB"/>
    <w:rsid w:val="00571FBF"/>
    <w:rsid w:val="00572008"/>
    <w:rsid w:val="005720D5"/>
    <w:rsid w:val="0057240E"/>
    <w:rsid w:val="00572532"/>
    <w:rsid w:val="0057274B"/>
    <w:rsid w:val="00572839"/>
    <w:rsid w:val="005729B2"/>
    <w:rsid w:val="00572A90"/>
    <w:rsid w:val="00572A94"/>
    <w:rsid w:val="00572B09"/>
    <w:rsid w:val="00572B7E"/>
    <w:rsid w:val="00572BA2"/>
    <w:rsid w:val="00572F23"/>
    <w:rsid w:val="00572F51"/>
    <w:rsid w:val="005731FA"/>
    <w:rsid w:val="0057343D"/>
    <w:rsid w:val="00573448"/>
    <w:rsid w:val="00573767"/>
    <w:rsid w:val="0057377E"/>
    <w:rsid w:val="00573851"/>
    <w:rsid w:val="0057388B"/>
    <w:rsid w:val="00573AC6"/>
    <w:rsid w:val="00573B9C"/>
    <w:rsid w:val="00573E74"/>
    <w:rsid w:val="00573F0F"/>
    <w:rsid w:val="00574872"/>
    <w:rsid w:val="00574AC8"/>
    <w:rsid w:val="00574CDC"/>
    <w:rsid w:val="00574CF0"/>
    <w:rsid w:val="00574D45"/>
    <w:rsid w:val="00574E06"/>
    <w:rsid w:val="005753A2"/>
    <w:rsid w:val="00575990"/>
    <w:rsid w:val="00575A58"/>
    <w:rsid w:val="00575AFD"/>
    <w:rsid w:val="00575CB3"/>
    <w:rsid w:val="00575DF0"/>
    <w:rsid w:val="00575F3E"/>
    <w:rsid w:val="0057611E"/>
    <w:rsid w:val="005761FE"/>
    <w:rsid w:val="0057671E"/>
    <w:rsid w:val="00576800"/>
    <w:rsid w:val="00576847"/>
    <w:rsid w:val="00576A8D"/>
    <w:rsid w:val="00576E16"/>
    <w:rsid w:val="00576E76"/>
    <w:rsid w:val="00576FFD"/>
    <w:rsid w:val="005771FD"/>
    <w:rsid w:val="00577259"/>
    <w:rsid w:val="005774CE"/>
    <w:rsid w:val="0057757D"/>
    <w:rsid w:val="0057792B"/>
    <w:rsid w:val="00577C64"/>
    <w:rsid w:val="005801B8"/>
    <w:rsid w:val="0058029D"/>
    <w:rsid w:val="00580364"/>
    <w:rsid w:val="005804C0"/>
    <w:rsid w:val="0058066A"/>
    <w:rsid w:val="005806CC"/>
    <w:rsid w:val="00580843"/>
    <w:rsid w:val="00580BB3"/>
    <w:rsid w:val="00580BDE"/>
    <w:rsid w:val="00580CE7"/>
    <w:rsid w:val="00580D03"/>
    <w:rsid w:val="00581457"/>
    <w:rsid w:val="005821A1"/>
    <w:rsid w:val="0058248E"/>
    <w:rsid w:val="00582499"/>
    <w:rsid w:val="005824D7"/>
    <w:rsid w:val="00582ABA"/>
    <w:rsid w:val="00582DC4"/>
    <w:rsid w:val="00582E8B"/>
    <w:rsid w:val="00583491"/>
    <w:rsid w:val="00583509"/>
    <w:rsid w:val="0058350C"/>
    <w:rsid w:val="00583746"/>
    <w:rsid w:val="00583764"/>
    <w:rsid w:val="00583B5F"/>
    <w:rsid w:val="00583BD7"/>
    <w:rsid w:val="00583C0E"/>
    <w:rsid w:val="00583D08"/>
    <w:rsid w:val="00583D64"/>
    <w:rsid w:val="00583DFD"/>
    <w:rsid w:val="00583E64"/>
    <w:rsid w:val="00583EF0"/>
    <w:rsid w:val="0058402A"/>
    <w:rsid w:val="00584065"/>
    <w:rsid w:val="00584105"/>
    <w:rsid w:val="00584298"/>
    <w:rsid w:val="0058431E"/>
    <w:rsid w:val="005844B0"/>
    <w:rsid w:val="00584BD7"/>
    <w:rsid w:val="00584BEA"/>
    <w:rsid w:val="00584C0B"/>
    <w:rsid w:val="00584C2C"/>
    <w:rsid w:val="00584C6C"/>
    <w:rsid w:val="00584DBB"/>
    <w:rsid w:val="00584E17"/>
    <w:rsid w:val="00584FF1"/>
    <w:rsid w:val="0058503B"/>
    <w:rsid w:val="0058553F"/>
    <w:rsid w:val="0058556E"/>
    <w:rsid w:val="00585857"/>
    <w:rsid w:val="00585A36"/>
    <w:rsid w:val="00585BA6"/>
    <w:rsid w:val="00586037"/>
    <w:rsid w:val="005860E2"/>
    <w:rsid w:val="00586357"/>
    <w:rsid w:val="00586706"/>
    <w:rsid w:val="00586765"/>
    <w:rsid w:val="005867EF"/>
    <w:rsid w:val="00586999"/>
    <w:rsid w:val="00586ABF"/>
    <w:rsid w:val="00586C74"/>
    <w:rsid w:val="00586CFC"/>
    <w:rsid w:val="00586D7E"/>
    <w:rsid w:val="00586FD4"/>
    <w:rsid w:val="00587339"/>
    <w:rsid w:val="005873AC"/>
    <w:rsid w:val="005879CD"/>
    <w:rsid w:val="00587D1B"/>
    <w:rsid w:val="00587DEC"/>
    <w:rsid w:val="00587FF1"/>
    <w:rsid w:val="005900AA"/>
    <w:rsid w:val="00590124"/>
    <w:rsid w:val="005901E6"/>
    <w:rsid w:val="00590309"/>
    <w:rsid w:val="00590356"/>
    <w:rsid w:val="0059042C"/>
    <w:rsid w:val="00590566"/>
    <w:rsid w:val="0059056C"/>
    <w:rsid w:val="00590583"/>
    <w:rsid w:val="00590857"/>
    <w:rsid w:val="00590931"/>
    <w:rsid w:val="005909B1"/>
    <w:rsid w:val="00590D98"/>
    <w:rsid w:val="00590E63"/>
    <w:rsid w:val="00590F60"/>
    <w:rsid w:val="00591146"/>
    <w:rsid w:val="005913B7"/>
    <w:rsid w:val="005918EB"/>
    <w:rsid w:val="0059193D"/>
    <w:rsid w:val="00591A3A"/>
    <w:rsid w:val="00591D87"/>
    <w:rsid w:val="00592336"/>
    <w:rsid w:val="0059258E"/>
    <w:rsid w:val="00592605"/>
    <w:rsid w:val="005926D6"/>
    <w:rsid w:val="0059277E"/>
    <w:rsid w:val="0059299F"/>
    <w:rsid w:val="005929C8"/>
    <w:rsid w:val="00592A46"/>
    <w:rsid w:val="00592AA7"/>
    <w:rsid w:val="00592C55"/>
    <w:rsid w:val="00592EC6"/>
    <w:rsid w:val="00593177"/>
    <w:rsid w:val="0059356E"/>
    <w:rsid w:val="0059376C"/>
    <w:rsid w:val="005938D9"/>
    <w:rsid w:val="00593A2D"/>
    <w:rsid w:val="00593A92"/>
    <w:rsid w:val="00593AE0"/>
    <w:rsid w:val="00593AFC"/>
    <w:rsid w:val="00593EE9"/>
    <w:rsid w:val="00593F1C"/>
    <w:rsid w:val="005941FF"/>
    <w:rsid w:val="005942AF"/>
    <w:rsid w:val="005943D3"/>
    <w:rsid w:val="00594496"/>
    <w:rsid w:val="005947C1"/>
    <w:rsid w:val="00594CCD"/>
    <w:rsid w:val="00594E1A"/>
    <w:rsid w:val="00594F88"/>
    <w:rsid w:val="0059539F"/>
    <w:rsid w:val="0059541F"/>
    <w:rsid w:val="0059548A"/>
    <w:rsid w:val="00595800"/>
    <w:rsid w:val="0059589E"/>
    <w:rsid w:val="00595944"/>
    <w:rsid w:val="005959F7"/>
    <w:rsid w:val="00595B6E"/>
    <w:rsid w:val="00595D9E"/>
    <w:rsid w:val="00595FC2"/>
    <w:rsid w:val="0059609A"/>
    <w:rsid w:val="00596237"/>
    <w:rsid w:val="00596403"/>
    <w:rsid w:val="00596415"/>
    <w:rsid w:val="0059651B"/>
    <w:rsid w:val="0059652F"/>
    <w:rsid w:val="005965B6"/>
    <w:rsid w:val="00596E15"/>
    <w:rsid w:val="00597103"/>
    <w:rsid w:val="0059744C"/>
    <w:rsid w:val="00597934"/>
    <w:rsid w:val="0059794C"/>
    <w:rsid w:val="00597B51"/>
    <w:rsid w:val="00597BD8"/>
    <w:rsid w:val="00597E6D"/>
    <w:rsid w:val="005A0157"/>
    <w:rsid w:val="005A02A4"/>
    <w:rsid w:val="005A0339"/>
    <w:rsid w:val="005A05F1"/>
    <w:rsid w:val="005A0C40"/>
    <w:rsid w:val="005A0E98"/>
    <w:rsid w:val="005A0ED3"/>
    <w:rsid w:val="005A1006"/>
    <w:rsid w:val="005A1318"/>
    <w:rsid w:val="005A1467"/>
    <w:rsid w:val="005A14E7"/>
    <w:rsid w:val="005A15AF"/>
    <w:rsid w:val="005A1DB6"/>
    <w:rsid w:val="005A1F22"/>
    <w:rsid w:val="005A200C"/>
    <w:rsid w:val="005A227D"/>
    <w:rsid w:val="005A236F"/>
    <w:rsid w:val="005A28F2"/>
    <w:rsid w:val="005A2B02"/>
    <w:rsid w:val="005A2EEA"/>
    <w:rsid w:val="005A2F29"/>
    <w:rsid w:val="005A31A8"/>
    <w:rsid w:val="005A31C5"/>
    <w:rsid w:val="005A32D8"/>
    <w:rsid w:val="005A33C2"/>
    <w:rsid w:val="005A34E6"/>
    <w:rsid w:val="005A3583"/>
    <w:rsid w:val="005A3732"/>
    <w:rsid w:val="005A3A06"/>
    <w:rsid w:val="005A3B61"/>
    <w:rsid w:val="005A3E9F"/>
    <w:rsid w:val="005A3EC1"/>
    <w:rsid w:val="005A4285"/>
    <w:rsid w:val="005A432D"/>
    <w:rsid w:val="005A4430"/>
    <w:rsid w:val="005A49CC"/>
    <w:rsid w:val="005A4C12"/>
    <w:rsid w:val="005A4EE9"/>
    <w:rsid w:val="005A51F3"/>
    <w:rsid w:val="005A5671"/>
    <w:rsid w:val="005A5800"/>
    <w:rsid w:val="005A5FEC"/>
    <w:rsid w:val="005A5FFF"/>
    <w:rsid w:val="005A614B"/>
    <w:rsid w:val="005A6403"/>
    <w:rsid w:val="005A656A"/>
    <w:rsid w:val="005A65F9"/>
    <w:rsid w:val="005A6B52"/>
    <w:rsid w:val="005A6DC2"/>
    <w:rsid w:val="005A6F5F"/>
    <w:rsid w:val="005A7056"/>
    <w:rsid w:val="005A70B3"/>
    <w:rsid w:val="005A73BB"/>
    <w:rsid w:val="005A7947"/>
    <w:rsid w:val="005A7A99"/>
    <w:rsid w:val="005A7B8F"/>
    <w:rsid w:val="005A7BBC"/>
    <w:rsid w:val="005A7C03"/>
    <w:rsid w:val="005B0336"/>
    <w:rsid w:val="005B0691"/>
    <w:rsid w:val="005B0821"/>
    <w:rsid w:val="005B0865"/>
    <w:rsid w:val="005B09A2"/>
    <w:rsid w:val="005B0B91"/>
    <w:rsid w:val="005B10E6"/>
    <w:rsid w:val="005B12AB"/>
    <w:rsid w:val="005B136B"/>
    <w:rsid w:val="005B151A"/>
    <w:rsid w:val="005B1646"/>
    <w:rsid w:val="005B1661"/>
    <w:rsid w:val="005B16CD"/>
    <w:rsid w:val="005B1D22"/>
    <w:rsid w:val="005B1D9C"/>
    <w:rsid w:val="005B1FAF"/>
    <w:rsid w:val="005B1FE6"/>
    <w:rsid w:val="005B205D"/>
    <w:rsid w:val="005B217E"/>
    <w:rsid w:val="005B2627"/>
    <w:rsid w:val="005B2D75"/>
    <w:rsid w:val="005B2E65"/>
    <w:rsid w:val="005B2F76"/>
    <w:rsid w:val="005B2FA4"/>
    <w:rsid w:val="005B3008"/>
    <w:rsid w:val="005B3026"/>
    <w:rsid w:val="005B3131"/>
    <w:rsid w:val="005B31FD"/>
    <w:rsid w:val="005B346D"/>
    <w:rsid w:val="005B3915"/>
    <w:rsid w:val="005B39E0"/>
    <w:rsid w:val="005B3A96"/>
    <w:rsid w:val="005B3CBA"/>
    <w:rsid w:val="005B3D95"/>
    <w:rsid w:val="005B4067"/>
    <w:rsid w:val="005B439B"/>
    <w:rsid w:val="005B43F0"/>
    <w:rsid w:val="005B460A"/>
    <w:rsid w:val="005B4828"/>
    <w:rsid w:val="005B49B8"/>
    <w:rsid w:val="005B49D1"/>
    <w:rsid w:val="005B4A65"/>
    <w:rsid w:val="005B5051"/>
    <w:rsid w:val="005B51D6"/>
    <w:rsid w:val="005B51E3"/>
    <w:rsid w:val="005B543F"/>
    <w:rsid w:val="005B54C4"/>
    <w:rsid w:val="005B5739"/>
    <w:rsid w:val="005B5932"/>
    <w:rsid w:val="005B5982"/>
    <w:rsid w:val="005B59E9"/>
    <w:rsid w:val="005B5B3A"/>
    <w:rsid w:val="005B5BA4"/>
    <w:rsid w:val="005B6041"/>
    <w:rsid w:val="005B60D0"/>
    <w:rsid w:val="005B6254"/>
    <w:rsid w:val="005B6688"/>
    <w:rsid w:val="005B6962"/>
    <w:rsid w:val="005B69C1"/>
    <w:rsid w:val="005B6EB4"/>
    <w:rsid w:val="005B6F12"/>
    <w:rsid w:val="005B734E"/>
    <w:rsid w:val="005B7422"/>
    <w:rsid w:val="005B7535"/>
    <w:rsid w:val="005B7B8C"/>
    <w:rsid w:val="005C0044"/>
    <w:rsid w:val="005C008E"/>
    <w:rsid w:val="005C01CC"/>
    <w:rsid w:val="005C020A"/>
    <w:rsid w:val="005C0277"/>
    <w:rsid w:val="005C0309"/>
    <w:rsid w:val="005C0588"/>
    <w:rsid w:val="005C0871"/>
    <w:rsid w:val="005C0B66"/>
    <w:rsid w:val="005C0B69"/>
    <w:rsid w:val="005C0FD6"/>
    <w:rsid w:val="005C1568"/>
    <w:rsid w:val="005C186C"/>
    <w:rsid w:val="005C188D"/>
    <w:rsid w:val="005C2047"/>
    <w:rsid w:val="005C2110"/>
    <w:rsid w:val="005C24C8"/>
    <w:rsid w:val="005C260C"/>
    <w:rsid w:val="005C2688"/>
    <w:rsid w:val="005C269E"/>
    <w:rsid w:val="005C2CB1"/>
    <w:rsid w:val="005C2EC9"/>
    <w:rsid w:val="005C2FD1"/>
    <w:rsid w:val="005C2FF5"/>
    <w:rsid w:val="005C3475"/>
    <w:rsid w:val="005C3651"/>
    <w:rsid w:val="005C36DA"/>
    <w:rsid w:val="005C3718"/>
    <w:rsid w:val="005C38DD"/>
    <w:rsid w:val="005C3999"/>
    <w:rsid w:val="005C39C6"/>
    <w:rsid w:val="005C3B35"/>
    <w:rsid w:val="005C3E5A"/>
    <w:rsid w:val="005C4110"/>
    <w:rsid w:val="005C4149"/>
    <w:rsid w:val="005C446F"/>
    <w:rsid w:val="005C483E"/>
    <w:rsid w:val="005C49B0"/>
    <w:rsid w:val="005C4A36"/>
    <w:rsid w:val="005C4A76"/>
    <w:rsid w:val="005C552C"/>
    <w:rsid w:val="005C58FA"/>
    <w:rsid w:val="005C5A43"/>
    <w:rsid w:val="005C5D35"/>
    <w:rsid w:val="005C5D78"/>
    <w:rsid w:val="005C5E2E"/>
    <w:rsid w:val="005C60E3"/>
    <w:rsid w:val="005C60E9"/>
    <w:rsid w:val="005C6866"/>
    <w:rsid w:val="005C68B8"/>
    <w:rsid w:val="005C68D8"/>
    <w:rsid w:val="005C6A96"/>
    <w:rsid w:val="005C6CD1"/>
    <w:rsid w:val="005C6E43"/>
    <w:rsid w:val="005C70D5"/>
    <w:rsid w:val="005C72E6"/>
    <w:rsid w:val="005C7414"/>
    <w:rsid w:val="005C775F"/>
    <w:rsid w:val="005C7764"/>
    <w:rsid w:val="005C7E5D"/>
    <w:rsid w:val="005C7F5B"/>
    <w:rsid w:val="005D00F5"/>
    <w:rsid w:val="005D0109"/>
    <w:rsid w:val="005D0401"/>
    <w:rsid w:val="005D0525"/>
    <w:rsid w:val="005D07DD"/>
    <w:rsid w:val="005D0980"/>
    <w:rsid w:val="005D0B95"/>
    <w:rsid w:val="005D0C07"/>
    <w:rsid w:val="005D0C2E"/>
    <w:rsid w:val="005D0CC1"/>
    <w:rsid w:val="005D0DF0"/>
    <w:rsid w:val="005D0DFC"/>
    <w:rsid w:val="005D0E03"/>
    <w:rsid w:val="005D0F2A"/>
    <w:rsid w:val="005D121D"/>
    <w:rsid w:val="005D12C5"/>
    <w:rsid w:val="005D1523"/>
    <w:rsid w:val="005D1748"/>
    <w:rsid w:val="005D17AC"/>
    <w:rsid w:val="005D1BD1"/>
    <w:rsid w:val="005D1E15"/>
    <w:rsid w:val="005D2276"/>
    <w:rsid w:val="005D22D8"/>
    <w:rsid w:val="005D2446"/>
    <w:rsid w:val="005D26F5"/>
    <w:rsid w:val="005D2872"/>
    <w:rsid w:val="005D296C"/>
    <w:rsid w:val="005D2981"/>
    <w:rsid w:val="005D29CF"/>
    <w:rsid w:val="005D2C2E"/>
    <w:rsid w:val="005D3181"/>
    <w:rsid w:val="005D32E2"/>
    <w:rsid w:val="005D3780"/>
    <w:rsid w:val="005D3B56"/>
    <w:rsid w:val="005D3EDA"/>
    <w:rsid w:val="005D3F35"/>
    <w:rsid w:val="005D47F8"/>
    <w:rsid w:val="005D4E69"/>
    <w:rsid w:val="005D4E7A"/>
    <w:rsid w:val="005D4FC3"/>
    <w:rsid w:val="005D51C6"/>
    <w:rsid w:val="005D532F"/>
    <w:rsid w:val="005D54FE"/>
    <w:rsid w:val="005D58E4"/>
    <w:rsid w:val="005D5DBB"/>
    <w:rsid w:val="005D5DCA"/>
    <w:rsid w:val="005D6056"/>
    <w:rsid w:val="005D612D"/>
    <w:rsid w:val="005D6190"/>
    <w:rsid w:val="005D62DC"/>
    <w:rsid w:val="005D636F"/>
    <w:rsid w:val="005D6718"/>
    <w:rsid w:val="005D6B36"/>
    <w:rsid w:val="005D6CA8"/>
    <w:rsid w:val="005D6F00"/>
    <w:rsid w:val="005D6FE0"/>
    <w:rsid w:val="005D7101"/>
    <w:rsid w:val="005D722D"/>
    <w:rsid w:val="005D7389"/>
    <w:rsid w:val="005D7390"/>
    <w:rsid w:val="005D7492"/>
    <w:rsid w:val="005D75DB"/>
    <w:rsid w:val="005D7769"/>
    <w:rsid w:val="005D7BEA"/>
    <w:rsid w:val="005D7C9F"/>
    <w:rsid w:val="005D7DE8"/>
    <w:rsid w:val="005D7F75"/>
    <w:rsid w:val="005E01B3"/>
    <w:rsid w:val="005E042F"/>
    <w:rsid w:val="005E0555"/>
    <w:rsid w:val="005E05A3"/>
    <w:rsid w:val="005E0665"/>
    <w:rsid w:val="005E0975"/>
    <w:rsid w:val="005E0BAB"/>
    <w:rsid w:val="005E0C33"/>
    <w:rsid w:val="005E1105"/>
    <w:rsid w:val="005E11EA"/>
    <w:rsid w:val="005E1350"/>
    <w:rsid w:val="005E13A6"/>
    <w:rsid w:val="005E166B"/>
    <w:rsid w:val="005E16FC"/>
    <w:rsid w:val="005E1BF2"/>
    <w:rsid w:val="005E1C1D"/>
    <w:rsid w:val="005E1CE9"/>
    <w:rsid w:val="005E1F93"/>
    <w:rsid w:val="005E1FBC"/>
    <w:rsid w:val="005E22A5"/>
    <w:rsid w:val="005E24A4"/>
    <w:rsid w:val="005E2697"/>
    <w:rsid w:val="005E26D0"/>
    <w:rsid w:val="005E28E5"/>
    <w:rsid w:val="005E2981"/>
    <w:rsid w:val="005E30E2"/>
    <w:rsid w:val="005E31C6"/>
    <w:rsid w:val="005E32B3"/>
    <w:rsid w:val="005E331A"/>
    <w:rsid w:val="005E352B"/>
    <w:rsid w:val="005E38BE"/>
    <w:rsid w:val="005E3C06"/>
    <w:rsid w:val="005E3C33"/>
    <w:rsid w:val="005E3CD3"/>
    <w:rsid w:val="005E4356"/>
    <w:rsid w:val="005E4646"/>
    <w:rsid w:val="005E4A80"/>
    <w:rsid w:val="005E4E85"/>
    <w:rsid w:val="005E5060"/>
    <w:rsid w:val="005E5409"/>
    <w:rsid w:val="005E54DF"/>
    <w:rsid w:val="005E57FC"/>
    <w:rsid w:val="005E5834"/>
    <w:rsid w:val="005E598E"/>
    <w:rsid w:val="005E59F2"/>
    <w:rsid w:val="005E5A21"/>
    <w:rsid w:val="005E5C56"/>
    <w:rsid w:val="005E5CD8"/>
    <w:rsid w:val="005E5EF5"/>
    <w:rsid w:val="005E6298"/>
    <w:rsid w:val="005E66E4"/>
    <w:rsid w:val="005E6A29"/>
    <w:rsid w:val="005E6A5F"/>
    <w:rsid w:val="005E6C09"/>
    <w:rsid w:val="005E6E2C"/>
    <w:rsid w:val="005E6F8B"/>
    <w:rsid w:val="005E6F9A"/>
    <w:rsid w:val="005E7033"/>
    <w:rsid w:val="005E72A9"/>
    <w:rsid w:val="005E72E4"/>
    <w:rsid w:val="005E7846"/>
    <w:rsid w:val="005E79DA"/>
    <w:rsid w:val="005E7A77"/>
    <w:rsid w:val="005E7C2D"/>
    <w:rsid w:val="005E7D6A"/>
    <w:rsid w:val="005F06ED"/>
    <w:rsid w:val="005F0852"/>
    <w:rsid w:val="005F08A2"/>
    <w:rsid w:val="005F0A2D"/>
    <w:rsid w:val="005F0E14"/>
    <w:rsid w:val="005F0F88"/>
    <w:rsid w:val="005F115B"/>
    <w:rsid w:val="005F1171"/>
    <w:rsid w:val="005F11EC"/>
    <w:rsid w:val="005F13BC"/>
    <w:rsid w:val="005F13C6"/>
    <w:rsid w:val="005F1418"/>
    <w:rsid w:val="005F1523"/>
    <w:rsid w:val="005F1575"/>
    <w:rsid w:val="005F1721"/>
    <w:rsid w:val="005F1B0D"/>
    <w:rsid w:val="005F1B29"/>
    <w:rsid w:val="005F1B83"/>
    <w:rsid w:val="005F1BD2"/>
    <w:rsid w:val="005F1E07"/>
    <w:rsid w:val="005F1EAD"/>
    <w:rsid w:val="005F1F76"/>
    <w:rsid w:val="005F1F9C"/>
    <w:rsid w:val="005F2012"/>
    <w:rsid w:val="005F2086"/>
    <w:rsid w:val="005F21EC"/>
    <w:rsid w:val="005F2484"/>
    <w:rsid w:val="005F249B"/>
    <w:rsid w:val="005F26EA"/>
    <w:rsid w:val="005F27B2"/>
    <w:rsid w:val="005F2AAD"/>
    <w:rsid w:val="005F2DF5"/>
    <w:rsid w:val="005F2E6D"/>
    <w:rsid w:val="005F2EDC"/>
    <w:rsid w:val="005F2F43"/>
    <w:rsid w:val="005F3046"/>
    <w:rsid w:val="005F3198"/>
    <w:rsid w:val="005F31DA"/>
    <w:rsid w:val="005F3201"/>
    <w:rsid w:val="005F33AA"/>
    <w:rsid w:val="005F3465"/>
    <w:rsid w:val="005F3ABA"/>
    <w:rsid w:val="005F3C9F"/>
    <w:rsid w:val="005F3DB1"/>
    <w:rsid w:val="005F3E41"/>
    <w:rsid w:val="005F3EA0"/>
    <w:rsid w:val="005F40F4"/>
    <w:rsid w:val="005F4105"/>
    <w:rsid w:val="005F48BE"/>
    <w:rsid w:val="005F4B13"/>
    <w:rsid w:val="005F4B56"/>
    <w:rsid w:val="005F4DA8"/>
    <w:rsid w:val="005F4DB3"/>
    <w:rsid w:val="005F4E4E"/>
    <w:rsid w:val="005F51E2"/>
    <w:rsid w:val="005F521A"/>
    <w:rsid w:val="005F5456"/>
    <w:rsid w:val="005F55B5"/>
    <w:rsid w:val="005F5659"/>
    <w:rsid w:val="005F56BB"/>
    <w:rsid w:val="005F59FF"/>
    <w:rsid w:val="005F5A7B"/>
    <w:rsid w:val="005F5DF0"/>
    <w:rsid w:val="005F5F07"/>
    <w:rsid w:val="005F5FE0"/>
    <w:rsid w:val="005F62D6"/>
    <w:rsid w:val="005F6518"/>
    <w:rsid w:val="005F6554"/>
    <w:rsid w:val="005F678F"/>
    <w:rsid w:val="005F6C17"/>
    <w:rsid w:val="005F6CC7"/>
    <w:rsid w:val="005F6D73"/>
    <w:rsid w:val="005F6DD2"/>
    <w:rsid w:val="005F6EB4"/>
    <w:rsid w:val="005F7083"/>
    <w:rsid w:val="005F70BB"/>
    <w:rsid w:val="005F7114"/>
    <w:rsid w:val="005F73A7"/>
    <w:rsid w:val="005F754B"/>
    <w:rsid w:val="005F763A"/>
    <w:rsid w:val="005F79B2"/>
    <w:rsid w:val="005F7A64"/>
    <w:rsid w:val="005F7C8A"/>
    <w:rsid w:val="005F7E43"/>
    <w:rsid w:val="0060037E"/>
    <w:rsid w:val="006005FA"/>
    <w:rsid w:val="0060076D"/>
    <w:rsid w:val="006007E5"/>
    <w:rsid w:val="006007FD"/>
    <w:rsid w:val="00600A68"/>
    <w:rsid w:val="00600CA3"/>
    <w:rsid w:val="00600E18"/>
    <w:rsid w:val="006010EE"/>
    <w:rsid w:val="006011A3"/>
    <w:rsid w:val="0060147F"/>
    <w:rsid w:val="00601612"/>
    <w:rsid w:val="00601AA6"/>
    <w:rsid w:val="00601BCC"/>
    <w:rsid w:val="00601C20"/>
    <w:rsid w:val="00601D1B"/>
    <w:rsid w:val="00601D8D"/>
    <w:rsid w:val="00601EDF"/>
    <w:rsid w:val="00601EFE"/>
    <w:rsid w:val="00602062"/>
    <w:rsid w:val="006020A6"/>
    <w:rsid w:val="006020EC"/>
    <w:rsid w:val="00602396"/>
    <w:rsid w:val="00602577"/>
    <w:rsid w:val="006025F8"/>
    <w:rsid w:val="00602613"/>
    <w:rsid w:val="006027B2"/>
    <w:rsid w:val="006029F9"/>
    <w:rsid w:val="00602E67"/>
    <w:rsid w:val="00603154"/>
    <w:rsid w:val="006033C6"/>
    <w:rsid w:val="006037EA"/>
    <w:rsid w:val="0060380F"/>
    <w:rsid w:val="00603991"/>
    <w:rsid w:val="006039EB"/>
    <w:rsid w:val="00603A71"/>
    <w:rsid w:val="0060407F"/>
    <w:rsid w:val="0060427B"/>
    <w:rsid w:val="00604297"/>
    <w:rsid w:val="00604389"/>
    <w:rsid w:val="00604A12"/>
    <w:rsid w:val="00604A87"/>
    <w:rsid w:val="00604B5C"/>
    <w:rsid w:val="00604C61"/>
    <w:rsid w:val="00604C69"/>
    <w:rsid w:val="00604FBE"/>
    <w:rsid w:val="006050FE"/>
    <w:rsid w:val="006051AE"/>
    <w:rsid w:val="00605298"/>
    <w:rsid w:val="006055F2"/>
    <w:rsid w:val="00605621"/>
    <w:rsid w:val="006056F3"/>
    <w:rsid w:val="00605A35"/>
    <w:rsid w:val="00606196"/>
    <w:rsid w:val="006062CB"/>
    <w:rsid w:val="00606610"/>
    <w:rsid w:val="006066B3"/>
    <w:rsid w:val="00606795"/>
    <w:rsid w:val="0060686F"/>
    <w:rsid w:val="006068BE"/>
    <w:rsid w:val="00606961"/>
    <w:rsid w:val="00606EA5"/>
    <w:rsid w:val="0060708C"/>
    <w:rsid w:val="00607259"/>
    <w:rsid w:val="0060735B"/>
    <w:rsid w:val="00607500"/>
    <w:rsid w:val="00607632"/>
    <w:rsid w:val="0060769A"/>
    <w:rsid w:val="00607727"/>
    <w:rsid w:val="0060777C"/>
    <w:rsid w:val="006077E2"/>
    <w:rsid w:val="0060790B"/>
    <w:rsid w:val="0060798D"/>
    <w:rsid w:val="00607CEA"/>
    <w:rsid w:val="00607CEF"/>
    <w:rsid w:val="00607CF5"/>
    <w:rsid w:val="00607E02"/>
    <w:rsid w:val="00607F91"/>
    <w:rsid w:val="006100D8"/>
    <w:rsid w:val="006101DD"/>
    <w:rsid w:val="006102AA"/>
    <w:rsid w:val="006104AE"/>
    <w:rsid w:val="00610522"/>
    <w:rsid w:val="006105FB"/>
    <w:rsid w:val="0061066D"/>
    <w:rsid w:val="00610724"/>
    <w:rsid w:val="0061075E"/>
    <w:rsid w:val="00610C24"/>
    <w:rsid w:val="00610FB5"/>
    <w:rsid w:val="0061114F"/>
    <w:rsid w:val="006112B4"/>
    <w:rsid w:val="0061140D"/>
    <w:rsid w:val="006115FF"/>
    <w:rsid w:val="00611852"/>
    <w:rsid w:val="00611ABE"/>
    <w:rsid w:val="006121F2"/>
    <w:rsid w:val="00612306"/>
    <w:rsid w:val="0061250E"/>
    <w:rsid w:val="006126B2"/>
    <w:rsid w:val="00612BFC"/>
    <w:rsid w:val="00612DCD"/>
    <w:rsid w:val="00612DD7"/>
    <w:rsid w:val="00612E0D"/>
    <w:rsid w:val="006131E9"/>
    <w:rsid w:val="00613319"/>
    <w:rsid w:val="0061336F"/>
    <w:rsid w:val="0061364F"/>
    <w:rsid w:val="00613705"/>
    <w:rsid w:val="0061379A"/>
    <w:rsid w:val="0061393F"/>
    <w:rsid w:val="00613A89"/>
    <w:rsid w:val="00613BB5"/>
    <w:rsid w:val="00613D01"/>
    <w:rsid w:val="00613D44"/>
    <w:rsid w:val="00613DE6"/>
    <w:rsid w:val="00613FB3"/>
    <w:rsid w:val="006141C1"/>
    <w:rsid w:val="00614653"/>
    <w:rsid w:val="0061474B"/>
    <w:rsid w:val="0061478F"/>
    <w:rsid w:val="0061480E"/>
    <w:rsid w:val="006150B3"/>
    <w:rsid w:val="006151AF"/>
    <w:rsid w:val="006151FB"/>
    <w:rsid w:val="00615704"/>
    <w:rsid w:val="00615738"/>
    <w:rsid w:val="00615A0E"/>
    <w:rsid w:val="00615B5F"/>
    <w:rsid w:val="00615C17"/>
    <w:rsid w:val="00615CC0"/>
    <w:rsid w:val="00615F1E"/>
    <w:rsid w:val="00615F5E"/>
    <w:rsid w:val="00615FC2"/>
    <w:rsid w:val="00616462"/>
    <w:rsid w:val="006164CA"/>
    <w:rsid w:val="0061677A"/>
    <w:rsid w:val="00616B8F"/>
    <w:rsid w:val="00616DF5"/>
    <w:rsid w:val="00616E74"/>
    <w:rsid w:val="00616E75"/>
    <w:rsid w:val="00616EA5"/>
    <w:rsid w:val="006171CE"/>
    <w:rsid w:val="00617820"/>
    <w:rsid w:val="00617871"/>
    <w:rsid w:val="00617F01"/>
    <w:rsid w:val="00617F5B"/>
    <w:rsid w:val="00617FC3"/>
    <w:rsid w:val="006200BB"/>
    <w:rsid w:val="0062020B"/>
    <w:rsid w:val="00620326"/>
    <w:rsid w:val="00620BAD"/>
    <w:rsid w:val="00620BB7"/>
    <w:rsid w:val="00621053"/>
    <w:rsid w:val="006210AE"/>
    <w:rsid w:val="006210CF"/>
    <w:rsid w:val="00621230"/>
    <w:rsid w:val="0062133B"/>
    <w:rsid w:val="006213D1"/>
    <w:rsid w:val="0062144A"/>
    <w:rsid w:val="00621485"/>
    <w:rsid w:val="006214C7"/>
    <w:rsid w:val="00621A3E"/>
    <w:rsid w:val="00621BE0"/>
    <w:rsid w:val="00621C4F"/>
    <w:rsid w:val="00621D06"/>
    <w:rsid w:val="00621D92"/>
    <w:rsid w:val="00621DB0"/>
    <w:rsid w:val="006220B7"/>
    <w:rsid w:val="0062212C"/>
    <w:rsid w:val="0062217C"/>
    <w:rsid w:val="00622377"/>
    <w:rsid w:val="006225B1"/>
    <w:rsid w:val="006225B4"/>
    <w:rsid w:val="006225B6"/>
    <w:rsid w:val="00622790"/>
    <w:rsid w:val="006227C1"/>
    <w:rsid w:val="00622835"/>
    <w:rsid w:val="00622BCE"/>
    <w:rsid w:val="00623485"/>
    <w:rsid w:val="00623521"/>
    <w:rsid w:val="006236C0"/>
    <w:rsid w:val="00623711"/>
    <w:rsid w:val="00623B91"/>
    <w:rsid w:val="00623C18"/>
    <w:rsid w:val="00623C97"/>
    <w:rsid w:val="00623FEB"/>
    <w:rsid w:val="0062413D"/>
    <w:rsid w:val="006243E7"/>
    <w:rsid w:val="00624503"/>
    <w:rsid w:val="0062450E"/>
    <w:rsid w:val="0062487F"/>
    <w:rsid w:val="00624907"/>
    <w:rsid w:val="00624AE7"/>
    <w:rsid w:val="00624CEC"/>
    <w:rsid w:val="00624CF0"/>
    <w:rsid w:val="00624D45"/>
    <w:rsid w:val="00624E46"/>
    <w:rsid w:val="00625040"/>
    <w:rsid w:val="006253E4"/>
    <w:rsid w:val="006255F6"/>
    <w:rsid w:val="0062578F"/>
    <w:rsid w:val="0062591E"/>
    <w:rsid w:val="00625962"/>
    <w:rsid w:val="006259C3"/>
    <w:rsid w:val="00625A05"/>
    <w:rsid w:val="00625BF7"/>
    <w:rsid w:val="00625C98"/>
    <w:rsid w:val="00625D62"/>
    <w:rsid w:val="0062629A"/>
    <w:rsid w:val="0062653E"/>
    <w:rsid w:val="006266E1"/>
    <w:rsid w:val="00626849"/>
    <w:rsid w:val="0062690C"/>
    <w:rsid w:val="00626A95"/>
    <w:rsid w:val="006272A3"/>
    <w:rsid w:val="006275DC"/>
    <w:rsid w:val="00627657"/>
    <w:rsid w:val="00627A4E"/>
    <w:rsid w:val="00627D51"/>
    <w:rsid w:val="00627D60"/>
    <w:rsid w:val="0063009B"/>
    <w:rsid w:val="00630161"/>
    <w:rsid w:val="00630983"/>
    <w:rsid w:val="00630BE4"/>
    <w:rsid w:val="00630DED"/>
    <w:rsid w:val="0063120E"/>
    <w:rsid w:val="006313F6"/>
    <w:rsid w:val="00631604"/>
    <w:rsid w:val="00631778"/>
    <w:rsid w:val="00631783"/>
    <w:rsid w:val="006318A8"/>
    <w:rsid w:val="0063192F"/>
    <w:rsid w:val="00632029"/>
    <w:rsid w:val="00632165"/>
    <w:rsid w:val="00632274"/>
    <w:rsid w:val="006323C5"/>
    <w:rsid w:val="006323C7"/>
    <w:rsid w:val="0063240F"/>
    <w:rsid w:val="006324B2"/>
    <w:rsid w:val="00632555"/>
    <w:rsid w:val="0063289E"/>
    <w:rsid w:val="006329D7"/>
    <w:rsid w:val="006329FC"/>
    <w:rsid w:val="00632A62"/>
    <w:rsid w:val="00632A86"/>
    <w:rsid w:val="006331A6"/>
    <w:rsid w:val="006334FF"/>
    <w:rsid w:val="006336C7"/>
    <w:rsid w:val="006337D4"/>
    <w:rsid w:val="00633810"/>
    <w:rsid w:val="00633CD2"/>
    <w:rsid w:val="00633D1C"/>
    <w:rsid w:val="00633D8C"/>
    <w:rsid w:val="00633E4F"/>
    <w:rsid w:val="00633E5C"/>
    <w:rsid w:val="00633F49"/>
    <w:rsid w:val="0063401E"/>
    <w:rsid w:val="006341B7"/>
    <w:rsid w:val="006341E7"/>
    <w:rsid w:val="006342F4"/>
    <w:rsid w:val="0063464A"/>
    <w:rsid w:val="00634B57"/>
    <w:rsid w:val="006350D5"/>
    <w:rsid w:val="00635254"/>
    <w:rsid w:val="00635331"/>
    <w:rsid w:val="0063541B"/>
    <w:rsid w:val="00635921"/>
    <w:rsid w:val="006359DD"/>
    <w:rsid w:val="00635CFA"/>
    <w:rsid w:val="00635D21"/>
    <w:rsid w:val="00635F7E"/>
    <w:rsid w:val="00636394"/>
    <w:rsid w:val="006365D6"/>
    <w:rsid w:val="0063682F"/>
    <w:rsid w:val="006368F8"/>
    <w:rsid w:val="00636ADF"/>
    <w:rsid w:val="00636B81"/>
    <w:rsid w:val="00636BA5"/>
    <w:rsid w:val="00636D69"/>
    <w:rsid w:val="00637069"/>
    <w:rsid w:val="0063727F"/>
    <w:rsid w:val="006372E8"/>
    <w:rsid w:val="006374A9"/>
    <w:rsid w:val="006374D7"/>
    <w:rsid w:val="006376B3"/>
    <w:rsid w:val="006376D4"/>
    <w:rsid w:val="006376F9"/>
    <w:rsid w:val="0063776F"/>
    <w:rsid w:val="006377DD"/>
    <w:rsid w:val="00640312"/>
    <w:rsid w:val="00640372"/>
    <w:rsid w:val="006404C2"/>
    <w:rsid w:val="0064053C"/>
    <w:rsid w:val="006411E9"/>
    <w:rsid w:val="00641455"/>
    <w:rsid w:val="006414AC"/>
    <w:rsid w:val="00641736"/>
    <w:rsid w:val="0064174A"/>
    <w:rsid w:val="00641785"/>
    <w:rsid w:val="006418A0"/>
    <w:rsid w:val="006419A4"/>
    <w:rsid w:val="00641ABD"/>
    <w:rsid w:val="00641B0A"/>
    <w:rsid w:val="00641CED"/>
    <w:rsid w:val="006420BC"/>
    <w:rsid w:val="0064212A"/>
    <w:rsid w:val="006422C8"/>
    <w:rsid w:val="00642376"/>
    <w:rsid w:val="00642AAA"/>
    <w:rsid w:val="00642BE9"/>
    <w:rsid w:val="00642D2C"/>
    <w:rsid w:val="00642FF7"/>
    <w:rsid w:val="00643089"/>
    <w:rsid w:val="00643477"/>
    <w:rsid w:val="0064373A"/>
    <w:rsid w:val="00643956"/>
    <w:rsid w:val="00643B5F"/>
    <w:rsid w:val="00643BCF"/>
    <w:rsid w:val="00643C24"/>
    <w:rsid w:val="00643CBF"/>
    <w:rsid w:val="00643FA6"/>
    <w:rsid w:val="0064483A"/>
    <w:rsid w:val="00644B0D"/>
    <w:rsid w:val="00644BAB"/>
    <w:rsid w:val="00644C60"/>
    <w:rsid w:val="00644E10"/>
    <w:rsid w:val="00644F63"/>
    <w:rsid w:val="00645089"/>
    <w:rsid w:val="00645228"/>
    <w:rsid w:val="006453FF"/>
    <w:rsid w:val="00645623"/>
    <w:rsid w:val="00645756"/>
    <w:rsid w:val="006457DC"/>
    <w:rsid w:val="00645E57"/>
    <w:rsid w:val="00645E58"/>
    <w:rsid w:val="00646338"/>
    <w:rsid w:val="00646861"/>
    <w:rsid w:val="00646C23"/>
    <w:rsid w:val="00646D00"/>
    <w:rsid w:val="00646D06"/>
    <w:rsid w:val="00646DB1"/>
    <w:rsid w:val="00647296"/>
    <w:rsid w:val="006472C7"/>
    <w:rsid w:val="00647836"/>
    <w:rsid w:val="00647BB3"/>
    <w:rsid w:val="00647C01"/>
    <w:rsid w:val="00647C89"/>
    <w:rsid w:val="00647F4B"/>
    <w:rsid w:val="00650187"/>
    <w:rsid w:val="006501EA"/>
    <w:rsid w:val="00650528"/>
    <w:rsid w:val="00650769"/>
    <w:rsid w:val="006507E5"/>
    <w:rsid w:val="00650937"/>
    <w:rsid w:val="00650992"/>
    <w:rsid w:val="00650CE0"/>
    <w:rsid w:val="0065128C"/>
    <w:rsid w:val="00651315"/>
    <w:rsid w:val="006513E1"/>
    <w:rsid w:val="0065141A"/>
    <w:rsid w:val="006514E2"/>
    <w:rsid w:val="006515EF"/>
    <w:rsid w:val="006516CB"/>
    <w:rsid w:val="00651828"/>
    <w:rsid w:val="00651872"/>
    <w:rsid w:val="00651BAC"/>
    <w:rsid w:val="00651BDA"/>
    <w:rsid w:val="00651C4B"/>
    <w:rsid w:val="00651CC8"/>
    <w:rsid w:val="00652535"/>
    <w:rsid w:val="0065253F"/>
    <w:rsid w:val="00652A98"/>
    <w:rsid w:val="00652AC0"/>
    <w:rsid w:val="00652B7D"/>
    <w:rsid w:val="0065369F"/>
    <w:rsid w:val="00653B29"/>
    <w:rsid w:val="00653B4C"/>
    <w:rsid w:val="00653EC5"/>
    <w:rsid w:val="00653F55"/>
    <w:rsid w:val="00653F64"/>
    <w:rsid w:val="00653F9F"/>
    <w:rsid w:val="006543B5"/>
    <w:rsid w:val="006545F5"/>
    <w:rsid w:val="006546D7"/>
    <w:rsid w:val="00654886"/>
    <w:rsid w:val="00654F17"/>
    <w:rsid w:val="00654F24"/>
    <w:rsid w:val="0065516D"/>
    <w:rsid w:val="006553F3"/>
    <w:rsid w:val="0065553B"/>
    <w:rsid w:val="00655DC6"/>
    <w:rsid w:val="00655EB6"/>
    <w:rsid w:val="00656326"/>
    <w:rsid w:val="0065649B"/>
    <w:rsid w:val="0065655C"/>
    <w:rsid w:val="00656C37"/>
    <w:rsid w:val="006571CA"/>
    <w:rsid w:val="006573D2"/>
    <w:rsid w:val="0065783F"/>
    <w:rsid w:val="006578E0"/>
    <w:rsid w:val="006579B0"/>
    <w:rsid w:val="00657A18"/>
    <w:rsid w:val="00657EF9"/>
    <w:rsid w:val="00660061"/>
    <w:rsid w:val="00660628"/>
    <w:rsid w:val="00660A66"/>
    <w:rsid w:val="00660BDD"/>
    <w:rsid w:val="00660D6C"/>
    <w:rsid w:val="006611AE"/>
    <w:rsid w:val="006612B7"/>
    <w:rsid w:val="0066141C"/>
    <w:rsid w:val="00661495"/>
    <w:rsid w:val="00661632"/>
    <w:rsid w:val="00661998"/>
    <w:rsid w:val="00661A12"/>
    <w:rsid w:val="00661BD4"/>
    <w:rsid w:val="00661BD7"/>
    <w:rsid w:val="00661C66"/>
    <w:rsid w:val="00661CDC"/>
    <w:rsid w:val="00661D68"/>
    <w:rsid w:val="00661F5C"/>
    <w:rsid w:val="00662078"/>
    <w:rsid w:val="0066213F"/>
    <w:rsid w:val="006624AF"/>
    <w:rsid w:val="0066252E"/>
    <w:rsid w:val="00662853"/>
    <w:rsid w:val="00662988"/>
    <w:rsid w:val="00662C48"/>
    <w:rsid w:val="00662F7F"/>
    <w:rsid w:val="00663261"/>
    <w:rsid w:val="0066336D"/>
    <w:rsid w:val="00663810"/>
    <w:rsid w:val="0066389B"/>
    <w:rsid w:val="006638E5"/>
    <w:rsid w:val="00663A29"/>
    <w:rsid w:val="00663CB8"/>
    <w:rsid w:val="00663E44"/>
    <w:rsid w:val="006642F1"/>
    <w:rsid w:val="006644A3"/>
    <w:rsid w:val="00664531"/>
    <w:rsid w:val="006646C7"/>
    <w:rsid w:val="0066487B"/>
    <w:rsid w:val="00664946"/>
    <w:rsid w:val="00664BD0"/>
    <w:rsid w:val="00664BE1"/>
    <w:rsid w:val="00664C22"/>
    <w:rsid w:val="00664D7B"/>
    <w:rsid w:val="00664E6E"/>
    <w:rsid w:val="0066554E"/>
    <w:rsid w:val="00665569"/>
    <w:rsid w:val="00665C2B"/>
    <w:rsid w:val="00665D8F"/>
    <w:rsid w:val="0066603C"/>
    <w:rsid w:val="00666432"/>
    <w:rsid w:val="00666479"/>
    <w:rsid w:val="00666512"/>
    <w:rsid w:val="00666537"/>
    <w:rsid w:val="00666567"/>
    <w:rsid w:val="00666958"/>
    <w:rsid w:val="00666D63"/>
    <w:rsid w:val="00666DA8"/>
    <w:rsid w:val="00667071"/>
    <w:rsid w:val="00667097"/>
    <w:rsid w:val="006670EA"/>
    <w:rsid w:val="00667258"/>
    <w:rsid w:val="00667416"/>
    <w:rsid w:val="00667545"/>
    <w:rsid w:val="006675AD"/>
    <w:rsid w:val="00667620"/>
    <w:rsid w:val="006677EE"/>
    <w:rsid w:val="00667AAB"/>
    <w:rsid w:val="00667AFE"/>
    <w:rsid w:val="00667CDE"/>
    <w:rsid w:val="00667DC2"/>
    <w:rsid w:val="00667DCB"/>
    <w:rsid w:val="00670033"/>
    <w:rsid w:val="00670155"/>
    <w:rsid w:val="00670416"/>
    <w:rsid w:val="00670546"/>
    <w:rsid w:val="00670851"/>
    <w:rsid w:val="00670916"/>
    <w:rsid w:val="006709EC"/>
    <w:rsid w:val="00671040"/>
    <w:rsid w:val="00671187"/>
    <w:rsid w:val="00671305"/>
    <w:rsid w:val="00671346"/>
    <w:rsid w:val="00671474"/>
    <w:rsid w:val="006714CB"/>
    <w:rsid w:val="0067189C"/>
    <w:rsid w:val="00671BED"/>
    <w:rsid w:val="00671C31"/>
    <w:rsid w:val="00671EFE"/>
    <w:rsid w:val="0067211B"/>
    <w:rsid w:val="0067231E"/>
    <w:rsid w:val="00672842"/>
    <w:rsid w:val="006729E1"/>
    <w:rsid w:val="00672C9F"/>
    <w:rsid w:val="00672E76"/>
    <w:rsid w:val="00672E88"/>
    <w:rsid w:val="00673430"/>
    <w:rsid w:val="00673552"/>
    <w:rsid w:val="006739E3"/>
    <w:rsid w:val="00673CDE"/>
    <w:rsid w:val="00673D20"/>
    <w:rsid w:val="0067424F"/>
    <w:rsid w:val="006742AE"/>
    <w:rsid w:val="00674567"/>
    <w:rsid w:val="00674696"/>
    <w:rsid w:val="00674B4D"/>
    <w:rsid w:val="00674D37"/>
    <w:rsid w:val="00674F59"/>
    <w:rsid w:val="00675154"/>
    <w:rsid w:val="0067531D"/>
    <w:rsid w:val="00675358"/>
    <w:rsid w:val="0067551A"/>
    <w:rsid w:val="006756E3"/>
    <w:rsid w:val="006756E6"/>
    <w:rsid w:val="00675B1D"/>
    <w:rsid w:val="00675CF1"/>
    <w:rsid w:val="00675E19"/>
    <w:rsid w:val="00675E62"/>
    <w:rsid w:val="006763A7"/>
    <w:rsid w:val="0067661D"/>
    <w:rsid w:val="006766CD"/>
    <w:rsid w:val="0067671F"/>
    <w:rsid w:val="0067699E"/>
    <w:rsid w:val="006769D1"/>
    <w:rsid w:val="00676A68"/>
    <w:rsid w:val="00676EBB"/>
    <w:rsid w:val="00677239"/>
    <w:rsid w:val="006772BA"/>
    <w:rsid w:val="00677509"/>
    <w:rsid w:val="0067752D"/>
    <w:rsid w:val="00677891"/>
    <w:rsid w:val="006779E1"/>
    <w:rsid w:val="00677ABC"/>
    <w:rsid w:val="00677CA1"/>
    <w:rsid w:val="006801E3"/>
    <w:rsid w:val="00680507"/>
    <w:rsid w:val="0068094B"/>
    <w:rsid w:val="0068097B"/>
    <w:rsid w:val="00680B28"/>
    <w:rsid w:val="006810F6"/>
    <w:rsid w:val="006817B6"/>
    <w:rsid w:val="00681987"/>
    <w:rsid w:val="00681A1D"/>
    <w:rsid w:val="00681C0D"/>
    <w:rsid w:val="00681EFE"/>
    <w:rsid w:val="0068226A"/>
    <w:rsid w:val="00682521"/>
    <w:rsid w:val="00682815"/>
    <w:rsid w:val="00682878"/>
    <w:rsid w:val="00682953"/>
    <w:rsid w:val="006829BC"/>
    <w:rsid w:val="00682F8B"/>
    <w:rsid w:val="0068308B"/>
    <w:rsid w:val="0068377A"/>
    <w:rsid w:val="006837C0"/>
    <w:rsid w:val="00683A29"/>
    <w:rsid w:val="0068407E"/>
    <w:rsid w:val="006846A1"/>
    <w:rsid w:val="00684787"/>
    <w:rsid w:val="00684A5C"/>
    <w:rsid w:val="00684C66"/>
    <w:rsid w:val="006856D9"/>
    <w:rsid w:val="00685897"/>
    <w:rsid w:val="00685A30"/>
    <w:rsid w:val="00685A7C"/>
    <w:rsid w:val="00685CC3"/>
    <w:rsid w:val="0068619E"/>
    <w:rsid w:val="006864B3"/>
    <w:rsid w:val="00686785"/>
    <w:rsid w:val="00686954"/>
    <w:rsid w:val="00686988"/>
    <w:rsid w:val="00686A54"/>
    <w:rsid w:val="00686C75"/>
    <w:rsid w:val="00686E76"/>
    <w:rsid w:val="00686FCD"/>
    <w:rsid w:val="006873A8"/>
    <w:rsid w:val="0068743B"/>
    <w:rsid w:val="006874B3"/>
    <w:rsid w:val="0068750B"/>
    <w:rsid w:val="0068755F"/>
    <w:rsid w:val="00687777"/>
    <w:rsid w:val="00687A34"/>
    <w:rsid w:val="00687B9A"/>
    <w:rsid w:val="00687E2B"/>
    <w:rsid w:val="00690293"/>
    <w:rsid w:val="00690B66"/>
    <w:rsid w:val="00690D0F"/>
    <w:rsid w:val="00690E5A"/>
    <w:rsid w:val="00690FF3"/>
    <w:rsid w:val="00691093"/>
    <w:rsid w:val="006910F0"/>
    <w:rsid w:val="0069110B"/>
    <w:rsid w:val="006911E5"/>
    <w:rsid w:val="006914B5"/>
    <w:rsid w:val="0069153E"/>
    <w:rsid w:val="0069168A"/>
    <w:rsid w:val="00691AA7"/>
    <w:rsid w:val="00691F39"/>
    <w:rsid w:val="00692193"/>
    <w:rsid w:val="006921AA"/>
    <w:rsid w:val="00692213"/>
    <w:rsid w:val="0069226D"/>
    <w:rsid w:val="0069259C"/>
    <w:rsid w:val="006928AC"/>
    <w:rsid w:val="0069296F"/>
    <w:rsid w:val="00692B5E"/>
    <w:rsid w:val="00692E96"/>
    <w:rsid w:val="00692F0D"/>
    <w:rsid w:val="00692F4C"/>
    <w:rsid w:val="006932C3"/>
    <w:rsid w:val="00693770"/>
    <w:rsid w:val="0069379F"/>
    <w:rsid w:val="00693868"/>
    <w:rsid w:val="006939DC"/>
    <w:rsid w:val="00693A00"/>
    <w:rsid w:val="00693A5D"/>
    <w:rsid w:val="00693CFF"/>
    <w:rsid w:val="00693DD2"/>
    <w:rsid w:val="00693E79"/>
    <w:rsid w:val="0069446C"/>
    <w:rsid w:val="006945BF"/>
    <w:rsid w:val="00694822"/>
    <w:rsid w:val="0069493F"/>
    <w:rsid w:val="006949AA"/>
    <w:rsid w:val="006949D2"/>
    <w:rsid w:val="00694A35"/>
    <w:rsid w:val="00694DDE"/>
    <w:rsid w:val="00694EC8"/>
    <w:rsid w:val="00695740"/>
    <w:rsid w:val="0069574E"/>
    <w:rsid w:val="00695849"/>
    <w:rsid w:val="00695B78"/>
    <w:rsid w:val="00695FD7"/>
    <w:rsid w:val="006960AB"/>
    <w:rsid w:val="00696137"/>
    <w:rsid w:val="006963E5"/>
    <w:rsid w:val="00696479"/>
    <w:rsid w:val="006965AB"/>
    <w:rsid w:val="006966EA"/>
    <w:rsid w:val="006969B1"/>
    <w:rsid w:val="00696A72"/>
    <w:rsid w:val="00696FB0"/>
    <w:rsid w:val="00697084"/>
    <w:rsid w:val="00697433"/>
    <w:rsid w:val="00697578"/>
    <w:rsid w:val="00697666"/>
    <w:rsid w:val="00697AA6"/>
    <w:rsid w:val="006A0215"/>
    <w:rsid w:val="006A037D"/>
    <w:rsid w:val="006A046C"/>
    <w:rsid w:val="006A0481"/>
    <w:rsid w:val="006A078F"/>
    <w:rsid w:val="006A079F"/>
    <w:rsid w:val="006A09A2"/>
    <w:rsid w:val="006A0E76"/>
    <w:rsid w:val="006A1216"/>
    <w:rsid w:val="006A133D"/>
    <w:rsid w:val="006A18A9"/>
    <w:rsid w:val="006A1AFA"/>
    <w:rsid w:val="006A1B60"/>
    <w:rsid w:val="006A1C05"/>
    <w:rsid w:val="006A1D26"/>
    <w:rsid w:val="006A1D32"/>
    <w:rsid w:val="006A1EBA"/>
    <w:rsid w:val="006A1FC6"/>
    <w:rsid w:val="006A219D"/>
    <w:rsid w:val="006A222C"/>
    <w:rsid w:val="006A2421"/>
    <w:rsid w:val="006A2466"/>
    <w:rsid w:val="006A2540"/>
    <w:rsid w:val="006A28E7"/>
    <w:rsid w:val="006A297B"/>
    <w:rsid w:val="006A2BDB"/>
    <w:rsid w:val="006A2C1B"/>
    <w:rsid w:val="006A2C61"/>
    <w:rsid w:val="006A2CF2"/>
    <w:rsid w:val="006A2D68"/>
    <w:rsid w:val="006A2DC1"/>
    <w:rsid w:val="006A3066"/>
    <w:rsid w:val="006A332F"/>
    <w:rsid w:val="006A34AB"/>
    <w:rsid w:val="006A35E3"/>
    <w:rsid w:val="006A3660"/>
    <w:rsid w:val="006A3662"/>
    <w:rsid w:val="006A377C"/>
    <w:rsid w:val="006A39A5"/>
    <w:rsid w:val="006A39AF"/>
    <w:rsid w:val="006A39C7"/>
    <w:rsid w:val="006A3A6C"/>
    <w:rsid w:val="006A4154"/>
    <w:rsid w:val="006A4177"/>
    <w:rsid w:val="006A41BB"/>
    <w:rsid w:val="006A4364"/>
    <w:rsid w:val="006A4641"/>
    <w:rsid w:val="006A4741"/>
    <w:rsid w:val="006A4A5A"/>
    <w:rsid w:val="006A4BC1"/>
    <w:rsid w:val="006A4C6E"/>
    <w:rsid w:val="006A4C94"/>
    <w:rsid w:val="006A4ED9"/>
    <w:rsid w:val="006A4F6E"/>
    <w:rsid w:val="006A50F1"/>
    <w:rsid w:val="006A5237"/>
    <w:rsid w:val="006A52C3"/>
    <w:rsid w:val="006A544D"/>
    <w:rsid w:val="006A54B7"/>
    <w:rsid w:val="006A5876"/>
    <w:rsid w:val="006A5AFD"/>
    <w:rsid w:val="006A6E74"/>
    <w:rsid w:val="006A6F14"/>
    <w:rsid w:val="006A7268"/>
    <w:rsid w:val="006A786E"/>
    <w:rsid w:val="006A792F"/>
    <w:rsid w:val="006A7AA0"/>
    <w:rsid w:val="006A7B1B"/>
    <w:rsid w:val="006A7C54"/>
    <w:rsid w:val="006A7D1A"/>
    <w:rsid w:val="006B01DB"/>
    <w:rsid w:val="006B046C"/>
    <w:rsid w:val="006B0981"/>
    <w:rsid w:val="006B0989"/>
    <w:rsid w:val="006B09EB"/>
    <w:rsid w:val="006B0A50"/>
    <w:rsid w:val="006B0B38"/>
    <w:rsid w:val="006B0C6A"/>
    <w:rsid w:val="006B0EDB"/>
    <w:rsid w:val="006B1183"/>
    <w:rsid w:val="006B14A7"/>
    <w:rsid w:val="006B17EA"/>
    <w:rsid w:val="006B1C90"/>
    <w:rsid w:val="006B1EEB"/>
    <w:rsid w:val="006B210B"/>
    <w:rsid w:val="006B2168"/>
    <w:rsid w:val="006B2850"/>
    <w:rsid w:val="006B2ECF"/>
    <w:rsid w:val="006B3086"/>
    <w:rsid w:val="006B313D"/>
    <w:rsid w:val="006B324D"/>
    <w:rsid w:val="006B3346"/>
    <w:rsid w:val="006B3449"/>
    <w:rsid w:val="006B3895"/>
    <w:rsid w:val="006B3DC9"/>
    <w:rsid w:val="006B3E79"/>
    <w:rsid w:val="006B416F"/>
    <w:rsid w:val="006B4178"/>
    <w:rsid w:val="006B4192"/>
    <w:rsid w:val="006B437A"/>
    <w:rsid w:val="006B46D1"/>
    <w:rsid w:val="006B4B05"/>
    <w:rsid w:val="006B4DCE"/>
    <w:rsid w:val="006B510A"/>
    <w:rsid w:val="006B5183"/>
    <w:rsid w:val="006B5305"/>
    <w:rsid w:val="006B5622"/>
    <w:rsid w:val="006B5AE9"/>
    <w:rsid w:val="006B5CC7"/>
    <w:rsid w:val="006B5F50"/>
    <w:rsid w:val="006B5FEC"/>
    <w:rsid w:val="006B612F"/>
    <w:rsid w:val="006B6330"/>
    <w:rsid w:val="006B641E"/>
    <w:rsid w:val="006B64D3"/>
    <w:rsid w:val="006B660A"/>
    <w:rsid w:val="006B666B"/>
    <w:rsid w:val="006B686F"/>
    <w:rsid w:val="006B6AA0"/>
    <w:rsid w:val="006B7003"/>
    <w:rsid w:val="006B73A2"/>
    <w:rsid w:val="006B750F"/>
    <w:rsid w:val="006B7867"/>
    <w:rsid w:val="006B795E"/>
    <w:rsid w:val="006B7A05"/>
    <w:rsid w:val="006B7A99"/>
    <w:rsid w:val="006B7C5B"/>
    <w:rsid w:val="006B7E1F"/>
    <w:rsid w:val="006B7FB7"/>
    <w:rsid w:val="006C0617"/>
    <w:rsid w:val="006C0741"/>
    <w:rsid w:val="006C0831"/>
    <w:rsid w:val="006C095A"/>
    <w:rsid w:val="006C0EEB"/>
    <w:rsid w:val="006C0EF5"/>
    <w:rsid w:val="006C0F0B"/>
    <w:rsid w:val="006C11C3"/>
    <w:rsid w:val="006C1564"/>
    <w:rsid w:val="006C15D2"/>
    <w:rsid w:val="006C1762"/>
    <w:rsid w:val="006C1764"/>
    <w:rsid w:val="006C178E"/>
    <w:rsid w:val="006C184F"/>
    <w:rsid w:val="006C1885"/>
    <w:rsid w:val="006C1DE0"/>
    <w:rsid w:val="006C1F64"/>
    <w:rsid w:val="006C236E"/>
    <w:rsid w:val="006C258B"/>
    <w:rsid w:val="006C2840"/>
    <w:rsid w:val="006C2B1E"/>
    <w:rsid w:val="006C2E51"/>
    <w:rsid w:val="006C30A0"/>
    <w:rsid w:val="006C3294"/>
    <w:rsid w:val="006C3321"/>
    <w:rsid w:val="006C348C"/>
    <w:rsid w:val="006C35A8"/>
    <w:rsid w:val="006C378D"/>
    <w:rsid w:val="006C39E7"/>
    <w:rsid w:val="006C3B63"/>
    <w:rsid w:val="006C3EEF"/>
    <w:rsid w:val="006C3FD5"/>
    <w:rsid w:val="006C404E"/>
    <w:rsid w:val="006C4C43"/>
    <w:rsid w:val="006C4C71"/>
    <w:rsid w:val="006C542A"/>
    <w:rsid w:val="006C5509"/>
    <w:rsid w:val="006C55F1"/>
    <w:rsid w:val="006C5638"/>
    <w:rsid w:val="006C5669"/>
    <w:rsid w:val="006C5684"/>
    <w:rsid w:val="006C59BA"/>
    <w:rsid w:val="006C59EC"/>
    <w:rsid w:val="006C5A58"/>
    <w:rsid w:val="006C5BCE"/>
    <w:rsid w:val="006C5DAA"/>
    <w:rsid w:val="006C5EC0"/>
    <w:rsid w:val="006C61A5"/>
    <w:rsid w:val="006C6466"/>
    <w:rsid w:val="006C64DE"/>
    <w:rsid w:val="006C64E6"/>
    <w:rsid w:val="006C65F6"/>
    <w:rsid w:val="006C67A4"/>
    <w:rsid w:val="006C6958"/>
    <w:rsid w:val="006C697B"/>
    <w:rsid w:val="006C6992"/>
    <w:rsid w:val="006C7025"/>
    <w:rsid w:val="006C7070"/>
    <w:rsid w:val="006C7258"/>
    <w:rsid w:val="006C755A"/>
    <w:rsid w:val="006C7644"/>
    <w:rsid w:val="006C7751"/>
    <w:rsid w:val="006C783C"/>
    <w:rsid w:val="006C78E1"/>
    <w:rsid w:val="006C7FE3"/>
    <w:rsid w:val="006D0040"/>
    <w:rsid w:val="006D0147"/>
    <w:rsid w:val="006D054B"/>
    <w:rsid w:val="006D0580"/>
    <w:rsid w:val="006D072E"/>
    <w:rsid w:val="006D0973"/>
    <w:rsid w:val="006D0A19"/>
    <w:rsid w:val="006D0C37"/>
    <w:rsid w:val="006D0C9C"/>
    <w:rsid w:val="006D0F94"/>
    <w:rsid w:val="006D119D"/>
    <w:rsid w:val="006D1417"/>
    <w:rsid w:val="006D1429"/>
    <w:rsid w:val="006D1866"/>
    <w:rsid w:val="006D1913"/>
    <w:rsid w:val="006D1A0D"/>
    <w:rsid w:val="006D1C1D"/>
    <w:rsid w:val="006D1E3A"/>
    <w:rsid w:val="006D1E3C"/>
    <w:rsid w:val="006D1F42"/>
    <w:rsid w:val="006D2673"/>
    <w:rsid w:val="006D26D4"/>
    <w:rsid w:val="006D2787"/>
    <w:rsid w:val="006D27D1"/>
    <w:rsid w:val="006D2837"/>
    <w:rsid w:val="006D2967"/>
    <w:rsid w:val="006D2BE5"/>
    <w:rsid w:val="006D2CF9"/>
    <w:rsid w:val="006D2F7D"/>
    <w:rsid w:val="006D2FE8"/>
    <w:rsid w:val="006D3280"/>
    <w:rsid w:val="006D338C"/>
    <w:rsid w:val="006D3398"/>
    <w:rsid w:val="006D3A9C"/>
    <w:rsid w:val="006D3AA3"/>
    <w:rsid w:val="006D3DC4"/>
    <w:rsid w:val="006D3F6D"/>
    <w:rsid w:val="006D4009"/>
    <w:rsid w:val="006D40E2"/>
    <w:rsid w:val="006D411F"/>
    <w:rsid w:val="006D4267"/>
    <w:rsid w:val="006D4387"/>
    <w:rsid w:val="006D44BF"/>
    <w:rsid w:val="006D44CA"/>
    <w:rsid w:val="006D45E0"/>
    <w:rsid w:val="006D4658"/>
    <w:rsid w:val="006D4749"/>
    <w:rsid w:val="006D4D25"/>
    <w:rsid w:val="006D4EB6"/>
    <w:rsid w:val="006D51E7"/>
    <w:rsid w:val="006D529B"/>
    <w:rsid w:val="006D5330"/>
    <w:rsid w:val="006D53D8"/>
    <w:rsid w:val="006D5605"/>
    <w:rsid w:val="006D5C8C"/>
    <w:rsid w:val="006D5EB0"/>
    <w:rsid w:val="006D5F2C"/>
    <w:rsid w:val="006D64BD"/>
    <w:rsid w:val="006D6747"/>
    <w:rsid w:val="006D68CA"/>
    <w:rsid w:val="006D69E5"/>
    <w:rsid w:val="006D6A3F"/>
    <w:rsid w:val="006D71D9"/>
    <w:rsid w:val="006D7388"/>
    <w:rsid w:val="006D7433"/>
    <w:rsid w:val="006D75D7"/>
    <w:rsid w:val="006D76DC"/>
    <w:rsid w:val="006D7798"/>
    <w:rsid w:val="006D782F"/>
    <w:rsid w:val="006D7C39"/>
    <w:rsid w:val="006D7ED7"/>
    <w:rsid w:val="006E0026"/>
    <w:rsid w:val="006E0032"/>
    <w:rsid w:val="006E00D3"/>
    <w:rsid w:val="006E0202"/>
    <w:rsid w:val="006E05CB"/>
    <w:rsid w:val="006E0610"/>
    <w:rsid w:val="006E0C58"/>
    <w:rsid w:val="006E1084"/>
    <w:rsid w:val="006E1190"/>
    <w:rsid w:val="006E135B"/>
    <w:rsid w:val="006E1625"/>
    <w:rsid w:val="006E18A1"/>
    <w:rsid w:val="006E1BB0"/>
    <w:rsid w:val="006E1E56"/>
    <w:rsid w:val="006E215A"/>
    <w:rsid w:val="006E23FD"/>
    <w:rsid w:val="006E242C"/>
    <w:rsid w:val="006E245E"/>
    <w:rsid w:val="006E285D"/>
    <w:rsid w:val="006E290F"/>
    <w:rsid w:val="006E2B8C"/>
    <w:rsid w:val="006E2D9F"/>
    <w:rsid w:val="006E2E25"/>
    <w:rsid w:val="006E309D"/>
    <w:rsid w:val="006E31DA"/>
    <w:rsid w:val="006E3753"/>
    <w:rsid w:val="006E3AAA"/>
    <w:rsid w:val="006E3C7A"/>
    <w:rsid w:val="006E3CB1"/>
    <w:rsid w:val="006E3E33"/>
    <w:rsid w:val="006E3F40"/>
    <w:rsid w:val="006E4128"/>
    <w:rsid w:val="006E4260"/>
    <w:rsid w:val="006E4443"/>
    <w:rsid w:val="006E4B56"/>
    <w:rsid w:val="006E4E4F"/>
    <w:rsid w:val="006E504E"/>
    <w:rsid w:val="006E50FB"/>
    <w:rsid w:val="006E56D5"/>
    <w:rsid w:val="006E5913"/>
    <w:rsid w:val="006E5AC6"/>
    <w:rsid w:val="006E5BAC"/>
    <w:rsid w:val="006E5BD5"/>
    <w:rsid w:val="006E5E40"/>
    <w:rsid w:val="006E6092"/>
    <w:rsid w:val="006E667C"/>
    <w:rsid w:val="006E680F"/>
    <w:rsid w:val="006E6935"/>
    <w:rsid w:val="006E6A36"/>
    <w:rsid w:val="006E7033"/>
    <w:rsid w:val="006E7282"/>
    <w:rsid w:val="006E72B8"/>
    <w:rsid w:val="006E76C9"/>
    <w:rsid w:val="006E791E"/>
    <w:rsid w:val="006E792B"/>
    <w:rsid w:val="006E7976"/>
    <w:rsid w:val="006E7B02"/>
    <w:rsid w:val="006E7D33"/>
    <w:rsid w:val="006F00C1"/>
    <w:rsid w:val="006F01A4"/>
    <w:rsid w:val="006F03C1"/>
    <w:rsid w:val="006F07BC"/>
    <w:rsid w:val="006F0C20"/>
    <w:rsid w:val="006F0D4F"/>
    <w:rsid w:val="006F0F6F"/>
    <w:rsid w:val="006F1500"/>
    <w:rsid w:val="006F15D0"/>
    <w:rsid w:val="006F16F5"/>
    <w:rsid w:val="006F17E5"/>
    <w:rsid w:val="006F2015"/>
    <w:rsid w:val="006F206D"/>
    <w:rsid w:val="006F208A"/>
    <w:rsid w:val="006F234A"/>
    <w:rsid w:val="006F23CD"/>
    <w:rsid w:val="006F25CF"/>
    <w:rsid w:val="006F286C"/>
    <w:rsid w:val="006F2925"/>
    <w:rsid w:val="006F2A21"/>
    <w:rsid w:val="006F2BD0"/>
    <w:rsid w:val="006F2E79"/>
    <w:rsid w:val="006F2FC3"/>
    <w:rsid w:val="006F3136"/>
    <w:rsid w:val="006F3234"/>
    <w:rsid w:val="006F39D0"/>
    <w:rsid w:val="006F3CA6"/>
    <w:rsid w:val="006F3E76"/>
    <w:rsid w:val="006F3F43"/>
    <w:rsid w:val="006F3FDA"/>
    <w:rsid w:val="006F411A"/>
    <w:rsid w:val="006F41FB"/>
    <w:rsid w:val="006F43F1"/>
    <w:rsid w:val="006F44B9"/>
    <w:rsid w:val="006F44D2"/>
    <w:rsid w:val="006F4918"/>
    <w:rsid w:val="006F4CBC"/>
    <w:rsid w:val="006F4EA9"/>
    <w:rsid w:val="006F5682"/>
    <w:rsid w:val="006F57E1"/>
    <w:rsid w:val="006F59DB"/>
    <w:rsid w:val="006F5A1E"/>
    <w:rsid w:val="006F5D3D"/>
    <w:rsid w:val="006F5DE1"/>
    <w:rsid w:val="006F6030"/>
    <w:rsid w:val="006F60C2"/>
    <w:rsid w:val="006F6203"/>
    <w:rsid w:val="006F62DA"/>
    <w:rsid w:val="006F66CA"/>
    <w:rsid w:val="006F681B"/>
    <w:rsid w:val="006F6972"/>
    <w:rsid w:val="006F6993"/>
    <w:rsid w:val="006F6A80"/>
    <w:rsid w:val="006F6ADD"/>
    <w:rsid w:val="006F6E6D"/>
    <w:rsid w:val="006F736A"/>
    <w:rsid w:val="006F773B"/>
    <w:rsid w:val="006F78EE"/>
    <w:rsid w:val="006F7F8E"/>
    <w:rsid w:val="007000A3"/>
    <w:rsid w:val="00700280"/>
    <w:rsid w:val="007006A9"/>
    <w:rsid w:val="00700A26"/>
    <w:rsid w:val="00700BA3"/>
    <w:rsid w:val="00700E95"/>
    <w:rsid w:val="00700F55"/>
    <w:rsid w:val="00700F83"/>
    <w:rsid w:val="0070113F"/>
    <w:rsid w:val="007012C9"/>
    <w:rsid w:val="00701464"/>
    <w:rsid w:val="007018FC"/>
    <w:rsid w:val="00701967"/>
    <w:rsid w:val="00701A7E"/>
    <w:rsid w:val="00701AA2"/>
    <w:rsid w:val="00701AC5"/>
    <w:rsid w:val="00701F25"/>
    <w:rsid w:val="00701F5B"/>
    <w:rsid w:val="007021FB"/>
    <w:rsid w:val="007022A4"/>
    <w:rsid w:val="007022C3"/>
    <w:rsid w:val="0070280B"/>
    <w:rsid w:val="00702EDC"/>
    <w:rsid w:val="00703262"/>
    <w:rsid w:val="0070329A"/>
    <w:rsid w:val="00703375"/>
    <w:rsid w:val="00703538"/>
    <w:rsid w:val="0070355A"/>
    <w:rsid w:val="00703624"/>
    <w:rsid w:val="00703660"/>
    <w:rsid w:val="007036C0"/>
    <w:rsid w:val="0070371C"/>
    <w:rsid w:val="00703A11"/>
    <w:rsid w:val="00703A7F"/>
    <w:rsid w:val="00703E1F"/>
    <w:rsid w:val="00703E29"/>
    <w:rsid w:val="00704137"/>
    <w:rsid w:val="00704256"/>
    <w:rsid w:val="007044E8"/>
    <w:rsid w:val="007046C3"/>
    <w:rsid w:val="007046C5"/>
    <w:rsid w:val="00704752"/>
    <w:rsid w:val="007048C3"/>
    <w:rsid w:val="007048DA"/>
    <w:rsid w:val="00704D83"/>
    <w:rsid w:val="00704F4F"/>
    <w:rsid w:val="00704F5A"/>
    <w:rsid w:val="00705116"/>
    <w:rsid w:val="007052B2"/>
    <w:rsid w:val="007052B7"/>
    <w:rsid w:val="00705367"/>
    <w:rsid w:val="007054FB"/>
    <w:rsid w:val="00705605"/>
    <w:rsid w:val="00705702"/>
    <w:rsid w:val="00705926"/>
    <w:rsid w:val="00705AB4"/>
    <w:rsid w:val="00705B25"/>
    <w:rsid w:val="00705EF8"/>
    <w:rsid w:val="00705FBD"/>
    <w:rsid w:val="007061EF"/>
    <w:rsid w:val="00706715"/>
    <w:rsid w:val="007067C9"/>
    <w:rsid w:val="007069ED"/>
    <w:rsid w:val="00706A6E"/>
    <w:rsid w:val="00706CB0"/>
    <w:rsid w:val="00706E54"/>
    <w:rsid w:val="00706F44"/>
    <w:rsid w:val="007071E2"/>
    <w:rsid w:val="00707578"/>
    <w:rsid w:val="0070762E"/>
    <w:rsid w:val="0070780A"/>
    <w:rsid w:val="00707C96"/>
    <w:rsid w:val="00710047"/>
    <w:rsid w:val="007100E2"/>
    <w:rsid w:val="007100FE"/>
    <w:rsid w:val="00710298"/>
    <w:rsid w:val="00710403"/>
    <w:rsid w:val="0071048E"/>
    <w:rsid w:val="00710490"/>
    <w:rsid w:val="00710581"/>
    <w:rsid w:val="007107B4"/>
    <w:rsid w:val="007107C8"/>
    <w:rsid w:val="00710A48"/>
    <w:rsid w:val="00710AA7"/>
    <w:rsid w:val="00710D1B"/>
    <w:rsid w:val="00710DCF"/>
    <w:rsid w:val="00710F56"/>
    <w:rsid w:val="00711197"/>
    <w:rsid w:val="0071141B"/>
    <w:rsid w:val="0071146B"/>
    <w:rsid w:val="007114D2"/>
    <w:rsid w:val="007119DF"/>
    <w:rsid w:val="00711B3E"/>
    <w:rsid w:val="00711C24"/>
    <w:rsid w:val="00711C63"/>
    <w:rsid w:val="00711E22"/>
    <w:rsid w:val="00711E5C"/>
    <w:rsid w:val="00711E7B"/>
    <w:rsid w:val="0071289E"/>
    <w:rsid w:val="00712B7A"/>
    <w:rsid w:val="00712D37"/>
    <w:rsid w:val="00712D59"/>
    <w:rsid w:val="00712D9D"/>
    <w:rsid w:val="007134D7"/>
    <w:rsid w:val="00713692"/>
    <w:rsid w:val="007138F6"/>
    <w:rsid w:val="0071397C"/>
    <w:rsid w:val="00713BD6"/>
    <w:rsid w:val="00713E6F"/>
    <w:rsid w:val="00714838"/>
    <w:rsid w:val="00714933"/>
    <w:rsid w:val="00714B26"/>
    <w:rsid w:val="00714CE8"/>
    <w:rsid w:val="00714D89"/>
    <w:rsid w:val="007158ED"/>
    <w:rsid w:val="007159A1"/>
    <w:rsid w:val="00715AFB"/>
    <w:rsid w:val="00715B2C"/>
    <w:rsid w:val="00715C37"/>
    <w:rsid w:val="00715D46"/>
    <w:rsid w:val="00715F0F"/>
    <w:rsid w:val="0071633E"/>
    <w:rsid w:val="007165E3"/>
    <w:rsid w:val="00716742"/>
    <w:rsid w:val="0071684D"/>
    <w:rsid w:val="00716C4F"/>
    <w:rsid w:val="00716E3D"/>
    <w:rsid w:val="00716E93"/>
    <w:rsid w:val="00717562"/>
    <w:rsid w:val="00717617"/>
    <w:rsid w:val="0071766C"/>
    <w:rsid w:val="00717776"/>
    <w:rsid w:val="00717977"/>
    <w:rsid w:val="00717993"/>
    <w:rsid w:val="007179B5"/>
    <w:rsid w:val="00717C54"/>
    <w:rsid w:val="0072030E"/>
    <w:rsid w:val="007203B2"/>
    <w:rsid w:val="00720B74"/>
    <w:rsid w:val="00720D4B"/>
    <w:rsid w:val="007212CE"/>
    <w:rsid w:val="00721500"/>
    <w:rsid w:val="0072187D"/>
    <w:rsid w:val="007218E6"/>
    <w:rsid w:val="00721B4D"/>
    <w:rsid w:val="00721C32"/>
    <w:rsid w:val="00721DC1"/>
    <w:rsid w:val="00721EDB"/>
    <w:rsid w:val="007220C0"/>
    <w:rsid w:val="007221BB"/>
    <w:rsid w:val="00722310"/>
    <w:rsid w:val="00722377"/>
    <w:rsid w:val="00722447"/>
    <w:rsid w:val="00722607"/>
    <w:rsid w:val="007226B2"/>
    <w:rsid w:val="00722712"/>
    <w:rsid w:val="00722754"/>
    <w:rsid w:val="007227F8"/>
    <w:rsid w:val="00722817"/>
    <w:rsid w:val="00722D00"/>
    <w:rsid w:val="00722FA0"/>
    <w:rsid w:val="00723156"/>
    <w:rsid w:val="007231FB"/>
    <w:rsid w:val="00723362"/>
    <w:rsid w:val="00723414"/>
    <w:rsid w:val="0072398F"/>
    <w:rsid w:val="00723B75"/>
    <w:rsid w:val="00723C9F"/>
    <w:rsid w:val="00723D04"/>
    <w:rsid w:val="00723F19"/>
    <w:rsid w:val="00723F97"/>
    <w:rsid w:val="007244B4"/>
    <w:rsid w:val="007244D0"/>
    <w:rsid w:val="007245B5"/>
    <w:rsid w:val="00724726"/>
    <w:rsid w:val="0072499D"/>
    <w:rsid w:val="00724C19"/>
    <w:rsid w:val="00724D65"/>
    <w:rsid w:val="00724DCB"/>
    <w:rsid w:val="00724E41"/>
    <w:rsid w:val="00724FB1"/>
    <w:rsid w:val="00725001"/>
    <w:rsid w:val="00725043"/>
    <w:rsid w:val="007253A3"/>
    <w:rsid w:val="00725643"/>
    <w:rsid w:val="00725716"/>
    <w:rsid w:val="00725BF8"/>
    <w:rsid w:val="00725C13"/>
    <w:rsid w:val="00725CD4"/>
    <w:rsid w:val="00725EFB"/>
    <w:rsid w:val="00725F36"/>
    <w:rsid w:val="0072601C"/>
    <w:rsid w:val="007261BE"/>
    <w:rsid w:val="00726555"/>
    <w:rsid w:val="00726A45"/>
    <w:rsid w:val="00727033"/>
    <w:rsid w:val="007271D9"/>
    <w:rsid w:val="0072733D"/>
    <w:rsid w:val="0072748D"/>
    <w:rsid w:val="007274F8"/>
    <w:rsid w:val="0072755C"/>
    <w:rsid w:val="0072759A"/>
    <w:rsid w:val="007275AF"/>
    <w:rsid w:val="0072773E"/>
    <w:rsid w:val="00727842"/>
    <w:rsid w:val="00727AD5"/>
    <w:rsid w:val="00727D68"/>
    <w:rsid w:val="007303EA"/>
    <w:rsid w:val="007308A2"/>
    <w:rsid w:val="007308A6"/>
    <w:rsid w:val="00730A7B"/>
    <w:rsid w:val="00730B13"/>
    <w:rsid w:val="00730D43"/>
    <w:rsid w:val="00730D46"/>
    <w:rsid w:val="00730DA9"/>
    <w:rsid w:val="00730EA8"/>
    <w:rsid w:val="00730F2A"/>
    <w:rsid w:val="00731393"/>
    <w:rsid w:val="00731503"/>
    <w:rsid w:val="0073154E"/>
    <w:rsid w:val="00731576"/>
    <w:rsid w:val="00731582"/>
    <w:rsid w:val="007316CD"/>
    <w:rsid w:val="00731D98"/>
    <w:rsid w:val="00731ED4"/>
    <w:rsid w:val="0073205A"/>
    <w:rsid w:val="00732513"/>
    <w:rsid w:val="0073260D"/>
    <w:rsid w:val="007326B2"/>
    <w:rsid w:val="0073274D"/>
    <w:rsid w:val="007327A2"/>
    <w:rsid w:val="00732895"/>
    <w:rsid w:val="00732A85"/>
    <w:rsid w:val="00732D22"/>
    <w:rsid w:val="00732FBE"/>
    <w:rsid w:val="00733213"/>
    <w:rsid w:val="00733226"/>
    <w:rsid w:val="00733366"/>
    <w:rsid w:val="007334FA"/>
    <w:rsid w:val="007334FD"/>
    <w:rsid w:val="007335CA"/>
    <w:rsid w:val="00733AA4"/>
    <w:rsid w:val="00733C33"/>
    <w:rsid w:val="00733F8B"/>
    <w:rsid w:val="00733FD6"/>
    <w:rsid w:val="00734102"/>
    <w:rsid w:val="007343AD"/>
    <w:rsid w:val="00734478"/>
    <w:rsid w:val="007344E2"/>
    <w:rsid w:val="0073460E"/>
    <w:rsid w:val="00734710"/>
    <w:rsid w:val="007348E7"/>
    <w:rsid w:val="007349D4"/>
    <w:rsid w:val="00734D16"/>
    <w:rsid w:val="00734E9F"/>
    <w:rsid w:val="00734FDD"/>
    <w:rsid w:val="00735066"/>
    <w:rsid w:val="00735360"/>
    <w:rsid w:val="00735609"/>
    <w:rsid w:val="007358BD"/>
    <w:rsid w:val="007358C7"/>
    <w:rsid w:val="0073596B"/>
    <w:rsid w:val="00735ADD"/>
    <w:rsid w:val="00735C7C"/>
    <w:rsid w:val="00735D6E"/>
    <w:rsid w:val="00736259"/>
    <w:rsid w:val="007365BF"/>
    <w:rsid w:val="007365D3"/>
    <w:rsid w:val="007367EC"/>
    <w:rsid w:val="007368A2"/>
    <w:rsid w:val="0073694C"/>
    <w:rsid w:val="007369F9"/>
    <w:rsid w:val="00736A78"/>
    <w:rsid w:val="00736C13"/>
    <w:rsid w:val="00736C95"/>
    <w:rsid w:val="00736D76"/>
    <w:rsid w:val="00736DA1"/>
    <w:rsid w:val="00736DB0"/>
    <w:rsid w:val="00736F85"/>
    <w:rsid w:val="00737214"/>
    <w:rsid w:val="0073738E"/>
    <w:rsid w:val="0073742B"/>
    <w:rsid w:val="00737707"/>
    <w:rsid w:val="007377E7"/>
    <w:rsid w:val="0073783A"/>
    <w:rsid w:val="00737C68"/>
    <w:rsid w:val="00737D22"/>
    <w:rsid w:val="00737F4F"/>
    <w:rsid w:val="00740285"/>
    <w:rsid w:val="007403DD"/>
    <w:rsid w:val="00740542"/>
    <w:rsid w:val="00740CD6"/>
    <w:rsid w:val="00740D35"/>
    <w:rsid w:val="00740D7A"/>
    <w:rsid w:val="00740E58"/>
    <w:rsid w:val="00740EEC"/>
    <w:rsid w:val="0074113F"/>
    <w:rsid w:val="0074124F"/>
    <w:rsid w:val="00741295"/>
    <w:rsid w:val="007412DB"/>
    <w:rsid w:val="0074140B"/>
    <w:rsid w:val="00741564"/>
    <w:rsid w:val="00741697"/>
    <w:rsid w:val="0074172D"/>
    <w:rsid w:val="00741769"/>
    <w:rsid w:val="00741967"/>
    <w:rsid w:val="00741B9C"/>
    <w:rsid w:val="00741C26"/>
    <w:rsid w:val="00741CC8"/>
    <w:rsid w:val="00741CE8"/>
    <w:rsid w:val="00741FAE"/>
    <w:rsid w:val="00742158"/>
    <w:rsid w:val="00742351"/>
    <w:rsid w:val="00742CFF"/>
    <w:rsid w:val="00742DB5"/>
    <w:rsid w:val="00742E98"/>
    <w:rsid w:val="00742F42"/>
    <w:rsid w:val="00743030"/>
    <w:rsid w:val="00743183"/>
    <w:rsid w:val="00743352"/>
    <w:rsid w:val="007436C5"/>
    <w:rsid w:val="0074390E"/>
    <w:rsid w:val="00743DBF"/>
    <w:rsid w:val="00743E19"/>
    <w:rsid w:val="0074454E"/>
    <w:rsid w:val="007445C9"/>
    <w:rsid w:val="0074482B"/>
    <w:rsid w:val="007448B1"/>
    <w:rsid w:val="00744A85"/>
    <w:rsid w:val="00744BB5"/>
    <w:rsid w:val="00744F47"/>
    <w:rsid w:val="00745315"/>
    <w:rsid w:val="0074544E"/>
    <w:rsid w:val="007455E2"/>
    <w:rsid w:val="007456A2"/>
    <w:rsid w:val="007456F6"/>
    <w:rsid w:val="0074576F"/>
    <w:rsid w:val="00745C01"/>
    <w:rsid w:val="00745DE6"/>
    <w:rsid w:val="00745ED0"/>
    <w:rsid w:val="00745F15"/>
    <w:rsid w:val="007460EF"/>
    <w:rsid w:val="0074612C"/>
    <w:rsid w:val="00746273"/>
    <w:rsid w:val="00746363"/>
    <w:rsid w:val="007463AA"/>
    <w:rsid w:val="007463B0"/>
    <w:rsid w:val="00746458"/>
    <w:rsid w:val="0074645D"/>
    <w:rsid w:val="00746510"/>
    <w:rsid w:val="007467C9"/>
    <w:rsid w:val="00746BA3"/>
    <w:rsid w:val="007474FC"/>
    <w:rsid w:val="0074779E"/>
    <w:rsid w:val="00747814"/>
    <w:rsid w:val="00747D8C"/>
    <w:rsid w:val="00747EB1"/>
    <w:rsid w:val="00747F0B"/>
    <w:rsid w:val="00747FD9"/>
    <w:rsid w:val="00750182"/>
    <w:rsid w:val="007502C3"/>
    <w:rsid w:val="007502F7"/>
    <w:rsid w:val="00750719"/>
    <w:rsid w:val="0075091A"/>
    <w:rsid w:val="00750B69"/>
    <w:rsid w:val="00750DD9"/>
    <w:rsid w:val="00750E55"/>
    <w:rsid w:val="00750ED3"/>
    <w:rsid w:val="00750FDE"/>
    <w:rsid w:val="00751027"/>
    <w:rsid w:val="0075105D"/>
    <w:rsid w:val="0075155C"/>
    <w:rsid w:val="00751617"/>
    <w:rsid w:val="00751861"/>
    <w:rsid w:val="00751BC3"/>
    <w:rsid w:val="00751F18"/>
    <w:rsid w:val="00752011"/>
    <w:rsid w:val="0075207F"/>
    <w:rsid w:val="0075226B"/>
    <w:rsid w:val="0075237A"/>
    <w:rsid w:val="00752557"/>
    <w:rsid w:val="007525BB"/>
    <w:rsid w:val="007525FF"/>
    <w:rsid w:val="0075270F"/>
    <w:rsid w:val="007528A1"/>
    <w:rsid w:val="00752D44"/>
    <w:rsid w:val="00752E14"/>
    <w:rsid w:val="00752F25"/>
    <w:rsid w:val="007531D4"/>
    <w:rsid w:val="00753379"/>
    <w:rsid w:val="00753478"/>
    <w:rsid w:val="00753A8C"/>
    <w:rsid w:val="00753AEC"/>
    <w:rsid w:val="00753BA5"/>
    <w:rsid w:val="00753F19"/>
    <w:rsid w:val="007540DE"/>
    <w:rsid w:val="00754122"/>
    <w:rsid w:val="00754183"/>
    <w:rsid w:val="007541DB"/>
    <w:rsid w:val="00754882"/>
    <w:rsid w:val="007548BD"/>
    <w:rsid w:val="00754C03"/>
    <w:rsid w:val="00754D6E"/>
    <w:rsid w:val="00754FDB"/>
    <w:rsid w:val="0075529E"/>
    <w:rsid w:val="00755357"/>
    <w:rsid w:val="00755441"/>
    <w:rsid w:val="007555EC"/>
    <w:rsid w:val="00755684"/>
    <w:rsid w:val="007556F1"/>
    <w:rsid w:val="00755967"/>
    <w:rsid w:val="00755A7F"/>
    <w:rsid w:val="00755B8B"/>
    <w:rsid w:val="00755B8E"/>
    <w:rsid w:val="00755C75"/>
    <w:rsid w:val="00755CD4"/>
    <w:rsid w:val="00755E04"/>
    <w:rsid w:val="007568C6"/>
    <w:rsid w:val="00756B78"/>
    <w:rsid w:val="00756D50"/>
    <w:rsid w:val="00756F67"/>
    <w:rsid w:val="00756FD7"/>
    <w:rsid w:val="00756FEA"/>
    <w:rsid w:val="00757256"/>
    <w:rsid w:val="0075732A"/>
    <w:rsid w:val="0075796E"/>
    <w:rsid w:val="00757B62"/>
    <w:rsid w:val="00757C45"/>
    <w:rsid w:val="00757FEB"/>
    <w:rsid w:val="007600CB"/>
    <w:rsid w:val="0076042C"/>
    <w:rsid w:val="007604C7"/>
    <w:rsid w:val="007606C0"/>
    <w:rsid w:val="00760B1B"/>
    <w:rsid w:val="00760BBE"/>
    <w:rsid w:val="00760C70"/>
    <w:rsid w:val="00760F03"/>
    <w:rsid w:val="007611B8"/>
    <w:rsid w:val="007611CB"/>
    <w:rsid w:val="00761569"/>
    <w:rsid w:val="007615AA"/>
    <w:rsid w:val="00761863"/>
    <w:rsid w:val="007618ED"/>
    <w:rsid w:val="00761AB1"/>
    <w:rsid w:val="00761CDF"/>
    <w:rsid w:val="00761D50"/>
    <w:rsid w:val="0076201A"/>
    <w:rsid w:val="0076213D"/>
    <w:rsid w:val="007622F9"/>
    <w:rsid w:val="0076236D"/>
    <w:rsid w:val="00762389"/>
    <w:rsid w:val="0076250E"/>
    <w:rsid w:val="00762534"/>
    <w:rsid w:val="00762639"/>
    <w:rsid w:val="0076272F"/>
    <w:rsid w:val="007628F3"/>
    <w:rsid w:val="00762D08"/>
    <w:rsid w:val="00763036"/>
    <w:rsid w:val="00763288"/>
    <w:rsid w:val="007633FE"/>
    <w:rsid w:val="00763573"/>
    <w:rsid w:val="007636DC"/>
    <w:rsid w:val="007636E5"/>
    <w:rsid w:val="00763C8D"/>
    <w:rsid w:val="00763E74"/>
    <w:rsid w:val="00763F82"/>
    <w:rsid w:val="007644AE"/>
    <w:rsid w:val="00764980"/>
    <w:rsid w:val="007649A4"/>
    <w:rsid w:val="00764DA2"/>
    <w:rsid w:val="0076521D"/>
    <w:rsid w:val="0076548F"/>
    <w:rsid w:val="007658E6"/>
    <w:rsid w:val="007659AA"/>
    <w:rsid w:val="00765AE3"/>
    <w:rsid w:val="00765BFA"/>
    <w:rsid w:val="00765CCE"/>
    <w:rsid w:val="00765DFC"/>
    <w:rsid w:val="0076610E"/>
    <w:rsid w:val="00766368"/>
    <w:rsid w:val="0076641C"/>
    <w:rsid w:val="0076687E"/>
    <w:rsid w:val="00766885"/>
    <w:rsid w:val="00766B25"/>
    <w:rsid w:val="007670C5"/>
    <w:rsid w:val="007674C6"/>
    <w:rsid w:val="0076764F"/>
    <w:rsid w:val="0076790C"/>
    <w:rsid w:val="00767976"/>
    <w:rsid w:val="00767B93"/>
    <w:rsid w:val="00767D9C"/>
    <w:rsid w:val="00767E1A"/>
    <w:rsid w:val="00767F4C"/>
    <w:rsid w:val="00767F4D"/>
    <w:rsid w:val="00767F89"/>
    <w:rsid w:val="007702C3"/>
    <w:rsid w:val="007702E1"/>
    <w:rsid w:val="0077068A"/>
    <w:rsid w:val="0077074F"/>
    <w:rsid w:val="00770997"/>
    <w:rsid w:val="00770D25"/>
    <w:rsid w:val="00770FDC"/>
    <w:rsid w:val="0077119C"/>
    <w:rsid w:val="007715BC"/>
    <w:rsid w:val="007718D5"/>
    <w:rsid w:val="00771B6B"/>
    <w:rsid w:val="00771D3A"/>
    <w:rsid w:val="00771E7F"/>
    <w:rsid w:val="00771F32"/>
    <w:rsid w:val="00771F57"/>
    <w:rsid w:val="00772155"/>
    <w:rsid w:val="00772269"/>
    <w:rsid w:val="007723A0"/>
    <w:rsid w:val="007724B9"/>
    <w:rsid w:val="00772703"/>
    <w:rsid w:val="007727B2"/>
    <w:rsid w:val="00772993"/>
    <w:rsid w:val="00772AC3"/>
    <w:rsid w:val="00772BB6"/>
    <w:rsid w:val="00772C0E"/>
    <w:rsid w:val="00772C85"/>
    <w:rsid w:val="00772E3C"/>
    <w:rsid w:val="00772E43"/>
    <w:rsid w:val="00773205"/>
    <w:rsid w:val="00773329"/>
    <w:rsid w:val="007734E3"/>
    <w:rsid w:val="007736C3"/>
    <w:rsid w:val="007738ED"/>
    <w:rsid w:val="00773DED"/>
    <w:rsid w:val="00773E6B"/>
    <w:rsid w:val="00774286"/>
    <w:rsid w:val="007744FB"/>
    <w:rsid w:val="007746EB"/>
    <w:rsid w:val="0077483E"/>
    <w:rsid w:val="007749FE"/>
    <w:rsid w:val="00774F66"/>
    <w:rsid w:val="00775438"/>
    <w:rsid w:val="00775486"/>
    <w:rsid w:val="00775966"/>
    <w:rsid w:val="007759DB"/>
    <w:rsid w:val="00775F03"/>
    <w:rsid w:val="00775F90"/>
    <w:rsid w:val="007761CE"/>
    <w:rsid w:val="007765CF"/>
    <w:rsid w:val="00776748"/>
    <w:rsid w:val="00776B8D"/>
    <w:rsid w:val="00776ED0"/>
    <w:rsid w:val="00776EED"/>
    <w:rsid w:val="00776F95"/>
    <w:rsid w:val="0077710E"/>
    <w:rsid w:val="007775C4"/>
    <w:rsid w:val="007778E3"/>
    <w:rsid w:val="00777DEE"/>
    <w:rsid w:val="00777F33"/>
    <w:rsid w:val="00777F9F"/>
    <w:rsid w:val="00780024"/>
    <w:rsid w:val="0078036F"/>
    <w:rsid w:val="00780373"/>
    <w:rsid w:val="0078057B"/>
    <w:rsid w:val="00780652"/>
    <w:rsid w:val="007806DE"/>
    <w:rsid w:val="00780840"/>
    <w:rsid w:val="007808E2"/>
    <w:rsid w:val="007808F7"/>
    <w:rsid w:val="00780952"/>
    <w:rsid w:val="00780B1E"/>
    <w:rsid w:val="00780B88"/>
    <w:rsid w:val="00780C84"/>
    <w:rsid w:val="00780CFE"/>
    <w:rsid w:val="00780D65"/>
    <w:rsid w:val="00780D84"/>
    <w:rsid w:val="00780E5C"/>
    <w:rsid w:val="0078105C"/>
    <w:rsid w:val="007810AA"/>
    <w:rsid w:val="0078134E"/>
    <w:rsid w:val="00781405"/>
    <w:rsid w:val="00781579"/>
    <w:rsid w:val="007815EC"/>
    <w:rsid w:val="0078191D"/>
    <w:rsid w:val="0078257C"/>
    <w:rsid w:val="007825AD"/>
    <w:rsid w:val="00782954"/>
    <w:rsid w:val="00782A02"/>
    <w:rsid w:val="00783044"/>
    <w:rsid w:val="0078312D"/>
    <w:rsid w:val="007832B4"/>
    <w:rsid w:val="00783360"/>
    <w:rsid w:val="00783715"/>
    <w:rsid w:val="00783941"/>
    <w:rsid w:val="00783B11"/>
    <w:rsid w:val="00783B81"/>
    <w:rsid w:val="00783BC7"/>
    <w:rsid w:val="00783D66"/>
    <w:rsid w:val="00784153"/>
    <w:rsid w:val="007843A3"/>
    <w:rsid w:val="007846F5"/>
    <w:rsid w:val="007848D0"/>
    <w:rsid w:val="007849CA"/>
    <w:rsid w:val="00784ADB"/>
    <w:rsid w:val="00784BB0"/>
    <w:rsid w:val="00784C45"/>
    <w:rsid w:val="00784D81"/>
    <w:rsid w:val="00785103"/>
    <w:rsid w:val="00785348"/>
    <w:rsid w:val="007855BE"/>
    <w:rsid w:val="00785735"/>
    <w:rsid w:val="0078573F"/>
    <w:rsid w:val="00785848"/>
    <w:rsid w:val="00785BAD"/>
    <w:rsid w:val="00785BCF"/>
    <w:rsid w:val="00785C2D"/>
    <w:rsid w:val="00785C3C"/>
    <w:rsid w:val="007860F9"/>
    <w:rsid w:val="0078634D"/>
    <w:rsid w:val="00786371"/>
    <w:rsid w:val="0078665E"/>
    <w:rsid w:val="007868CC"/>
    <w:rsid w:val="00786E33"/>
    <w:rsid w:val="00786E64"/>
    <w:rsid w:val="00786EC3"/>
    <w:rsid w:val="0078728B"/>
    <w:rsid w:val="007872B8"/>
    <w:rsid w:val="0078742A"/>
    <w:rsid w:val="007875D6"/>
    <w:rsid w:val="00787A0F"/>
    <w:rsid w:val="00787D3B"/>
    <w:rsid w:val="007900CD"/>
    <w:rsid w:val="00790295"/>
    <w:rsid w:val="007902D9"/>
    <w:rsid w:val="0079066A"/>
    <w:rsid w:val="0079069C"/>
    <w:rsid w:val="007906D3"/>
    <w:rsid w:val="007911DA"/>
    <w:rsid w:val="007912C7"/>
    <w:rsid w:val="0079143E"/>
    <w:rsid w:val="007915E3"/>
    <w:rsid w:val="007919E7"/>
    <w:rsid w:val="00791FA4"/>
    <w:rsid w:val="00791FB8"/>
    <w:rsid w:val="007921BA"/>
    <w:rsid w:val="00792383"/>
    <w:rsid w:val="007924EA"/>
    <w:rsid w:val="0079280D"/>
    <w:rsid w:val="0079289B"/>
    <w:rsid w:val="007928B7"/>
    <w:rsid w:val="00792A69"/>
    <w:rsid w:val="00792ED2"/>
    <w:rsid w:val="00793090"/>
    <w:rsid w:val="00793191"/>
    <w:rsid w:val="007934A9"/>
    <w:rsid w:val="007937BB"/>
    <w:rsid w:val="007939F2"/>
    <w:rsid w:val="00793B13"/>
    <w:rsid w:val="00793D8B"/>
    <w:rsid w:val="00793F91"/>
    <w:rsid w:val="007941B1"/>
    <w:rsid w:val="00794248"/>
    <w:rsid w:val="0079429C"/>
    <w:rsid w:val="00794366"/>
    <w:rsid w:val="00794665"/>
    <w:rsid w:val="00794B51"/>
    <w:rsid w:val="00794B8B"/>
    <w:rsid w:val="00794E1F"/>
    <w:rsid w:val="0079509B"/>
    <w:rsid w:val="00795343"/>
    <w:rsid w:val="00795739"/>
    <w:rsid w:val="007958F5"/>
    <w:rsid w:val="00795B46"/>
    <w:rsid w:val="00795B9E"/>
    <w:rsid w:val="00795BB8"/>
    <w:rsid w:val="00795CAE"/>
    <w:rsid w:val="00796018"/>
    <w:rsid w:val="007962C8"/>
    <w:rsid w:val="0079633A"/>
    <w:rsid w:val="00796450"/>
    <w:rsid w:val="007964AF"/>
    <w:rsid w:val="00796782"/>
    <w:rsid w:val="0079679D"/>
    <w:rsid w:val="007967B5"/>
    <w:rsid w:val="00796A1E"/>
    <w:rsid w:val="00796AA7"/>
    <w:rsid w:val="00796FF3"/>
    <w:rsid w:val="00797721"/>
    <w:rsid w:val="0079794A"/>
    <w:rsid w:val="00797A1C"/>
    <w:rsid w:val="00797C65"/>
    <w:rsid w:val="00797CE7"/>
    <w:rsid w:val="00797D13"/>
    <w:rsid w:val="00797FC9"/>
    <w:rsid w:val="007A0043"/>
    <w:rsid w:val="007A0202"/>
    <w:rsid w:val="007A045F"/>
    <w:rsid w:val="007A0D0A"/>
    <w:rsid w:val="007A0E44"/>
    <w:rsid w:val="007A0FBB"/>
    <w:rsid w:val="007A1147"/>
    <w:rsid w:val="007A1287"/>
    <w:rsid w:val="007A1373"/>
    <w:rsid w:val="007A13DE"/>
    <w:rsid w:val="007A1451"/>
    <w:rsid w:val="007A14D8"/>
    <w:rsid w:val="007A1A6F"/>
    <w:rsid w:val="007A1A9B"/>
    <w:rsid w:val="007A1B1E"/>
    <w:rsid w:val="007A1BAC"/>
    <w:rsid w:val="007A1C41"/>
    <w:rsid w:val="007A1D49"/>
    <w:rsid w:val="007A2047"/>
    <w:rsid w:val="007A20C1"/>
    <w:rsid w:val="007A23FB"/>
    <w:rsid w:val="007A2413"/>
    <w:rsid w:val="007A2694"/>
    <w:rsid w:val="007A2C09"/>
    <w:rsid w:val="007A2E11"/>
    <w:rsid w:val="007A36AF"/>
    <w:rsid w:val="007A3751"/>
    <w:rsid w:val="007A379D"/>
    <w:rsid w:val="007A3F28"/>
    <w:rsid w:val="007A3FAE"/>
    <w:rsid w:val="007A3FD3"/>
    <w:rsid w:val="007A41E9"/>
    <w:rsid w:val="007A4524"/>
    <w:rsid w:val="007A4682"/>
    <w:rsid w:val="007A48F9"/>
    <w:rsid w:val="007A4F33"/>
    <w:rsid w:val="007A4FC6"/>
    <w:rsid w:val="007A50D5"/>
    <w:rsid w:val="007A55C3"/>
    <w:rsid w:val="007A5771"/>
    <w:rsid w:val="007A5990"/>
    <w:rsid w:val="007A5C57"/>
    <w:rsid w:val="007A5D1D"/>
    <w:rsid w:val="007A5EB9"/>
    <w:rsid w:val="007A607E"/>
    <w:rsid w:val="007A618B"/>
    <w:rsid w:val="007A61C3"/>
    <w:rsid w:val="007A6482"/>
    <w:rsid w:val="007A65CC"/>
    <w:rsid w:val="007A68AA"/>
    <w:rsid w:val="007A68C2"/>
    <w:rsid w:val="007A691C"/>
    <w:rsid w:val="007A6B4E"/>
    <w:rsid w:val="007A6D0C"/>
    <w:rsid w:val="007A6E30"/>
    <w:rsid w:val="007A6EDE"/>
    <w:rsid w:val="007A6EEB"/>
    <w:rsid w:val="007A6FA0"/>
    <w:rsid w:val="007A71E8"/>
    <w:rsid w:val="007A7602"/>
    <w:rsid w:val="007A7801"/>
    <w:rsid w:val="007A78CE"/>
    <w:rsid w:val="007A78E3"/>
    <w:rsid w:val="007A7927"/>
    <w:rsid w:val="007A79F3"/>
    <w:rsid w:val="007A7C02"/>
    <w:rsid w:val="007A7C50"/>
    <w:rsid w:val="007B00DF"/>
    <w:rsid w:val="007B0160"/>
    <w:rsid w:val="007B06E7"/>
    <w:rsid w:val="007B080E"/>
    <w:rsid w:val="007B0A99"/>
    <w:rsid w:val="007B0BF7"/>
    <w:rsid w:val="007B0C60"/>
    <w:rsid w:val="007B1083"/>
    <w:rsid w:val="007B10E3"/>
    <w:rsid w:val="007B1105"/>
    <w:rsid w:val="007B1157"/>
    <w:rsid w:val="007B11F7"/>
    <w:rsid w:val="007B13EC"/>
    <w:rsid w:val="007B1A16"/>
    <w:rsid w:val="007B1AD1"/>
    <w:rsid w:val="007B1B16"/>
    <w:rsid w:val="007B1B5F"/>
    <w:rsid w:val="007B1ECB"/>
    <w:rsid w:val="007B211C"/>
    <w:rsid w:val="007B2B14"/>
    <w:rsid w:val="007B2D88"/>
    <w:rsid w:val="007B2F55"/>
    <w:rsid w:val="007B2F93"/>
    <w:rsid w:val="007B37CE"/>
    <w:rsid w:val="007B3ABA"/>
    <w:rsid w:val="007B3AF1"/>
    <w:rsid w:val="007B3B55"/>
    <w:rsid w:val="007B3EE5"/>
    <w:rsid w:val="007B3FBE"/>
    <w:rsid w:val="007B3FCC"/>
    <w:rsid w:val="007B4198"/>
    <w:rsid w:val="007B4307"/>
    <w:rsid w:val="007B449F"/>
    <w:rsid w:val="007B44AB"/>
    <w:rsid w:val="007B46DD"/>
    <w:rsid w:val="007B4B0D"/>
    <w:rsid w:val="007B4CBF"/>
    <w:rsid w:val="007B4D76"/>
    <w:rsid w:val="007B5225"/>
    <w:rsid w:val="007B5483"/>
    <w:rsid w:val="007B54B0"/>
    <w:rsid w:val="007B5766"/>
    <w:rsid w:val="007B5829"/>
    <w:rsid w:val="007B5842"/>
    <w:rsid w:val="007B596F"/>
    <w:rsid w:val="007B5E57"/>
    <w:rsid w:val="007B5F29"/>
    <w:rsid w:val="007B6151"/>
    <w:rsid w:val="007B618D"/>
    <w:rsid w:val="007B6B7A"/>
    <w:rsid w:val="007B7034"/>
    <w:rsid w:val="007B7757"/>
    <w:rsid w:val="007B787C"/>
    <w:rsid w:val="007B7907"/>
    <w:rsid w:val="007B7BE2"/>
    <w:rsid w:val="007B7C7E"/>
    <w:rsid w:val="007B7E91"/>
    <w:rsid w:val="007C027D"/>
    <w:rsid w:val="007C03B2"/>
    <w:rsid w:val="007C05DE"/>
    <w:rsid w:val="007C09C4"/>
    <w:rsid w:val="007C0C1C"/>
    <w:rsid w:val="007C0E5C"/>
    <w:rsid w:val="007C0F82"/>
    <w:rsid w:val="007C1018"/>
    <w:rsid w:val="007C1374"/>
    <w:rsid w:val="007C13EE"/>
    <w:rsid w:val="007C145D"/>
    <w:rsid w:val="007C17EB"/>
    <w:rsid w:val="007C18FE"/>
    <w:rsid w:val="007C1A01"/>
    <w:rsid w:val="007C1C7B"/>
    <w:rsid w:val="007C1D58"/>
    <w:rsid w:val="007C1DB5"/>
    <w:rsid w:val="007C1EDB"/>
    <w:rsid w:val="007C1F75"/>
    <w:rsid w:val="007C2371"/>
    <w:rsid w:val="007C2582"/>
    <w:rsid w:val="007C26CE"/>
    <w:rsid w:val="007C2714"/>
    <w:rsid w:val="007C2778"/>
    <w:rsid w:val="007C27F2"/>
    <w:rsid w:val="007C2940"/>
    <w:rsid w:val="007C298A"/>
    <w:rsid w:val="007C2A88"/>
    <w:rsid w:val="007C2CE3"/>
    <w:rsid w:val="007C2D04"/>
    <w:rsid w:val="007C3045"/>
    <w:rsid w:val="007C324C"/>
    <w:rsid w:val="007C3A1E"/>
    <w:rsid w:val="007C3C10"/>
    <w:rsid w:val="007C3D17"/>
    <w:rsid w:val="007C3FCF"/>
    <w:rsid w:val="007C40CF"/>
    <w:rsid w:val="007C4182"/>
    <w:rsid w:val="007C4331"/>
    <w:rsid w:val="007C435B"/>
    <w:rsid w:val="007C444E"/>
    <w:rsid w:val="007C4453"/>
    <w:rsid w:val="007C464D"/>
    <w:rsid w:val="007C46C8"/>
    <w:rsid w:val="007C4732"/>
    <w:rsid w:val="007C4E4E"/>
    <w:rsid w:val="007C4F4A"/>
    <w:rsid w:val="007C5297"/>
    <w:rsid w:val="007C52EA"/>
    <w:rsid w:val="007C55F7"/>
    <w:rsid w:val="007C57F6"/>
    <w:rsid w:val="007C5978"/>
    <w:rsid w:val="007C59C0"/>
    <w:rsid w:val="007C5CA8"/>
    <w:rsid w:val="007C5CB4"/>
    <w:rsid w:val="007C602D"/>
    <w:rsid w:val="007C6192"/>
    <w:rsid w:val="007C62C1"/>
    <w:rsid w:val="007C661E"/>
    <w:rsid w:val="007C6793"/>
    <w:rsid w:val="007C6A17"/>
    <w:rsid w:val="007C6A1B"/>
    <w:rsid w:val="007C6C1A"/>
    <w:rsid w:val="007C6D1A"/>
    <w:rsid w:val="007C6DC3"/>
    <w:rsid w:val="007C7334"/>
    <w:rsid w:val="007C73F6"/>
    <w:rsid w:val="007C743D"/>
    <w:rsid w:val="007C744E"/>
    <w:rsid w:val="007C7692"/>
    <w:rsid w:val="007C7B69"/>
    <w:rsid w:val="007C7D2F"/>
    <w:rsid w:val="007C7DFF"/>
    <w:rsid w:val="007C7E48"/>
    <w:rsid w:val="007D02CA"/>
    <w:rsid w:val="007D02D4"/>
    <w:rsid w:val="007D03B5"/>
    <w:rsid w:val="007D04FD"/>
    <w:rsid w:val="007D07E6"/>
    <w:rsid w:val="007D0A1F"/>
    <w:rsid w:val="007D0E9B"/>
    <w:rsid w:val="007D1263"/>
    <w:rsid w:val="007D133B"/>
    <w:rsid w:val="007D133D"/>
    <w:rsid w:val="007D1652"/>
    <w:rsid w:val="007D1911"/>
    <w:rsid w:val="007D1AB0"/>
    <w:rsid w:val="007D1B6B"/>
    <w:rsid w:val="007D1C34"/>
    <w:rsid w:val="007D1DDA"/>
    <w:rsid w:val="007D1FDB"/>
    <w:rsid w:val="007D217A"/>
    <w:rsid w:val="007D2181"/>
    <w:rsid w:val="007D22B8"/>
    <w:rsid w:val="007D2567"/>
    <w:rsid w:val="007D2739"/>
    <w:rsid w:val="007D2C51"/>
    <w:rsid w:val="007D2D20"/>
    <w:rsid w:val="007D3178"/>
    <w:rsid w:val="007D32C6"/>
    <w:rsid w:val="007D37D5"/>
    <w:rsid w:val="007D434F"/>
    <w:rsid w:val="007D4456"/>
    <w:rsid w:val="007D4478"/>
    <w:rsid w:val="007D466A"/>
    <w:rsid w:val="007D46E9"/>
    <w:rsid w:val="007D4765"/>
    <w:rsid w:val="007D4B44"/>
    <w:rsid w:val="007D4D56"/>
    <w:rsid w:val="007D527D"/>
    <w:rsid w:val="007D52F1"/>
    <w:rsid w:val="007D53DE"/>
    <w:rsid w:val="007D5511"/>
    <w:rsid w:val="007D57C2"/>
    <w:rsid w:val="007D58B1"/>
    <w:rsid w:val="007D5A73"/>
    <w:rsid w:val="007D5B28"/>
    <w:rsid w:val="007D5EFC"/>
    <w:rsid w:val="007D5F80"/>
    <w:rsid w:val="007D61CC"/>
    <w:rsid w:val="007D61FE"/>
    <w:rsid w:val="007D61FF"/>
    <w:rsid w:val="007D63C5"/>
    <w:rsid w:val="007D6449"/>
    <w:rsid w:val="007D6A7C"/>
    <w:rsid w:val="007D6A80"/>
    <w:rsid w:val="007D6D1D"/>
    <w:rsid w:val="007D70BF"/>
    <w:rsid w:val="007D726F"/>
    <w:rsid w:val="007D73CE"/>
    <w:rsid w:val="007D778B"/>
    <w:rsid w:val="007D78B5"/>
    <w:rsid w:val="007D7AB9"/>
    <w:rsid w:val="007D7B93"/>
    <w:rsid w:val="007D7C52"/>
    <w:rsid w:val="007D7C7B"/>
    <w:rsid w:val="007E0023"/>
    <w:rsid w:val="007E00F8"/>
    <w:rsid w:val="007E0568"/>
    <w:rsid w:val="007E0D29"/>
    <w:rsid w:val="007E0D76"/>
    <w:rsid w:val="007E0DB8"/>
    <w:rsid w:val="007E0F26"/>
    <w:rsid w:val="007E0F67"/>
    <w:rsid w:val="007E0FBD"/>
    <w:rsid w:val="007E114E"/>
    <w:rsid w:val="007E118E"/>
    <w:rsid w:val="007E1413"/>
    <w:rsid w:val="007E1431"/>
    <w:rsid w:val="007E1583"/>
    <w:rsid w:val="007E167C"/>
    <w:rsid w:val="007E1AF1"/>
    <w:rsid w:val="007E1B69"/>
    <w:rsid w:val="007E1B8D"/>
    <w:rsid w:val="007E1C56"/>
    <w:rsid w:val="007E209F"/>
    <w:rsid w:val="007E2338"/>
    <w:rsid w:val="007E2503"/>
    <w:rsid w:val="007E29C1"/>
    <w:rsid w:val="007E2A0C"/>
    <w:rsid w:val="007E2AEF"/>
    <w:rsid w:val="007E2B1D"/>
    <w:rsid w:val="007E2BA9"/>
    <w:rsid w:val="007E2CD5"/>
    <w:rsid w:val="007E2CFB"/>
    <w:rsid w:val="007E2D5D"/>
    <w:rsid w:val="007E2ED0"/>
    <w:rsid w:val="007E300D"/>
    <w:rsid w:val="007E3266"/>
    <w:rsid w:val="007E3303"/>
    <w:rsid w:val="007E33E1"/>
    <w:rsid w:val="007E3477"/>
    <w:rsid w:val="007E3692"/>
    <w:rsid w:val="007E3731"/>
    <w:rsid w:val="007E3A40"/>
    <w:rsid w:val="007E3B89"/>
    <w:rsid w:val="007E40C6"/>
    <w:rsid w:val="007E4322"/>
    <w:rsid w:val="007E4359"/>
    <w:rsid w:val="007E4405"/>
    <w:rsid w:val="007E4593"/>
    <w:rsid w:val="007E4624"/>
    <w:rsid w:val="007E466A"/>
    <w:rsid w:val="007E4746"/>
    <w:rsid w:val="007E4D6C"/>
    <w:rsid w:val="007E4DF8"/>
    <w:rsid w:val="007E50FA"/>
    <w:rsid w:val="007E5294"/>
    <w:rsid w:val="007E54D6"/>
    <w:rsid w:val="007E5FA3"/>
    <w:rsid w:val="007E60C7"/>
    <w:rsid w:val="007E6194"/>
    <w:rsid w:val="007E63D4"/>
    <w:rsid w:val="007E6444"/>
    <w:rsid w:val="007E6457"/>
    <w:rsid w:val="007E6537"/>
    <w:rsid w:val="007E65BF"/>
    <w:rsid w:val="007E65EE"/>
    <w:rsid w:val="007E6A1F"/>
    <w:rsid w:val="007E6E6A"/>
    <w:rsid w:val="007E72D2"/>
    <w:rsid w:val="007E742E"/>
    <w:rsid w:val="007E748F"/>
    <w:rsid w:val="007E74A9"/>
    <w:rsid w:val="007E761A"/>
    <w:rsid w:val="007E7CAE"/>
    <w:rsid w:val="007E7EC3"/>
    <w:rsid w:val="007E7F37"/>
    <w:rsid w:val="007F032F"/>
    <w:rsid w:val="007F066F"/>
    <w:rsid w:val="007F096F"/>
    <w:rsid w:val="007F0B46"/>
    <w:rsid w:val="007F0C20"/>
    <w:rsid w:val="007F0F26"/>
    <w:rsid w:val="007F11DA"/>
    <w:rsid w:val="007F1237"/>
    <w:rsid w:val="007F132C"/>
    <w:rsid w:val="007F1421"/>
    <w:rsid w:val="007F1489"/>
    <w:rsid w:val="007F1C03"/>
    <w:rsid w:val="007F1D49"/>
    <w:rsid w:val="007F1EEB"/>
    <w:rsid w:val="007F20CF"/>
    <w:rsid w:val="007F21E4"/>
    <w:rsid w:val="007F24A8"/>
    <w:rsid w:val="007F2599"/>
    <w:rsid w:val="007F2B6F"/>
    <w:rsid w:val="007F2FDE"/>
    <w:rsid w:val="007F3090"/>
    <w:rsid w:val="007F3352"/>
    <w:rsid w:val="007F35BB"/>
    <w:rsid w:val="007F3649"/>
    <w:rsid w:val="007F366D"/>
    <w:rsid w:val="007F36F0"/>
    <w:rsid w:val="007F3934"/>
    <w:rsid w:val="007F3B5A"/>
    <w:rsid w:val="007F3BF7"/>
    <w:rsid w:val="007F3EE6"/>
    <w:rsid w:val="007F4247"/>
    <w:rsid w:val="007F435A"/>
    <w:rsid w:val="007F447E"/>
    <w:rsid w:val="007F4739"/>
    <w:rsid w:val="007F486C"/>
    <w:rsid w:val="007F49B9"/>
    <w:rsid w:val="007F4A91"/>
    <w:rsid w:val="007F4BCB"/>
    <w:rsid w:val="007F4D10"/>
    <w:rsid w:val="007F4D63"/>
    <w:rsid w:val="007F4E5B"/>
    <w:rsid w:val="007F52A7"/>
    <w:rsid w:val="007F530A"/>
    <w:rsid w:val="007F5575"/>
    <w:rsid w:val="007F5AB8"/>
    <w:rsid w:val="007F5BBE"/>
    <w:rsid w:val="007F5F4A"/>
    <w:rsid w:val="007F60EF"/>
    <w:rsid w:val="007F65DF"/>
    <w:rsid w:val="007F66BE"/>
    <w:rsid w:val="007F67C1"/>
    <w:rsid w:val="007F6879"/>
    <w:rsid w:val="007F687D"/>
    <w:rsid w:val="007F692F"/>
    <w:rsid w:val="007F6BFC"/>
    <w:rsid w:val="007F6C8C"/>
    <w:rsid w:val="007F7175"/>
    <w:rsid w:val="007F71DE"/>
    <w:rsid w:val="007F728E"/>
    <w:rsid w:val="007F7714"/>
    <w:rsid w:val="007F7867"/>
    <w:rsid w:val="007F7B83"/>
    <w:rsid w:val="007F7BD1"/>
    <w:rsid w:val="0080008D"/>
    <w:rsid w:val="008000B3"/>
    <w:rsid w:val="0080026C"/>
    <w:rsid w:val="008005C5"/>
    <w:rsid w:val="00800865"/>
    <w:rsid w:val="00800A6B"/>
    <w:rsid w:val="008011A6"/>
    <w:rsid w:val="00801457"/>
    <w:rsid w:val="00801574"/>
    <w:rsid w:val="0080175B"/>
    <w:rsid w:val="00801C75"/>
    <w:rsid w:val="00802000"/>
    <w:rsid w:val="00802066"/>
    <w:rsid w:val="00802150"/>
    <w:rsid w:val="008021A7"/>
    <w:rsid w:val="008028D7"/>
    <w:rsid w:val="00802ABC"/>
    <w:rsid w:val="00802BE1"/>
    <w:rsid w:val="00802E21"/>
    <w:rsid w:val="00802F65"/>
    <w:rsid w:val="008030E2"/>
    <w:rsid w:val="008031EE"/>
    <w:rsid w:val="0080342A"/>
    <w:rsid w:val="00803461"/>
    <w:rsid w:val="0080360B"/>
    <w:rsid w:val="0080369E"/>
    <w:rsid w:val="00803752"/>
    <w:rsid w:val="008039C7"/>
    <w:rsid w:val="00803B92"/>
    <w:rsid w:val="00803CCD"/>
    <w:rsid w:val="00803CCF"/>
    <w:rsid w:val="00803D41"/>
    <w:rsid w:val="00804033"/>
    <w:rsid w:val="00804097"/>
    <w:rsid w:val="00804543"/>
    <w:rsid w:val="0080481A"/>
    <w:rsid w:val="00804B96"/>
    <w:rsid w:val="00804CC4"/>
    <w:rsid w:val="00804D09"/>
    <w:rsid w:val="00805149"/>
    <w:rsid w:val="00805239"/>
    <w:rsid w:val="00805383"/>
    <w:rsid w:val="00805461"/>
    <w:rsid w:val="00805543"/>
    <w:rsid w:val="00805D05"/>
    <w:rsid w:val="00805DF0"/>
    <w:rsid w:val="00806014"/>
    <w:rsid w:val="0080606F"/>
    <w:rsid w:val="008060CD"/>
    <w:rsid w:val="00806539"/>
    <w:rsid w:val="008068AE"/>
    <w:rsid w:val="00806A1E"/>
    <w:rsid w:val="00806D0D"/>
    <w:rsid w:val="00806E8E"/>
    <w:rsid w:val="00807257"/>
    <w:rsid w:val="00807500"/>
    <w:rsid w:val="008077D3"/>
    <w:rsid w:val="008078A4"/>
    <w:rsid w:val="00807BCD"/>
    <w:rsid w:val="00807C25"/>
    <w:rsid w:val="00807D1B"/>
    <w:rsid w:val="00810063"/>
    <w:rsid w:val="0081023A"/>
    <w:rsid w:val="00810327"/>
    <w:rsid w:val="0081041D"/>
    <w:rsid w:val="008104A9"/>
    <w:rsid w:val="00810536"/>
    <w:rsid w:val="008106D7"/>
    <w:rsid w:val="008106DF"/>
    <w:rsid w:val="00810773"/>
    <w:rsid w:val="0081088E"/>
    <w:rsid w:val="00810A0D"/>
    <w:rsid w:val="00810A44"/>
    <w:rsid w:val="00810FFD"/>
    <w:rsid w:val="00811056"/>
    <w:rsid w:val="00811DD6"/>
    <w:rsid w:val="00811E0B"/>
    <w:rsid w:val="00811FD9"/>
    <w:rsid w:val="008121B1"/>
    <w:rsid w:val="00812608"/>
    <w:rsid w:val="0081262E"/>
    <w:rsid w:val="008126F3"/>
    <w:rsid w:val="00812730"/>
    <w:rsid w:val="00812870"/>
    <w:rsid w:val="00812A20"/>
    <w:rsid w:val="00812AB6"/>
    <w:rsid w:val="00812D43"/>
    <w:rsid w:val="00812D58"/>
    <w:rsid w:val="00812DE4"/>
    <w:rsid w:val="00812E46"/>
    <w:rsid w:val="00812ED6"/>
    <w:rsid w:val="0081303B"/>
    <w:rsid w:val="0081304D"/>
    <w:rsid w:val="00813354"/>
    <w:rsid w:val="0081351E"/>
    <w:rsid w:val="008135CD"/>
    <w:rsid w:val="00813BCB"/>
    <w:rsid w:val="00813D6F"/>
    <w:rsid w:val="00814136"/>
    <w:rsid w:val="00814178"/>
    <w:rsid w:val="008142B5"/>
    <w:rsid w:val="008142C2"/>
    <w:rsid w:val="0081446A"/>
    <w:rsid w:val="0081450F"/>
    <w:rsid w:val="00814563"/>
    <w:rsid w:val="00814788"/>
    <w:rsid w:val="00814997"/>
    <w:rsid w:val="00814AA1"/>
    <w:rsid w:val="00814B1B"/>
    <w:rsid w:val="00814C9B"/>
    <w:rsid w:val="00815857"/>
    <w:rsid w:val="008158E9"/>
    <w:rsid w:val="00815A47"/>
    <w:rsid w:val="00815B6B"/>
    <w:rsid w:val="00815C6B"/>
    <w:rsid w:val="0081614C"/>
    <w:rsid w:val="00816395"/>
    <w:rsid w:val="008164FE"/>
    <w:rsid w:val="00816952"/>
    <w:rsid w:val="00816AC6"/>
    <w:rsid w:val="00816C6A"/>
    <w:rsid w:val="00816CC8"/>
    <w:rsid w:val="00817128"/>
    <w:rsid w:val="00817225"/>
    <w:rsid w:val="00817258"/>
    <w:rsid w:val="008172A4"/>
    <w:rsid w:val="008172B1"/>
    <w:rsid w:val="00817357"/>
    <w:rsid w:val="008173BD"/>
    <w:rsid w:val="00817627"/>
    <w:rsid w:val="008178FD"/>
    <w:rsid w:val="00817A6C"/>
    <w:rsid w:val="00817B2C"/>
    <w:rsid w:val="00817D4D"/>
    <w:rsid w:val="00820150"/>
    <w:rsid w:val="00820323"/>
    <w:rsid w:val="008207CB"/>
    <w:rsid w:val="00820861"/>
    <w:rsid w:val="00820BE4"/>
    <w:rsid w:val="00820CC9"/>
    <w:rsid w:val="00820D2A"/>
    <w:rsid w:val="00820F56"/>
    <w:rsid w:val="008210E2"/>
    <w:rsid w:val="008211AF"/>
    <w:rsid w:val="00821257"/>
    <w:rsid w:val="00821292"/>
    <w:rsid w:val="008214B2"/>
    <w:rsid w:val="0082158C"/>
    <w:rsid w:val="0082159A"/>
    <w:rsid w:val="00821616"/>
    <w:rsid w:val="00821631"/>
    <w:rsid w:val="008216C0"/>
    <w:rsid w:val="00821835"/>
    <w:rsid w:val="00821927"/>
    <w:rsid w:val="00821A95"/>
    <w:rsid w:val="00821AE3"/>
    <w:rsid w:val="00821C45"/>
    <w:rsid w:val="00821F7C"/>
    <w:rsid w:val="008220CC"/>
    <w:rsid w:val="008221FF"/>
    <w:rsid w:val="00822861"/>
    <w:rsid w:val="00822B44"/>
    <w:rsid w:val="00822BF4"/>
    <w:rsid w:val="00822BF5"/>
    <w:rsid w:val="00822F2B"/>
    <w:rsid w:val="008234BF"/>
    <w:rsid w:val="008237C8"/>
    <w:rsid w:val="00823805"/>
    <w:rsid w:val="0082384A"/>
    <w:rsid w:val="00823942"/>
    <w:rsid w:val="00823A42"/>
    <w:rsid w:val="00823A43"/>
    <w:rsid w:val="00823B14"/>
    <w:rsid w:val="00823B1E"/>
    <w:rsid w:val="00824096"/>
    <w:rsid w:val="00824182"/>
    <w:rsid w:val="008244F0"/>
    <w:rsid w:val="00824569"/>
    <w:rsid w:val="0082497B"/>
    <w:rsid w:val="008249E4"/>
    <w:rsid w:val="00824A2E"/>
    <w:rsid w:val="00824CE0"/>
    <w:rsid w:val="00824D0E"/>
    <w:rsid w:val="0082502C"/>
    <w:rsid w:val="00825078"/>
    <w:rsid w:val="00825276"/>
    <w:rsid w:val="008252A6"/>
    <w:rsid w:val="00825820"/>
    <w:rsid w:val="00825882"/>
    <w:rsid w:val="008258CC"/>
    <w:rsid w:val="00826152"/>
    <w:rsid w:val="00826352"/>
    <w:rsid w:val="008263EA"/>
    <w:rsid w:val="0082644F"/>
    <w:rsid w:val="00827092"/>
    <w:rsid w:val="008270EC"/>
    <w:rsid w:val="008272B6"/>
    <w:rsid w:val="00827438"/>
    <w:rsid w:val="008274BA"/>
    <w:rsid w:val="008279AF"/>
    <w:rsid w:val="00827AF5"/>
    <w:rsid w:val="00827C5E"/>
    <w:rsid w:val="00827CCB"/>
    <w:rsid w:val="00827D68"/>
    <w:rsid w:val="00827EAA"/>
    <w:rsid w:val="00827F3C"/>
    <w:rsid w:val="0083017F"/>
    <w:rsid w:val="00830257"/>
    <w:rsid w:val="008305E2"/>
    <w:rsid w:val="0083082C"/>
    <w:rsid w:val="00830A63"/>
    <w:rsid w:val="00830C6F"/>
    <w:rsid w:val="00830D00"/>
    <w:rsid w:val="00830DEC"/>
    <w:rsid w:val="00830FCD"/>
    <w:rsid w:val="008311CC"/>
    <w:rsid w:val="008313CD"/>
    <w:rsid w:val="0083163E"/>
    <w:rsid w:val="00831696"/>
    <w:rsid w:val="0083170B"/>
    <w:rsid w:val="0083178B"/>
    <w:rsid w:val="00831A7C"/>
    <w:rsid w:val="00831B04"/>
    <w:rsid w:val="00831CC7"/>
    <w:rsid w:val="00831E04"/>
    <w:rsid w:val="00831E58"/>
    <w:rsid w:val="00831F76"/>
    <w:rsid w:val="00832108"/>
    <w:rsid w:val="0083228B"/>
    <w:rsid w:val="0083249E"/>
    <w:rsid w:val="00832524"/>
    <w:rsid w:val="008327EB"/>
    <w:rsid w:val="008329CD"/>
    <w:rsid w:val="008329F7"/>
    <w:rsid w:val="00833044"/>
    <w:rsid w:val="0083331A"/>
    <w:rsid w:val="00833628"/>
    <w:rsid w:val="008337A4"/>
    <w:rsid w:val="00833CF7"/>
    <w:rsid w:val="00833D5E"/>
    <w:rsid w:val="00833E7A"/>
    <w:rsid w:val="00833FCC"/>
    <w:rsid w:val="00834323"/>
    <w:rsid w:val="0083448F"/>
    <w:rsid w:val="00834651"/>
    <w:rsid w:val="0083473A"/>
    <w:rsid w:val="0083497C"/>
    <w:rsid w:val="00834C7C"/>
    <w:rsid w:val="00834E32"/>
    <w:rsid w:val="008353C5"/>
    <w:rsid w:val="008353EA"/>
    <w:rsid w:val="0083550F"/>
    <w:rsid w:val="0083591E"/>
    <w:rsid w:val="00835AF0"/>
    <w:rsid w:val="00835C59"/>
    <w:rsid w:val="00835C6C"/>
    <w:rsid w:val="00835E1A"/>
    <w:rsid w:val="00835ECB"/>
    <w:rsid w:val="0083613B"/>
    <w:rsid w:val="008361F5"/>
    <w:rsid w:val="00836474"/>
    <w:rsid w:val="0083688A"/>
    <w:rsid w:val="008369D7"/>
    <w:rsid w:val="00836A32"/>
    <w:rsid w:val="00836B9F"/>
    <w:rsid w:val="00836CB8"/>
    <w:rsid w:val="00836CE7"/>
    <w:rsid w:val="00836FE1"/>
    <w:rsid w:val="0083712D"/>
    <w:rsid w:val="0083716A"/>
    <w:rsid w:val="00837198"/>
    <w:rsid w:val="00837246"/>
    <w:rsid w:val="00837291"/>
    <w:rsid w:val="0083751B"/>
    <w:rsid w:val="00837555"/>
    <w:rsid w:val="00837561"/>
    <w:rsid w:val="008375F8"/>
    <w:rsid w:val="00837641"/>
    <w:rsid w:val="0083788F"/>
    <w:rsid w:val="00837A64"/>
    <w:rsid w:val="00837AB4"/>
    <w:rsid w:val="00837DEE"/>
    <w:rsid w:val="00837E65"/>
    <w:rsid w:val="00837EBF"/>
    <w:rsid w:val="00837F4A"/>
    <w:rsid w:val="00840297"/>
    <w:rsid w:val="008403B3"/>
    <w:rsid w:val="008404CB"/>
    <w:rsid w:val="008404D7"/>
    <w:rsid w:val="00840578"/>
    <w:rsid w:val="0084064A"/>
    <w:rsid w:val="00840714"/>
    <w:rsid w:val="00840729"/>
    <w:rsid w:val="008408AA"/>
    <w:rsid w:val="00840C3D"/>
    <w:rsid w:val="00840D41"/>
    <w:rsid w:val="00840DC8"/>
    <w:rsid w:val="00841004"/>
    <w:rsid w:val="00841ADB"/>
    <w:rsid w:val="008420D7"/>
    <w:rsid w:val="008420D9"/>
    <w:rsid w:val="0084239E"/>
    <w:rsid w:val="008423C8"/>
    <w:rsid w:val="008424CA"/>
    <w:rsid w:val="00842542"/>
    <w:rsid w:val="00842638"/>
    <w:rsid w:val="00842776"/>
    <w:rsid w:val="0084281B"/>
    <w:rsid w:val="00842837"/>
    <w:rsid w:val="00842BC1"/>
    <w:rsid w:val="00842DEB"/>
    <w:rsid w:val="00842E61"/>
    <w:rsid w:val="008438D3"/>
    <w:rsid w:val="00843A1E"/>
    <w:rsid w:val="00843A23"/>
    <w:rsid w:val="00843C00"/>
    <w:rsid w:val="00843FA3"/>
    <w:rsid w:val="0084405C"/>
    <w:rsid w:val="008446A4"/>
    <w:rsid w:val="008447BF"/>
    <w:rsid w:val="0084498B"/>
    <w:rsid w:val="00844B71"/>
    <w:rsid w:val="00844C97"/>
    <w:rsid w:val="00844CC2"/>
    <w:rsid w:val="00844ED8"/>
    <w:rsid w:val="00844F4B"/>
    <w:rsid w:val="00845088"/>
    <w:rsid w:val="00845397"/>
    <w:rsid w:val="008453DD"/>
    <w:rsid w:val="0084559A"/>
    <w:rsid w:val="008458CD"/>
    <w:rsid w:val="00845AAC"/>
    <w:rsid w:val="00845AE2"/>
    <w:rsid w:val="00845B30"/>
    <w:rsid w:val="00845E93"/>
    <w:rsid w:val="00845EBF"/>
    <w:rsid w:val="00845ED2"/>
    <w:rsid w:val="00846023"/>
    <w:rsid w:val="0084612C"/>
    <w:rsid w:val="0084651C"/>
    <w:rsid w:val="00846531"/>
    <w:rsid w:val="00846680"/>
    <w:rsid w:val="008466C2"/>
    <w:rsid w:val="008466EB"/>
    <w:rsid w:val="0084671E"/>
    <w:rsid w:val="00846731"/>
    <w:rsid w:val="008467F8"/>
    <w:rsid w:val="00846986"/>
    <w:rsid w:val="00846991"/>
    <w:rsid w:val="00846BAC"/>
    <w:rsid w:val="00846E33"/>
    <w:rsid w:val="00846EEE"/>
    <w:rsid w:val="00846F08"/>
    <w:rsid w:val="00847065"/>
    <w:rsid w:val="00847128"/>
    <w:rsid w:val="008471CB"/>
    <w:rsid w:val="00847471"/>
    <w:rsid w:val="008474BB"/>
    <w:rsid w:val="008475CC"/>
    <w:rsid w:val="0084775A"/>
    <w:rsid w:val="0084797F"/>
    <w:rsid w:val="00847BB9"/>
    <w:rsid w:val="00847D9D"/>
    <w:rsid w:val="00847E8F"/>
    <w:rsid w:val="0085010D"/>
    <w:rsid w:val="00850132"/>
    <w:rsid w:val="008501A2"/>
    <w:rsid w:val="00850244"/>
    <w:rsid w:val="0085068C"/>
    <w:rsid w:val="00850853"/>
    <w:rsid w:val="008508CF"/>
    <w:rsid w:val="008509DE"/>
    <w:rsid w:val="00850B79"/>
    <w:rsid w:val="008515D2"/>
    <w:rsid w:val="0085192E"/>
    <w:rsid w:val="00852454"/>
    <w:rsid w:val="00852632"/>
    <w:rsid w:val="008528CC"/>
    <w:rsid w:val="00852EB6"/>
    <w:rsid w:val="00852EE9"/>
    <w:rsid w:val="008530BF"/>
    <w:rsid w:val="008533D0"/>
    <w:rsid w:val="008534E5"/>
    <w:rsid w:val="0085350A"/>
    <w:rsid w:val="00853594"/>
    <w:rsid w:val="008536A5"/>
    <w:rsid w:val="00853792"/>
    <w:rsid w:val="008537A8"/>
    <w:rsid w:val="00853957"/>
    <w:rsid w:val="00853B87"/>
    <w:rsid w:val="00853C2C"/>
    <w:rsid w:val="00853CD1"/>
    <w:rsid w:val="00853EEE"/>
    <w:rsid w:val="00853EF3"/>
    <w:rsid w:val="00853F48"/>
    <w:rsid w:val="0085447F"/>
    <w:rsid w:val="008544D5"/>
    <w:rsid w:val="00854537"/>
    <w:rsid w:val="00854785"/>
    <w:rsid w:val="008549CA"/>
    <w:rsid w:val="00854A91"/>
    <w:rsid w:val="00854B8F"/>
    <w:rsid w:val="00854DD7"/>
    <w:rsid w:val="00854DF5"/>
    <w:rsid w:val="0085511B"/>
    <w:rsid w:val="008552D8"/>
    <w:rsid w:val="00855361"/>
    <w:rsid w:val="008554E3"/>
    <w:rsid w:val="0085553D"/>
    <w:rsid w:val="00855A4D"/>
    <w:rsid w:val="00855B22"/>
    <w:rsid w:val="00855B7E"/>
    <w:rsid w:val="00855CD3"/>
    <w:rsid w:val="00855E8F"/>
    <w:rsid w:val="008562E9"/>
    <w:rsid w:val="008562FF"/>
    <w:rsid w:val="0085647A"/>
    <w:rsid w:val="00856855"/>
    <w:rsid w:val="008569BB"/>
    <w:rsid w:val="00856A01"/>
    <w:rsid w:val="00856B6E"/>
    <w:rsid w:val="00856C5F"/>
    <w:rsid w:val="00856D9E"/>
    <w:rsid w:val="00856DE3"/>
    <w:rsid w:val="00856E62"/>
    <w:rsid w:val="00856F71"/>
    <w:rsid w:val="008574E2"/>
    <w:rsid w:val="00857657"/>
    <w:rsid w:val="00857DCB"/>
    <w:rsid w:val="00857ED5"/>
    <w:rsid w:val="00857EDE"/>
    <w:rsid w:val="00857F40"/>
    <w:rsid w:val="00857F5C"/>
    <w:rsid w:val="008604F2"/>
    <w:rsid w:val="00860550"/>
    <w:rsid w:val="00860852"/>
    <w:rsid w:val="008609D7"/>
    <w:rsid w:val="00860AF6"/>
    <w:rsid w:val="00860B59"/>
    <w:rsid w:val="00860C6C"/>
    <w:rsid w:val="00860D60"/>
    <w:rsid w:val="00860D85"/>
    <w:rsid w:val="00860DDD"/>
    <w:rsid w:val="00861115"/>
    <w:rsid w:val="008613E2"/>
    <w:rsid w:val="008617EA"/>
    <w:rsid w:val="00861A0E"/>
    <w:rsid w:val="00861B69"/>
    <w:rsid w:val="00861C37"/>
    <w:rsid w:val="00862429"/>
    <w:rsid w:val="0086248D"/>
    <w:rsid w:val="008626BD"/>
    <w:rsid w:val="00862852"/>
    <w:rsid w:val="008629CE"/>
    <w:rsid w:val="00862ACC"/>
    <w:rsid w:val="00862BB0"/>
    <w:rsid w:val="00862DB6"/>
    <w:rsid w:val="00862F8B"/>
    <w:rsid w:val="008634A8"/>
    <w:rsid w:val="00863CAE"/>
    <w:rsid w:val="00863D25"/>
    <w:rsid w:val="00863F1C"/>
    <w:rsid w:val="00864504"/>
    <w:rsid w:val="00864633"/>
    <w:rsid w:val="0086477F"/>
    <w:rsid w:val="00864817"/>
    <w:rsid w:val="00864ADA"/>
    <w:rsid w:val="00864C34"/>
    <w:rsid w:val="00864C8D"/>
    <w:rsid w:val="00864EF1"/>
    <w:rsid w:val="00865132"/>
    <w:rsid w:val="00865633"/>
    <w:rsid w:val="008656DA"/>
    <w:rsid w:val="008657D4"/>
    <w:rsid w:val="00866054"/>
    <w:rsid w:val="008663B7"/>
    <w:rsid w:val="0086640D"/>
    <w:rsid w:val="008667A9"/>
    <w:rsid w:val="00866872"/>
    <w:rsid w:val="008669C9"/>
    <w:rsid w:val="00866AAC"/>
    <w:rsid w:val="00866BBD"/>
    <w:rsid w:val="00866D29"/>
    <w:rsid w:val="00866D59"/>
    <w:rsid w:val="00866F6F"/>
    <w:rsid w:val="00866FE9"/>
    <w:rsid w:val="0086721D"/>
    <w:rsid w:val="0086760D"/>
    <w:rsid w:val="00867676"/>
    <w:rsid w:val="008677D2"/>
    <w:rsid w:val="008677F4"/>
    <w:rsid w:val="00867A2B"/>
    <w:rsid w:val="00867C42"/>
    <w:rsid w:val="00867D4A"/>
    <w:rsid w:val="00867D69"/>
    <w:rsid w:val="00867EB3"/>
    <w:rsid w:val="00867FAC"/>
    <w:rsid w:val="008700F4"/>
    <w:rsid w:val="008701BE"/>
    <w:rsid w:val="008703B6"/>
    <w:rsid w:val="00870507"/>
    <w:rsid w:val="008709E6"/>
    <w:rsid w:val="00870AAA"/>
    <w:rsid w:val="00870F82"/>
    <w:rsid w:val="00871322"/>
    <w:rsid w:val="008713F5"/>
    <w:rsid w:val="0087169B"/>
    <w:rsid w:val="008718ED"/>
    <w:rsid w:val="008719A9"/>
    <w:rsid w:val="00871E95"/>
    <w:rsid w:val="00871F84"/>
    <w:rsid w:val="008724B5"/>
    <w:rsid w:val="008729EB"/>
    <w:rsid w:val="00872A3D"/>
    <w:rsid w:val="00872BB8"/>
    <w:rsid w:val="00872C56"/>
    <w:rsid w:val="00872D66"/>
    <w:rsid w:val="00872E2F"/>
    <w:rsid w:val="00872EA0"/>
    <w:rsid w:val="00873211"/>
    <w:rsid w:val="0087334B"/>
    <w:rsid w:val="008736AA"/>
    <w:rsid w:val="00873D9F"/>
    <w:rsid w:val="00874483"/>
    <w:rsid w:val="0087485D"/>
    <w:rsid w:val="00874994"/>
    <w:rsid w:val="00874A1A"/>
    <w:rsid w:val="00874C02"/>
    <w:rsid w:val="0087506D"/>
    <w:rsid w:val="0087528A"/>
    <w:rsid w:val="0087551A"/>
    <w:rsid w:val="00875884"/>
    <w:rsid w:val="00875C97"/>
    <w:rsid w:val="00875E2D"/>
    <w:rsid w:val="00875EAB"/>
    <w:rsid w:val="00876504"/>
    <w:rsid w:val="0087659C"/>
    <w:rsid w:val="00876654"/>
    <w:rsid w:val="00876799"/>
    <w:rsid w:val="00876D7F"/>
    <w:rsid w:val="00876F78"/>
    <w:rsid w:val="00877478"/>
    <w:rsid w:val="00877549"/>
    <w:rsid w:val="00877864"/>
    <w:rsid w:val="00877B6E"/>
    <w:rsid w:val="00877B87"/>
    <w:rsid w:val="00877BBF"/>
    <w:rsid w:val="00877D6A"/>
    <w:rsid w:val="00877EFD"/>
    <w:rsid w:val="00880080"/>
    <w:rsid w:val="008800DF"/>
    <w:rsid w:val="008801A4"/>
    <w:rsid w:val="00880227"/>
    <w:rsid w:val="008806FF"/>
    <w:rsid w:val="00880C3C"/>
    <w:rsid w:val="0088103E"/>
    <w:rsid w:val="008810B5"/>
    <w:rsid w:val="0088144A"/>
    <w:rsid w:val="0088157F"/>
    <w:rsid w:val="00881598"/>
    <w:rsid w:val="008817BF"/>
    <w:rsid w:val="008817F4"/>
    <w:rsid w:val="00881A43"/>
    <w:rsid w:val="00881A86"/>
    <w:rsid w:val="00881DD4"/>
    <w:rsid w:val="00881F67"/>
    <w:rsid w:val="008822A4"/>
    <w:rsid w:val="00882521"/>
    <w:rsid w:val="00882590"/>
    <w:rsid w:val="00882741"/>
    <w:rsid w:val="008829CC"/>
    <w:rsid w:val="00882A59"/>
    <w:rsid w:val="00882E22"/>
    <w:rsid w:val="00883043"/>
    <w:rsid w:val="00883067"/>
    <w:rsid w:val="0088318E"/>
    <w:rsid w:val="0088326E"/>
    <w:rsid w:val="008832F2"/>
    <w:rsid w:val="00883529"/>
    <w:rsid w:val="008835F0"/>
    <w:rsid w:val="00883761"/>
    <w:rsid w:val="008837BA"/>
    <w:rsid w:val="008837DA"/>
    <w:rsid w:val="0088382C"/>
    <w:rsid w:val="00883B28"/>
    <w:rsid w:val="00883C39"/>
    <w:rsid w:val="00883E6E"/>
    <w:rsid w:val="00883F2F"/>
    <w:rsid w:val="00884101"/>
    <w:rsid w:val="0088441F"/>
    <w:rsid w:val="00884428"/>
    <w:rsid w:val="0088443C"/>
    <w:rsid w:val="008845AD"/>
    <w:rsid w:val="0088465F"/>
    <w:rsid w:val="008846A8"/>
    <w:rsid w:val="00884728"/>
    <w:rsid w:val="00884B19"/>
    <w:rsid w:val="00884C7E"/>
    <w:rsid w:val="00884CB2"/>
    <w:rsid w:val="00884D84"/>
    <w:rsid w:val="00884E8A"/>
    <w:rsid w:val="0088541A"/>
    <w:rsid w:val="008855BC"/>
    <w:rsid w:val="00885676"/>
    <w:rsid w:val="00885E30"/>
    <w:rsid w:val="00885F47"/>
    <w:rsid w:val="00886161"/>
    <w:rsid w:val="00886508"/>
    <w:rsid w:val="00886864"/>
    <w:rsid w:val="00886A7B"/>
    <w:rsid w:val="00886BB1"/>
    <w:rsid w:val="0088707E"/>
    <w:rsid w:val="008871EA"/>
    <w:rsid w:val="00887579"/>
    <w:rsid w:val="0088761C"/>
    <w:rsid w:val="008877DB"/>
    <w:rsid w:val="0088780A"/>
    <w:rsid w:val="00887882"/>
    <w:rsid w:val="008878E7"/>
    <w:rsid w:val="00887B78"/>
    <w:rsid w:val="00887CC7"/>
    <w:rsid w:val="00887CF4"/>
    <w:rsid w:val="00887D28"/>
    <w:rsid w:val="00887DF7"/>
    <w:rsid w:val="00887E2B"/>
    <w:rsid w:val="00887FB0"/>
    <w:rsid w:val="0089032F"/>
    <w:rsid w:val="008903D5"/>
    <w:rsid w:val="00890423"/>
    <w:rsid w:val="00890C63"/>
    <w:rsid w:val="00890CDF"/>
    <w:rsid w:val="00890E12"/>
    <w:rsid w:val="0089136A"/>
    <w:rsid w:val="008914B8"/>
    <w:rsid w:val="008916D4"/>
    <w:rsid w:val="00891782"/>
    <w:rsid w:val="00891AEB"/>
    <w:rsid w:val="00891BFB"/>
    <w:rsid w:val="00891EFE"/>
    <w:rsid w:val="0089207C"/>
    <w:rsid w:val="00892263"/>
    <w:rsid w:val="008922D3"/>
    <w:rsid w:val="00892464"/>
    <w:rsid w:val="0089247D"/>
    <w:rsid w:val="00892527"/>
    <w:rsid w:val="008927C9"/>
    <w:rsid w:val="0089290B"/>
    <w:rsid w:val="00892E8A"/>
    <w:rsid w:val="00892F3A"/>
    <w:rsid w:val="008936B2"/>
    <w:rsid w:val="0089380A"/>
    <w:rsid w:val="00893834"/>
    <w:rsid w:val="008938EE"/>
    <w:rsid w:val="00893E44"/>
    <w:rsid w:val="00894549"/>
    <w:rsid w:val="0089454F"/>
    <w:rsid w:val="008945A7"/>
    <w:rsid w:val="00894B40"/>
    <w:rsid w:val="00894F8D"/>
    <w:rsid w:val="00894F9B"/>
    <w:rsid w:val="00895408"/>
    <w:rsid w:val="0089543C"/>
    <w:rsid w:val="00895543"/>
    <w:rsid w:val="00895617"/>
    <w:rsid w:val="00895822"/>
    <w:rsid w:val="008958E3"/>
    <w:rsid w:val="00895991"/>
    <w:rsid w:val="00895C7A"/>
    <w:rsid w:val="00895D8B"/>
    <w:rsid w:val="008961C6"/>
    <w:rsid w:val="0089624C"/>
    <w:rsid w:val="008963E6"/>
    <w:rsid w:val="008964DD"/>
    <w:rsid w:val="00896A22"/>
    <w:rsid w:val="00896B2E"/>
    <w:rsid w:val="00896FCA"/>
    <w:rsid w:val="008970AF"/>
    <w:rsid w:val="008977F3"/>
    <w:rsid w:val="00897B92"/>
    <w:rsid w:val="00897E49"/>
    <w:rsid w:val="00897E80"/>
    <w:rsid w:val="008A0101"/>
    <w:rsid w:val="008A040A"/>
    <w:rsid w:val="008A056F"/>
    <w:rsid w:val="008A0717"/>
    <w:rsid w:val="008A09CC"/>
    <w:rsid w:val="008A0A0C"/>
    <w:rsid w:val="008A0B40"/>
    <w:rsid w:val="008A0EBB"/>
    <w:rsid w:val="008A102A"/>
    <w:rsid w:val="008A13C2"/>
    <w:rsid w:val="008A1461"/>
    <w:rsid w:val="008A146A"/>
    <w:rsid w:val="008A155B"/>
    <w:rsid w:val="008A16E2"/>
    <w:rsid w:val="008A1BCB"/>
    <w:rsid w:val="008A1C73"/>
    <w:rsid w:val="008A1F8D"/>
    <w:rsid w:val="008A2014"/>
    <w:rsid w:val="008A20B0"/>
    <w:rsid w:val="008A21DF"/>
    <w:rsid w:val="008A25D1"/>
    <w:rsid w:val="008A26B3"/>
    <w:rsid w:val="008A26F7"/>
    <w:rsid w:val="008A2955"/>
    <w:rsid w:val="008A2B9A"/>
    <w:rsid w:val="008A2E6E"/>
    <w:rsid w:val="008A2ED1"/>
    <w:rsid w:val="008A3242"/>
    <w:rsid w:val="008A3377"/>
    <w:rsid w:val="008A33A7"/>
    <w:rsid w:val="008A345F"/>
    <w:rsid w:val="008A366B"/>
    <w:rsid w:val="008A3939"/>
    <w:rsid w:val="008A3999"/>
    <w:rsid w:val="008A3B33"/>
    <w:rsid w:val="008A3D9C"/>
    <w:rsid w:val="008A41EB"/>
    <w:rsid w:val="008A4204"/>
    <w:rsid w:val="008A455F"/>
    <w:rsid w:val="008A4751"/>
    <w:rsid w:val="008A47E1"/>
    <w:rsid w:val="008A48FA"/>
    <w:rsid w:val="008A4937"/>
    <w:rsid w:val="008A51CC"/>
    <w:rsid w:val="008A534F"/>
    <w:rsid w:val="008A57A2"/>
    <w:rsid w:val="008A5820"/>
    <w:rsid w:val="008A58A9"/>
    <w:rsid w:val="008A59E6"/>
    <w:rsid w:val="008A5A68"/>
    <w:rsid w:val="008A6229"/>
    <w:rsid w:val="008A62C0"/>
    <w:rsid w:val="008A6402"/>
    <w:rsid w:val="008A64AB"/>
    <w:rsid w:val="008A65C4"/>
    <w:rsid w:val="008A699E"/>
    <w:rsid w:val="008A69D1"/>
    <w:rsid w:val="008A6A67"/>
    <w:rsid w:val="008A6B37"/>
    <w:rsid w:val="008A6DE8"/>
    <w:rsid w:val="008A6EEE"/>
    <w:rsid w:val="008A6F36"/>
    <w:rsid w:val="008A7052"/>
    <w:rsid w:val="008A71E9"/>
    <w:rsid w:val="008A731C"/>
    <w:rsid w:val="008A73B4"/>
    <w:rsid w:val="008A7505"/>
    <w:rsid w:val="008A7527"/>
    <w:rsid w:val="008A7611"/>
    <w:rsid w:val="008A77B4"/>
    <w:rsid w:val="008A7FA2"/>
    <w:rsid w:val="008B0342"/>
    <w:rsid w:val="008B0524"/>
    <w:rsid w:val="008B0565"/>
    <w:rsid w:val="008B071F"/>
    <w:rsid w:val="008B08A9"/>
    <w:rsid w:val="008B0944"/>
    <w:rsid w:val="008B0FED"/>
    <w:rsid w:val="008B11CE"/>
    <w:rsid w:val="008B127B"/>
    <w:rsid w:val="008B1335"/>
    <w:rsid w:val="008B14CA"/>
    <w:rsid w:val="008B1795"/>
    <w:rsid w:val="008B1AD4"/>
    <w:rsid w:val="008B20D0"/>
    <w:rsid w:val="008B228F"/>
    <w:rsid w:val="008B24A1"/>
    <w:rsid w:val="008B24F5"/>
    <w:rsid w:val="008B2535"/>
    <w:rsid w:val="008B25B9"/>
    <w:rsid w:val="008B25E8"/>
    <w:rsid w:val="008B28ED"/>
    <w:rsid w:val="008B2A30"/>
    <w:rsid w:val="008B2B7F"/>
    <w:rsid w:val="008B2BBD"/>
    <w:rsid w:val="008B2E36"/>
    <w:rsid w:val="008B345F"/>
    <w:rsid w:val="008B3593"/>
    <w:rsid w:val="008B36C0"/>
    <w:rsid w:val="008B3755"/>
    <w:rsid w:val="008B38BF"/>
    <w:rsid w:val="008B3A5A"/>
    <w:rsid w:val="008B3D63"/>
    <w:rsid w:val="008B3EDA"/>
    <w:rsid w:val="008B409F"/>
    <w:rsid w:val="008B4189"/>
    <w:rsid w:val="008B4675"/>
    <w:rsid w:val="008B47BE"/>
    <w:rsid w:val="008B4BBF"/>
    <w:rsid w:val="008B4CE3"/>
    <w:rsid w:val="008B4D5B"/>
    <w:rsid w:val="008B4E0A"/>
    <w:rsid w:val="008B5036"/>
    <w:rsid w:val="008B5463"/>
    <w:rsid w:val="008B54A9"/>
    <w:rsid w:val="008B54E7"/>
    <w:rsid w:val="008B5613"/>
    <w:rsid w:val="008B5753"/>
    <w:rsid w:val="008B5C38"/>
    <w:rsid w:val="008B5CC6"/>
    <w:rsid w:val="008B5E34"/>
    <w:rsid w:val="008B60A2"/>
    <w:rsid w:val="008B64F1"/>
    <w:rsid w:val="008B6524"/>
    <w:rsid w:val="008B6764"/>
    <w:rsid w:val="008B67A3"/>
    <w:rsid w:val="008B6834"/>
    <w:rsid w:val="008B686E"/>
    <w:rsid w:val="008B6BCA"/>
    <w:rsid w:val="008B6CE0"/>
    <w:rsid w:val="008B7158"/>
    <w:rsid w:val="008B7251"/>
    <w:rsid w:val="008B72C0"/>
    <w:rsid w:val="008B7304"/>
    <w:rsid w:val="008B73AE"/>
    <w:rsid w:val="008B748B"/>
    <w:rsid w:val="008B765F"/>
    <w:rsid w:val="008B76B6"/>
    <w:rsid w:val="008B7A5D"/>
    <w:rsid w:val="008B7A8F"/>
    <w:rsid w:val="008B7AA2"/>
    <w:rsid w:val="008B7E3B"/>
    <w:rsid w:val="008B7FB5"/>
    <w:rsid w:val="008C0031"/>
    <w:rsid w:val="008C0128"/>
    <w:rsid w:val="008C02EC"/>
    <w:rsid w:val="008C042B"/>
    <w:rsid w:val="008C0488"/>
    <w:rsid w:val="008C04FA"/>
    <w:rsid w:val="008C0589"/>
    <w:rsid w:val="008C059F"/>
    <w:rsid w:val="008C06DB"/>
    <w:rsid w:val="008C08E6"/>
    <w:rsid w:val="008C0AEF"/>
    <w:rsid w:val="008C0BC9"/>
    <w:rsid w:val="008C0ED3"/>
    <w:rsid w:val="008C11E0"/>
    <w:rsid w:val="008C1596"/>
    <w:rsid w:val="008C1674"/>
    <w:rsid w:val="008C16C5"/>
    <w:rsid w:val="008C16EC"/>
    <w:rsid w:val="008C1A79"/>
    <w:rsid w:val="008C1C39"/>
    <w:rsid w:val="008C1F51"/>
    <w:rsid w:val="008C238F"/>
    <w:rsid w:val="008C23AD"/>
    <w:rsid w:val="008C23DC"/>
    <w:rsid w:val="008C2428"/>
    <w:rsid w:val="008C2485"/>
    <w:rsid w:val="008C264C"/>
    <w:rsid w:val="008C2895"/>
    <w:rsid w:val="008C2B62"/>
    <w:rsid w:val="008C2BBE"/>
    <w:rsid w:val="008C2C04"/>
    <w:rsid w:val="008C2C59"/>
    <w:rsid w:val="008C2F1D"/>
    <w:rsid w:val="008C2FB0"/>
    <w:rsid w:val="008C3119"/>
    <w:rsid w:val="008C32E7"/>
    <w:rsid w:val="008C32F8"/>
    <w:rsid w:val="008C3631"/>
    <w:rsid w:val="008C3948"/>
    <w:rsid w:val="008C3E45"/>
    <w:rsid w:val="008C4223"/>
    <w:rsid w:val="008C42A3"/>
    <w:rsid w:val="008C43B9"/>
    <w:rsid w:val="008C43E5"/>
    <w:rsid w:val="008C46D1"/>
    <w:rsid w:val="008C470E"/>
    <w:rsid w:val="008C4716"/>
    <w:rsid w:val="008C480C"/>
    <w:rsid w:val="008C490D"/>
    <w:rsid w:val="008C49A4"/>
    <w:rsid w:val="008C49DA"/>
    <w:rsid w:val="008C4A1E"/>
    <w:rsid w:val="008C4A21"/>
    <w:rsid w:val="008C4BE7"/>
    <w:rsid w:val="008C4FFC"/>
    <w:rsid w:val="008C505D"/>
    <w:rsid w:val="008C55DD"/>
    <w:rsid w:val="008C5698"/>
    <w:rsid w:val="008C5BFA"/>
    <w:rsid w:val="008C5C37"/>
    <w:rsid w:val="008C5C98"/>
    <w:rsid w:val="008C5E8D"/>
    <w:rsid w:val="008C6207"/>
    <w:rsid w:val="008C6820"/>
    <w:rsid w:val="008C6829"/>
    <w:rsid w:val="008C6982"/>
    <w:rsid w:val="008C6A28"/>
    <w:rsid w:val="008C6BA9"/>
    <w:rsid w:val="008C6CBF"/>
    <w:rsid w:val="008C6E6A"/>
    <w:rsid w:val="008C6E71"/>
    <w:rsid w:val="008C7006"/>
    <w:rsid w:val="008C722D"/>
    <w:rsid w:val="008C7329"/>
    <w:rsid w:val="008C7370"/>
    <w:rsid w:val="008C7589"/>
    <w:rsid w:val="008C76C3"/>
    <w:rsid w:val="008C77E7"/>
    <w:rsid w:val="008C77FF"/>
    <w:rsid w:val="008C785E"/>
    <w:rsid w:val="008C7A24"/>
    <w:rsid w:val="008C7BCD"/>
    <w:rsid w:val="008C7C6B"/>
    <w:rsid w:val="008C7D06"/>
    <w:rsid w:val="008C7E89"/>
    <w:rsid w:val="008D071A"/>
    <w:rsid w:val="008D0869"/>
    <w:rsid w:val="008D0906"/>
    <w:rsid w:val="008D0A2E"/>
    <w:rsid w:val="008D0A50"/>
    <w:rsid w:val="008D0C5C"/>
    <w:rsid w:val="008D0EAB"/>
    <w:rsid w:val="008D0F19"/>
    <w:rsid w:val="008D11EF"/>
    <w:rsid w:val="008D1234"/>
    <w:rsid w:val="008D13D3"/>
    <w:rsid w:val="008D13F5"/>
    <w:rsid w:val="008D14BB"/>
    <w:rsid w:val="008D1563"/>
    <w:rsid w:val="008D1731"/>
    <w:rsid w:val="008D173D"/>
    <w:rsid w:val="008D17FB"/>
    <w:rsid w:val="008D1DBA"/>
    <w:rsid w:val="008D20C8"/>
    <w:rsid w:val="008D21CA"/>
    <w:rsid w:val="008D262C"/>
    <w:rsid w:val="008D2C0C"/>
    <w:rsid w:val="008D2C79"/>
    <w:rsid w:val="008D2EA0"/>
    <w:rsid w:val="008D2F8B"/>
    <w:rsid w:val="008D3144"/>
    <w:rsid w:val="008D319B"/>
    <w:rsid w:val="008D3602"/>
    <w:rsid w:val="008D3A25"/>
    <w:rsid w:val="008D3A82"/>
    <w:rsid w:val="008D3BB7"/>
    <w:rsid w:val="008D3C19"/>
    <w:rsid w:val="008D3E20"/>
    <w:rsid w:val="008D3E4B"/>
    <w:rsid w:val="008D3E67"/>
    <w:rsid w:val="008D4027"/>
    <w:rsid w:val="008D4124"/>
    <w:rsid w:val="008D4452"/>
    <w:rsid w:val="008D44E3"/>
    <w:rsid w:val="008D4791"/>
    <w:rsid w:val="008D4950"/>
    <w:rsid w:val="008D511A"/>
    <w:rsid w:val="008D51A7"/>
    <w:rsid w:val="008D51FB"/>
    <w:rsid w:val="008D5347"/>
    <w:rsid w:val="008D5354"/>
    <w:rsid w:val="008D57F4"/>
    <w:rsid w:val="008D5AD9"/>
    <w:rsid w:val="008D5EA1"/>
    <w:rsid w:val="008D60F1"/>
    <w:rsid w:val="008D64B7"/>
    <w:rsid w:val="008D66A0"/>
    <w:rsid w:val="008D6739"/>
    <w:rsid w:val="008D673C"/>
    <w:rsid w:val="008D6AA9"/>
    <w:rsid w:val="008D6AE0"/>
    <w:rsid w:val="008D6B1F"/>
    <w:rsid w:val="008D74A1"/>
    <w:rsid w:val="008D74BB"/>
    <w:rsid w:val="008D755B"/>
    <w:rsid w:val="008D76CB"/>
    <w:rsid w:val="008D780B"/>
    <w:rsid w:val="008D792C"/>
    <w:rsid w:val="008E034F"/>
    <w:rsid w:val="008E06BD"/>
    <w:rsid w:val="008E07E1"/>
    <w:rsid w:val="008E0DC2"/>
    <w:rsid w:val="008E10D6"/>
    <w:rsid w:val="008E1260"/>
    <w:rsid w:val="008E13A2"/>
    <w:rsid w:val="008E13E1"/>
    <w:rsid w:val="008E13ED"/>
    <w:rsid w:val="008E158B"/>
    <w:rsid w:val="008E190E"/>
    <w:rsid w:val="008E1961"/>
    <w:rsid w:val="008E1A4B"/>
    <w:rsid w:val="008E1CD4"/>
    <w:rsid w:val="008E2046"/>
    <w:rsid w:val="008E22E1"/>
    <w:rsid w:val="008E24FD"/>
    <w:rsid w:val="008E27A4"/>
    <w:rsid w:val="008E291C"/>
    <w:rsid w:val="008E2C19"/>
    <w:rsid w:val="008E2E17"/>
    <w:rsid w:val="008E3256"/>
    <w:rsid w:val="008E331F"/>
    <w:rsid w:val="008E34B6"/>
    <w:rsid w:val="008E360D"/>
    <w:rsid w:val="008E367B"/>
    <w:rsid w:val="008E3752"/>
    <w:rsid w:val="008E42EC"/>
    <w:rsid w:val="008E4359"/>
    <w:rsid w:val="008E437D"/>
    <w:rsid w:val="008E4629"/>
    <w:rsid w:val="008E4BAF"/>
    <w:rsid w:val="008E4FE6"/>
    <w:rsid w:val="008E50D3"/>
    <w:rsid w:val="008E5115"/>
    <w:rsid w:val="008E530F"/>
    <w:rsid w:val="008E5C3E"/>
    <w:rsid w:val="008E5CC8"/>
    <w:rsid w:val="008E5D9D"/>
    <w:rsid w:val="008E5EE7"/>
    <w:rsid w:val="008E5FD2"/>
    <w:rsid w:val="008E6029"/>
    <w:rsid w:val="008E6035"/>
    <w:rsid w:val="008E636D"/>
    <w:rsid w:val="008E6A12"/>
    <w:rsid w:val="008E6A66"/>
    <w:rsid w:val="008E6AF5"/>
    <w:rsid w:val="008E6B9F"/>
    <w:rsid w:val="008E6CE2"/>
    <w:rsid w:val="008E6FB7"/>
    <w:rsid w:val="008E7001"/>
    <w:rsid w:val="008E718A"/>
    <w:rsid w:val="008E720D"/>
    <w:rsid w:val="008E7268"/>
    <w:rsid w:val="008E73BA"/>
    <w:rsid w:val="008E7536"/>
    <w:rsid w:val="008E77E0"/>
    <w:rsid w:val="008E7DD8"/>
    <w:rsid w:val="008E7F88"/>
    <w:rsid w:val="008F0026"/>
    <w:rsid w:val="008F0292"/>
    <w:rsid w:val="008F03EF"/>
    <w:rsid w:val="008F055D"/>
    <w:rsid w:val="008F0639"/>
    <w:rsid w:val="008F06E6"/>
    <w:rsid w:val="008F085D"/>
    <w:rsid w:val="008F0964"/>
    <w:rsid w:val="008F0A20"/>
    <w:rsid w:val="008F0B53"/>
    <w:rsid w:val="008F0B9F"/>
    <w:rsid w:val="008F0BCE"/>
    <w:rsid w:val="008F0E8A"/>
    <w:rsid w:val="008F0E97"/>
    <w:rsid w:val="008F107A"/>
    <w:rsid w:val="008F1109"/>
    <w:rsid w:val="008F1208"/>
    <w:rsid w:val="008F13E3"/>
    <w:rsid w:val="008F158F"/>
    <w:rsid w:val="008F15E2"/>
    <w:rsid w:val="008F1729"/>
    <w:rsid w:val="008F1854"/>
    <w:rsid w:val="008F1896"/>
    <w:rsid w:val="008F19C7"/>
    <w:rsid w:val="008F1A08"/>
    <w:rsid w:val="008F1A5D"/>
    <w:rsid w:val="008F1DB9"/>
    <w:rsid w:val="008F1DC2"/>
    <w:rsid w:val="008F2216"/>
    <w:rsid w:val="008F2251"/>
    <w:rsid w:val="008F24F4"/>
    <w:rsid w:val="008F2540"/>
    <w:rsid w:val="008F2550"/>
    <w:rsid w:val="008F25C1"/>
    <w:rsid w:val="008F2932"/>
    <w:rsid w:val="008F2A68"/>
    <w:rsid w:val="008F2DC9"/>
    <w:rsid w:val="008F2FF5"/>
    <w:rsid w:val="008F3121"/>
    <w:rsid w:val="008F3793"/>
    <w:rsid w:val="008F3E0E"/>
    <w:rsid w:val="008F3FCF"/>
    <w:rsid w:val="008F4226"/>
    <w:rsid w:val="008F42A3"/>
    <w:rsid w:val="008F43C9"/>
    <w:rsid w:val="008F44BD"/>
    <w:rsid w:val="008F476C"/>
    <w:rsid w:val="008F4BE2"/>
    <w:rsid w:val="008F4E14"/>
    <w:rsid w:val="008F4E68"/>
    <w:rsid w:val="008F500D"/>
    <w:rsid w:val="008F5048"/>
    <w:rsid w:val="008F5300"/>
    <w:rsid w:val="008F556F"/>
    <w:rsid w:val="008F5726"/>
    <w:rsid w:val="008F58A5"/>
    <w:rsid w:val="008F5A0A"/>
    <w:rsid w:val="008F5A41"/>
    <w:rsid w:val="008F5E1D"/>
    <w:rsid w:val="008F5ED8"/>
    <w:rsid w:val="008F649B"/>
    <w:rsid w:val="008F67F0"/>
    <w:rsid w:val="008F705A"/>
    <w:rsid w:val="008F70A5"/>
    <w:rsid w:val="008F7583"/>
    <w:rsid w:val="008F7B1C"/>
    <w:rsid w:val="008F7B5C"/>
    <w:rsid w:val="008F7BF2"/>
    <w:rsid w:val="008F7DC8"/>
    <w:rsid w:val="008F7DF6"/>
    <w:rsid w:val="009000A1"/>
    <w:rsid w:val="0090016C"/>
    <w:rsid w:val="0090041A"/>
    <w:rsid w:val="009007AD"/>
    <w:rsid w:val="009007FD"/>
    <w:rsid w:val="00900862"/>
    <w:rsid w:val="00900D7B"/>
    <w:rsid w:val="00900E95"/>
    <w:rsid w:val="00900F70"/>
    <w:rsid w:val="0090104F"/>
    <w:rsid w:val="00901682"/>
    <w:rsid w:val="00901F1D"/>
    <w:rsid w:val="009022AF"/>
    <w:rsid w:val="009023FC"/>
    <w:rsid w:val="0090269F"/>
    <w:rsid w:val="00902780"/>
    <w:rsid w:val="00902995"/>
    <w:rsid w:val="00902AA7"/>
    <w:rsid w:val="00902E15"/>
    <w:rsid w:val="00902E2F"/>
    <w:rsid w:val="00902E47"/>
    <w:rsid w:val="00902F02"/>
    <w:rsid w:val="009031E6"/>
    <w:rsid w:val="0090359B"/>
    <w:rsid w:val="0090397B"/>
    <w:rsid w:val="00903D71"/>
    <w:rsid w:val="00903EC2"/>
    <w:rsid w:val="00903F4B"/>
    <w:rsid w:val="00904176"/>
    <w:rsid w:val="00904344"/>
    <w:rsid w:val="0090466D"/>
    <w:rsid w:val="0090477A"/>
    <w:rsid w:val="00904947"/>
    <w:rsid w:val="00904B22"/>
    <w:rsid w:val="00904B58"/>
    <w:rsid w:val="00904B95"/>
    <w:rsid w:val="00904C79"/>
    <w:rsid w:val="00904D37"/>
    <w:rsid w:val="00904E51"/>
    <w:rsid w:val="00905291"/>
    <w:rsid w:val="009054CB"/>
    <w:rsid w:val="00905682"/>
    <w:rsid w:val="00905BC8"/>
    <w:rsid w:val="00905DC7"/>
    <w:rsid w:val="009062C7"/>
    <w:rsid w:val="009066C8"/>
    <w:rsid w:val="009067B9"/>
    <w:rsid w:val="00906A81"/>
    <w:rsid w:val="00906AFF"/>
    <w:rsid w:val="00906DE2"/>
    <w:rsid w:val="0090706F"/>
    <w:rsid w:val="009072C4"/>
    <w:rsid w:val="009076E3"/>
    <w:rsid w:val="009076EA"/>
    <w:rsid w:val="00907AE2"/>
    <w:rsid w:val="00907CDC"/>
    <w:rsid w:val="00907F7E"/>
    <w:rsid w:val="00907F8F"/>
    <w:rsid w:val="009100EB"/>
    <w:rsid w:val="009103D2"/>
    <w:rsid w:val="00910569"/>
    <w:rsid w:val="009105BA"/>
    <w:rsid w:val="00910604"/>
    <w:rsid w:val="00910733"/>
    <w:rsid w:val="00910B8E"/>
    <w:rsid w:val="00910CE8"/>
    <w:rsid w:val="00910DAB"/>
    <w:rsid w:val="0091141E"/>
    <w:rsid w:val="0091143E"/>
    <w:rsid w:val="009115D7"/>
    <w:rsid w:val="0091168A"/>
    <w:rsid w:val="009116C4"/>
    <w:rsid w:val="0091174E"/>
    <w:rsid w:val="00911B25"/>
    <w:rsid w:val="00911B52"/>
    <w:rsid w:val="00911DBC"/>
    <w:rsid w:val="00911DC0"/>
    <w:rsid w:val="009120E0"/>
    <w:rsid w:val="00912148"/>
    <w:rsid w:val="009121DC"/>
    <w:rsid w:val="009121FD"/>
    <w:rsid w:val="00912335"/>
    <w:rsid w:val="009124A0"/>
    <w:rsid w:val="009127B7"/>
    <w:rsid w:val="00912BF4"/>
    <w:rsid w:val="00912ED2"/>
    <w:rsid w:val="00912ED3"/>
    <w:rsid w:val="00912F06"/>
    <w:rsid w:val="00913121"/>
    <w:rsid w:val="009131BE"/>
    <w:rsid w:val="00913215"/>
    <w:rsid w:val="00913391"/>
    <w:rsid w:val="009134D8"/>
    <w:rsid w:val="00913796"/>
    <w:rsid w:val="0091392C"/>
    <w:rsid w:val="009141BC"/>
    <w:rsid w:val="0091420B"/>
    <w:rsid w:val="009142A8"/>
    <w:rsid w:val="0091440A"/>
    <w:rsid w:val="009144CA"/>
    <w:rsid w:val="009145E7"/>
    <w:rsid w:val="00914704"/>
    <w:rsid w:val="0091496E"/>
    <w:rsid w:val="009149EA"/>
    <w:rsid w:val="00914A48"/>
    <w:rsid w:val="00914B6C"/>
    <w:rsid w:val="00914BB9"/>
    <w:rsid w:val="00914C71"/>
    <w:rsid w:val="00914F6C"/>
    <w:rsid w:val="00914FB0"/>
    <w:rsid w:val="0091501F"/>
    <w:rsid w:val="009152F5"/>
    <w:rsid w:val="009153F0"/>
    <w:rsid w:val="00915495"/>
    <w:rsid w:val="009158DE"/>
    <w:rsid w:val="00915B8B"/>
    <w:rsid w:val="00915DA0"/>
    <w:rsid w:val="00915F47"/>
    <w:rsid w:val="009162AF"/>
    <w:rsid w:val="009163DD"/>
    <w:rsid w:val="009165F4"/>
    <w:rsid w:val="00916703"/>
    <w:rsid w:val="009167D9"/>
    <w:rsid w:val="00916817"/>
    <w:rsid w:val="009168D8"/>
    <w:rsid w:val="00916A33"/>
    <w:rsid w:val="00916C31"/>
    <w:rsid w:val="00916C4C"/>
    <w:rsid w:val="00916C5B"/>
    <w:rsid w:val="00916D88"/>
    <w:rsid w:val="00916E41"/>
    <w:rsid w:val="0091738C"/>
    <w:rsid w:val="009177A0"/>
    <w:rsid w:val="00917882"/>
    <w:rsid w:val="00917AA9"/>
    <w:rsid w:val="00917C32"/>
    <w:rsid w:val="00917DCF"/>
    <w:rsid w:val="00917F31"/>
    <w:rsid w:val="009200E5"/>
    <w:rsid w:val="0092030A"/>
    <w:rsid w:val="00920687"/>
    <w:rsid w:val="0092092B"/>
    <w:rsid w:val="00920ABF"/>
    <w:rsid w:val="00920D0E"/>
    <w:rsid w:val="00920E78"/>
    <w:rsid w:val="00920F4A"/>
    <w:rsid w:val="00920FBA"/>
    <w:rsid w:val="009212F2"/>
    <w:rsid w:val="009213E0"/>
    <w:rsid w:val="0092140B"/>
    <w:rsid w:val="00921492"/>
    <w:rsid w:val="00921621"/>
    <w:rsid w:val="00921A99"/>
    <w:rsid w:val="00921DEE"/>
    <w:rsid w:val="00922042"/>
    <w:rsid w:val="0092210F"/>
    <w:rsid w:val="0092216C"/>
    <w:rsid w:val="00922265"/>
    <w:rsid w:val="00922431"/>
    <w:rsid w:val="009224FE"/>
    <w:rsid w:val="009225EE"/>
    <w:rsid w:val="00922720"/>
    <w:rsid w:val="0092291E"/>
    <w:rsid w:val="009229E8"/>
    <w:rsid w:val="009229FC"/>
    <w:rsid w:val="00922B4A"/>
    <w:rsid w:val="00922CDA"/>
    <w:rsid w:val="00922D1C"/>
    <w:rsid w:val="00923BBD"/>
    <w:rsid w:val="00923C99"/>
    <w:rsid w:val="00923CB3"/>
    <w:rsid w:val="00924279"/>
    <w:rsid w:val="00924540"/>
    <w:rsid w:val="00924586"/>
    <w:rsid w:val="00924607"/>
    <w:rsid w:val="009247F3"/>
    <w:rsid w:val="00924BCD"/>
    <w:rsid w:val="00924CC4"/>
    <w:rsid w:val="00924EAD"/>
    <w:rsid w:val="00924EF9"/>
    <w:rsid w:val="00924F40"/>
    <w:rsid w:val="00924FCE"/>
    <w:rsid w:val="00925021"/>
    <w:rsid w:val="0092509E"/>
    <w:rsid w:val="009250FA"/>
    <w:rsid w:val="0092511E"/>
    <w:rsid w:val="00925230"/>
    <w:rsid w:val="00925257"/>
    <w:rsid w:val="0092533B"/>
    <w:rsid w:val="009256D6"/>
    <w:rsid w:val="009257FF"/>
    <w:rsid w:val="0092589C"/>
    <w:rsid w:val="0092599D"/>
    <w:rsid w:val="00925B84"/>
    <w:rsid w:val="00925CFB"/>
    <w:rsid w:val="00925D23"/>
    <w:rsid w:val="00926139"/>
    <w:rsid w:val="0092629B"/>
    <w:rsid w:val="0092637D"/>
    <w:rsid w:val="00926488"/>
    <w:rsid w:val="00926705"/>
    <w:rsid w:val="0092688D"/>
    <w:rsid w:val="009268B2"/>
    <w:rsid w:val="00926914"/>
    <w:rsid w:val="009269A9"/>
    <w:rsid w:val="009269F9"/>
    <w:rsid w:val="00926B2E"/>
    <w:rsid w:val="00926FBE"/>
    <w:rsid w:val="00927031"/>
    <w:rsid w:val="0092706F"/>
    <w:rsid w:val="009271FC"/>
    <w:rsid w:val="00927370"/>
    <w:rsid w:val="0092794C"/>
    <w:rsid w:val="00927968"/>
    <w:rsid w:val="00927A95"/>
    <w:rsid w:val="00927BCC"/>
    <w:rsid w:val="00927EF4"/>
    <w:rsid w:val="0093006D"/>
    <w:rsid w:val="00930210"/>
    <w:rsid w:val="00930218"/>
    <w:rsid w:val="00930393"/>
    <w:rsid w:val="009304B7"/>
    <w:rsid w:val="009305E9"/>
    <w:rsid w:val="009305EC"/>
    <w:rsid w:val="009306CA"/>
    <w:rsid w:val="009306F4"/>
    <w:rsid w:val="00930B96"/>
    <w:rsid w:val="00930D15"/>
    <w:rsid w:val="00930E97"/>
    <w:rsid w:val="00931059"/>
    <w:rsid w:val="0093116C"/>
    <w:rsid w:val="009312DF"/>
    <w:rsid w:val="009313C1"/>
    <w:rsid w:val="009313C4"/>
    <w:rsid w:val="009313F3"/>
    <w:rsid w:val="00931805"/>
    <w:rsid w:val="0093187B"/>
    <w:rsid w:val="00931AD0"/>
    <w:rsid w:val="00931B3B"/>
    <w:rsid w:val="009320EB"/>
    <w:rsid w:val="0093216D"/>
    <w:rsid w:val="009322B0"/>
    <w:rsid w:val="009325F1"/>
    <w:rsid w:val="00932613"/>
    <w:rsid w:val="00932C90"/>
    <w:rsid w:val="00932D45"/>
    <w:rsid w:val="00933345"/>
    <w:rsid w:val="00933516"/>
    <w:rsid w:val="009338F9"/>
    <w:rsid w:val="00933997"/>
    <w:rsid w:val="00933A04"/>
    <w:rsid w:val="00933BA6"/>
    <w:rsid w:val="00933E67"/>
    <w:rsid w:val="00933EAE"/>
    <w:rsid w:val="00934518"/>
    <w:rsid w:val="009347DC"/>
    <w:rsid w:val="00934C06"/>
    <w:rsid w:val="00934CD4"/>
    <w:rsid w:val="00934DF0"/>
    <w:rsid w:val="009350D6"/>
    <w:rsid w:val="00935693"/>
    <w:rsid w:val="0093571D"/>
    <w:rsid w:val="00935858"/>
    <w:rsid w:val="009358B6"/>
    <w:rsid w:val="00935987"/>
    <w:rsid w:val="00935E9A"/>
    <w:rsid w:val="00935EC6"/>
    <w:rsid w:val="00935F3A"/>
    <w:rsid w:val="00935F82"/>
    <w:rsid w:val="00936074"/>
    <w:rsid w:val="00936429"/>
    <w:rsid w:val="009366C8"/>
    <w:rsid w:val="00936778"/>
    <w:rsid w:val="00936839"/>
    <w:rsid w:val="009369C3"/>
    <w:rsid w:val="00936AB7"/>
    <w:rsid w:val="00936AD3"/>
    <w:rsid w:val="00936C5B"/>
    <w:rsid w:val="00936C61"/>
    <w:rsid w:val="00936CC1"/>
    <w:rsid w:val="00936E1A"/>
    <w:rsid w:val="009371C6"/>
    <w:rsid w:val="009371FF"/>
    <w:rsid w:val="009372F3"/>
    <w:rsid w:val="00937C0F"/>
    <w:rsid w:val="00937EF0"/>
    <w:rsid w:val="00940083"/>
    <w:rsid w:val="009402B6"/>
    <w:rsid w:val="00940409"/>
    <w:rsid w:val="00940535"/>
    <w:rsid w:val="009408A3"/>
    <w:rsid w:val="009408AC"/>
    <w:rsid w:val="00940BCF"/>
    <w:rsid w:val="00940C42"/>
    <w:rsid w:val="00940D12"/>
    <w:rsid w:val="00940D8C"/>
    <w:rsid w:val="00940E4F"/>
    <w:rsid w:val="0094103D"/>
    <w:rsid w:val="00941F52"/>
    <w:rsid w:val="009422E2"/>
    <w:rsid w:val="00942406"/>
    <w:rsid w:val="00942728"/>
    <w:rsid w:val="009428E5"/>
    <w:rsid w:val="009429BA"/>
    <w:rsid w:val="0094321B"/>
    <w:rsid w:val="00943315"/>
    <w:rsid w:val="00943359"/>
    <w:rsid w:val="0094352C"/>
    <w:rsid w:val="00943767"/>
    <w:rsid w:val="00943793"/>
    <w:rsid w:val="0094384C"/>
    <w:rsid w:val="00943A42"/>
    <w:rsid w:val="00943F7D"/>
    <w:rsid w:val="009441FB"/>
    <w:rsid w:val="00944504"/>
    <w:rsid w:val="00944619"/>
    <w:rsid w:val="009448EA"/>
    <w:rsid w:val="009448F8"/>
    <w:rsid w:val="00944BB2"/>
    <w:rsid w:val="00944BC6"/>
    <w:rsid w:val="00944E6E"/>
    <w:rsid w:val="00944E93"/>
    <w:rsid w:val="00945143"/>
    <w:rsid w:val="00945192"/>
    <w:rsid w:val="00945211"/>
    <w:rsid w:val="009453BB"/>
    <w:rsid w:val="009453C8"/>
    <w:rsid w:val="009454C6"/>
    <w:rsid w:val="00945758"/>
    <w:rsid w:val="009459D1"/>
    <w:rsid w:val="00945A3A"/>
    <w:rsid w:val="00945A6D"/>
    <w:rsid w:val="00945D7D"/>
    <w:rsid w:val="00945E22"/>
    <w:rsid w:val="00945F02"/>
    <w:rsid w:val="00945F4F"/>
    <w:rsid w:val="00945F76"/>
    <w:rsid w:val="0094617D"/>
    <w:rsid w:val="009468C1"/>
    <w:rsid w:val="00946975"/>
    <w:rsid w:val="00946BDB"/>
    <w:rsid w:val="00946D00"/>
    <w:rsid w:val="00946EA2"/>
    <w:rsid w:val="00947198"/>
    <w:rsid w:val="00947269"/>
    <w:rsid w:val="0094735D"/>
    <w:rsid w:val="009474AD"/>
    <w:rsid w:val="00947988"/>
    <w:rsid w:val="00947C5E"/>
    <w:rsid w:val="00947C7E"/>
    <w:rsid w:val="00947F4F"/>
    <w:rsid w:val="00950120"/>
    <w:rsid w:val="00950540"/>
    <w:rsid w:val="00950661"/>
    <w:rsid w:val="00950896"/>
    <w:rsid w:val="00950CB4"/>
    <w:rsid w:val="00951133"/>
    <w:rsid w:val="0095183E"/>
    <w:rsid w:val="0095196D"/>
    <w:rsid w:val="00951A81"/>
    <w:rsid w:val="00951B79"/>
    <w:rsid w:val="00951B94"/>
    <w:rsid w:val="00951E24"/>
    <w:rsid w:val="00952001"/>
    <w:rsid w:val="009521F7"/>
    <w:rsid w:val="00952354"/>
    <w:rsid w:val="009524E6"/>
    <w:rsid w:val="009526AE"/>
    <w:rsid w:val="0095271F"/>
    <w:rsid w:val="00952835"/>
    <w:rsid w:val="009528C3"/>
    <w:rsid w:val="009530BD"/>
    <w:rsid w:val="009530E5"/>
    <w:rsid w:val="009534BC"/>
    <w:rsid w:val="00953734"/>
    <w:rsid w:val="00953848"/>
    <w:rsid w:val="0095385E"/>
    <w:rsid w:val="00953889"/>
    <w:rsid w:val="00953A5B"/>
    <w:rsid w:val="00953C09"/>
    <w:rsid w:val="00953E37"/>
    <w:rsid w:val="00953EE7"/>
    <w:rsid w:val="00953F45"/>
    <w:rsid w:val="00954128"/>
    <w:rsid w:val="009545F0"/>
    <w:rsid w:val="009547C3"/>
    <w:rsid w:val="009549E8"/>
    <w:rsid w:val="00954B6C"/>
    <w:rsid w:val="00954C42"/>
    <w:rsid w:val="00954CA3"/>
    <w:rsid w:val="00954E51"/>
    <w:rsid w:val="00954EB3"/>
    <w:rsid w:val="00954FA1"/>
    <w:rsid w:val="00955113"/>
    <w:rsid w:val="0095532C"/>
    <w:rsid w:val="00955360"/>
    <w:rsid w:val="0095539D"/>
    <w:rsid w:val="009554A5"/>
    <w:rsid w:val="009556BD"/>
    <w:rsid w:val="009558D0"/>
    <w:rsid w:val="009559A0"/>
    <w:rsid w:val="009559C4"/>
    <w:rsid w:val="00955A14"/>
    <w:rsid w:val="00955AB5"/>
    <w:rsid w:val="00955BE6"/>
    <w:rsid w:val="00955CA3"/>
    <w:rsid w:val="00955CD6"/>
    <w:rsid w:val="0095645E"/>
    <w:rsid w:val="009565BD"/>
    <w:rsid w:val="009565C5"/>
    <w:rsid w:val="009565EC"/>
    <w:rsid w:val="00956ED0"/>
    <w:rsid w:val="00956F3E"/>
    <w:rsid w:val="00956F82"/>
    <w:rsid w:val="009574A6"/>
    <w:rsid w:val="00957739"/>
    <w:rsid w:val="009578B3"/>
    <w:rsid w:val="009579D2"/>
    <w:rsid w:val="00957BF6"/>
    <w:rsid w:val="00957C74"/>
    <w:rsid w:val="00957D8C"/>
    <w:rsid w:val="00957DCF"/>
    <w:rsid w:val="00957DDE"/>
    <w:rsid w:val="009600DD"/>
    <w:rsid w:val="0096018D"/>
    <w:rsid w:val="009601E3"/>
    <w:rsid w:val="009606D5"/>
    <w:rsid w:val="0096078E"/>
    <w:rsid w:val="00960855"/>
    <w:rsid w:val="00960BEB"/>
    <w:rsid w:val="00960F25"/>
    <w:rsid w:val="0096100A"/>
    <w:rsid w:val="0096143A"/>
    <w:rsid w:val="00961712"/>
    <w:rsid w:val="00961AF1"/>
    <w:rsid w:val="00961BDD"/>
    <w:rsid w:val="00961C89"/>
    <w:rsid w:val="00961D98"/>
    <w:rsid w:val="00961FB8"/>
    <w:rsid w:val="00962384"/>
    <w:rsid w:val="00962706"/>
    <w:rsid w:val="00962904"/>
    <w:rsid w:val="00962A87"/>
    <w:rsid w:val="00962F62"/>
    <w:rsid w:val="0096304A"/>
    <w:rsid w:val="009630E4"/>
    <w:rsid w:val="0096316F"/>
    <w:rsid w:val="00963B76"/>
    <w:rsid w:val="009641DB"/>
    <w:rsid w:val="00964259"/>
    <w:rsid w:val="009644F5"/>
    <w:rsid w:val="0096460A"/>
    <w:rsid w:val="0096482A"/>
    <w:rsid w:val="0096485C"/>
    <w:rsid w:val="009649AE"/>
    <w:rsid w:val="00964D15"/>
    <w:rsid w:val="00964D27"/>
    <w:rsid w:val="00964EA3"/>
    <w:rsid w:val="00964F75"/>
    <w:rsid w:val="00965183"/>
    <w:rsid w:val="0096533C"/>
    <w:rsid w:val="00965407"/>
    <w:rsid w:val="00965551"/>
    <w:rsid w:val="00965726"/>
    <w:rsid w:val="00965753"/>
    <w:rsid w:val="00965773"/>
    <w:rsid w:val="00965E26"/>
    <w:rsid w:val="0096601E"/>
    <w:rsid w:val="009664F8"/>
    <w:rsid w:val="009669C3"/>
    <w:rsid w:val="00966B9A"/>
    <w:rsid w:val="00966EA1"/>
    <w:rsid w:val="00967032"/>
    <w:rsid w:val="009674C2"/>
    <w:rsid w:val="00967B16"/>
    <w:rsid w:val="00967B41"/>
    <w:rsid w:val="00967D53"/>
    <w:rsid w:val="00967E9B"/>
    <w:rsid w:val="0097008A"/>
    <w:rsid w:val="009700D1"/>
    <w:rsid w:val="00970148"/>
    <w:rsid w:val="00970210"/>
    <w:rsid w:val="009702F0"/>
    <w:rsid w:val="00970A0E"/>
    <w:rsid w:val="00970A0F"/>
    <w:rsid w:val="00970BD2"/>
    <w:rsid w:val="00970D7F"/>
    <w:rsid w:val="00970E35"/>
    <w:rsid w:val="00971390"/>
    <w:rsid w:val="0097145D"/>
    <w:rsid w:val="00971AF1"/>
    <w:rsid w:val="00971B43"/>
    <w:rsid w:val="00971F45"/>
    <w:rsid w:val="0097234B"/>
    <w:rsid w:val="009725CE"/>
    <w:rsid w:val="00972B98"/>
    <w:rsid w:val="00973252"/>
    <w:rsid w:val="00973357"/>
    <w:rsid w:val="00973A62"/>
    <w:rsid w:val="00973EFE"/>
    <w:rsid w:val="00973F79"/>
    <w:rsid w:val="0097405E"/>
    <w:rsid w:val="00974417"/>
    <w:rsid w:val="009745DB"/>
    <w:rsid w:val="00974646"/>
    <w:rsid w:val="00974803"/>
    <w:rsid w:val="009749A0"/>
    <w:rsid w:val="00974BDC"/>
    <w:rsid w:val="00974DAF"/>
    <w:rsid w:val="00974DD6"/>
    <w:rsid w:val="00975024"/>
    <w:rsid w:val="009750A1"/>
    <w:rsid w:val="0097537D"/>
    <w:rsid w:val="00975465"/>
    <w:rsid w:val="0097557B"/>
    <w:rsid w:val="00975A3E"/>
    <w:rsid w:val="00975A8B"/>
    <w:rsid w:val="00975BA0"/>
    <w:rsid w:val="00975D5A"/>
    <w:rsid w:val="00975F85"/>
    <w:rsid w:val="00976086"/>
    <w:rsid w:val="00976235"/>
    <w:rsid w:val="00976C51"/>
    <w:rsid w:val="00976CFA"/>
    <w:rsid w:val="00976FAB"/>
    <w:rsid w:val="00977314"/>
    <w:rsid w:val="009774B3"/>
    <w:rsid w:val="009775A7"/>
    <w:rsid w:val="00977946"/>
    <w:rsid w:val="00977B86"/>
    <w:rsid w:val="00977B8F"/>
    <w:rsid w:val="0098012B"/>
    <w:rsid w:val="0098018C"/>
    <w:rsid w:val="009802BB"/>
    <w:rsid w:val="00980487"/>
    <w:rsid w:val="00980507"/>
    <w:rsid w:val="00980BF8"/>
    <w:rsid w:val="00980CFD"/>
    <w:rsid w:val="00981156"/>
    <w:rsid w:val="00981282"/>
    <w:rsid w:val="009812D7"/>
    <w:rsid w:val="00981B9B"/>
    <w:rsid w:val="00981C03"/>
    <w:rsid w:val="00981C22"/>
    <w:rsid w:val="00981CFE"/>
    <w:rsid w:val="00981E9A"/>
    <w:rsid w:val="00981FE9"/>
    <w:rsid w:val="0098227E"/>
    <w:rsid w:val="0098229B"/>
    <w:rsid w:val="0098231A"/>
    <w:rsid w:val="00982352"/>
    <w:rsid w:val="00982524"/>
    <w:rsid w:val="0098266D"/>
    <w:rsid w:val="009827C2"/>
    <w:rsid w:val="0098283E"/>
    <w:rsid w:val="00982A44"/>
    <w:rsid w:val="00982DBB"/>
    <w:rsid w:val="00982F1A"/>
    <w:rsid w:val="0098341C"/>
    <w:rsid w:val="0098343B"/>
    <w:rsid w:val="009836A1"/>
    <w:rsid w:val="00983981"/>
    <w:rsid w:val="00983A20"/>
    <w:rsid w:val="00983C51"/>
    <w:rsid w:val="00983DA0"/>
    <w:rsid w:val="00983EAC"/>
    <w:rsid w:val="00984055"/>
    <w:rsid w:val="00984174"/>
    <w:rsid w:val="009841C5"/>
    <w:rsid w:val="00984254"/>
    <w:rsid w:val="00984421"/>
    <w:rsid w:val="009846AA"/>
    <w:rsid w:val="0098499F"/>
    <w:rsid w:val="00984A65"/>
    <w:rsid w:val="00984AB1"/>
    <w:rsid w:val="00984C6C"/>
    <w:rsid w:val="00984DA1"/>
    <w:rsid w:val="00984E37"/>
    <w:rsid w:val="009850E7"/>
    <w:rsid w:val="00985356"/>
    <w:rsid w:val="00985484"/>
    <w:rsid w:val="00985488"/>
    <w:rsid w:val="0098565C"/>
    <w:rsid w:val="009856C5"/>
    <w:rsid w:val="00985794"/>
    <w:rsid w:val="0098588A"/>
    <w:rsid w:val="00985AD7"/>
    <w:rsid w:val="00985C53"/>
    <w:rsid w:val="00985CE4"/>
    <w:rsid w:val="0098609D"/>
    <w:rsid w:val="00986110"/>
    <w:rsid w:val="009862EA"/>
    <w:rsid w:val="0098635D"/>
    <w:rsid w:val="009864A7"/>
    <w:rsid w:val="00986F37"/>
    <w:rsid w:val="009872DE"/>
    <w:rsid w:val="0098763F"/>
    <w:rsid w:val="00987677"/>
    <w:rsid w:val="009879D2"/>
    <w:rsid w:val="00987B05"/>
    <w:rsid w:val="00987DC0"/>
    <w:rsid w:val="00987E5F"/>
    <w:rsid w:val="00990516"/>
    <w:rsid w:val="0099052E"/>
    <w:rsid w:val="00990611"/>
    <w:rsid w:val="0099068D"/>
    <w:rsid w:val="0099076D"/>
    <w:rsid w:val="00990787"/>
    <w:rsid w:val="00990DFB"/>
    <w:rsid w:val="00990E23"/>
    <w:rsid w:val="00991274"/>
    <w:rsid w:val="009912C3"/>
    <w:rsid w:val="009913F0"/>
    <w:rsid w:val="009915B4"/>
    <w:rsid w:val="009916D1"/>
    <w:rsid w:val="009916D5"/>
    <w:rsid w:val="0099187F"/>
    <w:rsid w:val="009918A3"/>
    <w:rsid w:val="00991AEC"/>
    <w:rsid w:val="0099204A"/>
    <w:rsid w:val="009924E5"/>
    <w:rsid w:val="009926CB"/>
    <w:rsid w:val="009927B2"/>
    <w:rsid w:val="00992950"/>
    <w:rsid w:val="009929FE"/>
    <w:rsid w:val="00992B0F"/>
    <w:rsid w:val="00992B22"/>
    <w:rsid w:val="00992BB4"/>
    <w:rsid w:val="00992C01"/>
    <w:rsid w:val="00992E53"/>
    <w:rsid w:val="00993001"/>
    <w:rsid w:val="0099326E"/>
    <w:rsid w:val="00993552"/>
    <w:rsid w:val="009935CB"/>
    <w:rsid w:val="0099361D"/>
    <w:rsid w:val="009938FE"/>
    <w:rsid w:val="00993A7C"/>
    <w:rsid w:val="00993C4E"/>
    <w:rsid w:val="00993ECA"/>
    <w:rsid w:val="00993ED6"/>
    <w:rsid w:val="009940EA"/>
    <w:rsid w:val="00994729"/>
    <w:rsid w:val="00994862"/>
    <w:rsid w:val="00994AE6"/>
    <w:rsid w:val="00994C8C"/>
    <w:rsid w:val="00994DC3"/>
    <w:rsid w:val="00995027"/>
    <w:rsid w:val="00995041"/>
    <w:rsid w:val="00995116"/>
    <w:rsid w:val="009953C9"/>
    <w:rsid w:val="00995768"/>
    <w:rsid w:val="00995820"/>
    <w:rsid w:val="00995913"/>
    <w:rsid w:val="00995C7B"/>
    <w:rsid w:val="00995CA5"/>
    <w:rsid w:val="00995EAF"/>
    <w:rsid w:val="00995FE2"/>
    <w:rsid w:val="00996005"/>
    <w:rsid w:val="0099618A"/>
    <w:rsid w:val="00996211"/>
    <w:rsid w:val="0099622A"/>
    <w:rsid w:val="0099668D"/>
    <w:rsid w:val="00996773"/>
    <w:rsid w:val="00996926"/>
    <w:rsid w:val="00996F5E"/>
    <w:rsid w:val="00997041"/>
    <w:rsid w:val="0099714C"/>
    <w:rsid w:val="00997593"/>
    <w:rsid w:val="009976E5"/>
    <w:rsid w:val="009977DB"/>
    <w:rsid w:val="00997A27"/>
    <w:rsid w:val="00997A58"/>
    <w:rsid w:val="00997A8D"/>
    <w:rsid w:val="00997DE7"/>
    <w:rsid w:val="00997F44"/>
    <w:rsid w:val="009A0BAE"/>
    <w:rsid w:val="009A0C38"/>
    <w:rsid w:val="009A0D35"/>
    <w:rsid w:val="009A0DD2"/>
    <w:rsid w:val="009A0DF6"/>
    <w:rsid w:val="009A0E34"/>
    <w:rsid w:val="009A0EE1"/>
    <w:rsid w:val="009A124E"/>
    <w:rsid w:val="009A1304"/>
    <w:rsid w:val="009A13C7"/>
    <w:rsid w:val="009A15E9"/>
    <w:rsid w:val="009A167A"/>
    <w:rsid w:val="009A1977"/>
    <w:rsid w:val="009A1ACA"/>
    <w:rsid w:val="009A1D50"/>
    <w:rsid w:val="009A1EA2"/>
    <w:rsid w:val="009A2039"/>
    <w:rsid w:val="009A21AB"/>
    <w:rsid w:val="009A22E0"/>
    <w:rsid w:val="009A2359"/>
    <w:rsid w:val="009A2877"/>
    <w:rsid w:val="009A28C9"/>
    <w:rsid w:val="009A2D7C"/>
    <w:rsid w:val="009A3014"/>
    <w:rsid w:val="009A3189"/>
    <w:rsid w:val="009A31F9"/>
    <w:rsid w:val="009A34D8"/>
    <w:rsid w:val="009A394B"/>
    <w:rsid w:val="009A3A9C"/>
    <w:rsid w:val="009A3C50"/>
    <w:rsid w:val="009A3D38"/>
    <w:rsid w:val="009A3EF1"/>
    <w:rsid w:val="009A4004"/>
    <w:rsid w:val="009A41A8"/>
    <w:rsid w:val="009A48CB"/>
    <w:rsid w:val="009A48F4"/>
    <w:rsid w:val="009A4902"/>
    <w:rsid w:val="009A49A5"/>
    <w:rsid w:val="009A4A34"/>
    <w:rsid w:val="009A4A62"/>
    <w:rsid w:val="009A4B2B"/>
    <w:rsid w:val="009A4BE6"/>
    <w:rsid w:val="009A4ED5"/>
    <w:rsid w:val="009A5057"/>
    <w:rsid w:val="009A50AD"/>
    <w:rsid w:val="009A50B5"/>
    <w:rsid w:val="009A510F"/>
    <w:rsid w:val="009A52C3"/>
    <w:rsid w:val="009A5B88"/>
    <w:rsid w:val="009A5EDB"/>
    <w:rsid w:val="009A60F8"/>
    <w:rsid w:val="009A6450"/>
    <w:rsid w:val="009A6557"/>
    <w:rsid w:val="009A65E7"/>
    <w:rsid w:val="009A67A5"/>
    <w:rsid w:val="009A702D"/>
    <w:rsid w:val="009A7090"/>
    <w:rsid w:val="009A70F8"/>
    <w:rsid w:val="009A73F1"/>
    <w:rsid w:val="009A7425"/>
    <w:rsid w:val="009A74F5"/>
    <w:rsid w:val="009A75E3"/>
    <w:rsid w:val="009A7640"/>
    <w:rsid w:val="009A79E1"/>
    <w:rsid w:val="009A7DB2"/>
    <w:rsid w:val="009A7F6E"/>
    <w:rsid w:val="009B01C4"/>
    <w:rsid w:val="009B03AA"/>
    <w:rsid w:val="009B0454"/>
    <w:rsid w:val="009B04B9"/>
    <w:rsid w:val="009B06BE"/>
    <w:rsid w:val="009B070A"/>
    <w:rsid w:val="009B0C82"/>
    <w:rsid w:val="009B0E64"/>
    <w:rsid w:val="009B0F05"/>
    <w:rsid w:val="009B0F48"/>
    <w:rsid w:val="009B12A1"/>
    <w:rsid w:val="009B14BC"/>
    <w:rsid w:val="009B14E2"/>
    <w:rsid w:val="009B1646"/>
    <w:rsid w:val="009B1835"/>
    <w:rsid w:val="009B18C0"/>
    <w:rsid w:val="009B1A52"/>
    <w:rsid w:val="009B1D37"/>
    <w:rsid w:val="009B1F81"/>
    <w:rsid w:val="009B20DE"/>
    <w:rsid w:val="009B2AEA"/>
    <w:rsid w:val="009B2E92"/>
    <w:rsid w:val="009B30BF"/>
    <w:rsid w:val="009B3396"/>
    <w:rsid w:val="009B3402"/>
    <w:rsid w:val="009B369C"/>
    <w:rsid w:val="009B383D"/>
    <w:rsid w:val="009B3AB7"/>
    <w:rsid w:val="009B3B54"/>
    <w:rsid w:val="009B3B73"/>
    <w:rsid w:val="009B3D38"/>
    <w:rsid w:val="009B3D49"/>
    <w:rsid w:val="009B3EEC"/>
    <w:rsid w:val="009B4032"/>
    <w:rsid w:val="009B4060"/>
    <w:rsid w:val="009B40F2"/>
    <w:rsid w:val="009B49E9"/>
    <w:rsid w:val="009B4BC4"/>
    <w:rsid w:val="009B4DC5"/>
    <w:rsid w:val="009B52F3"/>
    <w:rsid w:val="009B5722"/>
    <w:rsid w:val="009B5B76"/>
    <w:rsid w:val="009B5BEE"/>
    <w:rsid w:val="009B5EF0"/>
    <w:rsid w:val="009B6223"/>
    <w:rsid w:val="009B6306"/>
    <w:rsid w:val="009B6416"/>
    <w:rsid w:val="009B648A"/>
    <w:rsid w:val="009B669E"/>
    <w:rsid w:val="009B6882"/>
    <w:rsid w:val="009B6A7E"/>
    <w:rsid w:val="009B6A87"/>
    <w:rsid w:val="009B6AB2"/>
    <w:rsid w:val="009B6B79"/>
    <w:rsid w:val="009B6D2F"/>
    <w:rsid w:val="009B6F92"/>
    <w:rsid w:val="009B7009"/>
    <w:rsid w:val="009B704C"/>
    <w:rsid w:val="009B7194"/>
    <w:rsid w:val="009B71E0"/>
    <w:rsid w:val="009B732F"/>
    <w:rsid w:val="009B7342"/>
    <w:rsid w:val="009B75D8"/>
    <w:rsid w:val="009B7ED4"/>
    <w:rsid w:val="009C0059"/>
    <w:rsid w:val="009C02E6"/>
    <w:rsid w:val="009C05F4"/>
    <w:rsid w:val="009C0D4D"/>
    <w:rsid w:val="009C0D7D"/>
    <w:rsid w:val="009C0EB9"/>
    <w:rsid w:val="009C1075"/>
    <w:rsid w:val="009C126D"/>
    <w:rsid w:val="009C14FB"/>
    <w:rsid w:val="009C15BF"/>
    <w:rsid w:val="009C161A"/>
    <w:rsid w:val="009C1714"/>
    <w:rsid w:val="009C1816"/>
    <w:rsid w:val="009C1CCF"/>
    <w:rsid w:val="009C1FF4"/>
    <w:rsid w:val="009C2411"/>
    <w:rsid w:val="009C2ADB"/>
    <w:rsid w:val="009C2F3F"/>
    <w:rsid w:val="009C307E"/>
    <w:rsid w:val="009C34C8"/>
    <w:rsid w:val="009C353D"/>
    <w:rsid w:val="009C3790"/>
    <w:rsid w:val="009C3867"/>
    <w:rsid w:val="009C3AE2"/>
    <w:rsid w:val="009C3B2C"/>
    <w:rsid w:val="009C3B72"/>
    <w:rsid w:val="009C3C65"/>
    <w:rsid w:val="009C3D16"/>
    <w:rsid w:val="009C3D9B"/>
    <w:rsid w:val="009C3FDB"/>
    <w:rsid w:val="009C463C"/>
    <w:rsid w:val="009C47B6"/>
    <w:rsid w:val="009C4A49"/>
    <w:rsid w:val="009C4CA1"/>
    <w:rsid w:val="009C4F43"/>
    <w:rsid w:val="009C5554"/>
    <w:rsid w:val="009C555A"/>
    <w:rsid w:val="009C55B9"/>
    <w:rsid w:val="009C579C"/>
    <w:rsid w:val="009C5858"/>
    <w:rsid w:val="009C5B4C"/>
    <w:rsid w:val="009C5D40"/>
    <w:rsid w:val="009C5D6A"/>
    <w:rsid w:val="009C5F23"/>
    <w:rsid w:val="009C6623"/>
    <w:rsid w:val="009C691F"/>
    <w:rsid w:val="009C6A08"/>
    <w:rsid w:val="009C6AD7"/>
    <w:rsid w:val="009C6B22"/>
    <w:rsid w:val="009C6C21"/>
    <w:rsid w:val="009C6EC8"/>
    <w:rsid w:val="009C7254"/>
    <w:rsid w:val="009C734F"/>
    <w:rsid w:val="009C7772"/>
    <w:rsid w:val="009C7948"/>
    <w:rsid w:val="009C7B98"/>
    <w:rsid w:val="009C7CB2"/>
    <w:rsid w:val="009C7E5E"/>
    <w:rsid w:val="009C7F0F"/>
    <w:rsid w:val="009D01A8"/>
    <w:rsid w:val="009D01AA"/>
    <w:rsid w:val="009D050A"/>
    <w:rsid w:val="009D051A"/>
    <w:rsid w:val="009D05BA"/>
    <w:rsid w:val="009D0F24"/>
    <w:rsid w:val="009D115C"/>
    <w:rsid w:val="009D1640"/>
    <w:rsid w:val="009D164C"/>
    <w:rsid w:val="009D1B69"/>
    <w:rsid w:val="009D1C20"/>
    <w:rsid w:val="009D1CC9"/>
    <w:rsid w:val="009D23F3"/>
    <w:rsid w:val="009D2406"/>
    <w:rsid w:val="009D253E"/>
    <w:rsid w:val="009D285C"/>
    <w:rsid w:val="009D2A38"/>
    <w:rsid w:val="009D3229"/>
    <w:rsid w:val="009D3244"/>
    <w:rsid w:val="009D336F"/>
    <w:rsid w:val="009D3941"/>
    <w:rsid w:val="009D39E3"/>
    <w:rsid w:val="009D3D44"/>
    <w:rsid w:val="009D3EF2"/>
    <w:rsid w:val="009D3FB5"/>
    <w:rsid w:val="009D3FCE"/>
    <w:rsid w:val="009D41E4"/>
    <w:rsid w:val="009D470F"/>
    <w:rsid w:val="009D47B9"/>
    <w:rsid w:val="009D4978"/>
    <w:rsid w:val="009D4DB2"/>
    <w:rsid w:val="009D529A"/>
    <w:rsid w:val="009D5328"/>
    <w:rsid w:val="009D54C9"/>
    <w:rsid w:val="009D55C5"/>
    <w:rsid w:val="009D5B97"/>
    <w:rsid w:val="009D5C01"/>
    <w:rsid w:val="009D5C0B"/>
    <w:rsid w:val="009D5C0E"/>
    <w:rsid w:val="009D5CB6"/>
    <w:rsid w:val="009D5DB8"/>
    <w:rsid w:val="009D5F43"/>
    <w:rsid w:val="009D5F9F"/>
    <w:rsid w:val="009D605D"/>
    <w:rsid w:val="009D63DF"/>
    <w:rsid w:val="009D674A"/>
    <w:rsid w:val="009D677F"/>
    <w:rsid w:val="009D6804"/>
    <w:rsid w:val="009D6B58"/>
    <w:rsid w:val="009D6B83"/>
    <w:rsid w:val="009D6C4B"/>
    <w:rsid w:val="009D6C8C"/>
    <w:rsid w:val="009D6CCE"/>
    <w:rsid w:val="009D6D66"/>
    <w:rsid w:val="009D6E71"/>
    <w:rsid w:val="009D72C6"/>
    <w:rsid w:val="009D74C0"/>
    <w:rsid w:val="009D7D79"/>
    <w:rsid w:val="009D7F01"/>
    <w:rsid w:val="009D7F8D"/>
    <w:rsid w:val="009E0B28"/>
    <w:rsid w:val="009E0C94"/>
    <w:rsid w:val="009E0CE4"/>
    <w:rsid w:val="009E0ECB"/>
    <w:rsid w:val="009E0FBA"/>
    <w:rsid w:val="009E1012"/>
    <w:rsid w:val="009E1013"/>
    <w:rsid w:val="009E1121"/>
    <w:rsid w:val="009E188A"/>
    <w:rsid w:val="009E1920"/>
    <w:rsid w:val="009E1B20"/>
    <w:rsid w:val="009E1B7A"/>
    <w:rsid w:val="009E1E69"/>
    <w:rsid w:val="009E2556"/>
    <w:rsid w:val="009E25B5"/>
    <w:rsid w:val="009E27E2"/>
    <w:rsid w:val="009E28A8"/>
    <w:rsid w:val="009E28C1"/>
    <w:rsid w:val="009E2BC1"/>
    <w:rsid w:val="009E2C3D"/>
    <w:rsid w:val="009E2CC6"/>
    <w:rsid w:val="009E3040"/>
    <w:rsid w:val="009E3327"/>
    <w:rsid w:val="009E3341"/>
    <w:rsid w:val="009E350F"/>
    <w:rsid w:val="009E392D"/>
    <w:rsid w:val="009E3A6B"/>
    <w:rsid w:val="009E3BF1"/>
    <w:rsid w:val="009E3D87"/>
    <w:rsid w:val="009E4029"/>
    <w:rsid w:val="009E40BD"/>
    <w:rsid w:val="009E4179"/>
    <w:rsid w:val="009E4238"/>
    <w:rsid w:val="009E425E"/>
    <w:rsid w:val="009E429A"/>
    <w:rsid w:val="009E42F6"/>
    <w:rsid w:val="009E43B1"/>
    <w:rsid w:val="009E457F"/>
    <w:rsid w:val="009E45AA"/>
    <w:rsid w:val="009E497D"/>
    <w:rsid w:val="009E4A45"/>
    <w:rsid w:val="009E4DEE"/>
    <w:rsid w:val="009E50B6"/>
    <w:rsid w:val="009E53DA"/>
    <w:rsid w:val="009E5481"/>
    <w:rsid w:val="009E5553"/>
    <w:rsid w:val="009E5D4C"/>
    <w:rsid w:val="009E5DA3"/>
    <w:rsid w:val="009E5E45"/>
    <w:rsid w:val="009E5EB1"/>
    <w:rsid w:val="009E6001"/>
    <w:rsid w:val="009E6056"/>
    <w:rsid w:val="009E63A8"/>
    <w:rsid w:val="009E640B"/>
    <w:rsid w:val="009E6539"/>
    <w:rsid w:val="009E68E6"/>
    <w:rsid w:val="009E68FD"/>
    <w:rsid w:val="009E72FD"/>
    <w:rsid w:val="009E7340"/>
    <w:rsid w:val="009E7365"/>
    <w:rsid w:val="009E7380"/>
    <w:rsid w:val="009E73ED"/>
    <w:rsid w:val="009E7593"/>
    <w:rsid w:val="009E75B4"/>
    <w:rsid w:val="009E761C"/>
    <w:rsid w:val="009E7699"/>
    <w:rsid w:val="009E778C"/>
    <w:rsid w:val="009E7A2F"/>
    <w:rsid w:val="009E7C8A"/>
    <w:rsid w:val="009F0413"/>
    <w:rsid w:val="009F0B2D"/>
    <w:rsid w:val="009F0B3C"/>
    <w:rsid w:val="009F0D13"/>
    <w:rsid w:val="009F0E59"/>
    <w:rsid w:val="009F10C8"/>
    <w:rsid w:val="009F1464"/>
    <w:rsid w:val="009F1C29"/>
    <w:rsid w:val="009F1C52"/>
    <w:rsid w:val="009F1FBC"/>
    <w:rsid w:val="009F2203"/>
    <w:rsid w:val="009F23B6"/>
    <w:rsid w:val="009F2418"/>
    <w:rsid w:val="009F245C"/>
    <w:rsid w:val="009F27ED"/>
    <w:rsid w:val="009F27FB"/>
    <w:rsid w:val="009F2873"/>
    <w:rsid w:val="009F2998"/>
    <w:rsid w:val="009F2A1C"/>
    <w:rsid w:val="009F2DBE"/>
    <w:rsid w:val="009F2EDB"/>
    <w:rsid w:val="009F352E"/>
    <w:rsid w:val="009F368B"/>
    <w:rsid w:val="009F3B0F"/>
    <w:rsid w:val="009F3BE2"/>
    <w:rsid w:val="009F3C80"/>
    <w:rsid w:val="009F4313"/>
    <w:rsid w:val="009F431A"/>
    <w:rsid w:val="009F4404"/>
    <w:rsid w:val="009F456F"/>
    <w:rsid w:val="009F4708"/>
    <w:rsid w:val="009F472A"/>
    <w:rsid w:val="009F4757"/>
    <w:rsid w:val="009F47E1"/>
    <w:rsid w:val="009F482F"/>
    <w:rsid w:val="009F48DB"/>
    <w:rsid w:val="009F4956"/>
    <w:rsid w:val="009F501D"/>
    <w:rsid w:val="009F5274"/>
    <w:rsid w:val="009F52C9"/>
    <w:rsid w:val="009F5368"/>
    <w:rsid w:val="009F550C"/>
    <w:rsid w:val="009F561F"/>
    <w:rsid w:val="009F5B02"/>
    <w:rsid w:val="009F5E48"/>
    <w:rsid w:val="009F5F58"/>
    <w:rsid w:val="009F606A"/>
    <w:rsid w:val="009F6115"/>
    <w:rsid w:val="009F635C"/>
    <w:rsid w:val="009F644C"/>
    <w:rsid w:val="009F6873"/>
    <w:rsid w:val="009F69D7"/>
    <w:rsid w:val="009F6BEF"/>
    <w:rsid w:val="009F6C7E"/>
    <w:rsid w:val="009F6EB9"/>
    <w:rsid w:val="009F6FF9"/>
    <w:rsid w:val="009F7164"/>
    <w:rsid w:val="009F7320"/>
    <w:rsid w:val="009F7363"/>
    <w:rsid w:val="009F73C4"/>
    <w:rsid w:val="009F74A1"/>
    <w:rsid w:val="009F7A53"/>
    <w:rsid w:val="009F7BBD"/>
    <w:rsid w:val="009F7F7A"/>
    <w:rsid w:val="00A0018D"/>
    <w:rsid w:val="00A0020C"/>
    <w:rsid w:val="00A002C8"/>
    <w:rsid w:val="00A005B1"/>
    <w:rsid w:val="00A00820"/>
    <w:rsid w:val="00A00E2E"/>
    <w:rsid w:val="00A01078"/>
    <w:rsid w:val="00A010F2"/>
    <w:rsid w:val="00A01109"/>
    <w:rsid w:val="00A012B4"/>
    <w:rsid w:val="00A01459"/>
    <w:rsid w:val="00A01662"/>
    <w:rsid w:val="00A017C6"/>
    <w:rsid w:val="00A01B22"/>
    <w:rsid w:val="00A01BC1"/>
    <w:rsid w:val="00A01BF0"/>
    <w:rsid w:val="00A01D67"/>
    <w:rsid w:val="00A01EF6"/>
    <w:rsid w:val="00A01F15"/>
    <w:rsid w:val="00A0248B"/>
    <w:rsid w:val="00A02689"/>
    <w:rsid w:val="00A02A5B"/>
    <w:rsid w:val="00A02ADA"/>
    <w:rsid w:val="00A02B33"/>
    <w:rsid w:val="00A02FCF"/>
    <w:rsid w:val="00A032B9"/>
    <w:rsid w:val="00A0348F"/>
    <w:rsid w:val="00A0352E"/>
    <w:rsid w:val="00A03B34"/>
    <w:rsid w:val="00A03BE3"/>
    <w:rsid w:val="00A03BE7"/>
    <w:rsid w:val="00A04199"/>
    <w:rsid w:val="00A04302"/>
    <w:rsid w:val="00A0459E"/>
    <w:rsid w:val="00A046BC"/>
    <w:rsid w:val="00A0470F"/>
    <w:rsid w:val="00A049E4"/>
    <w:rsid w:val="00A04DCB"/>
    <w:rsid w:val="00A04F1E"/>
    <w:rsid w:val="00A04F3B"/>
    <w:rsid w:val="00A04FF3"/>
    <w:rsid w:val="00A05048"/>
    <w:rsid w:val="00A050A1"/>
    <w:rsid w:val="00A050AD"/>
    <w:rsid w:val="00A05126"/>
    <w:rsid w:val="00A05343"/>
    <w:rsid w:val="00A05544"/>
    <w:rsid w:val="00A055C8"/>
    <w:rsid w:val="00A056F1"/>
    <w:rsid w:val="00A057C0"/>
    <w:rsid w:val="00A059F1"/>
    <w:rsid w:val="00A05BD7"/>
    <w:rsid w:val="00A05D50"/>
    <w:rsid w:val="00A05E19"/>
    <w:rsid w:val="00A05E52"/>
    <w:rsid w:val="00A0653C"/>
    <w:rsid w:val="00A06CE0"/>
    <w:rsid w:val="00A06FF4"/>
    <w:rsid w:val="00A07003"/>
    <w:rsid w:val="00A07433"/>
    <w:rsid w:val="00A07631"/>
    <w:rsid w:val="00A0773C"/>
    <w:rsid w:val="00A077C5"/>
    <w:rsid w:val="00A0783E"/>
    <w:rsid w:val="00A07AE4"/>
    <w:rsid w:val="00A07B34"/>
    <w:rsid w:val="00A07E22"/>
    <w:rsid w:val="00A10253"/>
    <w:rsid w:val="00A106B2"/>
    <w:rsid w:val="00A10990"/>
    <w:rsid w:val="00A10D99"/>
    <w:rsid w:val="00A10EF2"/>
    <w:rsid w:val="00A10F09"/>
    <w:rsid w:val="00A11497"/>
    <w:rsid w:val="00A1157D"/>
    <w:rsid w:val="00A11721"/>
    <w:rsid w:val="00A117B0"/>
    <w:rsid w:val="00A11885"/>
    <w:rsid w:val="00A11923"/>
    <w:rsid w:val="00A119B1"/>
    <w:rsid w:val="00A12055"/>
    <w:rsid w:val="00A12098"/>
    <w:rsid w:val="00A12191"/>
    <w:rsid w:val="00A129F7"/>
    <w:rsid w:val="00A12B62"/>
    <w:rsid w:val="00A12B98"/>
    <w:rsid w:val="00A12CFC"/>
    <w:rsid w:val="00A12EFB"/>
    <w:rsid w:val="00A12FCE"/>
    <w:rsid w:val="00A130EE"/>
    <w:rsid w:val="00A1312B"/>
    <w:rsid w:val="00A1319B"/>
    <w:rsid w:val="00A13279"/>
    <w:rsid w:val="00A13313"/>
    <w:rsid w:val="00A138D8"/>
    <w:rsid w:val="00A13B20"/>
    <w:rsid w:val="00A13EE7"/>
    <w:rsid w:val="00A14102"/>
    <w:rsid w:val="00A14127"/>
    <w:rsid w:val="00A14350"/>
    <w:rsid w:val="00A143DD"/>
    <w:rsid w:val="00A145ED"/>
    <w:rsid w:val="00A147C6"/>
    <w:rsid w:val="00A148A6"/>
    <w:rsid w:val="00A14A9A"/>
    <w:rsid w:val="00A14CE2"/>
    <w:rsid w:val="00A14D3F"/>
    <w:rsid w:val="00A15265"/>
    <w:rsid w:val="00A15920"/>
    <w:rsid w:val="00A15951"/>
    <w:rsid w:val="00A15ADA"/>
    <w:rsid w:val="00A15CDC"/>
    <w:rsid w:val="00A15D72"/>
    <w:rsid w:val="00A15E75"/>
    <w:rsid w:val="00A15FD3"/>
    <w:rsid w:val="00A16005"/>
    <w:rsid w:val="00A1614F"/>
    <w:rsid w:val="00A16356"/>
    <w:rsid w:val="00A165BC"/>
    <w:rsid w:val="00A167D4"/>
    <w:rsid w:val="00A16A77"/>
    <w:rsid w:val="00A16C82"/>
    <w:rsid w:val="00A16E08"/>
    <w:rsid w:val="00A16E98"/>
    <w:rsid w:val="00A17091"/>
    <w:rsid w:val="00A17859"/>
    <w:rsid w:val="00A20093"/>
    <w:rsid w:val="00A20100"/>
    <w:rsid w:val="00A20120"/>
    <w:rsid w:val="00A2039A"/>
    <w:rsid w:val="00A203FA"/>
    <w:rsid w:val="00A2051B"/>
    <w:rsid w:val="00A207A3"/>
    <w:rsid w:val="00A20B17"/>
    <w:rsid w:val="00A20DEF"/>
    <w:rsid w:val="00A211DB"/>
    <w:rsid w:val="00A212DF"/>
    <w:rsid w:val="00A21308"/>
    <w:rsid w:val="00A21463"/>
    <w:rsid w:val="00A21684"/>
    <w:rsid w:val="00A21CF5"/>
    <w:rsid w:val="00A21DB6"/>
    <w:rsid w:val="00A2203E"/>
    <w:rsid w:val="00A220C4"/>
    <w:rsid w:val="00A2245E"/>
    <w:rsid w:val="00A2248B"/>
    <w:rsid w:val="00A22778"/>
    <w:rsid w:val="00A2287D"/>
    <w:rsid w:val="00A2294B"/>
    <w:rsid w:val="00A22D90"/>
    <w:rsid w:val="00A231E1"/>
    <w:rsid w:val="00A23243"/>
    <w:rsid w:val="00A232B8"/>
    <w:rsid w:val="00A2341D"/>
    <w:rsid w:val="00A234D5"/>
    <w:rsid w:val="00A235E1"/>
    <w:rsid w:val="00A23914"/>
    <w:rsid w:val="00A23C51"/>
    <w:rsid w:val="00A23D24"/>
    <w:rsid w:val="00A24162"/>
    <w:rsid w:val="00A24243"/>
    <w:rsid w:val="00A2426A"/>
    <w:rsid w:val="00A2430A"/>
    <w:rsid w:val="00A244F7"/>
    <w:rsid w:val="00A24842"/>
    <w:rsid w:val="00A2494D"/>
    <w:rsid w:val="00A24970"/>
    <w:rsid w:val="00A24B28"/>
    <w:rsid w:val="00A24D5D"/>
    <w:rsid w:val="00A24F1F"/>
    <w:rsid w:val="00A25106"/>
    <w:rsid w:val="00A25112"/>
    <w:rsid w:val="00A257EC"/>
    <w:rsid w:val="00A257F5"/>
    <w:rsid w:val="00A25870"/>
    <w:rsid w:val="00A258B5"/>
    <w:rsid w:val="00A25989"/>
    <w:rsid w:val="00A25A37"/>
    <w:rsid w:val="00A25CB7"/>
    <w:rsid w:val="00A25D7B"/>
    <w:rsid w:val="00A26091"/>
    <w:rsid w:val="00A263CE"/>
    <w:rsid w:val="00A26483"/>
    <w:rsid w:val="00A26509"/>
    <w:rsid w:val="00A26992"/>
    <w:rsid w:val="00A26F67"/>
    <w:rsid w:val="00A2723E"/>
    <w:rsid w:val="00A274A4"/>
    <w:rsid w:val="00A27920"/>
    <w:rsid w:val="00A279B0"/>
    <w:rsid w:val="00A279EB"/>
    <w:rsid w:val="00A27B15"/>
    <w:rsid w:val="00A27C56"/>
    <w:rsid w:val="00A27D11"/>
    <w:rsid w:val="00A27D8D"/>
    <w:rsid w:val="00A27EA1"/>
    <w:rsid w:val="00A27F87"/>
    <w:rsid w:val="00A27FA0"/>
    <w:rsid w:val="00A300A9"/>
    <w:rsid w:val="00A30187"/>
    <w:rsid w:val="00A304F0"/>
    <w:rsid w:val="00A30759"/>
    <w:rsid w:val="00A30A5E"/>
    <w:rsid w:val="00A30ED5"/>
    <w:rsid w:val="00A30F54"/>
    <w:rsid w:val="00A31172"/>
    <w:rsid w:val="00A314A0"/>
    <w:rsid w:val="00A315B5"/>
    <w:rsid w:val="00A3165D"/>
    <w:rsid w:val="00A316B4"/>
    <w:rsid w:val="00A316F7"/>
    <w:rsid w:val="00A31A54"/>
    <w:rsid w:val="00A31E2A"/>
    <w:rsid w:val="00A321EE"/>
    <w:rsid w:val="00A32204"/>
    <w:rsid w:val="00A32597"/>
    <w:rsid w:val="00A328B6"/>
    <w:rsid w:val="00A32916"/>
    <w:rsid w:val="00A32C01"/>
    <w:rsid w:val="00A32CDF"/>
    <w:rsid w:val="00A32DAD"/>
    <w:rsid w:val="00A32EFE"/>
    <w:rsid w:val="00A33150"/>
    <w:rsid w:val="00A3317A"/>
    <w:rsid w:val="00A33530"/>
    <w:rsid w:val="00A335DC"/>
    <w:rsid w:val="00A338C1"/>
    <w:rsid w:val="00A3393C"/>
    <w:rsid w:val="00A33FA4"/>
    <w:rsid w:val="00A3409C"/>
    <w:rsid w:val="00A3415E"/>
    <w:rsid w:val="00A34173"/>
    <w:rsid w:val="00A34492"/>
    <w:rsid w:val="00A344A8"/>
    <w:rsid w:val="00A345AF"/>
    <w:rsid w:val="00A3469E"/>
    <w:rsid w:val="00A3471D"/>
    <w:rsid w:val="00A34A7F"/>
    <w:rsid w:val="00A34B12"/>
    <w:rsid w:val="00A34E44"/>
    <w:rsid w:val="00A34E74"/>
    <w:rsid w:val="00A34F8B"/>
    <w:rsid w:val="00A3521F"/>
    <w:rsid w:val="00A35638"/>
    <w:rsid w:val="00A356F6"/>
    <w:rsid w:val="00A35702"/>
    <w:rsid w:val="00A357AA"/>
    <w:rsid w:val="00A35921"/>
    <w:rsid w:val="00A35AE4"/>
    <w:rsid w:val="00A35C65"/>
    <w:rsid w:val="00A35EE1"/>
    <w:rsid w:val="00A36759"/>
    <w:rsid w:val="00A368B5"/>
    <w:rsid w:val="00A36A09"/>
    <w:rsid w:val="00A36A2A"/>
    <w:rsid w:val="00A36CC9"/>
    <w:rsid w:val="00A36EDE"/>
    <w:rsid w:val="00A37127"/>
    <w:rsid w:val="00A372D4"/>
    <w:rsid w:val="00A37347"/>
    <w:rsid w:val="00A3752D"/>
    <w:rsid w:val="00A376BB"/>
    <w:rsid w:val="00A37928"/>
    <w:rsid w:val="00A37C57"/>
    <w:rsid w:val="00A37D6E"/>
    <w:rsid w:val="00A37DA2"/>
    <w:rsid w:val="00A37FD3"/>
    <w:rsid w:val="00A40135"/>
    <w:rsid w:val="00A40181"/>
    <w:rsid w:val="00A4019D"/>
    <w:rsid w:val="00A402E5"/>
    <w:rsid w:val="00A4031D"/>
    <w:rsid w:val="00A40355"/>
    <w:rsid w:val="00A40393"/>
    <w:rsid w:val="00A40434"/>
    <w:rsid w:val="00A40681"/>
    <w:rsid w:val="00A407A7"/>
    <w:rsid w:val="00A407DD"/>
    <w:rsid w:val="00A40910"/>
    <w:rsid w:val="00A40A41"/>
    <w:rsid w:val="00A40C69"/>
    <w:rsid w:val="00A40D77"/>
    <w:rsid w:val="00A40ECF"/>
    <w:rsid w:val="00A41088"/>
    <w:rsid w:val="00A4115E"/>
    <w:rsid w:val="00A412B7"/>
    <w:rsid w:val="00A414A8"/>
    <w:rsid w:val="00A41527"/>
    <w:rsid w:val="00A415E0"/>
    <w:rsid w:val="00A41669"/>
    <w:rsid w:val="00A41843"/>
    <w:rsid w:val="00A418AB"/>
    <w:rsid w:val="00A418BA"/>
    <w:rsid w:val="00A41AA3"/>
    <w:rsid w:val="00A41C13"/>
    <w:rsid w:val="00A41CF4"/>
    <w:rsid w:val="00A41D90"/>
    <w:rsid w:val="00A41DE3"/>
    <w:rsid w:val="00A41E81"/>
    <w:rsid w:val="00A4264E"/>
    <w:rsid w:val="00A42670"/>
    <w:rsid w:val="00A42955"/>
    <w:rsid w:val="00A42972"/>
    <w:rsid w:val="00A43015"/>
    <w:rsid w:val="00A4307E"/>
    <w:rsid w:val="00A432B8"/>
    <w:rsid w:val="00A433AB"/>
    <w:rsid w:val="00A43437"/>
    <w:rsid w:val="00A4375F"/>
    <w:rsid w:val="00A4384E"/>
    <w:rsid w:val="00A43AD8"/>
    <w:rsid w:val="00A43E4E"/>
    <w:rsid w:val="00A43F71"/>
    <w:rsid w:val="00A441CE"/>
    <w:rsid w:val="00A442C5"/>
    <w:rsid w:val="00A445F2"/>
    <w:rsid w:val="00A44969"/>
    <w:rsid w:val="00A449AD"/>
    <w:rsid w:val="00A44BC2"/>
    <w:rsid w:val="00A44C4E"/>
    <w:rsid w:val="00A44CFE"/>
    <w:rsid w:val="00A44DF7"/>
    <w:rsid w:val="00A45455"/>
    <w:rsid w:val="00A45ADD"/>
    <w:rsid w:val="00A45C29"/>
    <w:rsid w:val="00A45C87"/>
    <w:rsid w:val="00A45E26"/>
    <w:rsid w:val="00A45F14"/>
    <w:rsid w:val="00A45F85"/>
    <w:rsid w:val="00A46039"/>
    <w:rsid w:val="00A4611A"/>
    <w:rsid w:val="00A4620B"/>
    <w:rsid w:val="00A46435"/>
    <w:rsid w:val="00A464A9"/>
    <w:rsid w:val="00A466CA"/>
    <w:rsid w:val="00A46738"/>
    <w:rsid w:val="00A46B11"/>
    <w:rsid w:val="00A46DE9"/>
    <w:rsid w:val="00A46E48"/>
    <w:rsid w:val="00A46E7E"/>
    <w:rsid w:val="00A4708B"/>
    <w:rsid w:val="00A471B2"/>
    <w:rsid w:val="00A4740D"/>
    <w:rsid w:val="00A4750E"/>
    <w:rsid w:val="00A47607"/>
    <w:rsid w:val="00A47686"/>
    <w:rsid w:val="00A476C8"/>
    <w:rsid w:val="00A476E7"/>
    <w:rsid w:val="00A4792B"/>
    <w:rsid w:val="00A4798C"/>
    <w:rsid w:val="00A479F1"/>
    <w:rsid w:val="00A47A2F"/>
    <w:rsid w:val="00A47B37"/>
    <w:rsid w:val="00A47DF0"/>
    <w:rsid w:val="00A47F34"/>
    <w:rsid w:val="00A47F48"/>
    <w:rsid w:val="00A47F82"/>
    <w:rsid w:val="00A50051"/>
    <w:rsid w:val="00A50188"/>
    <w:rsid w:val="00A5029D"/>
    <w:rsid w:val="00A50486"/>
    <w:rsid w:val="00A50787"/>
    <w:rsid w:val="00A5087C"/>
    <w:rsid w:val="00A50A7B"/>
    <w:rsid w:val="00A50D7F"/>
    <w:rsid w:val="00A50DB6"/>
    <w:rsid w:val="00A50EB0"/>
    <w:rsid w:val="00A50FB7"/>
    <w:rsid w:val="00A51374"/>
    <w:rsid w:val="00A51633"/>
    <w:rsid w:val="00A516AB"/>
    <w:rsid w:val="00A518A4"/>
    <w:rsid w:val="00A51B42"/>
    <w:rsid w:val="00A51C33"/>
    <w:rsid w:val="00A51CC7"/>
    <w:rsid w:val="00A51E38"/>
    <w:rsid w:val="00A51F77"/>
    <w:rsid w:val="00A5226E"/>
    <w:rsid w:val="00A52309"/>
    <w:rsid w:val="00A52598"/>
    <w:rsid w:val="00A52676"/>
    <w:rsid w:val="00A52931"/>
    <w:rsid w:val="00A52BBE"/>
    <w:rsid w:val="00A52CDC"/>
    <w:rsid w:val="00A52D62"/>
    <w:rsid w:val="00A52F10"/>
    <w:rsid w:val="00A52F69"/>
    <w:rsid w:val="00A53009"/>
    <w:rsid w:val="00A53095"/>
    <w:rsid w:val="00A532BB"/>
    <w:rsid w:val="00A53359"/>
    <w:rsid w:val="00A533B9"/>
    <w:rsid w:val="00A53400"/>
    <w:rsid w:val="00A5341F"/>
    <w:rsid w:val="00A540FF"/>
    <w:rsid w:val="00A54114"/>
    <w:rsid w:val="00A54150"/>
    <w:rsid w:val="00A543C3"/>
    <w:rsid w:val="00A5448F"/>
    <w:rsid w:val="00A545A5"/>
    <w:rsid w:val="00A5493A"/>
    <w:rsid w:val="00A54A1E"/>
    <w:rsid w:val="00A54A49"/>
    <w:rsid w:val="00A54A4B"/>
    <w:rsid w:val="00A54D24"/>
    <w:rsid w:val="00A54E0F"/>
    <w:rsid w:val="00A54F9E"/>
    <w:rsid w:val="00A55006"/>
    <w:rsid w:val="00A551E0"/>
    <w:rsid w:val="00A551FA"/>
    <w:rsid w:val="00A55247"/>
    <w:rsid w:val="00A555C2"/>
    <w:rsid w:val="00A556A8"/>
    <w:rsid w:val="00A556E7"/>
    <w:rsid w:val="00A55928"/>
    <w:rsid w:val="00A55A6A"/>
    <w:rsid w:val="00A55C09"/>
    <w:rsid w:val="00A55C24"/>
    <w:rsid w:val="00A55DA7"/>
    <w:rsid w:val="00A55E4E"/>
    <w:rsid w:val="00A563C6"/>
    <w:rsid w:val="00A56BE3"/>
    <w:rsid w:val="00A56FA6"/>
    <w:rsid w:val="00A571E1"/>
    <w:rsid w:val="00A5731B"/>
    <w:rsid w:val="00A57417"/>
    <w:rsid w:val="00A57A16"/>
    <w:rsid w:val="00A57A31"/>
    <w:rsid w:val="00A57ABC"/>
    <w:rsid w:val="00A57ACC"/>
    <w:rsid w:val="00A57C87"/>
    <w:rsid w:val="00A57D2D"/>
    <w:rsid w:val="00A57D5B"/>
    <w:rsid w:val="00A60034"/>
    <w:rsid w:val="00A60265"/>
    <w:rsid w:val="00A6060F"/>
    <w:rsid w:val="00A60635"/>
    <w:rsid w:val="00A6063D"/>
    <w:rsid w:val="00A60921"/>
    <w:rsid w:val="00A60F1E"/>
    <w:rsid w:val="00A6106F"/>
    <w:rsid w:val="00A61073"/>
    <w:rsid w:val="00A61223"/>
    <w:rsid w:val="00A6153D"/>
    <w:rsid w:val="00A61777"/>
    <w:rsid w:val="00A618E0"/>
    <w:rsid w:val="00A61992"/>
    <w:rsid w:val="00A61DDA"/>
    <w:rsid w:val="00A61FEA"/>
    <w:rsid w:val="00A62A3C"/>
    <w:rsid w:val="00A62AF9"/>
    <w:rsid w:val="00A62E46"/>
    <w:rsid w:val="00A62E52"/>
    <w:rsid w:val="00A62EF3"/>
    <w:rsid w:val="00A63117"/>
    <w:rsid w:val="00A63251"/>
    <w:rsid w:val="00A636C8"/>
    <w:rsid w:val="00A63734"/>
    <w:rsid w:val="00A637B1"/>
    <w:rsid w:val="00A638E6"/>
    <w:rsid w:val="00A638F5"/>
    <w:rsid w:val="00A63BFF"/>
    <w:rsid w:val="00A63D3D"/>
    <w:rsid w:val="00A63FC2"/>
    <w:rsid w:val="00A641DD"/>
    <w:rsid w:val="00A6433C"/>
    <w:rsid w:val="00A644F0"/>
    <w:rsid w:val="00A64529"/>
    <w:rsid w:val="00A646CA"/>
    <w:rsid w:val="00A64A2A"/>
    <w:rsid w:val="00A64AE5"/>
    <w:rsid w:val="00A64B49"/>
    <w:rsid w:val="00A64C6B"/>
    <w:rsid w:val="00A64CA9"/>
    <w:rsid w:val="00A64E45"/>
    <w:rsid w:val="00A65182"/>
    <w:rsid w:val="00A651C0"/>
    <w:rsid w:val="00A65332"/>
    <w:rsid w:val="00A657CD"/>
    <w:rsid w:val="00A657DA"/>
    <w:rsid w:val="00A6586C"/>
    <w:rsid w:val="00A658BF"/>
    <w:rsid w:val="00A65A6A"/>
    <w:rsid w:val="00A65BD5"/>
    <w:rsid w:val="00A65CD1"/>
    <w:rsid w:val="00A65CFD"/>
    <w:rsid w:val="00A65DC5"/>
    <w:rsid w:val="00A65DFD"/>
    <w:rsid w:val="00A65E8C"/>
    <w:rsid w:val="00A66020"/>
    <w:rsid w:val="00A663F0"/>
    <w:rsid w:val="00A66563"/>
    <w:rsid w:val="00A666B0"/>
    <w:rsid w:val="00A667BA"/>
    <w:rsid w:val="00A66A3D"/>
    <w:rsid w:val="00A66C5D"/>
    <w:rsid w:val="00A67173"/>
    <w:rsid w:val="00A67323"/>
    <w:rsid w:val="00A6739D"/>
    <w:rsid w:val="00A6762A"/>
    <w:rsid w:val="00A677BE"/>
    <w:rsid w:val="00A677DA"/>
    <w:rsid w:val="00A67905"/>
    <w:rsid w:val="00A67918"/>
    <w:rsid w:val="00A67A48"/>
    <w:rsid w:val="00A67B03"/>
    <w:rsid w:val="00A67B87"/>
    <w:rsid w:val="00A67C05"/>
    <w:rsid w:val="00A67E22"/>
    <w:rsid w:val="00A67EFA"/>
    <w:rsid w:val="00A700DF"/>
    <w:rsid w:val="00A70232"/>
    <w:rsid w:val="00A70240"/>
    <w:rsid w:val="00A7037D"/>
    <w:rsid w:val="00A70700"/>
    <w:rsid w:val="00A70E02"/>
    <w:rsid w:val="00A70FCC"/>
    <w:rsid w:val="00A71196"/>
    <w:rsid w:val="00A713CB"/>
    <w:rsid w:val="00A7167F"/>
    <w:rsid w:val="00A71994"/>
    <w:rsid w:val="00A71CEC"/>
    <w:rsid w:val="00A71D9B"/>
    <w:rsid w:val="00A71F17"/>
    <w:rsid w:val="00A71FA0"/>
    <w:rsid w:val="00A72145"/>
    <w:rsid w:val="00A723B9"/>
    <w:rsid w:val="00A72AB7"/>
    <w:rsid w:val="00A72D2F"/>
    <w:rsid w:val="00A72E6A"/>
    <w:rsid w:val="00A73218"/>
    <w:rsid w:val="00A733B2"/>
    <w:rsid w:val="00A735C1"/>
    <w:rsid w:val="00A736EA"/>
    <w:rsid w:val="00A73742"/>
    <w:rsid w:val="00A73B0F"/>
    <w:rsid w:val="00A73ECE"/>
    <w:rsid w:val="00A73F41"/>
    <w:rsid w:val="00A7407E"/>
    <w:rsid w:val="00A741A1"/>
    <w:rsid w:val="00A7420F"/>
    <w:rsid w:val="00A742A0"/>
    <w:rsid w:val="00A742A7"/>
    <w:rsid w:val="00A745DB"/>
    <w:rsid w:val="00A74624"/>
    <w:rsid w:val="00A747BA"/>
    <w:rsid w:val="00A748C1"/>
    <w:rsid w:val="00A7490E"/>
    <w:rsid w:val="00A74B83"/>
    <w:rsid w:val="00A74BC8"/>
    <w:rsid w:val="00A74FD4"/>
    <w:rsid w:val="00A7504E"/>
    <w:rsid w:val="00A752B1"/>
    <w:rsid w:val="00A754E0"/>
    <w:rsid w:val="00A754EB"/>
    <w:rsid w:val="00A75805"/>
    <w:rsid w:val="00A75873"/>
    <w:rsid w:val="00A7588B"/>
    <w:rsid w:val="00A75927"/>
    <w:rsid w:val="00A75AFC"/>
    <w:rsid w:val="00A75BBF"/>
    <w:rsid w:val="00A75C46"/>
    <w:rsid w:val="00A761D6"/>
    <w:rsid w:val="00A76330"/>
    <w:rsid w:val="00A764C4"/>
    <w:rsid w:val="00A76841"/>
    <w:rsid w:val="00A7697E"/>
    <w:rsid w:val="00A76DAE"/>
    <w:rsid w:val="00A7717E"/>
    <w:rsid w:val="00A7719D"/>
    <w:rsid w:val="00A7719E"/>
    <w:rsid w:val="00A77442"/>
    <w:rsid w:val="00A77482"/>
    <w:rsid w:val="00A77763"/>
    <w:rsid w:val="00A7799B"/>
    <w:rsid w:val="00A77DBE"/>
    <w:rsid w:val="00A77E86"/>
    <w:rsid w:val="00A77EB7"/>
    <w:rsid w:val="00A77F12"/>
    <w:rsid w:val="00A77F9D"/>
    <w:rsid w:val="00A800AD"/>
    <w:rsid w:val="00A80794"/>
    <w:rsid w:val="00A809DE"/>
    <w:rsid w:val="00A80DBA"/>
    <w:rsid w:val="00A8101B"/>
    <w:rsid w:val="00A812B9"/>
    <w:rsid w:val="00A815A5"/>
    <w:rsid w:val="00A819F7"/>
    <w:rsid w:val="00A81C22"/>
    <w:rsid w:val="00A81CF0"/>
    <w:rsid w:val="00A81ECF"/>
    <w:rsid w:val="00A81FB7"/>
    <w:rsid w:val="00A81FFE"/>
    <w:rsid w:val="00A820A8"/>
    <w:rsid w:val="00A82110"/>
    <w:rsid w:val="00A82149"/>
    <w:rsid w:val="00A822D6"/>
    <w:rsid w:val="00A8272F"/>
    <w:rsid w:val="00A828A3"/>
    <w:rsid w:val="00A82D7D"/>
    <w:rsid w:val="00A82EFF"/>
    <w:rsid w:val="00A8366B"/>
    <w:rsid w:val="00A839A0"/>
    <w:rsid w:val="00A83A65"/>
    <w:rsid w:val="00A83B7E"/>
    <w:rsid w:val="00A83D53"/>
    <w:rsid w:val="00A83F3C"/>
    <w:rsid w:val="00A83F68"/>
    <w:rsid w:val="00A8408D"/>
    <w:rsid w:val="00A84448"/>
    <w:rsid w:val="00A84613"/>
    <w:rsid w:val="00A8480D"/>
    <w:rsid w:val="00A84866"/>
    <w:rsid w:val="00A84885"/>
    <w:rsid w:val="00A84AA4"/>
    <w:rsid w:val="00A84C3A"/>
    <w:rsid w:val="00A84E5F"/>
    <w:rsid w:val="00A851C3"/>
    <w:rsid w:val="00A856B3"/>
    <w:rsid w:val="00A856E1"/>
    <w:rsid w:val="00A85711"/>
    <w:rsid w:val="00A857DD"/>
    <w:rsid w:val="00A85804"/>
    <w:rsid w:val="00A859D8"/>
    <w:rsid w:val="00A85A7A"/>
    <w:rsid w:val="00A85CF9"/>
    <w:rsid w:val="00A85D29"/>
    <w:rsid w:val="00A85DEB"/>
    <w:rsid w:val="00A85E7E"/>
    <w:rsid w:val="00A85FEB"/>
    <w:rsid w:val="00A86304"/>
    <w:rsid w:val="00A86512"/>
    <w:rsid w:val="00A86675"/>
    <w:rsid w:val="00A867A0"/>
    <w:rsid w:val="00A86B8F"/>
    <w:rsid w:val="00A86E04"/>
    <w:rsid w:val="00A86F88"/>
    <w:rsid w:val="00A86FC6"/>
    <w:rsid w:val="00A86FD9"/>
    <w:rsid w:val="00A870CB"/>
    <w:rsid w:val="00A870E7"/>
    <w:rsid w:val="00A8713D"/>
    <w:rsid w:val="00A87857"/>
    <w:rsid w:val="00A87938"/>
    <w:rsid w:val="00A87AF9"/>
    <w:rsid w:val="00A87E82"/>
    <w:rsid w:val="00A901D2"/>
    <w:rsid w:val="00A90250"/>
    <w:rsid w:val="00A907AE"/>
    <w:rsid w:val="00A908B6"/>
    <w:rsid w:val="00A90A42"/>
    <w:rsid w:val="00A90B6C"/>
    <w:rsid w:val="00A90DA4"/>
    <w:rsid w:val="00A91125"/>
    <w:rsid w:val="00A911E6"/>
    <w:rsid w:val="00A911F0"/>
    <w:rsid w:val="00A912D3"/>
    <w:rsid w:val="00A9177E"/>
    <w:rsid w:val="00A92058"/>
    <w:rsid w:val="00A92077"/>
    <w:rsid w:val="00A921A5"/>
    <w:rsid w:val="00A921B0"/>
    <w:rsid w:val="00A92300"/>
    <w:rsid w:val="00A923E5"/>
    <w:rsid w:val="00A92414"/>
    <w:rsid w:val="00A9248F"/>
    <w:rsid w:val="00A9266F"/>
    <w:rsid w:val="00A927B3"/>
    <w:rsid w:val="00A92885"/>
    <w:rsid w:val="00A92A75"/>
    <w:rsid w:val="00A92D2C"/>
    <w:rsid w:val="00A92D8C"/>
    <w:rsid w:val="00A92EF5"/>
    <w:rsid w:val="00A93067"/>
    <w:rsid w:val="00A93080"/>
    <w:rsid w:val="00A934C9"/>
    <w:rsid w:val="00A93607"/>
    <w:rsid w:val="00A93634"/>
    <w:rsid w:val="00A93D40"/>
    <w:rsid w:val="00A93DC5"/>
    <w:rsid w:val="00A93DDF"/>
    <w:rsid w:val="00A93F7F"/>
    <w:rsid w:val="00A9411E"/>
    <w:rsid w:val="00A948EB"/>
    <w:rsid w:val="00A94993"/>
    <w:rsid w:val="00A949FD"/>
    <w:rsid w:val="00A94A9F"/>
    <w:rsid w:val="00A95022"/>
    <w:rsid w:val="00A9507C"/>
    <w:rsid w:val="00A95188"/>
    <w:rsid w:val="00A9519F"/>
    <w:rsid w:val="00A95218"/>
    <w:rsid w:val="00A95302"/>
    <w:rsid w:val="00A955A3"/>
    <w:rsid w:val="00A95633"/>
    <w:rsid w:val="00A9570F"/>
    <w:rsid w:val="00A95B79"/>
    <w:rsid w:val="00A95C28"/>
    <w:rsid w:val="00A95C50"/>
    <w:rsid w:val="00A9606F"/>
    <w:rsid w:val="00A964A4"/>
    <w:rsid w:val="00A96624"/>
    <w:rsid w:val="00A96A8D"/>
    <w:rsid w:val="00A96CA0"/>
    <w:rsid w:val="00A96E26"/>
    <w:rsid w:val="00A970EB"/>
    <w:rsid w:val="00A97399"/>
    <w:rsid w:val="00A9743B"/>
    <w:rsid w:val="00A9759B"/>
    <w:rsid w:val="00A97810"/>
    <w:rsid w:val="00A979D0"/>
    <w:rsid w:val="00A97ADB"/>
    <w:rsid w:val="00AA0666"/>
    <w:rsid w:val="00AA068B"/>
    <w:rsid w:val="00AA0821"/>
    <w:rsid w:val="00AA0AAA"/>
    <w:rsid w:val="00AA1464"/>
    <w:rsid w:val="00AA180B"/>
    <w:rsid w:val="00AA18CF"/>
    <w:rsid w:val="00AA1ADE"/>
    <w:rsid w:val="00AA1C42"/>
    <w:rsid w:val="00AA20AE"/>
    <w:rsid w:val="00AA2444"/>
    <w:rsid w:val="00AA25D9"/>
    <w:rsid w:val="00AA2CB9"/>
    <w:rsid w:val="00AA2F30"/>
    <w:rsid w:val="00AA31DA"/>
    <w:rsid w:val="00AA31E9"/>
    <w:rsid w:val="00AA31F8"/>
    <w:rsid w:val="00AA3614"/>
    <w:rsid w:val="00AA3652"/>
    <w:rsid w:val="00AA368F"/>
    <w:rsid w:val="00AA3755"/>
    <w:rsid w:val="00AA3C92"/>
    <w:rsid w:val="00AA3CAB"/>
    <w:rsid w:val="00AA3D42"/>
    <w:rsid w:val="00AA3FB7"/>
    <w:rsid w:val="00AA40EC"/>
    <w:rsid w:val="00AA4148"/>
    <w:rsid w:val="00AA4365"/>
    <w:rsid w:val="00AA46B6"/>
    <w:rsid w:val="00AA4718"/>
    <w:rsid w:val="00AA4826"/>
    <w:rsid w:val="00AA4B44"/>
    <w:rsid w:val="00AA4BA9"/>
    <w:rsid w:val="00AA4CC8"/>
    <w:rsid w:val="00AA4FF1"/>
    <w:rsid w:val="00AA543A"/>
    <w:rsid w:val="00AA56E1"/>
    <w:rsid w:val="00AA5926"/>
    <w:rsid w:val="00AA5A75"/>
    <w:rsid w:val="00AA5ADC"/>
    <w:rsid w:val="00AA5D23"/>
    <w:rsid w:val="00AA5DD8"/>
    <w:rsid w:val="00AA5E55"/>
    <w:rsid w:val="00AA5EDC"/>
    <w:rsid w:val="00AA5FF7"/>
    <w:rsid w:val="00AA601A"/>
    <w:rsid w:val="00AA62DB"/>
    <w:rsid w:val="00AA636C"/>
    <w:rsid w:val="00AA6452"/>
    <w:rsid w:val="00AA64C0"/>
    <w:rsid w:val="00AA67C7"/>
    <w:rsid w:val="00AA6915"/>
    <w:rsid w:val="00AA6BB0"/>
    <w:rsid w:val="00AA6BEB"/>
    <w:rsid w:val="00AA6C0F"/>
    <w:rsid w:val="00AA6CCF"/>
    <w:rsid w:val="00AA6D60"/>
    <w:rsid w:val="00AA6FBC"/>
    <w:rsid w:val="00AA7038"/>
    <w:rsid w:val="00AA717C"/>
    <w:rsid w:val="00AA71F2"/>
    <w:rsid w:val="00AA730F"/>
    <w:rsid w:val="00AA7422"/>
    <w:rsid w:val="00AA7663"/>
    <w:rsid w:val="00AA7699"/>
    <w:rsid w:val="00AA79CA"/>
    <w:rsid w:val="00AA7AB8"/>
    <w:rsid w:val="00AA7AF0"/>
    <w:rsid w:val="00AA7E3A"/>
    <w:rsid w:val="00AA7EFD"/>
    <w:rsid w:val="00AA7FBB"/>
    <w:rsid w:val="00AB0213"/>
    <w:rsid w:val="00AB0345"/>
    <w:rsid w:val="00AB044A"/>
    <w:rsid w:val="00AB0483"/>
    <w:rsid w:val="00AB05D6"/>
    <w:rsid w:val="00AB0838"/>
    <w:rsid w:val="00AB0979"/>
    <w:rsid w:val="00AB0D8D"/>
    <w:rsid w:val="00AB0DC2"/>
    <w:rsid w:val="00AB0E93"/>
    <w:rsid w:val="00AB0ED3"/>
    <w:rsid w:val="00AB0F17"/>
    <w:rsid w:val="00AB135E"/>
    <w:rsid w:val="00AB1648"/>
    <w:rsid w:val="00AB1964"/>
    <w:rsid w:val="00AB1B64"/>
    <w:rsid w:val="00AB1BD2"/>
    <w:rsid w:val="00AB1F1E"/>
    <w:rsid w:val="00AB2AAE"/>
    <w:rsid w:val="00AB2B7A"/>
    <w:rsid w:val="00AB2BE6"/>
    <w:rsid w:val="00AB2D6D"/>
    <w:rsid w:val="00AB2E65"/>
    <w:rsid w:val="00AB2ED9"/>
    <w:rsid w:val="00AB300A"/>
    <w:rsid w:val="00AB3066"/>
    <w:rsid w:val="00AB32E3"/>
    <w:rsid w:val="00AB3317"/>
    <w:rsid w:val="00AB3627"/>
    <w:rsid w:val="00AB3782"/>
    <w:rsid w:val="00AB39BB"/>
    <w:rsid w:val="00AB3DAE"/>
    <w:rsid w:val="00AB3DDF"/>
    <w:rsid w:val="00AB3EFA"/>
    <w:rsid w:val="00AB402F"/>
    <w:rsid w:val="00AB41AC"/>
    <w:rsid w:val="00AB42CD"/>
    <w:rsid w:val="00AB4777"/>
    <w:rsid w:val="00AB47D0"/>
    <w:rsid w:val="00AB492C"/>
    <w:rsid w:val="00AB4BB2"/>
    <w:rsid w:val="00AB4ED8"/>
    <w:rsid w:val="00AB4FA5"/>
    <w:rsid w:val="00AB522B"/>
    <w:rsid w:val="00AB5462"/>
    <w:rsid w:val="00AB557B"/>
    <w:rsid w:val="00AB55E7"/>
    <w:rsid w:val="00AB5622"/>
    <w:rsid w:val="00AB57B2"/>
    <w:rsid w:val="00AB57B9"/>
    <w:rsid w:val="00AB5B67"/>
    <w:rsid w:val="00AB5C2B"/>
    <w:rsid w:val="00AB5CD5"/>
    <w:rsid w:val="00AB5E00"/>
    <w:rsid w:val="00AB6227"/>
    <w:rsid w:val="00AB6784"/>
    <w:rsid w:val="00AB67AA"/>
    <w:rsid w:val="00AB692E"/>
    <w:rsid w:val="00AB69E9"/>
    <w:rsid w:val="00AB6AC0"/>
    <w:rsid w:val="00AB6B86"/>
    <w:rsid w:val="00AB6F6C"/>
    <w:rsid w:val="00AB707F"/>
    <w:rsid w:val="00AB72BB"/>
    <w:rsid w:val="00AB72E8"/>
    <w:rsid w:val="00AB745E"/>
    <w:rsid w:val="00AB74DB"/>
    <w:rsid w:val="00AB7705"/>
    <w:rsid w:val="00AB77F2"/>
    <w:rsid w:val="00AB790A"/>
    <w:rsid w:val="00AB7D0C"/>
    <w:rsid w:val="00AC00AB"/>
    <w:rsid w:val="00AC0242"/>
    <w:rsid w:val="00AC0319"/>
    <w:rsid w:val="00AC056A"/>
    <w:rsid w:val="00AC06C1"/>
    <w:rsid w:val="00AC0758"/>
    <w:rsid w:val="00AC0B1B"/>
    <w:rsid w:val="00AC0C3D"/>
    <w:rsid w:val="00AC0F52"/>
    <w:rsid w:val="00AC142F"/>
    <w:rsid w:val="00AC1F20"/>
    <w:rsid w:val="00AC256D"/>
    <w:rsid w:val="00AC2604"/>
    <w:rsid w:val="00AC260A"/>
    <w:rsid w:val="00AC27BA"/>
    <w:rsid w:val="00AC27C2"/>
    <w:rsid w:val="00AC27D0"/>
    <w:rsid w:val="00AC2966"/>
    <w:rsid w:val="00AC29F1"/>
    <w:rsid w:val="00AC2ADF"/>
    <w:rsid w:val="00AC2B6D"/>
    <w:rsid w:val="00AC2C6E"/>
    <w:rsid w:val="00AC2DC2"/>
    <w:rsid w:val="00AC2E35"/>
    <w:rsid w:val="00AC3067"/>
    <w:rsid w:val="00AC36ED"/>
    <w:rsid w:val="00AC3B9D"/>
    <w:rsid w:val="00AC3D2A"/>
    <w:rsid w:val="00AC3EBE"/>
    <w:rsid w:val="00AC3F3B"/>
    <w:rsid w:val="00AC3F74"/>
    <w:rsid w:val="00AC420C"/>
    <w:rsid w:val="00AC425D"/>
    <w:rsid w:val="00AC441E"/>
    <w:rsid w:val="00AC4902"/>
    <w:rsid w:val="00AC4B8F"/>
    <w:rsid w:val="00AC4BF4"/>
    <w:rsid w:val="00AC4C90"/>
    <w:rsid w:val="00AC52B6"/>
    <w:rsid w:val="00AC5460"/>
    <w:rsid w:val="00AC55C6"/>
    <w:rsid w:val="00AC5844"/>
    <w:rsid w:val="00AC5B7D"/>
    <w:rsid w:val="00AC64F4"/>
    <w:rsid w:val="00AC6AC5"/>
    <w:rsid w:val="00AC6D44"/>
    <w:rsid w:val="00AC6DA0"/>
    <w:rsid w:val="00AC6F88"/>
    <w:rsid w:val="00AC71F1"/>
    <w:rsid w:val="00AC7258"/>
    <w:rsid w:val="00AC7575"/>
    <w:rsid w:val="00AC7828"/>
    <w:rsid w:val="00AC7EED"/>
    <w:rsid w:val="00AC7F68"/>
    <w:rsid w:val="00AC7FCB"/>
    <w:rsid w:val="00AC7FE1"/>
    <w:rsid w:val="00AD054D"/>
    <w:rsid w:val="00AD05B9"/>
    <w:rsid w:val="00AD067E"/>
    <w:rsid w:val="00AD0792"/>
    <w:rsid w:val="00AD0C39"/>
    <w:rsid w:val="00AD0D62"/>
    <w:rsid w:val="00AD0E3C"/>
    <w:rsid w:val="00AD1012"/>
    <w:rsid w:val="00AD13D6"/>
    <w:rsid w:val="00AD180D"/>
    <w:rsid w:val="00AD18CE"/>
    <w:rsid w:val="00AD1B47"/>
    <w:rsid w:val="00AD23A3"/>
    <w:rsid w:val="00AD2438"/>
    <w:rsid w:val="00AD2762"/>
    <w:rsid w:val="00AD27BD"/>
    <w:rsid w:val="00AD28DA"/>
    <w:rsid w:val="00AD2A93"/>
    <w:rsid w:val="00AD2E2A"/>
    <w:rsid w:val="00AD2F05"/>
    <w:rsid w:val="00AD2F4C"/>
    <w:rsid w:val="00AD31E6"/>
    <w:rsid w:val="00AD3332"/>
    <w:rsid w:val="00AD3407"/>
    <w:rsid w:val="00AD3531"/>
    <w:rsid w:val="00AD3541"/>
    <w:rsid w:val="00AD3B6B"/>
    <w:rsid w:val="00AD3BB6"/>
    <w:rsid w:val="00AD3D54"/>
    <w:rsid w:val="00AD4119"/>
    <w:rsid w:val="00AD418E"/>
    <w:rsid w:val="00AD41F6"/>
    <w:rsid w:val="00AD4381"/>
    <w:rsid w:val="00AD4405"/>
    <w:rsid w:val="00AD44AD"/>
    <w:rsid w:val="00AD47FC"/>
    <w:rsid w:val="00AD4907"/>
    <w:rsid w:val="00AD49B3"/>
    <w:rsid w:val="00AD4A8A"/>
    <w:rsid w:val="00AD4B51"/>
    <w:rsid w:val="00AD4DC7"/>
    <w:rsid w:val="00AD4E48"/>
    <w:rsid w:val="00AD554B"/>
    <w:rsid w:val="00AD58DA"/>
    <w:rsid w:val="00AD58E4"/>
    <w:rsid w:val="00AD5AA9"/>
    <w:rsid w:val="00AD5E7C"/>
    <w:rsid w:val="00AD6306"/>
    <w:rsid w:val="00AD6369"/>
    <w:rsid w:val="00AD63FF"/>
    <w:rsid w:val="00AD6681"/>
    <w:rsid w:val="00AD6937"/>
    <w:rsid w:val="00AD6A3A"/>
    <w:rsid w:val="00AD6B9E"/>
    <w:rsid w:val="00AD6C46"/>
    <w:rsid w:val="00AD6C7C"/>
    <w:rsid w:val="00AD6CD0"/>
    <w:rsid w:val="00AD6F86"/>
    <w:rsid w:val="00AD6FC8"/>
    <w:rsid w:val="00AD7026"/>
    <w:rsid w:val="00AD7366"/>
    <w:rsid w:val="00AD7375"/>
    <w:rsid w:val="00AD740B"/>
    <w:rsid w:val="00AD7565"/>
    <w:rsid w:val="00AD7597"/>
    <w:rsid w:val="00AD7795"/>
    <w:rsid w:val="00AD787E"/>
    <w:rsid w:val="00AD78A4"/>
    <w:rsid w:val="00AD795F"/>
    <w:rsid w:val="00AD7B7B"/>
    <w:rsid w:val="00AD7BA3"/>
    <w:rsid w:val="00AD7CBF"/>
    <w:rsid w:val="00AE00F0"/>
    <w:rsid w:val="00AE03DF"/>
    <w:rsid w:val="00AE0523"/>
    <w:rsid w:val="00AE08F5"/>
    <w:rsid w:val="00AE0EF2"/>
    <w:rsid w:val="00AE0F4B"/>
    <w:rsid w:val="00AE101D"/>
    <w:rsid w:val="00AE11CB"/>
    <w:rsid w:val="00AE1381"/>
    <w:rsid w:val="00AE19E1"/>
    <w:rsid w:val="00AE1A5F"/>
    <w:rsid w:val="00AE1B43"/>
    <w:rsid w:val="00AE1DC2"/>
    <w:rsid w:val="00AE1DDE"/>
    <w:rsid w:val="00AE2115"/>
    <w:rsid w:val="00AE225F"/>
    <w:rsid w:val="00AE230C"/>
    <w:rsid w:val="00AE2561"/>
    <w:rsid w:val="00AE28DD"/>
    <w:rsid w:val="00AE29C3"/>
    <w:rsid w:val="00AE2C62"/>
    <w:rsid w:val="00AE2F3E"/>
    <w:rsid w:val="00AE3056"/>
    <w:rsid w:val="00AE30BF"/>
    <w:rsid w:val="00AE3563"/>
    <w:rsid w:val="00AE37AF"/>
    <w:rsid w:val="00AE38C2"/>
    <w:rsid w:val="00AE3AF1"/>
    <w:rsid w:val="00AE3B47"/>
    <w:rsid w:val="00AE3B71"/>
    <w:rsid w:val="00AE40CF"/>
    <w:rsid w:val="00AE45DA"/>
    <w:rsid w:val="00AE4A5D"/>
    <w:rsid w:val="00AE4C37"/>
    <w:rsid w:val="00AE533E"/>
    <w:rsid w:val="00AE54AA"/>
    <w:rsid w:val="00AE5666"/>
    <w:rsid w:val="00AE56BC"/>
    <w:rsid w:val="00AE56F1"/>
    <w:rsid w:val="00AE59D6"/>
    <w:rsid w:val="00AE5A8D"/>
    <w:rsid w:val="00AE6045"/>
    <w:rsid w:val="00AE6324"/>
    <w:rsid w:val="00AE6491"/>
    <w:rsid w:val="00AE674A"/>
    <w:rsid w:val="00AE6752"/>
    <w:rsid w:val="00AE6814"/>
    <w:rsid w:val="00AE689D"/>
    <w:rsid w:val="00AE68A9"/>
    <w:rsid w:val="00AE70EB"/>
    <w:rsid w:val="00AE7136"/>
    <w:rsid w:val="00AE75AE"/>
    <w:rsid w:val="00AE7740"/>
    <w:rsid w:val="00AE78B3"/>
    <w:rsid w:val="00AE79CA"/>
    <w:rsid w:val="00AE7B0B"/>
    <w:rsid w:val="00AE7DA2"/>
    <w:rsid w:val="00AE7E08"/>
    <w:rsid w:val="00AF0012"/>
    <w:rsid w:val="00AF0214"/>
    <w:rsid w:val="00AF03A1"/>
    <w:rsid w:val="00AF051A"/>
    <w:rsid w:val="00AF052D"/>
    <w:rsid w:val="00AF0AA6"/>
    <w:rsid w:val="00AF0CC7"/>
    <w:rsid w:val="00AF0D13"/>
    <w:rsid w:val="00AF11C5"/>
    <w:rsid w:val="00AF12B1"/>
    <w:rsid w:val="00AF13FC"/>
    <w:rsid w:val="00AF15B0"/>
    <w:rsid w:val="00AF167B"/>
    <w:rsid w:val="00AF1AFE"/>
    <w:rsid w:val="00AF1B86"/>
    <w:rsid w:val="00AF1BCD"/>
    <w:rsid w:val="00AF1DA3"/>
    <w:rsid w:val="00AF1E8D"/>
    <w:rsid w:val="00AF1F33"/>
    <w:rsid w:val="00AF2067"/>
    <w:rsid w:val="00AF20FB"/>
    <w:rsid w:val="00AF236E"/>
    <w:rsid w:val="00AF23BC"/>
    <w:rsid w:val="00AF26B9"/>
    <w:rsid w:val="00AF26EB"/>
    <w:rsid w:val="00AF2851"/>
    <w:rsid w:val="00AF289D"/>
    <w:rsid w:val="00AF29A8"/>
    <w:rsid w:val="00AF2A70"/>
    <w:rsid w:val="00AF2BAD"/>
    <w:rsid w:val="00AF3207"/>
    <w:rsid w:val="00AF3213"/>
    <w:rsid w:val="00AF3480"/>
    <w:rsid w:val="00AF34CD"/>
    <w:rsid w:val="00AF352E"/>
    <w:rsid w:val="00AF355F"/>
    <w:rsid w:val="00AF359A"/>
    <w:rsid w:val="00AF35D1"/>
    <w:rsid w:val="00AF3792"/>
    <w:rsid w:val="00AF3966"/>
    <w:rsid w:val="00AF3A2B"/>
    <w:rsid w:val="00AF3D75"/>
    <w:rsid w:val="00AF4067"/>
    <w:rsid w:val="00AF46FC"/>
    <w:rsid w:val="00AF4893"/>
    <w:rsid w:val="00AF4A76"/>
    <w:rsid w:val="00AF4B85"/>
    <w:rsid w:val="00AF4E1F"/>
    <w:rsid w:val="00AF52E5"/>
    <w:rsid w:val="00AF5402"/>
    <w:rsid w:val="00AF54A2"/>
    <w:rsid w:val="00AF559E"/>
    <w:rsid w:val="00AF5B78"/>
    <w:rsid w:val="00AF5C3D"/>
    <w:rsid w:val="00AF5E0C"/>
    <w:rsid w:val="00AF5E8E"/>
    <w:rsid w:val="00AF6139"/>
    <w:rsid w:val="00AF64DD"/>
    <w:rsid w:val="00AF655F"/>
    <w:rsid w:val="00AF6B19"/>
    <w:rsid w:val="00AF6B55"/>
    <w:rsid w:val="00AF6EF7"/>
    <w:rsid w:val="00AF71CA"/>
    <w:rsid w:val="00AF76CE"/>
    <w:rsid w:val="00AF7819"/>
    <w:rsid w:val="00AF7911"/>
    <w:rsid w:val="00AF797D"/>
    <w:rsid w:val="00AF7A09"/>
    <w:rsid w:val="00AF7A35"/>
    <w:rsid w:val="00AF7BAE"/>
    <w:rsid w:val="00AF7E51"/>
    <w:rsid w:val="00AF7FAC"/>
    <w:rsid w:val="00B001B0"/>
    <w:rsid w:val="00B004B4"/>
    <w:rsid w:val="00B006B3"/>
    <w:rsid w:val="00B006BA"/>
    <w:rsid w:val="00B008BB"/>
    <w:rsid w:val="00B009A1"/>
    <w:rsid w:val="00B009DC"/>
    <w:rsid w:val="00B00F21"/>
    <w:rsid w:val="00B00F27"/>
    <w:rsid w:val="00B014CB"/>
    <w:rsid w:val="00B017C2"/>
    <w:rsid w:val="00B019D3"/>
    <w:rsid w:val="00B01AC4"/>
    <w:rsid w:val="00B01BC7"/>
    <w:rsid w:val="00B01CDC"/>
    <w:rsid w:val="00B01F82"/>
    <w:rsid w:val="00B021AE"/>
    <w:rsid w:val="00B021ED"/>
    <w:rsid w:val="00B026DC"/>
    <w:rsid w:val="00B02A71"/>
    <w:rsid w:val="00B02CB5"/>
    <w:rsid w:val="00B02E2B"/>
    <w:rsid w:val="00B030B4"/>
    <w:rsid w:val="00B0312A"/>
    <w:rsid w:val="00B0340A"/>
    <w:rsid w:val="00B0342A"/>
    <w:rsid w:val="00B036B1"/>
    <w:rsid w:val="00B03D24"/>
    <w:rsid w:val="00B03E4A"/>
    <w:rsid w:val="00B040E2"/>
    <w:rsid w:val="00B043A3"/>
    <w:rsid w:val="00B04513"/>
    <w:rsid w:val="00B04677"/>
    <w:rsid w:val="00B047E7"/>
    <w:rsid w:val="00B04BB1"/>
    <w:rsid w:val="00B04E23"/>
    <w:rsid w:val="00B04F18"/>
    <w:rsid w:val="00B0516D"/>
    <w:rsid w:val="00B051DE"/>
    <w:rsid w:val="00B0559A"/>
    <w:rsid w:val="00B058B9"/>
    <w:rsid w:val="00B05AFD"/>
    <w:rsid w:val="00B05C50"/>
    <w:rsid w:val="00B05D9B"/>
    <w:rsid w:val="00B05E9B"/>
    <w:rsid w:val="00B05F9F"/>
    <w:rsid w:val="00B0634A"/>
    <w:rsid w:val="00B0634B"/>
    <w:rsid w:val="00B06391"/>
    <w:rsid w:val="00B0665C"/>
    <w:rsid w:val="00B067A7"/>
    <w:rsid w:val="00B067FB"/>
    <w:rsid w:val="00B06A30"/>
    <w:rsid w:val="00B06ACD"/>
    <w:rsid w:val="00B06F1F"/>
    <w:rsid w:val="00B073DD"/>
    <w:rsid w:val="00B07467"/>
    <w:rsid w:val="00B07474"/>
    <w:rsid w:val="00B07693"/>
    <w:rsid w:val="00B07698"/>
    <w:rsid w:val="00B07727"/>
    <w:rsid w:val="00B07737"/>
    <w:rsid w:val="00B07921"/>
    <w:rsid w:val="00B07A41"/>
    <w:rsid w:val="00B07C52"/>
    <w:rsid w:val="00B07CF5"/>
    <w:rsid w:val="00B07D00"/>
    <w:rsid w:val="00B07D7C"/>
    <w:rsid w:val="00B10117"/>
    <w:rsid w:val="00B10ABA"/>
    <w:rsid w:val="00B10BB2"/>
    <w:rsid w:val="00B10BDB"/>
    <w:rsid w:val="00B10D7B"/>
    <w:rsid w:val="00B1103C"/>
    <w:rsid w:val="00B11088"/>
    <w:rsid w:val="00B110B6"/>
    <w:rsid w:val="00B1129D"/>
    <w:rsid w:val="00B113D5"/>
    <w:rsid w:val="00B113E6"/>
    <w:rsid w:val="00B114E2"/>
    <w:rsid w:val="00B11668"/>
    <w:rsid w:val="00B11951"/>
    <w:rsid w:val="00B11A11"/>
    <w:rsid w:val="00B11B3C"/>
    <w:rsid w:val="00B11B4C"/>
    <w:rsid w:val="00B11DF6"/>
    <w:rsid w:val="00B11E40"/>
    <w:rsid w:val="00B11E8B"/>
    <w:rsid w:val="00B12109"/>
    <w:rsid w:val="00B1222E"/>
    <w:rsid w:val="00B12444"/>
    <w:rsid w:val="00B124D9"/>
    <w:rsid w:val="00B12826"/>
    <w:rsid w:val="00B129C1"/>
    <w:rsid w:val="00B12B21"/>
    <w:rsid w:val="00B12D4F"/>
    <w:rsid w:val="00B12DC2"/>
    <w:rsid w:val="00B12F20"/>
    <w:rsid w:val="00B12F65"/>
    <w:rsid w:val="00B1302C"/>
    <w:rsid w:val="00B13067"/>
    <w:rsid w:val="00B1312C"/>
    <w:rsid w:val="00B131BF"/>
    <w:rsid w:val="00B1339C"/>
    <w:rsid w:val="00B13526"/>
    <w:rsid w:val="00B139E1"/>
    <w:rsid w:val="00B13A03"/>
    <w:rsid w:val="00B13C43"/>
    <w:rsid w:val="00B13D37"/>
    <w:rsid w:val="00B13F72"/>
    <w:rsid w:val="00B13FC6"/>
    <w:rsid w:val="00B14045"/>
    <w:rsid w:val="00B140A5"/>
    <w:rsid w:val="00B1418F"/>
    <w:rsid w:val="00B1428D"/>
    <w:rsid w:val="00B1432E"/>
    <w:rsid w:val="00B143D9"/>
    <w:rsid w:val="00B14546"/>
    <w:rsid w:val="00B146E8"/>
    <w:rsid w:val="00B1474E"/>
    <w:rsid w:val="00B148C7"/>
    <w:rsid w:val="00B148CB"/>
    <w:rsid w:val="00B14986"/>
    <w:rsid w:val="00B149B3"/>
    <w:rsid w:val="00B14C95"/>
    <w:rsid w:val="00B14CC5"/>
    <w:rsid w:val="00B14D6D"/>
    <w:rsid w:val="00B14DC0"/>
    <w:rsid w:val="00B15024"/>
    <w:rsid w:val="00B15142"/>
    <w:rsid w:val="00B15146"/>
    <w:rsid w:val="00B1514E"/>
    <w:rsid w:val="00B1563E"/>
    <w:rsid w:val="00B156A0"/>
    <w:rsid w:val="00B1584B"/>
    <w:rsid w:val="00B15D13"/>
    <w:rsid w:val="00B15E83"/>
    <w:rsid w:val="00B16196"/>
    <w:rsid w:val="00B161F6"/>
    <w:rsid w:val="00B16207"/>
    <w:rsid w:val="00B16282"/>
    <w:rsid w:val="00B16530"/>
    <w:rsid w:val="00B16974"/>
    <w:rsid w:val="00B16FFF"/>
    <w:rsid w:val="00B17441"/>
    <w:rsid w:val="00B175DE"/>
    <w:rsid w:val="00B1773C"/>
    <w:rsid w:val="00B17779"/>
    <w:rsid w:val="00B17B03"/>
    <w:rsid w:val="00B17C35"/>
    <w:rsid w:val="00B17D1A"/>
    <w:rsid w:val="00B17DB8"/>
    <w:rsid w:val="00B17F90"/>
    <w:rsid w:val="00B20352"/>
    <w:rsid w:val="00B203B3"/>
    <w:rsid w:val="00B206FD"/>
    <w:rsid w:val="00B20719"/>
    <w:rsid w:val="00B20833"/>
    <w:rsid w:val="00B20A98"/>
    <w:rsid w:val="00B20BAB"/>
    <w:rsid w:val="00B20FE9"/>
    <w:rsid w:val="00B21047"/>
    <w:rsid w:val="00B2133C"/>
    <w:rsid w:val="00B213D1"/>
    <w:rsid w:val="00B216FA"/>
    <w:rsid w:val="00B217D9"/>
    <w:rsid w:val="00B21966"/>
    <w:rsid w:val="00B21BD6"/>
    <w:rsid w:val="00B21C55"/>
    <w:rsid w:val="00B21DA8"/>
    <w:rsid w:val="00B21E04"/>
    <w:rsid w:val="00B222C2"/>
    <w:rsid w:val="00B22491"/>
    <w:rsid w:val="00B22551"/>
    <w:rsid w:val="00B225B5"/>
    <w:rsid w:val="00B225FD"/>
    <w:rsid w:val="00B2278A"/>
    <w:rsid w:val="00B22851"/>
    <w:rsid w:val="00B22BD5"/>
    <w:rsid w:val="00B22BD9"/>
    <w:rsid w:val="00B22E44"/>
    <w:rsid w:val="00B22F61"/>
    <w:rsid w:val="00B23190"/>
    <w:rsid w:val="00B23204"/>
    <w:rsid w:val="00B232EF"/>
    <w:rsid w:val="00B23374"/>
    <w:rsid w:val="00B23439"/>
    <w:rsid w:val="00B237BD"/>
    <w:rsid w:val="00B238CF"/>
    <w:rsid w:val="00B2397E"/>
    <w:rsid w:val="00B23E9D"/>
    <w:rsid w:val="00B23EA3"/>
    <w:rsid w:val="00B23FAE"/>
    <w:rsid w:val="00B24007"/>
    <w:rsid w:val="00B24077"/>
    <w:rsid w:val="00B240F9"/>
    <w:rsid w:val="00B24116"/>
    <w:rsid w:val="00B2420A"/>
    <w:rsid w:val="00B24722"/>
    <w:rsid w:val="00B249F5"/>
    <w:rsid w:val="00B24B76"/>
    <w:rsid w:val="00B24E8E"/>
    <w:rsid w:val="00B24F1C"/>
    <w:rsid w:val="00B2507D"/>
    <w:rsid w:val="00B250B4"/>
    <w:rsid w:val="00B25125"/>
    <w:rsid w:val="00B2535A"/>
    <w:rsid w:val="00B25713"/>
    <w:rsid w:val="00B25756"/>
    <w:rsid w:val="00B25C7C"/>
    <w:rsid w:val="00B2638D"/>
    <w:rsid w:val="00B26421"/>
    <w:rsid w:val="00B26475"/>
    <w:rsid w:val="00B265D2"/>
    <w:rsid w:val="00B2669F"/>
    <w:rsid w:val="00B26781"/>
    <w:rsid w:val="00B26C8F"/>
    <w:rsid w:val="00B26C94"/>
    <w:rsid w:val="00B26F44"/>
    <w:rsid w:val="00B271D3"/>
    <w:rsid w:val="00B27238"/>
    <w:rsid w:val="00B2737D"/>
    <w:rsid w:val="00B276FC"/>
    <w:rsid w:val="00B27823"/>
    <w:rsid w:val="00B27A15"/>
    <w:rsid w:val="00B27AA1"/>
    <w:rsid w:val="00B27DB0"/>
    <w:rsid w:val="00B30178"/>
    <w:rsid w:val="00B30583"/>
    <w:rsid w:val="00B30A2B"/>
    <w:rsid w:val="00B30FE7"/>
    <w:rsid w:val="00B31131"/>
    <w:rsid w:val="00B3132E"/>
    <w:rsid w:val="00B316E6"/>
    <w:rsid w:val="00B31AD9"/>
    <w:rsid w:val="00B31B8B"/>
    <w:rsid w:val="00B31DEF"/>
    <w:rsid w:val="00B31DF5"/>
    <w:rsid w:val="00B31F5C"/>
    <w:rsid w:val="00B32271"/>
    <w:rsid w:val="00B323BE"/>
    <w:rsid w:val="00B32619"/>
    <w:rsid w:val="00B32879"/>
    <w:rsid w:val="00B32A54"/>
    <w:rsid w:val="00B32CA4"/>
    <w:rsid w:val="00B32F85"/>
    <w:rsid w:val="00B330E6"/>
    <w:rsid w:val="00B3348F"/>
    <w:rsid w:val="00B3351B"/>
    <w:rsid w:val="00B335B2"/>
    <w:rsid w:val="00B3379A"/>
    <w:rsid w:val="00B337FF"/>
    <w:rsid w:val="00B3397C"/>
    <w:rsid w:val="00B33A65"/>
    <w:rsid w:val="00B33C8B"/>
    <w:rsid w:val="00B33CF7"/>
    <w:rsid w:val="00B33D13"/>
    <w:rsid w:val="00B33EA7"/>
    <w:rsid w:val="00B34030"/>
    <w:rsid w:val="00B340CA"/>
    <w:rsid w:val="00B3416B"/>
    <w:rsid w:val="00B3419B"/>
    <w:rsid w:val="00B342B0"/>
    <w:rsid w:val="00B34371"/>
    <w:rsid w:val="00B343DF"/>
    <w:rsid w:val="00B346B1"/>
    <w:rsid w:val="00B34915"/>
    <w:rsid w:val="00B34C10"/>
    <w:rsid w:val="00B34DFC"/>
    <w:rsid w:val="00B34E9C"/>
    <w:rsid w:val="00B34EBE"/>
    <w:rsid w:val="00B3561E"/>
    <w:rsid w:val="00B35643"/>
    <w:rsid w:val="00B35A88"/>
    <w:rsid w:val="00B35C08"/>
    <w:rsid w:val="00B360CE"/>
    <w:rsid w:val="00B362DC"/>
    <w:rsid w:val="00B36513"/>
    <w:rsid w:val="00B36557"/>
    <w:rsid w:val="00B3658E"/>
    <w:rsid w:val="00B36CE1"/>
    <w:rsid w:val="00B36EC1"/>
    <w:rsid w:val="00B371BF"/>
    <w:rsid w:val="00B37482"/>
    <w:rsid w:val="00B3755A"/>
    <w:rsid w:val="00B377B8"/>
    <w:rsid w:val="00B37C7C"/>
    <w:rsid w:val="00B37E4D"/>
    <w:rsid w:val="00B401A0"/>
    <w:rsid w:val="00B401B4"/>
    <w:rsid w:val="00B40277"/>
    <w:rsid w:val="00B40AA7"/>
    <w:rsid w:val="00B40D51"/>
    <w:rsid w:val="00B40E4F"/>
    <w:rsid w:val="00B40FAD"/>
    <w:rsid w:val="00B4102A"/>
    <w:rsid w:val="00B413B8"/>
    <w:rsid w:val="00B41696"/>
    <w:rsid w:val="00B416CD"/>
    <w:rsid w:val="00B416D0"/>
    <w:rsid w:val="00B41750"/>
    <w:rsid w:val="00B4188E"/>
    <w:rsid w:val="00B41EB7"/>
    <w:rsid w:val="00B41FA7"/>
    <w:rsid w:val="00B41FED"/>
    <w:rsid w:val="00B4216A"/>
    <w:rsid w:val="00B422DD"/>
    <w:rsid w:val="00B4253F"/>
    <w:rsid w:val="00B42679"/>
    <w:rsid w:val="00B4282F"/>
    <w:rsid w:val="00B42873"/>
    <w:rsid w:val="00B42AC5"/>
    <w:rsid w:val="00B42C34"/>
    <w:rsid w:val="00B42CD7"/>
    <w:rsid w:val="00B42DE6"/>
    <w:rsid w:val="00B43003"/>
    <w:rsid w:val="00B43052"/>
    <w:rsid w:val="00B431DB"/>
    <w:rsid w:val="00B433CF"/>
    <w:rsid w:val="00B433F2"/>
    <w:rsid w:val="00B43514"/>
    <w:rsid w:val="00B43714"/>
    <w:rsid w:val="00B43737"/>
    <w:rsid w:val="00B437FD"/>
    <w:rsid w:val="00B43B8D"/>
    <w:rsid w:val="00B44021"/>
    <w:rsid w:val="00B44181"/>
    <w:rsid w:val="00B443FB"/>
    <w:rsid w:val="00B4476A"/>
    <w:rsid w:val="00B44843"/>
    <w:rsid w:val="00B448A9"/>
    <w:rsid w:val="00B448D2"/>
    <w:rsid w:val="00B44B1E"/>
    <w:rsid w:val="00B44B73"/>
    <w:rsid w:val="00B44C62"/>
    <w:rsid w:val="00B44D98"/>
    <w:rsid w:val="00B44FA6"/>
    <w:rsid w:val="00B450FD"/>
    <w:rsid w:val="00B45172"/>
    <w:rsid w:val="00B4533C"/>
    <w:rsid w:val="00B45348"/>
    <w:rsid w:val="00B453CF"/>
    <w:rsid w:val="00B4592C"/>
    <w:rsid w:val="00B45A5E"/>
    <w:rsid w:val="00B45CF7"/>
    <w:rsid w:val="00B45F1D"/>
    <w:rsid w:val="00B461E9"/>
    <w:rsid w:val="00B46518"/>
    <w:rsid w:val="00B46732"/>
    <w:rsid w:val="00B46801"/>
    <w:rsid w:val="00B4696C"/>
    <w:rsid w:val="00B46D5C"/>
    <w:rsid w:val="00B46F15"/>
    <w:rsid w:val="00B470BA"/>
    <w:rsid w:val="00B4713C"/>
    <w:rsid w:val="00B4738A"/>
    <w:rsid w:val="00B47397"/>
    <w:rsid w:val="00B475EF"/>
    <w:rsid w:val="00B47ADB"/>
    <w:rsid w:val="00B47D26"/>
    <w:rsid w:val="00B47DF3"/>
    <w:rsid w:val="00B47E0D"/>
    <w:rsid w:val="00B47FE7"/>
    <w:rsid w:val="00B50185"/>
    <w:rsid w:val="00B50517"/>
    <w:rsid w:val="00B50794"/>
    <w:rsid w:val="00B50B8A"/>
    <w:rsid w:val="00B50C2C"/>
    <w:rsid w:val="00B50CAF"/>
    <w:rsid w:val="00B510B0"/>
    <w:rsid w:val="00B51101"/>
    <w:rsid w:val="00B51867"/>
    <w:rsid w:val="00B51958"/>
    <w:rsid w:val="00B51B17"/>
    <w:rsid w:val="00B51C71"/>
    <w:rsid w:val="00B52250"/>
    <w:rsid w:val="00B522ED"/>
    <w:rsid w:val="00B523BD"/>
    <w:rsid w:val="00B523C3"/>
    <w:rsid w:val="00B523CF"/>
    <w:rsid w:val="00B52479"/>
    <w:rsid w:val="00B524B1"/>
    <w:rsid w:val="00B525C0"/>
    <w:rsid w:val="00B526A6"/>
    <w:rsid w:val="00B52806"/>
    <w:rsid w:val="00B528E8"/>
    <w:rsid w:val="00B52B7B"/>
    <w:rsid w:val="00B52BD4"/>
    <w:rsid w:val="00B52E92"/>
    <w:rsid w:val="00B5300D"/>
    <w:rsid w:val="00B5307A"/>
    <w:rsid w:val="00B53658"/>
    <w:rsid w:val="00B53765"/>
    <w:rsid w:val="00B538F8"/>
    <w:rsid w:val="00B53B72"/>
    <w:rsid w:val="00B5412B"/>
    <w:rsid w:val="00B54A2A"/>
    <w:rsid w:val="00B54AB8"/>
    <w:rsid w:val="00B54BF7"/>
    <w:rsid w:val="00B54D28"/>
    <w:rsid w:val="00B54FE5"/>
    <w:rsid w:val="00B55012"/>
    <w:rsid w:val="00B55073"/>
    <w:rsid w:val="00B55612"/>
    <w:rsid w:val="00B55619"/>
    <w:rsid w:val="00B55620"/>
    <w:rsid w:val="00B55A74"/>
    <w:rsid w:val="00B55B82"/>
    <w:rsid w:val="00B55D85"/>
    <w:rsid w:val="00B56003"/>
    <w:rsid w:val="00B56213"/>
    <w:rsid w:val="00B56331"/>
    <w:rsid w:val="00B564AA"/>
    <w:rsid w:val="00B5650A"/>
    <w:rsid w:val="00B56529"/>
    <w:rsid w:val="00B56647"/>
    <w:rsid w:val="00B5691C"/>
    <w:rsid w:val="00B5694B"/>
    <w:rsid w:val="00B569EC"/>
    <w:rsid w:val="00B56B43"/>
    <w:rsid w:val="00B572B8"/>
    <w:rsid w:val="00B5734F"/>
    <w:rsid w:val="00B5748D"/>
    <w:rsid w:val="00B57738"/>
    <w:rsid w:val="00B5774E"/>
    <w:rsid w:val="00B577A0"/>
    <w:rsid w:val="00B57B59"/>
    <w:rsid w:val="00B57CE4"/>
    <w:rsid w:val="00B57D84"/>
    <w:rsid w:val="00B60023"/>
    <w:rsid w:val="00B60050"/>
    <w:rsid w:val="00B60AED"/>
    <w:rsid w:val="00B60BE4"/>
    <w:rsid w:val="00B60CD8"/>
    <w:rsid w:val="00B60CE8"/>
    <w:rsid w:val="00B60E2F"/>
    <w:rsid w:val="00B61016"/>
    <w:rsid w:val="00B61184"/>
    <w:rsid w:val="00B614E0"/>
    <w:rsid w:val="00B61513"/>
    <w:rsid w:val="00B61520"/>
    <w:rsid w:val="00B61BBC"/>
    <w:rsid w:val="00B61C05"/>
    <w:rsid w:val="00B61DEE"/>
    <w:rsid w:val="00B61EB0"/>
    <w:rsid w:val="00B62007"/>
    <w:rsid w:val="00B62321"/>
    <w:rsid w:val="00B6262E"/>
    <w:rsid w:val="00B62765"/>
    <w:rsid w:val="00B62CCA"/>
    <w:rsid w:val="00B62EC1"/>
    <w:rsid w:val="00B635D7"/>
    <w:rsid w:val="00B6365A"/>
    <w:rsid w:val="00B6369C"/>
    <w:rsid w:val="00B637C9"/>
    <w:rsid w:val="00B63CC7"/>
    <w:rsid w:val="00B63E46"/>
    <w:rsid w:val="00B63E79"/>
    <w:rsid w:val="00B63E82"/>
    <w:rsid w:val="00B63F97"/>
    <w:rsid w:val="00B6424F"/>
    <w:rsid w:val="00B6442B"/>
    <w:rsid w:val="00B644DE"/>
    <w:rsid w:val="00B6454E"/>
    <w:rsid w:val="00B647BD"/>
    <w:rsid w:val="00B647ED"/>
    <w:rsid w:val="00B64837"/>
    <w:rsid w:val="00B64AE2"/>
    <w:rsid w:val="00B64D42"/>
    <w:rsid w:val="00B64FF7"/>
    <w:rsid w:val="00B65159"/>
    <w:rsid w:val="00B65352"/>
    <w:rsid w:val="00B658B2"/>
    <w:rsid w:val="00B659C5"/>
    <w:rsid w:val="00B65A79"/>
    <w:rsid w:val="00B65D08"/>
    <w:rsid w:val="00B66167"/>
    <w:rsid w:val="00B66399"/>
    <w:rsid w:val="00B664DC"/>
    <w:rsid w:val="00B667A3"/>
    <w:rsid w:val="00B66B71"/>
    <w:rsid w:val="00B66F98"/>
    <w:rsid w:val="00B67303"/>
    <w:rsid w:val="00B67593"/>
    <w:rsid w:val="00B6760B"/>
    <w:rsid w:val="00B676A4"/>
    <w:rsid w:val="00B6789D"/>
    <w:rsid w:val="00B6791D"/>
    <w:rsid w:val="00B67A45"/>
    <w:rsid w:val="00B67D5E"/>
    <w:rsid w:val="00B67F4B"/>
    <w:rsid w:val="00B701C3"/>
    <w:rsid w:val="00B7021A"/>
    <w:rsid w:val="00B70637"/>
    <w:rsid w:val="00B706C5"/>
    <w:rsid w:val="00B709FA"/>
    <w:rsid w:val="00B70BB6"/>
    <w:rsid w:val="00B70BE1"/>
    <w:rsid w:val="00B70BE5"/>
    <w:rsid w:val="00B70EBD"/>
    <w:rsid w:val="00B71038"/>
    <w:rsid w:val="00B713E5"/>
    <w:rsid w:val="00B7150B"/>
    <w:rsid w:val="00B71855"/>
    <w:rsid w:val="00B71912"/>
    <w:rsid w:val="00B71A2C"/>
    <w:rsid w:val="00B720CB"/>
    <w:rsid w:val="00B721C9"/>
    <w:rsid w:val="00B7241B"/>
    <w:rsid w:val="00B72641"/>
    <w:rsid w:val="00B72692"/>
    <w:rsid w:val="00B728D0"/>
    <w:rsid w:val="00B728F7"/>
    <w:rsid w:val="00B72983"/>
    <w:rsid w:val="00B72A71"/>
    <w:rsid w:val="00B72AC1"/>
    <w:rsid w:val="00B72CA7"/>
    <w:rsid w:val="00B72D30"/>
    <w:rsid w:val="00B73016"/>
    <w:rsid w:val="00B73203"/>
    <w:rsid w:val="00B734E8"/>
    <w:rsid w:val="00B73945"/>
    <w:rsid w:val="00B73C74"/>
    <w:rsid w:val="00B73F01"/>
    <w:rsid w:val="00B73FDE"/>
    <w:rsid w:val="00B743CA"/>
    <w:rsid w:val="00B7451B"/>
    <w:rsid w:val="00B74F60"/>
    <w:rsid w:val="00B74F8C"/>
    <w:rsid w:val="00B75019"/>
    <w:rsid w:val="00B75071"/>
    <w:rsid w:val="00B7510D"/>
    <w:rsid w:val="00B75244"/>
    <w:rsid w:val="00B75552"/>
    <w:rsid w:val="00B757EC"/>
    <w:rsid w:val="00B7587F"/>
    <w:rsid w:val="00B758C1"/>
    <w:rsid w:val="00B75A08"/>
    <w:rsid w:val="00B75A7C"/>
    <w:rsid w:val="00B75BE3"/>
    <w:rsid w:val="00B75C74"/>
    <w:rsid w:val="00B75CC6"/>
    <w:rsid w:val="00B75CD4"/>
    <w:rsid w:val="00B75E97"/>
    <w:rsid w:val="00B75F5A"/>
    <w:rsid w:val="00B76187"/>
    <w:rsid w:val="00B76231"/>
    <w:rsid w:val="00B76282"/>
    <w:rsid w:val="00B766AA"/>
    <w:rsid w:val="00B7682C"/>
    <w:rsid w:val="00B76AF0"/>
    <w:rsid w:val="00B76B93"/>
    <w:rsid w:val="00B76E4E"/>
    <w:rsid w:val="00B76E71"/>
    <w:rsid w:val="00B76F8C"/>
    <w:rsid w:val="00B77019"/>
    <w:rsid w:val="00B772DC"/>
    <w:rsid w:val="00B7739B"/>
    <w:rsid w:val="00B77426"/>
    <w:rsid w:val="00B77436"/>
    <w:rsid w:val="00B77481"/>
    <w:rsid w:val="00B774D1"/>
    <w:rsid w:val="00B77527"/>
    <w:rsid w:val="00B775E7"/>
    <w:rsid w:val="00B77795"/>
    <w:rsid w:val="00B77A2D"/>
    <w:rsid w:val="00B77A42"/>
    <w:rsid w:val="00B77B5D"/>
    <w:rsid w:val="00B77B68"/>
    <w:rsid w:val="00B77CBE"/>
    <w:rsid w:val="00B77FAE"/>
    <w:rsid w:val="00B800EE"/>
    <w:rsid w:val="00B80101"/>
    <w:rsid w:val="00B804AB"/>
    <w:rsid w:val="00B80669"/>
    <w:rsid w:val="00B8082E"/>
    <w:rsid w:val="00B80C2B"/>
    <w:rsid w:val="00B80CFC"/>
    <w:rsid w:val="00B81008"/>
    <w:rsid w:val="00B81304"/>
    <w:rsid w:val="00B815CE"/>
    <w:rsid w:val="00B81699"/>
    <w:rsid w:val="00B8187E"/>
    <w:rsid w:val="00B81913"/>
    <w:rsid w:val="00B819ED"/>
    <w:rsid w:val="00B81BB0"/>
    <w:rsid w:val="00B81C6B"/>
    <w:rsid w:val="00B81CC1"/>
    <w:rsid w:val="00B81D36"/>
    <w:rsid w:val="00B81D58"/>
    <w:rsid w:val="00B8212A"/>
    <w:rsid w:val="00B82281"/>
    <w:rsid w:val="00B82300"/>
    <w:rsid w:val="00B824A0"/>
    <w:rsid w:val="00B824A8"/>
    <w:rsid w:val="00B82640"/>
    <w:rsid w:val="00B82944"/>
    <w:rsid w:val="00B82A32"/>
    <w:rsid w:val="00B82F2A"/>
    <w:rsid w:val="00B82F59"/>
    <w:rsid w:val="00B83922"/>
    <w:rsid w:val="00B83C21"/>
    <w:rsid w:val="00B83E41"/>
    <w:rsid w:val="00B83EF1"/>
    <w:rsid w:val="00B83F92"/>
    <w:rsid w:val="00B84091"/>
    <w:rsid w:val="00B84195"/>
    <w:rsid w:val="00B843F5"/>
    <w:rsid w:val="00B84570"/>
    <w:rsid w:val="00B84B25"/>
    <w:rsid w:val="00B84C17"/>
    <w:rsid w:val="00B84C76"/>
    <w:rsid w:val="00B84E93"/>
    <w:rsid w:val="00B84F61"/>
    <w:rsid w:val="00B85051"/>
    <w:rsid w:val="00B850FF"/>
    <w:rsid w:val="00B85361"/>
    <w:rsid w:val="00B85453"/>
    <w:rsid w:val="00B85699"/>
    <w:rsid w:val="00B859CD"/>
    <w:rsid w:val="00B85C8C"/>
    <w:rsid w:val="00B85DB6"/>
    <w:rsid w:val="00B85EC8"/>
    <w:rsid w:val="00B86100"/>
    <w:rsid w:val="00B86151"/>
    <w:rsid w:val="00B86233"/>
    <w:rsid w:val="00B8626D"/>
    <w:rsid w:val="00B8658B"/>
    <w:rsid w:val="00B86888"/>
    <w:rsid w:val="00B868F3"/>
    <w:rsid w:val="00B86C24"/>
    <w:rsid w:val="00B86CE6"/>
    <w:rsid w:val="00B87372"/>
    <w:rsid w:val="00B87A78"/>
    <w:rsid w:val="00B87C79"/>
    <w:rsid w:val="00B87D83"/>
    <w:rsid w:val="00B87DE0"/>
    <w:rsid w:val="00B87EC8"/>
    <w:rsid w:val="00B87FEC"/>
    <w:rsid w:val="00B900BD"/>
    <w:rsid w:val="00B900F6"/>
    <w:rsid w:val="00B90636"/>
    <w:rsid w:val="00B90B0F"/>
    <w:rsid w:val="00B90DCA"/>
    <w:rsid w:val="00B9119F"/>
    <w:rsid w:val="00B911FA"/>
    <w:rsid w:val="00B91445"/>
    <w:rsid w:val="00B9145D"/>
    <w:rsid w:val="00B9161D"/>
    <w:rsid w:val="00B91868"/>
    <w:rsid w:val="00B918DF"/>
    <w:rsid w:val="00B91C22"/>
    <w:rsid w:val="00B91F3F"/>
    <w:rsid w:val="00B9224C"/>
    <w:rsid w:val="00B927B7"/>
    <w:rsid w:val="00B92BA5"/>
    <w:rsid w:val="00B93000"/>
    <w:rsid w:val="00B9328C"/>
    <w:rsid w:val="00B932FF"/>
    <w:rsid w:val="00B937BC"/>
    <w:rsid w:val="00B93881"/>
    <w:rsid w:val="00B9396E"/>
    <w:rsid w:val="00B93EEE"/>
    <w:rsid w:val="00B94045"/>
    <w:rsid w:val="00B9418C"/>
    <w:rsid w:val="00B941E8"/>
    <w:rsid w:val="00B94436"/>
    <w:rsid w:val="00B94539"/>
    <w:rsid w:val="00B94DDF"/>
    <w:rsid w:val="00B95028"/>
    <w:rsid w:val="00B951D4"/>
    <w:rsid w:val="00B954F7"/>
    <w:rsid w:val="00B958F6"/>
    <w:rsid w:val="00B95C7B"/>
    <w:rsid w:val="00B95EC3"/>
    <w:rsid w:val="00B96038"/>
    <w:rsid w:val="00B962B1"/>
    <w:rsid w:val="00B968E3"/>
    <w:rsid w:val="00B96FF1"/>
    <w:rsid w:val="00B97177"/>
    <w:rsid w:val="00B971E0"/>
    <w:rsid w:val="00B978B7"/>
    <w:rsid w:val="00B97976"/>
    <w:rsid w:val="00B97CAE"/>
    <w:rsid w:val="00B97D5A"/>
    <w:rsid w:val="00B97DDB"/>
    <w:rsid w:val="00B97E50"/>
    <w:rsid w:val="00BA00E6"/>
    <w:rsid w:val="00BA01B3"/>
    <w:rsid w:val="00BA02F6"/>
    <w:rsid w:val="00BA095D"/>
    <w:rsid w:val="00BA0F5B"/>
    <w:rsid w:val="00BA1178"/>
    <w:rsid w:val="00BA123A"/>
    <w:rsid w:val="00BA1380"/>
    <w:rsid w:val="00BA14DE"/>
    <w:rsid w:val="00BA1506"/>
    <w:rsid w:val="00BA159E"/>
    <w:rsid w:val="00BA1620"/>
    <w:rsid w:val="00BA1626"/>
    <w:rsid w:val="00BA191C"/>
    <w:rsid w:val="00BA1C85"/>
    <w:rsid w:val="00BA1F82"/>
    <w:rsid w:val="00BA201E"/>
    <w:rsid w:val="00BA2047"/>
    <w:rsid w:val="00BA213F"/>
    <w:rsid w:val="00BA217B"/>
    <w:rsid w:val="00BA2342"/>
    <w:rsid w:val="00BA2585"/>
    <w:rsid w:val="00BA2745"/>
    <w:rsid w:val="00BA28EF"/>
    <w:rsid w:val="00BA2E45"/>
    <w:rsid w:val="00BA2E46"/>
    <w:rsid w:val="00BA332D"/>
    <w:rsid w:val="00BA333D"/>
    <w:rsid w:val="00BA33B9"/>
    <w:rsid w:val="00BA33D2"/>
    <w:rsid w:val="00BA346A"/>
    <w:rsid w:val="00BA3513"/>
    <w:rsid w:val="00BA3982"/>
    <w:rsid w:val="00BA3994"/>
    <w:rsid w:val="00BA3A75"/>
    <w:rsid w:val="00BA3B00"/>
    <w:rsid w:val="00BA3B3D"/>
    <w:rsid w:val="00BA3B52"/>
    <w:rsid w:val="00BA3CCB"/>
    <w:rsid w:val="00BA46E0"/>
    <w:rsid w:val="00BA48E3"/>
    <w:rsid w:val="00BA4901"/>
    <w:rsid w:val="00BA4A67"/>
    <w:rsid w:val="00BA4CF3"/>
    <w:rsid w:val="00BA4EA3"/>
    <w:rsid w:val="00BA4EC9"/>
    <w:rsid w:val="00BA504A"/>
    <w:rsid w:val="00BA541B"/>
    <w:rsid w:val="00BA54C9"/>
    <w:rsid w:val="00BA5834"/>
    <w:rsid w:val="00BA5848"/>
    <w:rsid w:val="00BA591D"/>
    <w:rsid w:val="00BA5EAB"/>
    <w:rsid w:val="00BA6468"/>
    <w:rsid w:val="00BA647D"/>
    <w:rsid w:val="00BA662A"/>
    <w:rsid w:val="00BA66A4"/>
    <w:rsid w:val="00BA672D"/>
    <w:rsid w:val="00BA682D"/>
    <w:rsid w:val="00BA6EA2"/>
    <w:rsid w:val="00BA6F41"/>
    <w:rsid w:val="00BA74EE"/>
    <w:rsid w:val="00BA77D9"/>
    <w:rsid w:val="00BA7A3A"/>
    <w:rsid w:val="00BA7D3E"/>
    <w:rsid w:val="00BA7DB1"/>
    <w:rsid w:val="00BA7E05"/>
    <w:rsid w:val="00BB00B4"/>
    <w:rsid w:val="00BB01FA"/>
    <w:rsid w:val="00BB0959"/>
    <w:rsid w:val="00BB0991"/>
    <w:rsid w:val="00BB0D56"/>
    <w:rsid w:val="00BB0E11"/>
    <w:rsid w:val="00BB10B1"/>
    <w:rsid w:val="00BB1230"/>
    <w:rsid w:val="00BB153B"/>
    <w:rsid w:val="00BB15F5"/>
    <w:rsid w:val="00BB1A56"/>
    <w:rsid w:val="00BB1B3B"/>
    <w:rsid w:val="00BB1B4D"/>
    <w:rsid w:val="00BB1D9B"/>
    <w:rsid w:val="00BB1E14"/>
    <w:rsid w:val="00BB1F10"/>
    <w:rsid w:val="00BB1F25"/>
    <w:rsid w:val="00BB219B"/>
    <w:rsid w:val="00BB2406"/>
    <w:rsid w:val="00BB244F"/>
    <w:rsid w:val="00BB24CD"/>
    <w:rsid w:val="00BB27D1"/>
    <w:rsid w:val="00BB293E"/>
    <w:rsid w:val="00BB2969"/>
    <w:rsid w:val="00BB2AC8"/>
    <w:rsid w:val="00BB2C8E"/>
    <w:rsid w:val="00BB2D08"/>
    <w:rsid w:val="00BB304E"/>
    <w:rsid w:val="00BB30E9"/>
    <w:rsid w:val="00BB3410"/>
    <w:rsid w:val="00BB34B0"/>
    <w:rsid w:val="00BB3E59"/>
    <w:rsid w:val="00BB3EE0"/>
    <w:rsid w:val="00BB4186"/>
    <w:rsid w:val="00BB4620"/>
    <w:rsid w:val="00BB489B"/>
    <w:rsid w:val="00BB49A2"/>
    <w:rsid w:val="00BB49B6"/>
    <w:rsid w:val="00BB4C60"/>
    <w:rsid w:val="00BB4C86"/>
    <w:rsid w:val="00BB4DFD"/>
    <w:rsid w:val="00BB4E19"/>
    <w:rsid w:val="00BB505A"/>
    <w:rsid w:val="00BB509C"/>
    <w:rsid w:val="00BB5145"/>
    <w:rsid w:val="00BB528E"/>
    <w:rsid w:val="00BB529D"/>
    <w:rsid w:val="00BB5501"/>
    <w:rsid w:val="00BB5652"/>
    <w:rsid w:val="00BB57AD"/>
    <w:rsid w:val="00BB5B9F"/>
    <w:rsid w:val="00BB5BCF"/>
    <w:rsid w:val="00BB62D9"/>
    <w:rsid w:val="00BB6AF4"/>
    <w:rsid w:val="00BB6BFD"/>
    <w:rsid w:val="00BB6ED7"/>
    <w:rsid w:val="00BB6FD0"/>
    <w:rsid w:val="00BB705A"/>
    <w:rsid w:val="00BB706F"/>
    <w:rsid w:val="00BB7189"/>
    <w:rsid w:val="00BB7329"/>
    <w:rsid w:val="00BB7464"/>
    <w:rsid w:val="00BB7563"/>
    <w:rsid w:val="00BB75A5"/>
    <w:rsid w:val="00BB75CE"/>
    <w:rsid w:val="00BB7635"/>
    <w:rsid w:val="00BB7695"/>
    <w:rsid w:val="00BB79B8"/>
    <w:rsid w:val="00BB7B2C"/>
    <w:rsid w:val="00BB7D3C"/>
    <w:rsid w:val="00BC0059"/>
    <w:rsid w:val="00BC0265"/>
    <w:rsid w:val="00BC0367"/>
    <w:rsid w:val="00BC0715"/>
    <w:rsid w:val="00BC081D"/>
    <w:rsid w:val="00BC0AE3"/>
    <w:rsid w:val="00BC0BA0"/>
    <w:rsid w:val="00BC0C7E"/>
    <w:rsid w:val="00BC0D0F"/>
    <w:rsid w:val="00BC0F72"/>
    <w:rsid w:val="00BC0FE0"/>
    <w:rsid w:val="00BC128F"/>
    <w:rsid w:val="00BC1327"/>
    <w:rsid w:val="00BC14C5"/>
    <w:rsid w:val="00BC1AEC"/>
    <w:rsid w:val="00BC1C90"/>
    <w:rsid w:val="00BC2309"/>
    <w:rsid w:val="00BC23C2"/>
    <w:rsid w:val="00BC2621"/>
    <w:rsid w:val="00BC282E"/>
    <w:rsid w:val="00BC2EC2"/>
    <w:rsid w:val="00BC2EDB"/>
    <w:rsid w:val="00BC311C"/>
    <w:rsid w:val="00BC31D0"/>
    <w:rsid w:val="00BC33C2"/>
    <w:rsid w:val="00BC39E6"/>
    <w:rsid w:val="00BC3AAD"/>
    <w:rsid w:val="00BC3AC8"/>
    <w:rsid w:val="00BC3B4C"/>
    <w:rsid w:val="00BC3E8B"/>
    <w:rsid w:val="00BC3F2D"/>
    <w:rsid w:val="00BC3F64"/>
    <w:rsid w:val="00BC401A"/>
    <w:rsid w:val="00BC4099"/>
    <w:rsid w:val="00BC40B3"/>
    <w:rsid w:val="00BC4822"/>
    <w:rsid w:val="00BC4890"/>
    <w:rsid w:val="00BC4893"/>
    <w:rsid w:val="00BC4995"/>
    <w:rsid w:val="00BC4F89"/>
    <w:rsid w:val="00BC50D0"/>
    <w:rsid w:val="00BC5180"/>
    <w:rsid w:val="00BC5794"/>
    <w:rsid w:val="00BC589D"/>
    <w:rsid w:val="00BC5BA0"/>
    <w:rsid w:val="00BC60BC"/>
    <w:rsid w:val="00BC6285"/>
    <w:rsid w:val="00BC63E4"/>
    <w:rsid w:val="00BC645A"/>
    <w:rsid w:val="00BC6511"/>
    <w:rsid w:val="00BC65EE"/>
    <w:rsid w:val="00BC67EF"/>
    <w:rsid w:val="00BC6CD1"/>
    <w:rsid w:val="00BC6F32"/>
    <w:rsid w:val="00BC6F9C"/>
    <w:rsid w:val="00BC7136"/>
    <w:rsid w:val="00BC7183"/>
    <w:rsid w:val="00BC7305"/>
    <w:rsid w:val="00BC7673"/>
    <w:rsid w:val="00BC76B7"/>
    <w:rsid w:val="00BC77E5"/>
    <w:rsid w:val="00BC7944"/>
    <w:rsid w:val="00BC7A4E"/>
    <w:rsid w:val="00BC7CB0"/>
    <w:rsid w:val="00BC7E1F"/>
    <w:rsid w:val="00BC7E84"/>
    <w:rsid w:val="00BC7FA5"/>
    <w:rsid w:val="00BD020A"/>
    <w:rsid w:val="00BD0786"/>
    <w:rsid w:val="00BD08B3"/>
    <w:rsid w:val="00BD08B6"/>
    <w:rsid w:val="00BD0A0C"/>
    <w:rsid w:val="00BD0C0B"/>
    <w:rsid w:val="00BD0CC0"/>
    <w:rsid w:val="00BD1281"/>
    <w:rsid w:val="00BD1287"/>
    <w:rsid w:val="00BD17C2"/>
    <w:rsid w:val="00BD1E06"/>
    <w:rsid w:val="00BD2137"/>
    <w:rsid w:val="00BD2831"/>
    <w:rsid w:val="00BD28EB"/>
    <w:rsid w:val="00BD2A06"/>
    <w:rsid w:val="00BD2A39"/>
    <w:rsid w:val="00BD2CDF"/>
    <w:rsid w:val="00BD2D25"/>
    <w:rsid w:val="00BD2E01"/>
    <w:rsid w:val="00BD2E3C"/>
    <w:rsid w:val="00BD2E56"/>
    <w:rsid w:val="00BD31C8"/>
    <w:rsid w:val="00BD31F2"/>
    <w:rsid w:val="00BD3211"/>
    <w:rsid w:val="00BD33A7"/>
    <w:rsid w:val="00BD3485"/>
    <w:rsid w:val="00BD34C8"/>
    <w:rsid w:val="00BD3835"/>
    <w:rsid w:val="00BD3C01"/>
    <w:rsid w:val="00BD3C72"/>
    <w:rsid w:val="00BD3F6F"/>
    <w:rsid w:val="00BD416C"/>
    <w:rsid w:val="00BD42CA"/>
    <w:rsid w:val="00BD482D"/>
    <w:rsid w:val="00BD4A96"/>
    <w:rsid w:val="00BD4DEE"/>
    <w:rsid w:val="00BD4E56"/>
    <w:rsid w:val="00BD5030"/>
    <w:rsid w:val="00BD5217"/>
    <w:rsid w:val="00BD5316"/>
    <w:rsid w:val="00BD5339"/>
    <w:rsid w:val="00BD552B"/>
    <w:rsid w:val="00BD58D7"/>
    <w:rsid w:val="00BD5B25"/>
    <w:rsid w:val="00BD5E8A"/>
    <w:rsid w:val="00BD5F6B"/>
    <w:rsid w:val="00BD5FB3"/>
    <w:rsid w:val="00BD6055"/>
    <w:rsid w:val="00BD60DB"/>
    <w:rsid w:val="00BD6176"/>
    <w:rsid w:val="00BD62F8"/>
    <w:rsid w:val="00BD6495"/>
    <w:rsid w:val="00BD65C3"/>
    <w:rsid w:val="00BD680D"/>
    <w:rsid w:val="00BD6963"/>
    <w:rsid w:val="00BD6E74"/>
    <w:rsid w:val="00BD71D1"/>
    <w:rsid w:val="00BD73F6"/>
    <w:rsid w:val="00BD7733"/>
    <w:rsid w:val="00BD77B2"/>
    <w:rsid w:val="00BD7A19"/>
    <w:rsid w:val="00BD7B59"/>
    <w:rsid w:val="00BD7C5F"/>
    <w:rsid w:val="00BD7E0D"/>
    <w:rsid w:val="00BD7E36"/>
    <w:rsid w:val="00BE000B"/>
    <w:rsid w:val="00BE0080"/>
    <w:rsid w:val="00BE012C"/>
    <w:rsid w:val="00BE03C0"/>
    <w:rsid w:val="00BE0574"/>
    <w:rsid w:val="00BE05F0"/>
    <w:rsid w:val="00BE05F4"/>
    <w:rsid w:val="00BE06E2"/>
    <w:rsid w:val="00BE08BA"/>
    <w:rsid w:val="00BE0F34"/>
    <w:rsid w:val="00BE11EE"/>
    <w:rsid w:val="00BE126F"/>
    <w:rsid w:val="00BE16E9"/>
    <w:rsid w:val="00BE1822"/>
    <w:rsid w:val="00BE18E0"/>
    <w:rsid w:val="00BE1EE8"/>
    <w:rsid w:val="00BE22BF"/>
    <w:rsid w:val="00BE2393"/>
    <w:rsid w:val="00BE2803"/>
    <w:rsid w:val="00BE2830"/>
    <w:rsid w:val="00BE298D"/>
    <w:rsid w:val="00BE29B4"/>
    <w:rsid w:val="00BE2CBE"/>
    <w:rsid w:val="00BE2E53"/>
    <w:rsid w:val="00BE2FE6"/>
    <w:rsid w:val="00BE31BA"/>
    <w:rsid w:val="00BE348A"/>
    <w:rsid w:val="00BE3588"/>
    <w:rsid w:val="00BE3840"/>
    <w:rsid w:val="00BE3AD6"/>
    <w:rsid w:val="00BE3D8F"/>
    <w:rsid w:val="00BE3F00"/>
    <w:rsid w:val="00BE3F1C"/>
    <w:rsid w:val="00BE3F53"/>
    <w:rsid w:val="00BE4253"/>
    <w:rsid w:val="00BE47E5"/>
    <w:rsid w:val="00BE485C"/>
    <w:rsid w:val="00BE4C0E"/>
    <w:rsid w:val="00BE5016"/>
    <w:rsid w:val="00BE524E"/>
    <w:rsid w:val="00BE52A6"/>
    <w:rsid w:val="00BE52DC"/>
    <w:rsid w:val="00BE539A"/>
    <w:rsid w:val="00BE54F3"/>
    <w:rsid w:val="00BE5941"/>
    <w:rsid w:val="00BE5B28"/>
    <w:rsid w:val="00BE5D47"/>
    <w:rsid w:val="00BE608E"/>
    <w:rsid w:val="00BE61A4"/>
    <w:rsid w:val="00BE6243"/>
    <w:rsid w:val="00BE6467"/>
    <w:rsid w:val="00BE6496"/>
    <w:rsid w:val="00BE680F"/>
    <w:rsid w:val="00BE68E3"/>
    <w:rsid w:val="00BE6931"/>
    <w:rsid w:val="00BE6945"/>
    <w:rsid w:val="00BE6A7D"/>
    <w:rsid w:val="00BE6AE7"/>
    <w:rsid w:val="00BE6BF4"/>
    <w:rsid w:val="00BE6DBF"/>
    <w:rsid w:val="00BE7096"/>
    <w:rsid w:val="00BE70C3"/>
    <w:rsid w:val="00BE7784"/>
    <w:rsid w:val="00BE7C82"/>
    <w:rsid w:val="00BE7D24"/>
    <w:rsid w:val="00BE7E47"/>
    <w:rsid w:val="00BE7EB0"/>
    <w:rsid w:val="00BE7F61"/>
    <w:rsid w:val="00BF08BE"/>
    <w:rsid w:val="00BF08C0"/>
    <w:rsid w:val="00BF0BB4"/>
    <w:rsid w:val="00BF0EAA"/>
    <w:rsid w:val="00BF0ED6"/>
    <w:rsid w:val="00BF0F41"/>
    <w:rsid w:val="00BF16A3"/>
    <w:rsid w:val="00BF16EF"/>
    <w:rsid w:val="00BF1797"/>
    <w:rsid w:val="00BF17EA"/>
    <w:rsid w:val="00BF17FD"/>
    <w:rsid w:val="00BF1936"/>
    <w:rsid w:val="00BF1953"/>
    <w:rsid w:val="00BF1959"/>
    <w:rsid w:val="00BF1B19"/>
    <w:rsid w:val="00BF1B46"/>
    <w:rsid w:val="00BF1B88"/>
    <w:rsid w:val="00BF1E6D"/>
    <w:rsid w:val="00BF1FE0"/>
    <w:rsid w:val="00BF25FF"/>
    <w:rsid w:val="00BF280A"/>
    <w:rsid w:val="00BF2A80"/>
    <w:rsid w:val="00BF2AEB"/>
    <w:rsid w:val="00BF2E77"/>
    <w:rsid w:val="00BF3088"/>
    <w:rsid w:val="00BF3258"/>
    <w:rsid w:val="00BF3491"/>
    <w:rsid w:val="00BF34D8"/>
    <w:rsid w:val="00BF34F8"/>
    <w:rsid w:val="00BF3660"/>
    <w:rsid w:val="00BF36C5"/>
    <w:rsid w:val="00BF3762"/>
    <w:rsid w:val="00BF38EB"/>
    <w:rsid w:val="00BF390F"/>
    <w:rsid w:val="00BF3916"/>
    <w:rsid w:val="00BF3B89"/>
    <w:rsid w:val="00BF3BE8"/>
    <w:rsid w:val="00BF3D2D"/>
    <w:rsid w:val="00BF3E7D"/>
    <w:rsid w:val="00BF40F5"/>
    <w:rsid w:val="00BF4327"/>
    <w:rsid w:val="00BF44C6"/>
    <w:rsid w:val="00BF45CE"/>
    <w:rsid w:val="00BF474A"/>
    <w:rsid w:val="00BF49E6"/>
    <w:rsid w:val="00BF4BCC"/>
    <w:rsid w:val="00BF4C2B"/>
    <w:rsid w:val="00BF4EAA"/>
    <w:rsid w:val="00BF5443"/>
    <w:rsid w:val="00BF54D9"/>
    <w:rsid w:val="00BF5885"/>
    <w:rsid w:val="00BF591C"/>
    <w:rsid w:val="00BF5A05"/>
    <w:rsid w:val="00BF5ADA"/>
    <w:rsid w:val="00BF5B3E"/>
    <w:rsid w:val="00BF5D3A"/>
    <w:rsid w:val="00BF5DA4"/>
    <w:rsid w:val="00BF61D9"/>
    <w:rsid w:val="00BF6F59"/>
    <w:rsid w:val="00BF723E"/>
    <w:rsid w:val="00BF7309"/>
    <w:rsid w:val="00BF73DC"/>
    <w:rsid w:val="00BF7447"/>
    <w:rsid w:val="00BF74A6"/>
    <w:rsid w:val="00BF76F2"/>
    <w:rsid w:val="00BF77D1"/>
    <w:rsid w:val="00BF7B94"/>
    <w:rsid w:val="00C00158"/>
    <w:rsid w:val="00C00786"/>
    <w:rsid w:val="00C00B7E"/>
    <w:rsid w:val="00C00E76"/>
    <w:rsid w:val="00C00F10"/>
    <w:rsid w:val="00C01704"/>
    <w:rsid w:val="00C01A86"/>
    <w:rsid w:val="00C01BF7"/>
    <w:rsid w:val="00C01FA5"/>
    <w:rsid w:val="00C01FD6"/>
    <w:rsid w:val="00C02337"/>
    <w:rsid w:val="00C023E4"/>
    <w:rsid w:val="00C02417"/>
    <w:rsid w:val="00C02550"/>
    <w:rsid w:val="00C02903"/>
    <w:rsid w:val="00C02AA5"/>
    <w:rsid w:val="00C02ED6"/>
    <w:rsid w:val="00C02FEA"/>
    <w:rsid w:val="00C031DE"/>
    <w:rsid w:val="00C03215"/>
    <w:rsid w:val="00C032E8"/>
    <w:rsid w:val="00C0354C"/>
    <w:rsid w:val="00C03636"/>
    <w:rsid w:val="00C036DC"/>
    <w:rsid w:val="00C03895"/>
    <w:rsid w:val="00C03A4A"/>
    <w:rsid w:val="00C03D8E"/>
    <w:rsid w:val="00C03E7B"/>
    <w:rsid w:val="00C03E95"/>
    <w:rsid w:val="00C041F5"/>
    <w:rsid w:val="00C0443F"/>
    <w:rsid w:val="00C04620"/>
    <w:rsid w:val="00C046B0"/>
    <w:rsid w:val="00C048CE"/>
    <w:rsid w:val="00C04A6C"/>
    <w:rsid w:val="00C04AFA"/>
    <w:rsid w:val="00C04D10"/>
    <w:rsid w:val="00C04DE8"/>
    <w:rsid w:val="00C04EC1"/>
    <w:rsid w:val="00C04EF9"/>
    <w:rsid w:val="00C04F9D"/>
    <w:rsid w:val="00C04FF4"/>
    <w:rsid w:val="00C052A4"/>
    <w:rsid w:val="00C05733"/>
    <w:rsid w:val="00C057F8"/>
    <w:rsid w:val="00C05950"/>
    <w:rsid w:val="00C05B44"/>
    <w:rsid w:val="00C05B66"/>
    <w:rsid w:val="00C05DAC"/>
    <w:rsid w:val="00C05F05"/>
    <w:rsid w:val="00C060D1"/>
    <w:rsid w:val="00C060DF"/>
    <w:rsid w:val="00C06652"/>
    <w:rsid w:val="00C06681"/>
    <w:rsid w:val="00C0668C"/>
    <w:rsid w:val="00C0676E"/>
    <w:rsid w:val="00C06817"/>
    <w:rsid w:val="00C0689E"/>
    <w:rsid w:val="00C068FB"/>
    <w:rsid w:val="00C06B21"/>
    <w:rsid w:val="00C07093"/>
    <w:rsid w:val="00C070C6"/>
    <w:rsid w:val="00C07491"/>
    <w:rsid w:val="00C07565"/>
    <w:rsid w:val="00C079BE"/>
    <w:rsid w:val="00C079CC"/>
    <w:rsid w:val="00C07BAE"/>
    <w:rsid w:val="00C07C38"/>
    <w:rsid w:val="00C07D6C"/>
    <w:rsid w:val="00C10031"/>
    <w:rsid w:val="00C100BB"/>
    <w:rsid w:val="00C10EB8"/>
    <w:rsid w:val="00C10EDD"/>
    <w:rsid w:val="00C111D0"/>
    <w:rsid w:val="00C1122D"/>
    <w:rsid w:val="00C11488"/>
    <w:rsid w:val="00C1169F"/>
    <w:rsid w:val="00C11746"/>
    <w:rsid w:val="00C11A1E"/>
    <w:rsid w:val="00C11A6D"/>
    <w:rsid w:val="00C11B12"/>
    <w:rsid w:val="00C11CB0"/>
    <w:rsid w:val="00C11D98"/>
    <w:rsid w:val="00C11E85"/>
    <w:rsid w:val="00C11EB1"/>
    <w:rsid w:val="00C12086"/>
    <w:rsid w:val="00C1260B"/>
    <w:rsid w:val="00C12646"/>
    <w:rsid w:val="00C12909"/>
    <w:rsid w:val="00C12934"/>
    <w:rsid w:val="00C12CF3"/>
    <w:rsid w:val="00C13013"/>
    <w:rsid w:val="00C13271"/>
    <w:rsid w:val="00C13296"/>
    <w:rsid w:val="00C1332A"/>
    <w:rsid w:val="00C138BC"/>
    <w:rsid w:val="00C1398E"/>
    <w:rsid w:val="00C13C79"/>
    <w:rsid w:val="00C13E47"/>
    <w:rsid w:val="00C13FC1"/>
    <w:rsid w:val="00C1433E"/>
    <w:rsid w:val="00C143F5"/>
    <w:rsid w:val="00C145C0"/>
    <w:rsid w:val="00C14C0A"/>
    <w:rsid w:val="00C14D5C"/>
    <w:rsid w:val="00C14E42"/>
    <w:rsid w:val="00C14E71"/>
    <w:rsid w:val="00C15DD8"/>
    <w:rsid w:val="00C16348"/>
    <w:rsid w:val="00C169E0"/>
    <w:rsid w:val="00C16B45"/>
    <w:rsid w:val="00C170AE"/>
    <w:rsid w:val="00C172A2"/>
    <w:rsid w:val="00C1747D"/>
    <w:rsid w:val="00C17519"/>
    <w:rsid w:val="00C175CA"/>
    <w:rsid w:val="00C175F1"/>
    <w:rsid w:val="00C179EC"/>
    <w:rsid w:val="00C17A1C"/>
    <w:rsid w:val="00C17E3F"/>
    <w:rsid w:val="00C20012"/>
    <w:rsid w:val="00C201F9"/>
    <w:rsid w:val="00C2024A"/>
    <w:rsid w:val="00C2034D"/>
    <w:rsid w:val="00C2095D"/>
    <w:rsid w:val="00C20ACD"/>
    <w:rsid w:val="00C20B48"/>
    <w:rsid w:val="00C20B4A"/>
    <w:rsid w:val="00C20C28"/>
    <w:rsid w:val="00C20F39"/>
    <w:rsid w:val="00C21233"/>
    <w:rsid w:val="00C213DB"/>
    <w:rsid w:val="00C21529"/>
    <w:rsid w:val="00C2154A"/>
    <w:rsid w:val="00C2185B"/>
    <w:rsid w:val="00C218EF"/>
    <w:rsid w:val="00C21B63"/>
    <w:rsid w:val="00C21B78"/>
    <w:rsid w:val="00C2205A"/>
    <w:rsid w:val="00C222F8"/>
    <w:rsid w:val="00C22437"/>
    <w:rsid w:val="00C22623"/>
    <w:rsid w:val="00C2270D"/>
    <w:rsid w:val="00C22734"/>
    <w:rsid w:val="00C22749"/>
    <w:rsid w:val="00C22A02"/>
    <w:rsid w:val="00C22A38"/>
    <w:rsid w:val="00C22AA6"/>
    <w:rsid w:val="00C22E29"/>
    <w:rsid w:val="00C230CE"/>
    <w:rsid w:val="00C23109"/>
    <w:rsid w:val="00C23B79"/>
    <w:rsid w:val="00C23E38"/>
    <w:rsid w:val="00C23EBC"/>
    <w:rsid w:val="00C24039"/>
    <w:rsid w:val="00C24115"/>
    <w:rsid w:val="00C24469"/>
    <w:rsid w:val="00C2490C"/>
    <w:rsid w:val="00C24E39"/>
    <w:rsid w:val="00C24E52"/>
    <w:rsid w:val="00C24ED2"/>
    <w:rsid w:val="00C24F4E"/>
    <w:rsid w:val="00C2530F"/>
    <w:rsid w:val="00C253D7"/>
    <w:rsid w:val="00C258D0"/>
    <w:rsid w:val="00C25BA0"/>
    <w:rsid w:val="00C25BD4"/>
    <w:rsid w:val="00C25DE7"/>
    <w:rsid w:val="00C25FF3"/>
    <w:rsid w:val="00C26148"/>
    <w:rsid w:val="00C26316"/>
    <w:rsid w:val="00C26646"/>
    <w:rsid w:val="00C266DA"/>
    <w:rsid w:val="00C26B3D"/>
    <w:rsid w:val="00C26C25"/>
    <w:rsid w:val="00C26FEF"/>
    <w:rsid w:val="00C2702E"/>
    <w:rsid w:val="00C2727B"/>
    <w:rsid w:val="00C2735B"/>
    <w:rsid w:val="00C27376"/>
    <w:rsid w:val="00C27788"/>
    <w:rsid w:val="00C27A1B"/>
    <w:rsid w:val="00C27ED7"/>
    <w:rsid w:val="00C3039E"/>
    <w:rsid w:val="00C30407"/>
    <w:rsid w:val="00C3056C"/>
    <w:rsid w:val="00C305F2"/>
    <w:rsid w:val="00C30A60"/>
    <w:rsid w:val="00C30ABE"/>
    <w:rsid w:val="00C310D9"/>
    <w:rsid w:val="00C31146"/>
    <w:rsid w:val="00C311D9"/>
    <w:rsid w:val="00C312A3"/>
    <w:rsid w:val="00C3137C"/>
    <w:rsid w:val="00C3151D"/>
    <w:rsid w:val="00C3154C"/>
    <w:rsid w:val="00C319B0"/>
    <w:rsid w:val="00C31B11"/>
    <w:rsid w:val="00C31B2A"/>
    <w:rsid w:val="00C31BB8"/>
    <w:rsid w:val="00C31BDD"/>
    <w:rsid w:val="00C31C6E"/>
    <w:rsid w:val="00C31CB9"/>
    <w:rsid w:val="00C31D6B"/>
    <w:rsid w:val="00C31E24"/>
    <w:rsid w:val="00C32341"/>
    <w:rsid w:val="00C3292B"/>
    <w:rsid w:val="00C32BCE"/>
    <w:rsid w:val="00C32CBA"/>
    <w:rsid w:val="00C32D6F"/>
    <w:rsid w:val="00C32ECC"/>
    <w:rsid w:val="00C3365D"/>
    <w:rsid w:val="00C3371C"/>
    <w:rsid w:val="00C338FB"/>
    <w:rsid w:val="00C33B47"/>
    <w:rsid w:val="00C33BEA"/>
    <w:rsid w:val="00C33E38"/>
    <w:rsid w:val="00C345F3"/>
    <w:rsid w:val="00C346F8"/>
    <w:rsid w:val="00C34766"/>
    <w:rsid w:val="00C34796"/>
    <w:rsid w:val="00C3490A"/>
    <w:rsid w:val="00C34935"/>
    <w:rsid w:val="00C349D5"/>
    <w:rsid w:val="00C34A1A"/>
    <w:rsid w:val="00C34A1E"/>
    <w:rsid w:val="00C34AC7"/>
    <w:rsid w:val="00C34B6E"/>
    <w:rsid w:val="00C34CC1"/>
    <w:rsid w:val="00C352FE"/>
    <w:rsid w:val="00C35739"/>
    <w:rsid w:val="00C35A5A"/>
    <w:rsid w:val="00C35ED9"/>
    <w:rsid w:val="00C35F52"/>
    <w:rsid w:val="00C360BA"/>
    <w:rsid w:val="00C361AF"/>
    <w:rsid w:val="00C36321"/>
    <w:rsid w:val="00C364A2"/>
    <w:rsid w:val="00C36586"/>
    <w:rsid w:val="00C36596"/>
    <w:rsid w:val="00C36601"/>
    <w:rsid w:val="00C36976"/>
    <w:rsid w:val="00C36C62"/>
    <w:rsid w:val="00C37059"/>
    <w:rsid w:val="00C3708F"/>
    <w:rsid w:val="00C37223"/>
    <w:rsid w:val="00C37254"/>
    <w:rsid w:val="00C37283"/>
    <w:rsid w:val="00C37466"/>
    <w:rsid w:val="00C37661"/>
    <w:rsid w:val="00C376AB"/>
    <w:rsid w:val="00C376D9"/>
    <w:rsid w:val="00C37739"/>
    <w:rsid w:val="00C37844"/>
    <w:rsid w:val="00C378AC"/>
    <w:rsid w:val="00C378C2"/>
    <w:rsid w:val="00C37A36"/>
    <w:rsid w:val="00C37C2C"/>
    <w:rsid w:val="00C37E03"/>
    <w:rsid w:val="00C37E43"/>
    <w:rsid w:val="00C37E92"/>
    <w:rsid w:val="00C37FB7"/>
    <w:rsid w:val="00C401A5"/>
    <w:rsid w:val="00C401F3"/>
    <w:rsid w:val="00C40302"/>
    <w:rsid w:val="00C407E3"/>
    <w:rsid w:val="00C40858"/>
    <w:rsid w:val="00C408E6"/>
    <w:rsid w:val="00C40B97"/>
    <w:rsid w:val="00C40DB0"/>
    <w:rsid w:val="00C4101F"/>
    <w:rsid w:val="00C41339"/>
    <w:rsid w:val="00C41512"/>
    <w:rsid w:val="00C416B9"/>
    <w:rsid w:val="00C418C4"/>
    <w:rsid w:val="00C41C0C"/>
    <w:rsid w:val="00C41DB2"/>
    <w:rsid w:val="00C4254D"/>
    <w:rsid w:val="00C42610"/>
    <w:rsid w:val="00C4261B"/>
    <w:rsid w:val="00C42636"/>
    <w:rsid w:val="00C427C2"/>
    <w:rsid w:val="00C42A0D"/>
    <w:rsid w:val="00C42D45"/>
    <w:rsid w:val="00C42E20"/>
    <w:rsid w:val="00C42EC3"/>
    <w:rsid w:val="00C4306E"/>
    <w:rsid w:val="00C430F5"/>
    <w:rsid w:val="00C4311F"/>
    <w:rsid w:val="00C4317B"/>
    <w:rsid w:val="00C4327D"/>
    <w:rsid w:val="00C43560"/>
    <w:rsid w:val="00C438D9"/>
    <w:rsid w:val="00C43965"/>
    <w:rsid w:val="00C43A9A"/>
    <w:rsid w:val="00C43DC9"/>
    <w:rsid w:val="00C43F39"/>
    <w:rsid w:val="00C4415C"/>
    <w:rsid w:val="00C4462D"/>
    <w:rsid w:val="00C44AB3"/>
    <w:rsid w:val="00C44BB8"/>
    <w:rsid w:val="00C44BD6"/>
    <w:rsid w:val="00C44E44"/>
    <w:rsid w:val="00C45048"/>
    <w:rsid w:val="00C452B5"/>
    <w:rsid w:val="00C455F8"/>
    <w:rsid w:val="00C456A1"/>
    <w:rsid w:val="00C457D7"/>
    <w:rsid w:val="00C457E1"/>
    <w:rsid w:val="00C45851"/>
    <w:rsid w:val="00C45931"/>
    <w:rsid w:val="00C45AF0"/>
    <w:rsid w:val="00C45C25"/>
    <w:rsid w:val="00C45FFD"/>
    <w:rsid w:val="00C46031"/>
    <w:rsid w:val="00C46212"/>
    <w:rsid w:val="00C463E6"/>
    <w:rsid w:val="00C463F8"/>
    <w:rsid w:val="00C4650D"/>
    <w:rsid w:val="00C466E5"/>
    <w:rsid w:val="00C467A7"/>
    <w:rsid w:val="00C468DF"/>
    <w:rsid w:val="00C46946"/>
    <w:rsid w:val="00C46964"/>
    <w:rsid w:val="00C46E3E"/>
    <w:rsid w:val="00C47061"/>
    <w:rsid w:val="00C470A5"/>
    <w:rsid w:val="00C471CF"/>
    <w:rsid w:val="00C47551"/>
    <w:rsid w:val="00C47A5B"/>
    <w:rsid w:val="00C47B39"/>
    <w:rsid w:val="00C47C17"/>
    <w:rsid w:val="00C47D1C"/>
    <w:rsid w:val="00C5004C"/>
    <w:rsid w:val="00C50478"/>
    <w:rsid w:val="00C5058E"/>
    <w:rsid w:val="00C5068B"/>
    <w:rsid w:val="00C507F7"/>
    <w:rsid w:val="00C50870"/>
    <w:rsid w:val="00C50DCB"/>
    <w:rsid w:val="00C50FE9"/>
    <w:rsid w:val="00C512E3"/>
    <w:rsid w:val="00C51464"/>
    <w:rsid w:val="00C514FB"/>
    <w:rsid w:val="00C5153E"/>
    <w:rsid w:val="00C517D7"/>
    <w:rsid w:val="00C51D61"/>
    <w:rsid w:val="00C51E94"/>
    <w:rsid w:val="00C51EBC"/>
    <w:rsid w:val="00C5230C"/>
    <w:rsid w:val="00C52520"/>
    <w:rsid w:val="00C525A6"/>
    <w:rsid w:val="00C526E5"/>
    <w:rsid w:val="00C529D2"/>
    <w:rsid w:val="00C52BCF"/>
    <w:rsid w:val="00C52C9F"/>
    <w:rsid w:val="00C52CC4"/>
    <w:rsid w:val="00C52E70"/>
    <w:rsid w:val="00C52E9B"/>
    <w:rsid w:val="00C52F41"/>
    <w:rsid w:val="00C53481"/>
    <w:rsid w:val="00C53528"/>
    <w:rsid w:val="00C5357B"/>
    <w:rsid w:val="00C53C1E"/>
    <w:rsid w:val="00C53D1D"/>
    <w:rsid w:val="00C54018"/>
    <w:rsid w:val="00C54081"/>
    <w:rsid w:val="00C540D8"/>
    <w:rsid w:val="00C540F4"/>
    <w:rsid w:val="00C544E9"/>
    <w:rsid w:val="00C545BA"/>
    <w:rsid w:val="00C54666"/>
    <w:rsid w:val="00C5475F"/>
    <w:rsid w:val="00C5487C"/>
    <w:rsid w:val="00C549EC"/>
    <w:rsid w:val="00C54B8D"/>
    <w:rsid w:val="00C54C0F"/>
    <w:rsid w:val="00C55087"/>
    <w:rsid w:val="00C550A9"/>
    <w:rsid w:val="00C552B2"/>
    <w:rsid w:val="00C55357"/>
    <w:rsid w:val="00C55465"/>
    <w:rsid w:val="00C55555"/>
    <w:rsid w:val="00C555E7"/>
    <w:rsid w:val="00C55611"/>
    <w:rsid w:val="00C55685"/>
    <w:rsid w:val="00C5568E"/>
    <w:rsid w:val="00C55D07"/>
    <w:rsid w:val="00C55FCC"/>
    <w:rsid w:val="00C560B3"/>
    <w:rsid w:val="00C56385"/>
    <w:rsid w:val="00C56890"/>
    <w:rsid w:val="00C56A30"/>
    <w:rsid w:val="00C56E2F"/>
    <w:rsid w:val="00C56E54"/>
    <w:rsid w:val="00C56E74"/>
    <w:rsid w:val="00C56E96"/>
    <w:rsid w:val="00C56F0B"/>
    <w:rsid w:val="00C571C6"/>
    <w:rsid w:val="00C5725B"/>
    <w:rsid w:val="00C57309"/>
    <w:rsid w:val="00C574BC"/>
    <w:rsid w:val="00C576B1"/>
    <w:rsid w:val="00C5773E"/>
    <w:rsid w:val="00C57B71"/>
    <w:rsid w:val="00C57DC4"/>
    <w:rsid w:val="00C57F0A"/>
    <w:rsid w:val="00C57F7B"/>
    <w:rsid w:val="00C6030B"/>
    <w:rsid w:val="00C60425"/>
    <w:rsid w:val="00C604FD"/>
    <w:rsid w:val="00C605D7"/>
    <w:rsid w:val="00C6064A"/>
    <w:rsid w:val="00C607DE"/>
    <w:rsid w:val="00C60A86"/>
    <w:rsid w:val="00C60A97"/>
    <w:rsid w:val="00C60BD2"/>
    <w:rsid w:val="00C60C08"/>
    <w:rsid w:val="00C60CFF"/>
    <w:rsid w:val="00C6102A"/>
    <w:rsid w:val="00C613E6"/>
    <w:rsid w:val="00C614BA"/>
    <w:rsid w:val="00C61628"/>
    <w:rsid w:val="00C616CD"/>
    <w:rsid w:val="00C61B7F"/>
    <w:rsid w:val="00C61F0D"/>
    <w:rsid w:val="00C61FB0"/>
    <w:rsid w:val="00C62552"/>
    <w:rsid w:val="00C6266E"/>
    <w:rsid w:val="00C626F6"/>
    <w:rsid w:val="00C62900"/>
    <w:rsid w:val="00C62A07"/>
    <w:rsid w:val="00C62A5E"/>
    <w:rsid w:val="00C62B8D"/>
    <w:rsid w:val="00C62D84"/>
    <w:rsid w:val="00C631B0"/>
    <w:rsid w:val="00C63273"/>
    <w:rsid w:val="00C63363"/>
    <w:rsid w:val="00C635D6"/>
    <w:rsid w:val="00C637CB"/>
    <w:rsid w:val="00C6389B"/>
    <w:rsid w:val="00C639A4"/>
    <w:rsid w:val="00C63B83"/>
    <w:rsid w:val="00C63D81"/>
    <w:rsid w:val="00C6406B"/>
    <w:rsid w:val="00C640A9"/>
    <w:rsid w:val="00C64230"/>
    <w:rsid w:val="00C6484B"/>
    <w:rsid w:val="00C648BD"/>
    <w:rsid w:val="00C64B3B"/>
    <w:rsid w:val="00C64B87"/>
    <w:rsid w:val="00C64EF5"/>
    <w:rsid w:val="00C64FEE"/>
    <w:rsid w:val="00C6503C"/>
    <w:rsid w:val="00C650AF"/>
    <w:rsid w:val="00C651B8"/>
    <w:rsid w:val="00C651F1"/>
    <w:rsid w:val="00C65207"/>
    <w:rsid w:val="00C652A8"/>
    <w:rsid w:val="00C652DD"/>
    <w:rsid w:val="00C65361"/>
    <w:rsid w:val="00C6579D"/>
    <w:rsid w:val="00C659F3"/>
    <w:rsid w:val="00C65BBA"/>
    <w:rsid w:val="00C65F3E"/>
    <w:rsid w:val="00C660C6"/>
    <w:rsid w:val="00C661F5"/>
    <w:rsid w:val="00C6647E"/>
    <w:rsid w:val="00C66601"/>
    <w:rsid w:val="00C66975"/>
    <w:rsid w:val="00C66DBC"/>
    <w:rsid w:val="00C66FD1"/>
    <w:rsid w:val="00C67049"/>
    <w:rsid w:val="00C67222"/>
    <w:rsid w:val="00C675E7"/>
    <w:rsid w:val="00C67678"/>
    <w:rsid w:val="00C67827"/>
    <w:rsid w:val="00C67A11"/>
    <w:rsid w:val="00C67EC3"/>
    <w:rsid w:val="00C70033"/>
    <w:rsid w:val="00C70186"/>
    <w:rsid w:val="00C7044C"/>
    <w:rsid w:val="00C7074D"/>
    <w:rsid w:val="00C70BDA"/>
    <w:rsid w:val="00C70FD8"/>
    <w:rsid w:val="00C71AF4"/>
    <w:rsid w:val="00C71DD9"/>
    <w:rsid w:val="00C71F1C"/>
    <w:rsid w:val="00C7211E"/>
    <w:rsid w:val="00C72135"/>
    <w:rsid w:val="00C72306"/>
    <w:rsid w:val="00C72442"/>
    <w:rsid w:val="00C724A1"/>
    <w:rsid w:val="00C72521"/>
    <w:rsid w:val="00C7253F"/>
    <w:rsid w:val="00C725CD"/>
    <w:rsid w:val="00C725D5"/>
    <w:rsid w:val="00C7275C"/>
    <w:rsid w:val="00C72B5D"/>
    <w:rsid w:val="00C72F89"/>
    <w:rsid w:val="00C73080"/>
    <w:rsid w:val="00C731EB"/>
    <w:rsid w:val="00C731F3"/>
    <w:rsid w:val="00C73212"/>
    <w:rsid w:val="00C7343B"/>
    <w:rsid w:val="00C73571"/>
    <w:rsid w:val="00C7386D"/>
    <w:rsid w:val="00C73903"/>
    <w:rsid w:val="00C73975"/>
    <w:rsid w:val="00C73A6A"/>
    <w:rsid w:val="00C73D8D"/>
    <w:rsid w:val="00C73E1D"/>
    <w:rsid w:val="00C741CD"/>
    <w:rsid w:val="00C7445C"/>
    <w:rsid w:val="00C74644"/>
    <w:rsid w:val="00C746D9"/>
    <w:rsid w:val="00C747C8"/>
    <w:rsid w:val="00C74955"/>
    <w:rsid w:val="00C74A96"/>
    <w:rsid w:val="00C74AC4"/>
    <w:rsid w:val="00C74BC0"/>
    <w:rsid w:val="00C74D6C"/>
    <w:rsid w:val="00C750E8"/>
    <w:rsid w:val="00C752E3"/>
    <w:rsid w:val="00C75334"/>
    <w:rsid w:val="00C7544D"/>
    <w:rsid w:val="00C7572A"/>
    <w:rsid w:val="00C75868"/>
    <w:rsid w:val="00C758D1"/>
    <w:rsid w:val="00C75934"/>
    <w:rsid w:val="00C75BBF"/>
    <w:rsid w:val="00C75CB3"/>
    <w:rsid w:val="00C75D71"/>
    <w:rsid w:val="00C760A2"/>
    <w:rsid w:val="00C7615C"/>
    <w:rsid w:val="00C7632F"/>
    <w:rsid w:val="00C76377"/>
    <w:rsid w:val="00C76685"/>
    <w:rsid w:val="00C7683A"/>
    <w:rsid w:val="00C76A9B"/>
    <w:rsid w:val="00C76AA0"/>
    <w:rsid w:val="00C76B38"/>
    <w:rsid w:val="00C76D41"/>
    <w:rsid w:val="00C76DD5"/>
    <w:rsid w:val="00C76DD8"/>
    <w:rsid w:val="00C77087"/>
    <w:rsid w:val="00C77268"/>
    <w:rsid w:val="00C772AB"/>
    <w:rsid w:val="00C773A8"/>
    <w:rsid w:val="00C775DE"/>
    <w:rsid w:val="00C77773"/>
    <w:rsid w:val="00C77D58"/>
    <w:rsid w:val="00C77DEF"/>
    <w:rsid w:val="00C802AE"/>
    <w:rsid w:val="00C802DB"/>
    <w:rsid w:val="00C80392"/>
    <w:rsid w:val="00C80630"/>
    <w:rsid w:val="00C806DA"/>
    <w:rsid w:val="00C80774"/>
    <w:rsid w:val="00C80AE4"/>
    <w:rsid w:val="00C80C86"/>
    <w:rsid w:val="00C80DD8"/>
    <w:rsid w:val="00C8111F"/>
    <w:rsid w:val="00C81365"/>
    <w:rsid w:val="00C8148B"/>
    <w:rsid w:val="00C81580"/>
    <w:rsid w:val="00C815B8"/>
    <w:rsid w:val="00C8162A"/>
    <w:rsid w:val="00C817A0"/>
    <w:rsid w:val="00C81881"/>
    <w:rsid w:val="00C81A6A"/>
    <w:rsid w:val="00C81A74"/>
    <w:rsid w:val="00C81BEB"/>
    <w:rsid w:val="00C81E77"/>
    <w:rsid w:val="00C82727"/>
    <w:rsid w:val="00C82813"/>
    <w:rsid w:val="00C82851"/>
    <w:rsid w:val="00C8313B"/>
    <w:rsid w:val="00C83190"/>
    <w:rsid w:val="00C831A9"/>
    <w:rsid w:val="00C83A5C"/>
    <w:rsid w:val="00C83C51"/>
    <w:rsid w:val="00C83D28"/>
    <w:rsid w:val="00C83F77"/>
    <w:rsid w:val="00C840DB"/>
    <w:rsid w:val="00C8472A"/>
    <w:rsid w:val="00C84AED"/>
    <w:rsid w:val="00C84E1A"/>
    <w:rsid w:val="00C84E44"/>
    <w:rsid w:val="00C851F8"/>
    <w:rsid w:val="00C852D5"/>
    <w:rsid w:val="00C853F8"/>
    <w:rsid w:val="00C8560D"/>
    <w:rsid w:val="00C856A9"/>
    <w:rsid w:val="00C85ADB"/>
    <w:rsid w:val="00C85D98"/>
    <w:rsid w:val="00C85E62"/>
    <w:rsid w:val="00C86063"/>
    <w:rsid w:val="00C8683A"/>
    <w:rsid w:val="00C86936"/>
    <w:rsid w:val="00C86954"/>
    <w:rsid w:val="00C869B7"/>
    <w:rsid w:val="00C86AB3"/>
    <w:rsid w:val="00C86B17"/>
    <w:rsid w:val="00C86B35"/>
    <w:rsid w:val="00C86FDD"/>
    <w:rsid w:val="00C87044"/>
    <w:rsid w:val="00C870DE"/>
    <w:rsid w:val="00C871F2"/>
    <w:rsid w:val="00C87259"/>
    <w:rsid w:val="00C872AF"/>
    <w:rsid w:val="00C87942"/>
    <w:rsid w:val="00C879B6"/>
    <w:rsid w:val="00C879BA"/>
    <w:rsid w:val="00C87A24"/>
    <w:rsid w:val="00C87AEF"/>
    <w:rsid w:val="00C87AF0"/>
    <w:rsid w:val="00C87C21"/>
    <w:rsid w:val="00C87C71"/>
    <w:rsid w:val="00C87F13"/>
    <w:rsid w:val="00C9010D"/>
    <w:rsid w:val="00C901F6"/>
    <w:rsid w:val="00C90324"/>
    <w:rsid w:val="00C90687"/>
    <w:rsid w:val="00C90830"/>
    <w:rsid w:val="00C90835"/>
    <w:rsid w:val="00C90BB2"/>
    <w:rsid w:val="00C91047"/>
    <w:rsid w:val="00C91192"/>
    <w:rsid w:val="00C9128A"/>
    <w:rsid w:val="00C914A2"/>
    <w:rsid w:val="00C917D5"/>
    <w:rsid w:val="00C9181C"/>
    <w:rsid w:val="00C9192F"/>
    <w:rsid w:val="00C91AB6"/>
    <w:rsid w:val="00C91D6F"/>
    <w:rsid w:val="00C91F52"/>
    <w:rsid w:val="00C91FB0"/>
    <w:rsid w:val="00C92060"/>
    <w:rsid w:val="00C9236D"/>
    <w:rsid w:val="00C924E4"/>
    <w:rsid w:val="00C924E9"/>
    <w:rsid w:val="00C92563"/>
    <w:rsid w:val="00C927EB"/>
    <w:rsid w:val="00C92B5C"/>
    <w:rsid w:val="00C92F6D"/>
    <w:rsid w:val="00C92F70"/>
    <w:rsid w:val="00C9315E"/>
    <w:rsid w:val="00C9322B"/>
    <w:rsid w:val="00C9338D"/>
    <w:rsid w:val="00C935D7"/>
    <w:rsid w:val="00C937B5"/>
    <w:rsid w:val="00C93AA3"/>
    <w:rsid w:val="00C93B9D"/>
    <w:rsid w:val="00C93D67"/>
    <w:rsid w:val="00C93DF6"/>
    <w:rsid w:val="00C940BD"/>
    <w:rsid w:val="00C9434F"/>
    <w:rsid w:val="00C943B2"/>
    <w:rsid w:val="00C943E4"/>
    <w:rsid w:val="00C94550"/>
    <w:rsid w:val="00C94787"/>
    <w:rsid w:val="00C94F65"/>
    <w:rsid w:val="00C94FBC"/>
    <w:rsid w:val="00C9503A"/>
    <w:rsid w:val="00C95108"/>
    <w:rsid w:val="00C9542F"/>
    <w:rsid w:val="00C95910"/>
    <w:rsid w:val="00C9591A"/>
    <w:rsid w:val="00C959F0"/>
    <w:rsid w:val="00C95D10"/>
    <w:rsid w:val="00C95EEF"/>
    <w:rsid w:val="00C95F77"/>
    <w:rsid w:val="00C95FE6"/>
    <w:rsid w:val="00C96118"/>
    <w:rsid w:val="00C96280"/>
    <w:rsid w:val="00C962E3"/>
    <w:rsid w:val="00C965D1"/>
    <w:rsid w:val="00C968EE"/>
    <w:rsid w:val="00C969C6"/>
    <w:rsid w:val="00C96B39"/>
    <w:rsid w:val="00C96D86"/>
    <w:rsid w:val="00C96FD7"/>
    <w:rsid w:val="00C9722C"/>
    <w:rsid w:val="00C975EC"/>
    <w:rsid w:val="00C978FC"/>
    <w:rsid w:val="00C979DE"/>
    <w:rsid w:val="00CA06DE"/>
    <w:rsid w:val="00CA0A41"/>
    <w:rsid w:val="00CA0C0C"/>
    <w:rsid w:val="00CA0FEB"/>
    <w:rsid w:val="00CA1068"/>
    <w:rsid w:val="00CA1315"/>
    <w:rsid w:val="00CA15E2"/>
    <w:rsid w:val="00CA1A20"/>
    <w:rsid w:val="00CA1B19"/>
    <w:rsid w:val="00CA1B6B"/>
    <w:rsid w:val="00CA1C69"/>
    <w:rsid w:val="00CA1CCF"/>
    <w:rsid w:val="00CA1D40"/>
    <w:rsid w:val="00CA1EA7"/>
    <w:rsid w:val="00CA2405"/>
    <w:rsid w:val="00CA280E"/>
    <w:rsid w:val="00CA2B3A"/>
    <w:rsid w:val="00CA2C83"/>
    <w:rsid w:val="00CA2D9E"/>
    <w:rsid w:val="00CA2E24"/>
    <w:rsid w:val="00CA31BD"/>
    <w:rsid w:val="00CA32F1"/>
    <w:rsid w:val="00CA35B1"/>
    <w:rsid w:val="00CA37A2"/>
    <w:rsid w:val="00CA3874"/>
    <w:rsid w:val="00CA3B8F"/>
    <w:rsid w:val="00CA3FE0"/>
    <w:rsid w:val="00CA40B0"/>
    <w:rsid w:val="00CA4300"/>
    <w:rsid w:val="00CA436E"/>
    <w:rsid w:val="00CA4630"/>
    <w:rsid w:val="00CA4637"/>
    <w:rsid w:val="00CA4733"/>
    <w:rsid w:val="00CA4837"/>
    <w:rsid w:val="00CA48C3"/>
    <w:rsid w:val="00CA496D"/>
    <w:rsid w:val="00CA49D7"/>
    <w:rsid w:val="00CA4EB4"/>
    <w:rsid w:val="00CA4F97"/>
    <w:rsid w:val="00CA5102"/>
    <w:rsid w:val="00CA5225"/>
    <w:rsid w:val="00CA52C4"/>
    <w:rsid w:val="00CA5CA3"/>
    <w:rsid w:val="00CA6041"/>
    <w:rsid w:val="00CA60F7"/>
    <w:rsid w:val="00CA6135"/>
    <w:rsid w:val="00CA61F1"/>
    <w:rsid w:val="00CA6236"/>
    <w:rsid w:val="00CA6A1C"/>
    <w:rsid w:val="00CA6DD3"/>
    <w:rsid w:val="00CA712A"/>
    <w:rsid w:val="00CA742C"/>
    <w:rsid w:val="00CA749C"/>
    <w:rsid w:val="00CA74DC"/>
    <w:rsid w:val="00CA7693"/>
    <w:rsid w:val="00CA7804"/>
    <w:rsid w:val="00CA7855"/>
    <w:rsid w:val="00CA7947"/>
    <w:rsid w:val="00CA7C31"/>
    <w:rsid w:val="00CA7CA0"/>
    <w:rsid w:val="00CA7D40"/>
    <w:rsid w:val="00CA7E4D"/>
    <w:rsid w:val="00CA7F92"/>
    <w:rsid w:val="00CB0083"/>
    <w:rsid w:val="00CB0089"/>
    <w:rsid w:val="00CB011F"/>
    <w:rsid w:val="00CB014F"/>
    <w:rsid w:val="00CB01DC"/>
    <w:rsid w:val="00CB024F"/>
    <w:rsid w:val="00CB0316"/>
    <w:rsid w:val="00CB03FE"/>
    <w:rsid w:val="00CB054E"/>
    <w:rsid w:val="00CB07A8"/>
    <w:rsid w:val="00CB07E1"/>
    <w:rsid w:val="00CB08BC"/>
    <w:rsid w:val="00CB0911"/>
    <w:rsid w:val="00CB0FC9"/>
    <w:rsid w:val="00CB12BD"/>
    <w:rsid w:val="00CB1368"/>
    <w:rsid w:val="00CB1649"/>
    <w:rsid w:val="00CB1762"/>
    <w:rsid w:val="00CB192B"/>
    <w:rsid w:val="00CB19AB"/>
    <w:rsid w:val="00CB1A44"/>
    <w:rsid w:val="00CB1E81"/>
    <w:rsid w:val="00CB1F2F"/>
    <w:rsid w:val="00CB2000"/>
    <w:rsid w:val="00CB20E7"/>
    <w:rsid w:val="00CB221C"/>
    <w:rsid w:val="00CB221F"/>
    <w:rsid w:val="00CB26F0"/>
    <w:rsid w:val="00CB2755"/>
    <w:rsid w:val="00CB28EB"/>
    <w:rsid w:val="00CB28F0"/>
    <w:rsid w:val="00CB2951"/>
    <w:rsid w:val="00CB2A68"/>
    <w:rsid w:val="00CB2B5E"/>
    <w:rsid w:val="00CB2D3F"/>
    <w:rsid w:val="00CB2DB2"/>
    <w:rsid w:val="00CB2EE2"/>
    <w:rsid w:val="00CB33A2"/>
    <w:rsid w:val="00CB3644"/>
    <w:rsid w:val="00CB3D67"/>
    <w:rsid w:val="00CB3D77"/>
    <w:rsid w:val="00CB3E6A"/>
    <w:rsid w:val="00CB4472"/>
    <w:rsid w:val="00CB451E"/>
    <w:rsid w:val="00CB45EE"/>
    <w:rsid w:val="00CB4601"/>
    <w:rsid w:val="00CB4663"/>
    <w:rsid w:val="00CB4944"/>
    <w:rsid w:val="00CB49CE"/>
    <w:rsid w:val="00CB4B2F"/>
    <w:rsid w:val="00CB4D72"/>
    <w:rsid w:val="00CB5528"/>
    <w:rsid w:val="00CB5714"/>
    <w:rsid w:val="00CB577F"/>
    <w:rsid w:val="00CB5B67"/>
    <w:rsid w:val="00CB5C9F"/>
    <w:rsid w:val="00CB63BA"/>
    <w:rsid w:val="00CB645F"/>
    <w:rsid w:val="00CB64CB"/>
    <w:rsid w:val="00CB6604"/>
    <w:rsid w:val="00CB662B"/>
    <w:rsid w:val="00CB67C2"/>
    <w:rsid w:val="00CB6DD1"/>
    <w:rsid w:val="00CB6DDC"/>
    <w:rsid w:val="00CB6E51"/>
    <w:rsid w:val="00CB7535"/>
    <w:rsid w:val="00CB7650"/>
    <w:rsid w:val="00CB77AC"/>
    <w:rsid w:val="00CB782C"/>
    <w:rsid w:val="00CB7857"/>
    <w:rsid w:val="00CB7878"/>
    <w:rsid w:val="00CB7A03"/>
    <w:rsid w:val="00CB7D7E"/>
    <w:rsid w:val="00CB7F26"/>
    <w:rsid w:val="00CB7F3E"/>
    <w:rsid w:val="00CB7FAB"/>
    <w:rsid w:val="00CC002B"/>
    <w:rsid w:val="00CC004B"/>
    <w:rsid w:val="00CC00E0"/>
    <w:rsid w:val="00CC0392"/>
    <w:rsid w:val="00CC04EE"/>
    <w:rsid w:val="00CC07F3"/>
    <w:rsid w:val="00CC0A20"/>
    <w:rsid w:val="00CC0A81"/>
    <w:rsid w:val="00CC12C0"/>
    <w:rsid w:val="00CC1529"/>
    <w:rsid w:val="00CC1614"/>
    <w:rsid w:val="00CC16D1"/>
    <w:rsid w:val="00CC1D6E"/>
    <w:rsid w:val="00CC1F38"/>
    <w:rsid w:val="00CC205C"/>
    <w:rsid w:val="00CC20A0"/>
    <w:rsid w:val="00CC23B2"/>
    <w:rsid w:val="00CC25EC"/>
    <w:rsid w:val="00CC2608"/>
    <w:rsid w:val="00CC2690"/>
    <w:rsid w:val="00CC2901"/>
    <w:rsid w:val="00CC2A49"/>
    <w:rsid w:val="00CC2B54"/>
    <w:rsid w:val="00CC2C55"/>
    <w:rsid w:val="00CC2DA9"/>
    <w:rsid w:val="00CC30B7"/>
    <w:rsid w:val="00CC32A9"/>
    <w:rsid w:val="00CC3422"/>
    <w:rsid w:val="00CC3551"/>
    <w:rsid w:val="00CC3B36"/>
    <w:rsid w:val="00CC3C18"/>
    <w:rsid w:val="00CC3E03"/>
    <w:rsid w:val="00CC3E9E"/>
    <w:rsid w:val="00CC3F5A"/>
    <w:rsid w:val="00CC43E8"/>
    <w:rsid w:val="00CC43EA"/>
    <w:rsid w:val="00CC441E"/>
    <w:rsid w:val="00CC4737"/>
    <w:rsid w:val="00CC4CEF"/>
    <w:rsid w:val="00CC4FA9"/>
    <w:rsid w:val="00CC509D"/>
    <w:rsid w:val="00CC531E"/>
    <w:rsid w:val="00CC53A1"/>
    <w:rsid w:val="00CC53A5"/>
    <w:rsid w:val="00CC560C"/>
    <w:rsid w:val="00CC578B"/>
    <w:rsid w:val="00CC5D94"/>
    <w:rsid w:val="00CC5E9E"/>
    <w:rsid w:val="00CC5F6D"/>
    <w:rsid w:val="00CC61C8"/>
    <w:rsid w:val="00CC67B6"/>
    <w:rsid w:val="00CC7062"/>
    <w:rsid w:val="00CC7225"/>
    <w:rsid w:val="00CC7230"/>
    <w:rsid w:val="00CC7322"/>
    <w:rsid w:val="00CC734B"/>
    <w:rsid w:val="00CC73E0"/>
    <w:rsid w:val="00CC741C"/>
    <w:rsid w:val="00CC78F2"/>
    <w:rsid w:val="00CC7C30"/>
    <w:rsid w:val="00CC7CF3"/>
    <w:rsid w:val="00CC7D42"/>
    <w:rsid w:val="00CC7E82"/>
    <w:rsid w:val="00CC7F53"/>
    <w:rsid w:val="00CD0104"/>
    <w:rsid w:val="00CD01A4"/>
    <w:rsid w:val="00CD01B9"/>
    <w:rsid w:val="00CD0754"/>
    <w:rsid w:val="00CD07BE"/>
    <w:rsid w:val="00CD0833"/>
    <w:rsid w:val="00CD0A29"/>
    <w:rsid w:val="00CD0AFD"/>
    <w:rsid w:val="00CD0B40"/>
    <w:rsid w:val="00CD0BF2"/>
    <w:rsid w:val="00CD107E"/>
    <w:rsid w:val="00CD1399"/>
    <w:rsid w:val="00CD1492"/>
    <w:rsid w:val="00CD15E5"/>
    <w:rsid w:val="00CD188F"/>
    <w:rsid w:val="00CD1A05"/>
    <w:rsid w:val="00CD1AA0"/>
    <w:rsid w:val="00CD1F29"/>
    <w:rsid w:val="00CD23B4"/>
    <w:rsid w:val="00CD252F"/>
    <w:rsid w:val="00CD28F5"/>
    <w:rsid w:val="00CD293A"/>
    <w:rsid w:val="00CD2A35"/>
    <w:rsid w:val="00CD2AD2"/>
    <w:rsid w:val="00CD2D28"/>
    <w:rsid w:val="00CD2E3E"/>
    <w:rsid w:val="00CD2FAD"/>
    <w:rsid w:val="00CD300F"/>
    <w:rsid w:val="00CD319B"/>
    <w:rsid w:val="00CD3614"/>
    <w:rsid w:val="00CD3A5B"/>
    <w:rsid w:val="00CD3E3F"/>
    <w:rsid w:val="00CD3FAE"/>
    <w:rsid w:val="00CD3FEE"/>
    <w:rsid w:val="00CD413D"/>
    <w:rsid w:val="00CD42A4"/>
    <w:rsid w:val="00CD42E3"/>
    <w:rsid w:val="00CD4467"/>
    <w:rsid w:val="00CD465E"/>
    <w:rsid w:val="00CD4A6D"/>
    <w:rsid w:val="00CD4B1B"/>
    <w:rsid w:val="00CD4B8F"/>
    <w:rsid w:val="00CD4F62"/>
    <w:rsid w:val="00CD5015"/>
    <w:rsid w:val="00CD53E0"/>
    <w:rsid w:val="00CD5640"/>
    <w:rsid w:val="00CD58C8"/>
    <w:rsid w:val="00CD5BA3"/>
    <w:rsid w:val="00CD6163"/>
    <w:rsid w:val="00CD61BB"/>
    <w:rsid w:val="00CD628E"/>
    <w:rsid w:val="00CD6393"/>
    <w:rsid w:val="00CD66EB"/>
    <w:rsid w:val="00CD6BC4"/>
    <w:rsid w:val="00CD6BEE"/>
    <w:rsid w:val="00CD70A5"/>
    <w:rsid w:val="00CD7222"/>
    <w:rsid w:val="00CD7529"/>
    <w:rsid w:val="00CD78E9"/>
    <w:rsid w:val="00CD7AF8"/>
    <w:rsid w:val="00CD7B2D"/>
    <w:rsid w:val="00CD7B73"/>
    <w:rsid w:val="00CD7BA7"/>
    <w:rsid w:val="00CD7BF0"/>
    <w:rsid w:val="00CD7CD2"/>
    <w:rsid w:val="00CD7CDD"/>
    <w:rsid w:val="00CD7E66"/>
    <w:rsid w:val="00CD7F69"/>
    <w:rsid w:val="00CE0103"/>
    <w:rsid w:val="00CE0234"/>
    <w:rsid w:val="00CE02D9"/>
    <w:rsid w:val="00CE052A"/>
    <w:rsid w:val="00CE0C6F"/>
    <w:rsid w:val="00CE0D72"/>
    <w:rsid w:val="00CE16AC"/>
    <w:rsid w:val="00CE16DB"/>
    <w:rsid w:val="00CE1CD6"/>
    <w:rsid w:val="00CE1D05"/>
    <w:rsid w:val="00CE1D7B"/>
    <w:rsid w:val="00CE1DD3"/>
    <w:rsid w:val="00CE2108"/>
    <w:rsid w:val="00CE215B"/>
    <w:rsid w:val="00CE226F"/>
    <w:rsid w:val="00CE2417"/>
    <w:rsid w:val="00CE25C7"/>
    <w:rsid w:val="00CE2639"/>
    <w:rsid w:val="00CE26FB"/>
    <w:rsid w:val="00CE28C6"/>
    <w:rsid w:val="00CE2A57"/>
    <w:rsid w:val="00CE30BB"/>
    <w:rsid w:val="00CE31B2"/>
    <w:rsid w:val="00CE3223"/>
    <w:rsid w:val="00CE34C6"/>
    <w:rsid w:val="00CE34E0"/>
    <w:rsid w:val="00CE35BD"/>
    <w:rsid w:val="00CE3821"/>
    <w:rsid w:val="00CE3855"/>
    <w:rsid w:val="00CE3A73"/>
    <w:rsid w:val="00CE3E02"/>
    <w:rsid w:val="00CE3E8F"/>
    <w:rsid w:val="00CE40F6"/>
    <w:rsid w:val="00CE4144"/>
    <w:rsid w:val="00CE41D1"/>
    <w:rsid w:val="00CE41EC"/>
    <w:rsid w:val="00CE43B8"/>
    <w:rsid w:val="00CE444B"/>
    <w:rsid w:val="00CE44AD"/>
    <w:rsid w:val="00CE48F2"/>
    <w:rsid w:val="00CE491C"/>
    <w:rsid w:val="00CE4BED"/>
    <w:rsid w:val="00CE4E09"/>
    <w:rsid w:val="00CE4E9D"/>
    <w:rsid w:val="00CE4F12"/>
    <w:rsid w:val="00CE5014"/>
    <w:rsid w:val="00CE513E"/>
    <w:rsid w:val="00CE5347"/>
    <w:rsid w:val="00CE534B"/>
    <w:rsid w:val="00CE5651"/>
    <w:rsid w:val="00CE566F"/>
    <w:rsid w:val="00CE600C"/>
    <w:rsid w:val="00CE6211"/>
    <w:rsid w:val="00CE6395"/>
    <w:rsid w:val="00CE682C"/>
    <w:rsid w:val="00CE6909"/>
    <w:rsid w:val="00CE69E7"/>
    <w:rsid w:val="00CE6B49"/>
    <w:rsid w:val="00CE6D72"/>
    <w:rsid w:val="00CE6E57"/>
    <w:rsid w:val="00CE6F95"/>
    <w:rsid w:val="00CE703C"/>
    <w:rsid w:val="00CE708B"/>
    <w:rsid w:val="00CE70B2"/>
    <w:rsid w:val="00CE7362"/>
    <w:rsid w:val="00CE750F"/>
    <w:rsid w:val="00CE75FC"/>
    <w:rsid w:val="00CE765D"/>
    <w:rsid w:val="00CE7793"/>
    <w:rsid w:val="00CE7961"/>
    <w:rsid w:val="00CE79C2"/>
    <w:rsid w:val="00CE7A0C"/>
    <w:rsid w:val="00CF0065"/>
    <w:rsid w:val="00CF00F5"/>
    <w:rsid w:val="00CF037F"/>
    <w:rsid w:val="00CF03A8"/>
    <w:rsid w:val="00CF0601"/>
    <w:rsid w:val="00CF0644"/>
    <w:rsid w:val="00CF076D"/>
    <w:rsid w:val="00CF07F6"/>
    <w:rsid w:val="00CF081B"/>
    <w:rsid w:val="00CF0874"/>
    <w:rsid w:val="00CF0876"/>
    <w:rsid w:val="00CF0C8B"/>
    <w:rsid w:val="00CF0D65"/>
    <w:rsid w:val="00CF0F3B"/>
    <w:rsid w:val="00CF0F98"/>
    <w:rsid w:val="00CF11A1"/>
    <w:rsid w:val="00CF1270"/>
    <w:rsid w:val="00CF1316"/>
    <w:rsid w:val="00CF144D"/>
    <w:rsid w:val="00CF1735"/>
    <w:rsid w:val="00CF17AD"/>
    <w:rsid w:val="00CF1918"/>
    <w:rsid w:val="00CF197B"/>
    <w:rsid w:val="00CF1ABF"/>
    <w:rsid w:val="00CF1D49"/>
    <w:rsid w:val="00CF1E67"/>
    <w:rsid w:val="00CF2001"/>
    <w:rsid w:val="00CF2C64"/>
    <w:rsid w:val="00CF2CC1"/>
    <w:rsid w:val="00CF2F14"/>
    <w:rsid w:val="00CF315F"/>
    <w:rsid w:val="00CF31F4"/>
    <w:rsid w:val="00CF327F"/>
    <w:rsid w:val="00CF3335"/>
    <w:rsid w:val="00CF3583"/>
    <w:rsid w:val="00CF40DF"/>
    <w:rsid w:val="00CF4275"/>
    <w:rsid w:val="00CF4678"/>
    <w:rsid w:val="00CF4BC0"/>
    <w:rsid w:val="00CF4D5C"/>
    <w:rsid w:val="00CF50F5"/>
    <w:rsid w:val="00CF512C"/>
    <w:rsid w:val="00CF5291"/>
    <w:rsid w:val="00CF53F2"/>
    <w:rsid w:val="00CF5933"/>
    <w:rsid w:val="00CF5977"/>
    <w:rsid w:val="00CF5C97"/>
    <w:rsid w:val="00CF5E3B"/>
    <w:rsid w:val="00CF6017"/>
    <w:rsid w:val="00CF60EB"/>
    <w:rsid w:val="00CF6110"/>
    <w:rsid w:val="00CF61F1"/>
    <w:rsid w:val="00CF6664"/>
    <w:rsid w:val="00CF688B"/>
    <w:rsid w:val="00CF6955"/>
    <w:rsid w:val="00CF6B66"/>
    <w:rsid w:val="00CF6D49"/>
    <w:rsid w:val="00CF6DE8"/>
    <w:rsid w:val="00CF6E75"/>
    <w:rsid w:val="00CF6E78"/>
    <w:rsid w:val="00CF6F07"/>
    <w:rsid w:val="00CF6F2E"/>
    <w:rsid w:val="00CF7065"/>
    <w:rsid w:val="00CF7255"/>
    <w:rsid w:val="00CF776C"/>
    <w:rsid w:val="00CF7863"/>
    <w:rsid w:val="00CF78BB"/>
    <w:rsid w:val="00CF7B7A"/>
    <w:rsid w:val="00CF7BB5"/>
    <w:rsid w:val="00CF7D8D"/>
    <w:rsid w:val="00CF7FDE"/>
    <w:rsid w:val="00D00320"/>
    <w:rsid w:val="00D004F4"/>
    <w:rsid w:val="00D00A5A"/>
    <w:rsid w:val="00D00C48"/>
    <w:rsid w:val="00D00EB2"/>
    <w:rsid w:val="00D01557"/>
    <w:rsid w:val="00D01648"/>
    <w:rsid w:val="00D016BD"/>
    <w:rsid w:val="00D0191D"/>
    <w:rsid w:val="00D01939"/>
    <w:rsid w:val="00D01C3F"/>
    <w:rsid w:val="00D01CF2"/>
    <w:rsid w:val="00D01F02"/>
    <w:rsid w:val="00D01FB3"/>
    <w:rsid w:val="00D02016"/>
    <w:rsid w:val="00D0210F"/>
    <w:rsid w:val="00D02205"/>
    <w:rsid w:val="00D026C8"/>
    <w:rsid w:val="00D02778"/>
    <w:rsid w:val="00D02D4D"/>
    <w:rsid w:val="00D02E95"/>
    <w:rsid w:val="00D02F47"/>
    <w:rsid w:val="00D02FAF"/>
    <w:rsid w:val="00D03B4A"/>
    <w:rsid w:val="00D03F26"/>
    <w:rsid w:val="00D03F57"/>
    <w:rsid w:val="00D040DE"/>
    <w:rsid w:val="00D041C4"/>
    <w:rsid w:val="00D041ED"/>
    <w:rsid w:val="00D04209"/>
    <w:rsid w:val="00D04456"/>
    <w:rsid w:val="00D04516"/>
    <w:rsid w:val="00D0456E"/>
    <w:rsid w:val="00D04A29"/>
    <w:rsid w:val="00D04B38"/>
    <w:rsid w:val="00D04BB8"/>
    <w:rsid w:val="00D053CD"/>
    <w:rsid w:val="00D05534"/>
    <w:rsid w:val="00D056A1"/>
    <w:rsid w:val="00D057FC"/>
    <w:rsid w:val="00D05815"/>
    <w:rsid w:val="00D05EA5"/>
    <w:rsid w:val="00D0603D"/>
    <w:rsid w:val="00D0630E"/>
    <w:rsid w:val="00D06999"/>
    <w:rsid w:val="00D06AD1"/>
    <w:rsid w:val="00D06CCD"/>
    <w:rsid w:val="00D07591"/>
    <w:rsid w:val="00D07BB9"/>
    <w:rsid w:val="00D07CF7"/>
    <w:rsid w:val="00D07DE2"/>
    <w:rsid w:val="00D07F3B"/>
    <w:rsid w:val="00D102F4"/>
    <w:rsid w:val="00D10406"/>
    <w:rsid w:val="00D10462"/>
    <w:rsid w:val="00D10552"/>
    <w:rsid w:val="00D106F9"/>
    <w:rsid w:val="00D1072D"/>
    <w:rsid w:val="00D107BD"/>
    <w:rsid w:val="00D107EC"/>
    <w:rsid w:val="00D10CC7"/>
    <w:rsid w:val="00D10DF3"/>
    <w:rsid w:val="00D11067"/>
    <w:rsid w:val="00D11321"/>
    <w:rsid w:val="00D113F1"/>
    <w:rsid w:val="00D114A4"/>
    <w:rsid w:val="00D1188F"/>
    <w:rsid w:val="00D119E5"/>
    <w:rsid w:val="00D11B39"/>
    <w:rsid w:val="00D11BE2"/>
    <w:rsid w:val="00D1203B"/>
    <w:rsid w:val="00D1210E"/>
    <w:rsid w:val="00D12414"/>
    <w:rsid w:val="00D12683"/>
    <w:rsid w:val="00D129DC"/>
    <w:rsid w:val="00D12B1A"/>
    <w:rsid w:val="00D12CF0"/>
    <w:rsid w:val="00D12D02"/>
    <w:rsid w:val="00D12D9D"/>
    <w:rsid w:val="00D12DE9"/>
    <w:rsid w:val="00D12EDA"/>
    <w:rsid w:val="00D12FA2"/>
    <w:rsid w:val="00D1325D"/>
    <w:rsid w:val="00D1334D"/>
    <w:rsid w:val="00D134ED"/>
    <w:rsid w:val="00D13557"/>
    <w:rsid w:val="00D13673"/>
    <w:rsid w:val="00D13A92"/>
    <w:rsid w:val="00D13DA7"/>
    <w:rsid w:val="00D140A2"/>
    <w:rsid w:val="00D140F8"/>
    <w:rsid w:val="00D141B3"/>
    <w:rsid w:val="00D143D2"/>
    <w:rsid w:val="00D1443B"/>
    <w:rsid w:val="00D14879"/>
    <w:rsid w:val="00D148C1"/>
    <w:rsid w:val="00D149DE"/>
    <w:rsid w:val="00D14B06"/>
    <w:rsid w:val="00D14C8E"/>
    <w:rsid w:val="00D14D1A"/>
    <w:rsid w:val="00D14D40"/>
    <w:rsid w:val="00D14E0D"/>
    <w:rsid w:val="00D1516E"/>
    <w:rsid w:val="00D1532E"/>
    <w:rsid w:val="00D1534C"/>
    <w:rsid w:val="00D15972"/>
    <w:rsid w:val="00D15983"/>
    <w:rsid w:val="00D159C3"/>
    <w:rsid w:val="00D15A6B"/>
    <w:rsid w:val="00D15B75"/>
    <w:rsid w:val="00D15C8F"/>
    <w:rsid w:val="00D15E47"/>
    <w:rsid w:val="00D1623D"/>
    <w:rsid w:val="00D162F3"/>
    <w:rsid w:val="00D16301"/>
    <w:rsid w:val="00D163A4"/>
    <w:rsid w:val="00D16728"/>
    <w:rsid w:val="00D168BB"/>
    <w:rsid w:val="00D16BC8"/>
    <w:rsid w:val="00D16C69"/>
    <w:rsid w:val="00D16F87"/>
    <w:rsid w:val="00D16FDE"/>
    <w:rsid w:val="00D17171"/>
    <w:rsid w:val="00D1734A"/>
    <w:rsid w:val="00D17366"/>
    <w:rsid w:val="00D1753F"/>
    <w:rsid w:val="00D1783E"/>
    <w:rsid w:val="00D178FE"/>
    <w:rsid w:val="00D17BDD"/>
    <w:rsid w:val="00D17EA6"/>
    <w:rsid w:val="00D17F8E"/>
    <w:rsid w:val="00D20219"/>
    <w:rsid w:val="00D20284"/>
    <w:rsid w:val="00D205BC"/>
    <w:rsid w:val="00D207FE"/>
    <w:rsid w:val="00D20DEE"/>
    <w:rsid w:val="00D21038"/>
    <w:rsid w:val="00D2104C"/>
    <w:rsid w:val="00D212C5"/>
    <w:rsid w:val="00D2154E"/>
    <w:rsid w:val="00D21920"/>
    <w:rsid w:val="00D21986"/>
    <w:rsid w:val="00D21DD8"/>
    <w:rsid w:val="00D220D2"/>
    <w:rsid w:val="00D22103"/>
    <w:rsid w:val="00D221AC"/>
    <w:rsid w:val="00D22225"/>
    <w:rsid w:val="00D22941"/>
    <w:rsid w:val="00D22A35"/>
    <w:rsid w:val="00D22A54"/>
    <w:rsid w:val="00D22B37"/>
    <w:rsid w:val="00D22C4B"/>
    <w:rsid w:val="00D22D80"/>
    <w:rsid w:val="00D23135"/>
    <w:rsid w:val="00D2331E"/>
    <w:rsid w:val="00D2332A"/>
    <w:rsid w:val="00D2398B"/>
    <w:rsid w:val="00D23DE5"/>
    <w:rsid w:val="00D23FA0"/>
    <w:rsid w:val="00D2425C"/>
    <w:rsid w:val="00D244A7"/>
    <w:rsid w:val="00D24534"/>
    <w:rsid w:val="00D245B8"/>
    <w:rsid w:val="00D246D1"/>
    <w:rsid w:val="00D24728"/>
    <w:rsid w:val="00D248D0"/>
    <w:rsid w:val="00D24A1D"/>
    <w:rsid w:val="00D24A22"/>
    <w:rsid w:val="00D24D1E"/>
    <w:rsid w:val="00D24D7D"/>
    <w:rsid w:val="00D24F90"/>
    <w:rsid w:val="00D24FC5"/>
    <w:rsid w:val="00D24FE3"/>
    <w:rsid w:val="00D25001"/>
    <w:rsid w:val="00D25560"/>
    <w:rsid w:val="00D2557C"/>
    <w:rsid w:val="00D2558F"/>
    <w:rsid w:val="00D2570A"/>
    <w:rsid w:val="00D25742"/>
    <w:rsid w:val="00D25A3F"/>
    <w:rsid w:val="00D25A5A"/>
    <w:rsid w:val="00D25CA5"/>
    <w:rsid w:val="00D25CB2"/>
    <w:rsid w:val="00D25D2C"/>
    <w:rsid w:val="00D25E4B"/>
    <w:rsid w:val="00D260D5"/>
    <w:rsid w:val="00D26150"/>
    <w:rsid w:val="00D2616B"/>
    <w:rsid w:val="00D262F1"/>
    <w:rsid w:val="00D265EC"/>
    <w:rsid w:val="00D26943"/>
    <w:rsid w:val="00D26C55"/>
    <w:rsid w:val="00D26D2A"/>
    <w:rsid w:val="00D26D2B"/>
    <w:rsid w:val="00D270BD"/>
    <w:rsid w:val="00D2726B"/>
    <w:rsid w:val="00D279A2"/>
    <w:rsid w:val="00D27AD6"/>
    <w:rsid w:val="00D27B2B"/>
    <w:rsid w:val="00D27D8E"/>
    <w:rsid w:val="00D305EC"/>
    <w:rsid w:val="00D306D9"/>
    <w:rsid w:val="00D30C11"/>
    <w:rsid w:val="00D30E3C"/>
    <w:rsid w:val="00D314A7"/>
    <w:rsid w:val="00D31546"/>
    <w:rsid w:val="00D3154E"/>
    <w:rsid w:val="00D316C0"/>
    <w:rsid w:val="00D318FD"/>
    <w:rsid w:val="00D31DC9"/>
    <w:rsid w:val="00D31DFF"/>
    <w:rsid w:val="00D31F31"/>
    <w:rsid w:val="00D31F7A"/>
    <w:rsid w:val="00D322EE"/>
    <w:rsid w:val="00D3232F"/>
    <w:rsid w:val="00D325E0"/>
    <w:rsid w:val="00D32955"/>
    <w:rsid w:val="00D32AAB"/>
    <w:rsid w:val="00D33129"/>
    <w:rsid w:val="00D3314C"/>
    <w:rsid w:val="00D335A2"/>
    <w:rsid w:val="00D336B8"/>
    <w:rsid w:val="00D337AC"/>
    <w:rsid w:val="00D33A30"/>
    <w:rsid w:val="00D33CB5"/>
    <w:rsid w:val="00D342F1"/>
    <w:rsid w:val="00D342FB"/>
    <w:rsid w:val="00D34812"/>
    <w:rsid w:val="00D3488B"/>
    <w:rsid w:val="00D34C6A"/>
    <w:rsid w:val="00D34D19"/>
    <w:rsid w:val="00D34D4E"/>
    <w:rsid w:val="00D34EFA"/>
    <w:rsid w:val="00D35070"/>
    <w:rsid w:val="00D350A6"/>
    <w:rsid w:val="00D352B9"/>
    <w:rsid w:val="00D35644"/>
    <w:rsid w:val="00D35653"/>
    <w:rsid w:val="00D3577B"/>
    <w:rsid w:val="00D35D27"/>
    <w:rsid w:val="00D35D3A"/>
    <w:rsid w:val="00D35DD1"/>
    <w:rsid w:val="00D35DE1"/>
    <w:rsid w:val="00D361F2"/>
    <w:rsid w:val="00D3628C"/>
    <w:rsid w:val="00D3662A"/>
    <w:rsid w:val="00D36A69"/>
    <w:rsid w:val="00D36A87"/>
    <w:rsid w:val="00D36C88"/>
    <w:rsid w:val="00D36CB8"/>
    <w:rsid w:val="00D36EA2"/>
    <w:rsid w:val="00D36FAE"/>
    <w:rsid w:val="00D374C3"/>
    <w:rsid w:val="00D37506"/>
    <w:rsid w:val="00D37993"/>
    <w:rsid w:val="00D37CDB"/>
    <w:rsid w:val="00D402E2"/>
    <w:rsid w:val="00D404AC"/>
    <w:rsid w:val="00D40841"/>
    <w:rsid w:val="00D4089F"/>
    <w:rsid w:val="00D40944"/>
    <w:rsid w:val="00D40FF3"/>
    <w:rsid w:val="00D4131D"/>
    <w:rsid w:val="00D4136B"/>
    <w:rsid w:val="00D413AA"/>
    <w:rsid w:val="00D414B0"/>
    <w:rsid w:val="00D416A2"/>
    <w:rsid w:val="00D41C96"/>
    <w:rsid w:val="00D41EAD"/>
    <w:rsid w:val="00D41F4C"/>
    <w:rsid w:val="00D41F79"/>
    <w:rsid w:val="00D41F9B"/>
    <w:rsid w:val="00D41FE6"/>
    <w:rsid w:val="00D4222B"/>
    <w:rsid w:val="00D422FD"/>
    <w:rsid w:val="00D426EB"/>
    <w:rsid w:val="00D42946"/>
    <w:rsid w:val="00D42B62"/>
    <w:rsid w:val="00D42B7B"/>
    <w:rsid w:val="00D42BFD"/>
    <w:rsid w:val="00D42CA5"/>
    <w:rsid w:val="00D42E0B"/>
    <w:rsid w:val="00D4314D"/>
    <w:rsid w:val="00D43183"/>
    <w:rsid w:val="00D4323B"/>
    <w:rsid w:val="00D432FC"/>
    <w:rsid w:val="00D436F1"/>
    <w:rsid w:val="00D43745"/>
    <w:rsid w:val="00D438F1"/>
    <w:rsid w:val="00D43962"/>
    <w:rsid w:val="00D43F6D"/>
    <w:rsid w:val="00D43FCC"/>
    <w:rsid w:val="00D44685"/>
    <w:rsid w:val="00D446CA"/>
    <w:rsid w:val="00D44A38"/>
    <w:rsid w:val="00D44A95"/>
    <w:rsid w:val="00D44BF5"/>
    <w:rsid w:val="00D44FC4"/>
    <w:rsid w:val="00D45074"/>
    <w:rsid w:val="00D450DF"/>
    <w:rsid w:val="00D450E7"/>
    <w:rsid w:val="00D4526B"/>
    <w:rsid w:val="00D452AA"/>
    <w:rsid w:val="00D4540A"/>
    <w:rsid w:val="00D457EF"/>
    <w:rsid w:val="00D45E73"/>
    <w:rsid w:val="00D45FBC"/>
    <w:rsid w:val="00D46207"/>
    <w:rsid w:val="00D463A6"/>
    <w:rsid w:val="00D46620"/>
    <w:rsid w:val="00D46781"/>
    <w:rsid w:val="00D46802"/>
    <w:rsid w:val="00D46ADE"/>
    <w:rsid w:val="00D46DA6"/>
    <w:rsid w:val="00D46DF9"/>
    <w:rsid w:val="00D46F4F"/>
    <w:rsid w:val="00D46F74"/>
    <w:rsid w:val="00D46F88"/>
    <w:rsid w:val="00D470E2"/>
    <w:rsid w:val="00D47163"/>
    <w:rsid w:val="00D4789C"/>
    <w:rsid w:val="00D5017F"/>
    <w:rsid w:val="00D508E2"/>
    <w:rsid w:val="00D50C16"/>
    <w:rsid w:val="00D50CFC"/>
    <w:rsid w:val="00D50D0B"/>
    <w:rsid w:val="00D50D37"/>
    <w:rsid w:val="00D50EA4"/>
    <w:rsid w:val="00D50EE0"/>
    <w:rsid w:val="00D50FBC"/>
    <w:rsid w:val="00D5108F"/>
    <w:rsid w:val="00D518D8"/>
    <w:rsid w:val="00D51970"/>
    <w:rsid w:val="00D51D1F"/>
    <w:rsid w:val="00D51F23"/>
    <w:rsid w:val="00D51F2E"/>
    <w:rsid w:val="00D522A8"/>
    <w:rsid w:val="00D52459"/>
    <w:rsid w:val="00D52479"/>
    <w:rsid w:val="00D524A5"/>
    <w:rsid w:val="00D52557"/>
    <w:rsid w:val="00D52804"/>
    <w:rsid w:val="00D52AB1"/>
    <w:rsid w:val="00D52C26"/>
    <w:rsid w:val="00D53026"/>
    <w:rsid w:val="00D530E1"/>
    <w:rsid w:val="00D53126"/>
    <w:rsid w:val="00D531C1"/>
    <w:rsid w:val="00D534E7"/>
    <w:rsid w:val="00D53549"/>
    <w:rsid w:val="00D5367A"/>
    <w:rsid w:val="00D536FE"/>
    <w:rsid w:val="00D5376F"/>
    <w:rsid w:val="00D53B1E"/>
    <w:rsid w:val="00D53B51"/>
    <w:rsid w:val="00D540D4"/>
    <w:rsid w:val="00D541F5"/>
    <w:rsid w:val="00D54310"/>
    <w:rsid w:val="00D543CB"/>
    <w:rsid w:val="00D54556"/>
    <w:rsid w:val="00D54666"/>
    <w:rsid w:val="00D546C1"/>
    <w:rsid w:val="00D54A28"/>
    <w:rsid w:val="00D54AFB"/>
    <w:rsid w:val="00D54D56"/>
    <w:rsid w:val="00D54D5E"/>
    <w:rsid w:val="00D54E02"/>
    <w:rsid w:val="00D54F0E"/>
    <w:rsid w:val="00D54FB1"/>
    <w:rsid w:val="00D55126"/>
    <w:rsid w:val="00D5521F"/>
    <w:rsid w:val="00D55381"/>
    <w:rsid w:val="00D553C1"/>
    <w:rsid w:val="00D553E4"/>
    <w:rsid w:val="00D5586A"/>
    <w:rsid w:val="00D55B0C"/>
    <w:rsid w:val="00D5605D"/>
    <w:rsid w:val="00D560F9"/>
    <w:rsid w:val="00D565FC"/>
    <w:rsid w:val="00D5677A"/>
    <w:rsid w:val="00D5684F"/>
    <w:rsid w:val="00D56952"/>
    <w:rsid w:val="00D56AE7"/>
    <w:rsid w:val="00D56B4E"/>
    <w:rsid w:val="00D56CE1"/>
    <w:rsid w:val="00D56DAF"/>
    <w:rsid w:val="00D57275"/>
    <w:rsid w:val="00D57436"/>
    <w:rsid w:val="00D5763F"/>
    <w:rsid w:val="00D5793C"/>
    <w:rsid w:val="00D57A97"/>
    <w:rsid w:val="00D57C37"/>
    <w:rsid w:val="00D57DA3"/>
    <w:rsid w:val="00D57F0F"/>
    <w:rsid w:val="00D60481"/>
    <w:rsid w:val="00D60621"/>
    <w:rsid w:val="00D6086B"/>
    <w:rsid w:val="00D609B6"/>
    <w:rsid w:val="00D60BD9"/>
    <w:rsid w:val="00D6128D"/>
    <w:rsid w:val="00D612D6"/>
    <w:rsid w:val="00D617C7"/>
    <w:rsid w:val="00D61B1A"/>
    <w:rsid w:val="00D61B82"/>
    <w:rsid w:val="00D61CB6"/>
    <w:rsid w:val="00D620DB"/>
    <w:rsid w:val="00D621C3"/>
    <w:rsid w:val="00D622B7"/>
    <w:rsid w:val="00D6245E"/>
    <w:rsid w:val="00D625A1"/>
    <w:rsid w:val="00D62730"/>
    <w:rsid w:val="00D62ACC"/>
    <w:rsid w:val="00D62C5E"/>
    <w:rsid w:val="00D62CEB"/>
    <w:rsid w:val="00D62E12"/>
    <w:rsid w:val="00D62F14"/>
    <w:rsid w:val="00D62F9B"/>
    <w:rsid w:val="00D6308D"/>
    <w:rsid w:val="00D63096"/>
    <w:rsid w:val="00D631A4"/>
    <w:rsid w:val="00D63310"/>
    <w:rsid w:val="00D6356F"/>
    <w:rsid w:val="00D6374A"/>
    <w:rsid w:val="00D6383D"/>
    <w:rsid w:val="00D63AE8"/>
    <w:rsid w:val="00D63B4E"/>
    <w:rsid w:val="00D63BB2"/>
    <w:rsid w:val="00D63E0C"/>
    <w:rsid w:val="00D64071"/>
    <w:rsid w:val="00D64366"/>
    <w:rsid w:val="00D64448"/>
    <w:rsid w:val="00D6460F"/>
    <w:rsid w:val="00D6463C"/>
    <w:rsid w:val="00D64801"/>
    <w:rsid w:val="00D6488E"/>
    <w:rsid w:val="00D6491F"/>
    <w:rsid w:val="00D649FD"/>
    <w:rsid w:val="00D64AF0"/>
    <w:rsid w:val="00D64CD0"/>
    <w:rsid w:val="00D64DDD"/>
    <w:rsid w:val="00D6501A"/>
    <w:rsid w:val="00D65145"/>
    <w:rsid w:val="00D6533E"/>
    <w:rsid w:val="00D65781"/>
    <w:rsid w:val="00D6592C"/>
    <w:rsid w:val="00D659FB"/>
    <w:rsid w:val="00D65F2F"/>
    <w:rsid w:val="00D66680"/>
    <w:rsid w:val="00D6677C"/>
    <w:rsid w:val="00D66A3B"/>
    <w:rsid w:val="00D66D23"/>
    <w:rsid w:val="00D673E2"/>
    <w:rsid w:val="00D673E8"/>
    <w:rsid w:val="00D67458"/>
    <w:rsid w:val="00D675D7"/>
    <w:rsid w:val="00D67717"/>
    <w:rsid w:val="00D67812"/>
    <w:rsid w:val="00D678E9"/>
    <w:rsid w:val="00D67A77"/>
    <w:rsid w:val="00D67AE9"/>
    <w:rsid w:val="00D67EE4"/>
    <w:rsid w:val="00D701FA"/>
    <w:rsid w:val="00D70483"/>
    <w:rsid w:val="00D70576"/>
    <w:rsid w:val="00D70838"/>
    <w:rsid w:val="00D70B07"/>
    <w:rsid w:val="00D70B15"/>
    <w:rsid w:val="00D70D68"/>
    <w:rsid w:val="00D71159"/>
    <w:rsid w:val="00D7118D"/>
    <w:rsid w:val="00D711F3"/>
    <w:rsid w:val="00D71250"/>
    <w:rsid w:val="00D713C3"/>
    <w:rsid w:val="00D71527"/>
    <w:rsid w:val="00D715F0"/>
    <w:rsid w:val="00D7181F"/>
    <w:rsid w:val="00D718B6"/>
    <w:rsid w:val="00D718B7"/>
    <w:rsid w:val="00D71AA9"/>
    <w:rsid w:val="00D71B34"/>
    <w:rsid w:val="00D71B46"/>
    <w:rsid w:val="00D71DA1"/>
    <w:rsid w:val="00D71FC0"/>
    <w:rsid w:val="00D7208C"/>
    <w:rsid w:val="00D723E5"/>
    <w:rsid w:val="00D728C0"/>
    <w:rsid w:val="00D729A7"/>
    <w:rsid w:val="00D72B58"/>
    <w:rsid w:val="00D72C7C"/>
    <w:rsid w:val="00D72E12"/>
    <w:rsid w:val="00D72FD8"/>
    <w:rsid w:val="00D73078"/>
    <w:rsid w:val="00D73283"/>
    <w:rsid w:val="00D73545"/>
    <w:rsid w:val="00D73733"/>
    <w:rsid w:val="00D739FC"/>
    <w:rsid w:val="00D73C88"/>
    <w:rsid w:val="00D74247"/>
    <w:rsid w:val="00D74416"/>
    <w:rsid w:val="00D745E6"/>
    <w:rsid w:val="00D74709"/>
    <w:rsid w:val="00D74C15"/>
    <w:rsid w:val="00D74C64"/>
    <w:rsid w:val="00D74D23"/>
    <w:rsid w:val="00D75107"/>
    <w:rsid w:val="00D75285"/>
    <w:rsid w:val="00D75334"/>
    <w:rsid w:val="00D75351"/>
    <w:rsid w:val="00D753FB"/>
    <w:rsid w:val="00D75467"/>
    <w:rsid w:val="00D75568"/>
    <w:rsid w:val="00D7587B"/>
    <w:rsid w:val="00D758C3"/>
    <w:rsid w:val="00D75D3D"/>
    <w:rsid w:val="00D76046"/>
    <w:rsid w:val="00D76052"/>
    <w:rsid w:val="00D7617C"/>
    <w:rsid w:val="00D764E3"/>
    <w:rsid w:val="00D76970"/>
    <w:rsid w:val="00D76971"/>
    <w:rsid w:val="00D76A4B"/>
    <w:rsid w:val="00D76BFB"/>
    <w:rsid w:val="00D76F10"/>
    <w:rsid w:val="00D770B4"/>
    <w:rsid w:val="00D7711F"/>
    <w:rsid w:val="00D77171"/>
    <w:rsid w:val="00D772EB"/>
    <w:rsid w:val="00D7759C"/>
    <w:rsid w:val="00D77783"/>
    <w:rsid w:val="00D77989"/>
    <w:rsid w:val="00D77C07"/>
    <w:rsid w:val="00D77E07"/>
    <w:rsid w:val="00D77F39"/>
    <w:rsid w:val="00D80069"/>
    <w:rsid w:val="00D80339"/>
    <w:rsid w:val="00D80349"/>
    <w:rsid w:val="00D8045C"/>
    <w:rsid w:val="00D80758"/>
    <w:rsid w:val="00D807AA"/>
    <w:rsid w:val="00D807DC"/>
    <w:rsid w:val="00D80C85"/>
    <w:rsid w:val="00D80F70"/>
    <w:rsid w:val="00D8115E"/>
    <w:rsid w:val="00D81247"/>
    <w:rsid w:val="00D813E5"/>
    <w:rsid w:val="00D81448"/>
    <w:rsid w:val="00D81664"/>
    <w:rsid w:val="00D817F8"/>
    <w:rsid w:val="00D81903"/>
    <w:rsid w:val="00D819D9"/>
    <w:rsid w:val="00D81C4F"/>
    <w:rsid w:val="00D81DF1"/>
    <w:rsid w:val="00D8208B"/>
    <w:rsid w:val="00D82267"/>
    <w:rsid w:val="00D8255F"/>
    <w:rsid w:val="00D8259F"/>
    <w:rsid w:val="00D825EF"/>
    <w:rsid w:val="00D82939"/>
    <w:rsid w:val="00D82BAA"/>
    <w:rsid w:val="00D82FF9"/>
    <w:rsid w:val="00D83254"/>
    <w:rsid w:val="00D83353"/>
    <w:rsid w:val="00D833E9"/>
    <w:rsid w:val="00D833ED"/>
    <w:rsid w:val="00D83592"/>
    <w:rsid w:val="00D836E6"/>
    <w:rsid w:val="00D837B7"/>
    <w:rsid w:val="00D8381A"/>
    <w:rsid w:val="00D83B07"/>
    <w:rsid w:val="00D83EAD"/>
    <w:rsid w:val="00D83F9E"/>
    <w:rsid w:val="00D84363"/>
    <w:rsid w:val="00D84410"/>
    <w:rsid w:val="00D84891"/>
    <w:rsid w:val="00D84C82"/>
    <w:rsid w:val="00D85079"/>
    <w:rsid w:val="00D8526F"/>
    <w:rsid w:val="00D85437"/>
    <w:rsid w:val="00D85551"/>
    <w:rsid w:val="00D856CC"/>
    <w:rsid w:val="00D85733"/>
    <w:rsid w:val="00D858E3"/>
    <w:rsid w:val="00D85DF8"/>
    <w:rsid w:val="00D86046"/>
    <w:rsid w:val="00D860C5"/>
    <w:rsid w:val="00D863D3"/>
    <w:rsid w:val="00D8654A"/>
    <w:rsid w:val="00D86673"/>
    <w:rsid w:val="00D869AD"/>
    <w:rsid w:val="00D86BD4"/>
    <w:rsid w:val="00D86DB7"/>
    <w:rsid w:val="00D86E54"/>
    <w:rsid w:val="00D87342"/>
    <w:rsid w:val="00D874F0"/>
    <w:rsid w:val="00D87797"/>
    <w:rsid w:val="00D87885"/>
    <w:rsid w:val="00D87957"/>
    <w:rsid w:val="00D87F9F"/>
    <w:rsid w:val="00D9014E"/>
    <w:rsid w:val="00D901AD"/>
    <w:rsid w:val="00D90313"/>
    <w:rsid w:val="00D90964"/>
    <w:rsid w:val="00D909A2"/>
    <w:rsid w:val="00D90AE9"/>
    <w:rsid w:val="00D90BD5"/>
    <w:rsid w:val="00D90EEA"/>
    <w:rsid w:val="00D90F73"/>
    <w:rsid w:val="00D916F2"/>
    <w:rsid w:val="00D918B9"/>
    <w:rsid w:val="00D91A39"/>
    <w:rsid w:val="00D91AD2"/>
    <w:rsid w:val="00D91B89"/>
    <w:rsid w:val="00D91C85"/>
    <w:rsid w:val="00D92018"/>
    <w:rsid w:val="00D9210C"/>
    <w:rsid w:val="00D921B6"/>
    <w:rsid w:val="00D922D0"/>
    <w:rsid w:val="00D9242E"/>
    <w:rsid w:val="00D92560"/>
    <w:rsid w:val="00D92666"/>
    <w:rsid w:val="00D927F3"/>
    <w:rsid w:val="00D92831"/>
    <w:rsid w:val="00D929AD"/>
    <w:rsid w:val="00D92ABE"/>
    <w:rsid w:val="00D92B72"/>
    <w:rsid w:val="00D92D5D"/>
    <w:rsid w:val="00D92ED2"/>
    <w:rsid w:val="00D9317A"/>
    <w:rsid w:val="00D93207"/>
    <w:rsid w:val="00D93216"/>
    <w:rsid w:val="00D93266"/>
    <w:rsid w:val="00D9379D"/>
    <w:rsid w:val="00D93901"/>
    <w:rsid w:val="00D93B22"/>
    <w:rsid w:val="00D93EA1"/>
    <w:rsid w:val="00D941BC"/>
    <w:rsid w:val="00D9442F"/>
    <w:rsid w:val="00D9496C"/>
    <w:rsid w:val="00D94AAF"/>
    <w:rsid w:val="00D94AD0"/>
    <w:rsid w:val="00D94F2C"/>
    <w:rsid w:val="00D94FB8"/>
    <w:rsid w:val="00D95563"/>
    <w:rsid w:val="00D958AD"/>
    <w:rsid w:val="00D95998"/>
    <w:rsid w:val="00D95A9E"/>
    <w:rsid w:val="00D96011"/>
    <w:rsid w:val="00D96016"/>
    <w:rsid w:val="00D96303"/>
    <w:rsid w:val="00D9648C"/>
    <w:rsid w:val="00D96855"/>
    <w:rsid w:val="00D96952"/>
    <w:rsid w:val="00D9698A"/>
    <w:rsid w:val="00D96AAC"/>
    <w:rsid w:val="00D97165"/>
    <w:rsid w:val="00D97345"/>
    <w:rsid w:val="00D973C2"/>
    <w:rsid w:val="00D97498"/>
    <w:rsid w:val="00D975CA"/>
    <w:rsid w:val="00D97711"/>
    <w:rsid w:val="00D9772A"/>
    <w:rsid w:val="00D97D1F"/>
    <w:rsid w:val="00D97D8F"/>
    <w:rsid w:val="00D97E26"/>
    <w:rsid w:val="00D97F2B"/>
    <w:rsid w:val="00DA01C9"/>
    <w:rsid w:val="00DA0291"/>
    <w:rsid w:val="00DA029E"/>
    <w:rsid w:val="00DA060E"/>
    <w:rsid w:val="00DA076E"/>
    <w:rsid w:val="00DA078B"/>
    <w:rsid w:val="00DA08A4"/>
    <w:rsid w:val="00DA0974"/>
    <w:rsid w:val="00DA0A3A"/>
    <w:rsid w:val="00DA0AE6"/>
    <w:rsid w:val="00DA0B09"/>
    <w:rsid w:val="00DA0C71"/>
    <w:rsid w:val="00DA0CE1"/>
    <w:rsid w:val="00DA0EED"/>
    <w:rsid w:val="00DA10BC"/>
    <w:rsid w:val="00DA115A"/>
    <w:rsid w:val="00DA120A"/>
    <w:rsid w:val="00DA137B"/>
    <w:rsid w:val="00DA13C1"/>
    <w:rsid w:val="00DA14F0"/>
    <w:rsid w:val="00DA167F"/>
    <w:rsid w:val="00DA1BB7"/>
    <w:rsid w:val="00DA1F10"/>
    <w:rsid w:val="00DA1F18"/>
    <w:rsid w:val="00DA2080"/>
    <w:rsid w:val="00DA229E"/>
    <w:rsid w:val="00DA25E2"/>
    <w:rsid w:val="00DA2BF5"/>
    <w:rsid w:val="00DA2C11"/>
    <w:rsid w:val="00DA2DD8"/>
    <w:rsid w:val="00DA3015"/>
    <w:rsid w:val="00DA3027"/>
    <w:rsid w:val="00DA3049"/>
    <w:rsid w:val="00DA3051"/>
    <w:rsid w:val="00DA30C2"/>
    <w:rsid w:val="00DA3165"/>
    <w:rsid w:val="00DA330F"/>
    <w:rsid w:val="00DA33A9"/>
    <w:rsid w:val="00DA33E8"/>
    <w:rsid w:val="00DA3475"/>
    <w:rsid w:val="00DA35AA"/>
    <w:rsid w:val="00DA37C3"/>
    <w:rsid w:val="00DA3F45"/>
    <w:rsid w:val="00DA4455"/>
    <w:rsid w:val="00DA48C8"/>
    <w:rsid w:val="00DA4B74"/>
    <w:rsid w:val="00DA4CFF"/>
    <w:rsid w:val="00DA4D7E"/>
    <w:rsid w:val="00DA4D87"/>
    <w:rsid w:val="00DA57E2"/>
    <w:rsid w:val="00DA5803"/>
    <w:rsid w:val="00DA5B42"/>
    <w:rsid w:val="00DA5B62"/>
    <w:rsid w:val="00DA5D5F"/>
    <w:rsid w:val="00DA5EC3"/>
    <w:rsid w:val="00DA68A1"/>
    <w:rsid w:val="00DA6BFB"/>
    <w:rsid w:val="00DA6D06"/>
    <w:rsid w:val="00DA6E37"/>
    <w:rsid w:val="00DA6E7B"/>
    <w:rsid w:val="00DA6FB0"/>
    <w:rsid w:val="00DA7634"/>
    <w:rsid w:val="00DA7ACD"/>
    <w:rsid w:val="00DA7C21"/>
    <w:rsid w:val="00DA7CA0"/>
    <w:rsid w:val="00DB03C8"/>
    <w:rsid w:val="00DB059B"/>
    <w:rsid w:val="00DB059F"/>
    <w:rsid w:val="00DB0629"/>
    <w:rsid w:val="00DB06EF"/>
    <w:rsid w:val="00DB07D8"/>
    <w:rsid w:val="00DB07EC"/>
    <w:rsid w:val="00DB08A9"/>
    <w:rsid w:val="00DB0A18"/>
    <w:rsid w:val="00DB0B8E"/>
    <w:rsid w:val="00DB132B"/>
    <w:rsid w:val="00DB193E"/>
    <w:rsid w:val="00DB1B99"/>
    <w:rsid w:val="00DB1C1B"/>
    <w:rsid w:val="00DB1D17"/>
    <w:rsid w:val="00DB1D52"/>
    <w:rsid w:val="00DB1F69"/>
    <w:rsid w:val="00DB2158"/>
    <w:rsid w:val="00DB2165"/>
    <w:rsid w:val="00DB21BA"/>
    <w:rsid w:val="00DB221D"/>
    <w:rsid w:val="00DB2244"/>
    <w:rsid w:val="00DB26C6"/>
    <w:rsid w:val="00DB285B"/>
    <w:rsid w:val="00DB2EF9"/>
    <w:rsid w:val="00DB2F35"/>
    <w:rsid w:val="00DB30C0"/>
    <w:rsid w:val="00DB3150"/>
    <w:rsid w:val="00DB31AA"/>
    <w:rsid w:val="00DB330D"/>
    <w:rsid w:val="00DB34A2"/>
    <w:rsid w:val="00DB3715"/>
    <w:rsid w:val="00DB37B4"/>
    <w:rsid w:val="00DB37BA"/>
    <w:rsid w:val="00DB3AC1"/>
    <w:rsid w:val="00DB3C75"/>
    <w:rsid w:val="00DB3D17"/>
    <w:rsid w:val="00DB3E62"/>
    <w:rsid w:val="00DB3F87"/>
    <w:rsid w:val="00DB3FF4"/>
    <w:rsid w:val="00DB41ED"/>
    <w:rsid w:val="00DB442E"/>
    <w:rsid w:val="00DB444F"/>
    <w:rsid w:val="00DB4919"/>
    <w:rsid w:val="00DB4A0B"/>
    <w:rsid w:val="00DB4AD9"/>
    <w:rsid w:val="00DB4B86"/>
    <w:rsid w:val="00DB4DB9"/>
    <w:rsid w:val="00DB52AC"/>
    <w:rsid w:val="00DB5663"/>
    <w:rsid w:val="00DB57E6"/>
    <w:rsid w:val="00DB59BA"/>
    <w:rsid w:val="00DB59CD"/>
    <w:rsid w:val="00DB5B6C"/>
    <w:rsid w:val="00DB60AB"/>
    <w:rsid w:val="00DB6277"/>
    <w:rsid w:val="00DB62B3"/>
    <w:rsid w:val="00DB6752"/>
    <w:rsid w:val="00DB6BC4"/>
    <w:rsid w:val="00DB6C9D"/>
    <w:rsid w:val="00DB6EC8"/>
    <w:rsid w:val="00DB70C0"/>
    <w:rsid w:val="00DB71B7"/>
    <w:rsid w:val="00DB73C5"/>
    <w:rsid w:val="00DB7540"/>
    <w:rsid w:val="00DB79E4"/>
    <w:rsid w:val="00DB7A58"/>
    <w:rsid w:val="00DB7E50"/>
    <w:rsid w:val="00DB7F64"/>
    <w:rsid w:val="00DC0083"/>
    <w:rsid w:val="00DC0130"/>
    <w:rsid w:val="00DC025E"/>
    <w:rsid w:val="00DC04FC"/>
    <w:rsid w:val="00DC07A3"/>
    <w:rsid w:val="00DC0842"/>
    <w:rsid w:val="00DC084A"/>
    <w:rsid w:val="00DC091E"/>
    <w:rsid w:val="00DC0AE4"/>
    <w:rsid w:val="00DC0D60"/>
    <w:rsid w:val="00DC0F48"/>
    <w:rsid w:val="00DC10AE"/>
    <w:rsid w:val="00DC10DE"/>
    <w:rsid w:val="00DC10F8"/>
    <w:rsid w:val="00DC1285"/>
    <w:rsid w:val="00DC130A"/>
    <w:rsid w:val="00DC1360"/>
    <w:rsid w:val="00DC136E"/>
    <w:rsid w:val="00DC1553"/>
    <w:rsid w:val="00DC1718"/>
    <w:rsid w:val="00DC1AEC"/>
    <w:rsid w:val="00DC1B41"/>
    <w:rsid w:val="00DC1BB1"/>
    <w:rsid w:val="00DC24A2"/>
    <w:rsid w:val="00DC2583"/>
    <w:rsid w:val="00DC28F2"/>
    <w:rsid w:val="00DC2950"/>
    <w:rsid w:val="00DC3143"/>
    <w:rsid w:val="00DC3212"/>
    <w:rsid w:val="00DC35D3"/>
    <w:rsid w:val="00DC3F48"/>
    <w:rsid w:val="00DC45DF"/>
    <w:rsid w:val="00DC4782"/>
    <w:rsid w:val="00DC4827"/>
    <w:rsid w:val="00DC4A38"/>
    <w:rsid w:val="00DC4D9E"/>
    <w:rsid w:val="00DC4DC3"/>
    <w:rsid w:val="00DC4DE3"/>
    <w:rsid w:val="00DC5174"/>
    <w:rsid w:val="00DC55C1"/>
    <w:rsid w:val="00DC564A"/>
    <w:rsid w:val="00DC589D"/>
    <w:rsid w:val="00DC5C12"/>
    <w:rsid w:val="00DC5E13"/>
    <w:rsid w:val="00DC5F63"/>
    <w:rsid w:val="00DC5FCA"/>
    <w:rsid w:val="00DC61A8"/>
    <w:rsid w:val="00DC657C"/>
    <w:rsid w:val="00DC65C7"/>
    <w:rsid w:val="00DC65F1"/>
    <w:rsid w:val="00DC668E"/>
    <w:rsid w:val="00DC6739"/>
    <w:rsid w:val="00DC687F"/>
    <w:rsid w:val="00DC6AEB"/>
    <w:rsid w:val="00DC6AFE"/>
    <w:rsid w:val="00DC6CB5"/>
    <w:rsid w:val="00DC720C"/>
    <w:rsid w:val="00DC73C9"/>
    <w:rsid w:val="00DC73DD"/>
    <w:rsid w:val="00DC7810"/>
    <w:rsid w:val="00DC7AC9"/>
    <w:rsid w:val="00DC7E90"/>
    <w:rsid w:val="00DC7F80"/>
    <w:rsid w:val="00DD02EF"/>
    <w:rsid w:val="00DD0374"/>
    <w:rsid w:val="00DD0861"/>
    <w:rsid w:val="00DD0C8D"/>
    <w:rsid w:val="00DD0DF8"/>
    <w:rsid w:val="00DD0EC2"/>
    <w:rsid w:val="00DD0FC4"/>
    <w:rsid w:val="00DD0FE1"/>
    <w:rsid w:val="00DD12BC"/>
    <w:rsid w:val="00DD1645"/>
    <w:rsid w:val="00DD16D2"/>
    <w:rsid w:val="00DD171E"/>
    <w:rsid w:val="00DD18D1"/>
    <w:rsid w:val="00DD198D"/>
    <w:rsid w:val="00DD1AE7"/>
    <w:rsid w:val="00DD1B65"/>
    <w:rsid w:val="00DD1BEB"/>
    <w:rsid w:val="00DD20B0"/>
    <w:rsid w:val="00DD2136"/>
    <w:rsid w:val="00DD23F5"/>
    <w:rsid w:val="00DD2435"/>
    <w:rsid w:val="00DD249E"/>
    <w:rsid w:val="00DD24EC"/>
    <w:rsid w:val="00DD29CA"/>
    <w:rsid w:val="00DD2A20"/>
    <w:rsid w:val="00DD2BE7"/>
    <w:rsid w:val="00DD2D9D"/>
    <w:rsid w:val="00DD2E9C"/>
    <w:rsid w:val="00DD303C"/>
    <w:rsid w:val="00DD304F"/>
    <w:rsid w:val="00DD3280"/>
    <w:rsid w:val="00DD3592"/>
    <w:rsid w:val="00DD3F0F"/>
    <w:rsid w:val="00DD3F78"/>
    <w:rsid w:val="00DD413A"/>
    <w:rsid w:val="00DD4207"/>
    <w:rsid w:val="00DD43A4"/>
    <w:rsid w:val="00DD4459"/>
    <w:rsid w:val="00DD45E9"/>
    <w:rsid w:val="00DD48EB"/>
    <w:rsid w:val="00DD4A94"/>
    <w:rsid w:val="00DD4C3C"/>
    <w:rsid w:val="00DD4E09"/>
    <w:rsid w:val="00DD4EED"/>
    <w:rsid w:val="00DD4F0D"/>
    <w:rsid w:val="00DD52A1"/>
    <w:rsid w:val="00DD55D3"/>
    <w:rsid w:val="00DD58F8"/>
    <w:rsid w:val="00DD592E"/>
    <w:rsid w:val="00DD5BFB"/>
    <w:rsid w:val="00DD5C3A"/>
    <w:rsid w:val="00DD5E22"/>
    <w:rsid w:val="00DD60BE"/>
    <w:rsid w:val="00DD6253"/>
    <w:rsid w:val="00DD640C"/>
    <w:rsid w:val="00DD655B"/>
    <w:rsid w:val="00DD6562"/>
    <w:rsid w:val="00DD6846"/>
    <w:rsid w:val="00DD68BC"/>
    <w:rsid w:val="00DD69C6"/>
    <w:rsid w:val="00DD69E0"/>
    <w:rsid w:val="00DD6D08"/>
    <w:rsid w:val="00DD6D56"/>
    <w:rsid w:val="00DD6ED1"/>
    <w:rsid w:val="00DD6FD5"/>
    <w:rsid w:val="00DD7285"/>
    <w:rsid w:val="00DD7300"/>
    <w:rsid w:val="00DD78D5"/>
    <w:rsid w:val="00DD7A06"/>
    <w:rsid w:val="00DD7C07"/>
    <w:rsid w:val="00DD7EAB"/>
    <w:rsid w:val="00DE02B1"/>
    <w:rsid w:val="00DE0506"/>
    <w:rsid w:val="00DE05CA"/>
    <w:rsid w:val="00DE0908"/>
    <w:rsid w:val="00DE0B0A"/>
    <w:rsid w:val="00DE0B8D"/>
    <w:rsid w:val="00DE0D14"/>
    <w:rsid w:val="00DE0D5D"/>
    <w:rsid w:val="00DE1066"/>
    <w:rsid w:val="00DE1086"/>
    <w:rsid w:val="00DE12B8"/>
    <w:rsid w:val="00DE13E6"/>
    <w:rsid w:val="00DE146B"/>
    <w:rsid w:val="00DE16E4"/>
    <w:rsid w:val="00DE1823"/>
    <w:rsid w:val="00DE1921"/>
    <w:rsid w:val="00DE1BC0"/>
    <w:rsid w:val="00DE1F41"/>
    <w:rsid w:val="00DE2182"/>
    <w:rsid w:val="00DE294C"/>
    <w:rsid w:val="00DE297D"/>
    <w:rsid w:val="00DE2992"/>
    <w:rsid w:val="00DE2A4C"/>
    <w:rsid w:val="00DE3653"/>
    <w:rsid w:val="00DE3787"/>
    <w:rsid w:val="00DE3898"/>
    <w:rsid w:val="00DE38DF"/>
    <w:rsid w:val="00DE39D7"/>
    <w:rsid w:val="00DE3E22"/>
    <w:rsid w:val="00DE3EF2"/>
    <w:rsid w:val="00DE41A8"/>
    <w:rsid w:val="00DE4284"/>
    <w:rsid w:val="00DE43B4"/>
    <w:rsid w:val="00DE4BD2"/>
    <w:rsid w:val="00DE4CA0"/>
    <w:rsid w:val="00DE4CDA"/>
    <w:rsid w:val="00DE4FA5"/>
    <w:rsid w:val="00DE529C"/>
    <w:rsid w:val="00DE567E"/>
    <w:rsid w:val="00DE5CA3"/>
    <w:rsid w:val="00DE5F3E"/>
    <w:rsid w:val="00DE60BE"/>
    <w:rsid w:val="00DE61A4"/>
    <w:rsid w:val="00DE624E"/>
    <w:rsid w:val="00DE6422"/>
    <w:rsid w:val="00DE6597"/>
    <w:rsid w:val="00DE67FC"/>
    <w:rsid w:val="00DE686A"/>
    <w:rsid w:val="00DE6BA5"/>
    <w:rsid w:val="00DE6BDB"/>
    <w:rsid w:val="00DE6C22"/>
    <w:rsid w:val="00DE6C6C"/>
    <w:rsid w:val="00DE6D12"/>
    <w:rsid w:val="00DE7065"/>
    <w:rsid w:val="00DE7098"/>
    <w:rsid w:val="00DE70D0"/>
    <w:rsid w:val="00DE753E"/>
    <w:rsid w:val="00DE75A2"/>
    <w:rsid w:val="00DE77B6"/>
    <w:rsid w:val="00DE77D5"/>
    <w:rsid w:val="00DE7EC2"/>
    <w:rsid w:val="00DF0173"/>
    <w:rsid w:val="00DF03FA"/>
    <w:rsid w:val="00DF06CF"/>
    <w:rsid w:val="00DF06F0"/>
    <w:rsid w:val="00DF0830"/>
    <w:rsid w:val="00DF094F"/>
    <w:rsid w:val="00DF0C09"/>
    <w:rsid w:val="00DF16BC"/>
    <w:rsid w:val="00DF175F"/>
    <w:rsid w:val="00DF19C0"/>
    <w:rsid w:val="00DF1D37"/>
    <w:rsid w:val="00DF1FE1"/>
    <w:rsid w:val="00DF22BC"/>
    <w:rsid w:val="00DF24CA"/>
    <w:rsid w:val="00DF269D"/>
    <w:rsid w:val="00DF2801"/>
    <w:rsid w:val="00DF2FFE"/>
    <w:rsid w:val="00DF33D8"/>
    <w:rsid w:val="00DF3568"/>
    <w:rsid w:val="00DF38FB"/>
    <w:rsid w:val="00DF3E0E"/>
    <w:rsid w:val="00DF3E4A"/>
    <w:rsid w:val="00DF3F40"/>
    <w:rsid w:val="00DF4376"/>
    <w:rsid w:val="00DF438C"/>
    <w:rsid w:val="00DF4399"/>
    <w:rsid w:val="00DF4911"/>
    <w:rsid w:val="00DF491D"/>
    <w:rsid w:val="00DF4A5F"/>
    <w:rsid w:val="00DF4E5B"/>
    <w:rsid w:val="00DF4E92"/>
    <w:rsid w:val="00DF4F18"/>
    <w:rsid w:val="00DF4F8F"/>
    <w:rsid w:val="00DF50E1"/>
    <w:rsid w:val="00DF5335"/>
    <w:rsid w:val="00DF55E1"/>
    <w:rsid w:val="00DF56DA"/>
    <w:rsid w:val="00DF57A0"/>
    <w:rsid w:val="00DF5935"/>
    <w:rsid w:val="00DF5B96"/>
    <w:rsid w:val="00DF5BEF"/>
    <w:rsid w:val="00DF6510"/>
    <w:rsid w:val="00DF65FE"/>
    <w:rsid w:val="00DF670B"/>
    <w:rsid w:val="00DF6A63"/>
    <w:rsid w:val="00DF6AF5"/>
    <w:rsid w:val="00DF6D4B"/>
    <w:rsid w:val="00DF71DD"/>
    <w:rsid w:val="00DF725C"/>
    <w:rsid w:val="00DF7287"/>
    <w:rsid w:val="00DF7501"/>
    <w:rsid w:val="00DF77E1"/>
    <w:rsid w:val="00DF7CF6"/>
    <w:rsid w:val="00DF7E01"/>
    <w:rsid w:val="00DF7F23"/>
    <w:rsid w:val="00E001BB"/>
    <w:rsid w:val="00E0029F"/>
    <w:rsid w:val="00E004BD"/>
    <w:rsid w:val="00E006DF"/>
    <w:rsid w:val="00E0074D"/>
    <w:rsid w:val="00E00941"/>
    <w:rsid w:val="00E00A09"/>
    <w:rsid w:val="00E00C15"/>
    <w:rsid w:val="00E00D09"/>
    <w:rsid w:val="00E00DD2"/>
    <w:rsid w:val="00E00E72"/>
    <w:rsid w:val="00E01371"/>
    <w:rsid w:val="00E01509"/>
    <w:rsid w:val="00E01602"/>
    <w:rsid w:val="00E0177B"/>
    <w:rsid w:val="00E01936"/>
    <w:rsid w:val="00E019D3"/>
    <w:rsid w:val="00E01A7A"/>
    <w:rsid w:val="00E01AE1"/>
    <w:rsid w:val="00E01DAC"/>
    <w:rsid w:val="00E01FB6"/>
    <w:rsid w:val="00E0212A"/>
    <w:rsid w:val="00E02167"/>
    <w:rsid w:val="00E021DC"/>
    <w:rsid w:val="00E022B7"/>
    <w:rsid w:val="00E02382"/>
    <w:rsid w:val="00E02603"/>
    <w:rsid w:val="00E029AB"/>
    <w:rsid w:val="00E02A50"/>
    <w:rsid w:val="00E02E24"/>
    <w:rsid w:val="00E03043"/>
    <w:rsid w:val="00E0321A"/>
    <w:rsid w:val="00E032BC"/>
    <w:rsid w:val="00E038D2"/>
    <w:rsid w:val="00E03DDB"/>
    <w:rsid w:val="00E0438C"/>
    <w:rsid w:val="00E04581"/>
    <w:rsid w:val="00E0464B"/>
    <w:rsid w:val="00E046DD"/>
    <w:rsid w:val="00E04750"/>
    <w:rsid w:val="00E0477C"/>
    <w:rsid w:val="00E04A18"/>
    <w:rsid w:val="00E04DA8"/>
    <w:rsid w:val="00E0500C"/>
    <w:rsid w:val="00E05624"/>
    <w:rsid w:val="00E05776"/>
    <w:rsid w:val="00E05AA5"/>
    <w:rsid w:val="00E05BE0"/>
    <w:rsid w:val="00E05CD2"/>
    <w:rsid w:val="00E05CF2"/>
    <w:rsid w:val="00E061ED"/>
    <w:rsid w:val="00E063AF"/>
    <w:rsid w:val="00E0644E"/>
    <w:rsid w:val="00E0645E"/>
    <w:rsid w:val="00E06509"/>
    <w:rsid w:val="00E06678"/>
    <w:rsid w:val="00E0667C"/>
    <w:rsid w:val="00E06823"/>
    <w:rsid w:val="00E069D4"/>
    <w:rsid w:val="00E069FD"/>
    <w:rsid w:val="00E06A59"/>
    <w:rsid w:val="00E06AA6"/>
    <w:rsid w:val="00E075DA"/>
    <w:rsid w:val="00E0780F"/>
    <w:rsid w:val="00E07905"/>
    <w:rsid w:val="00E079AD"/>
    <w:rsid w:val="00E079B2"/>
    <w:rsid w:val="00E07C6A"/>
    <w:rsid w:val="00E07CA8"/>
    <w:rsid w:val="00E07D93"/>
    <w:rsid w:val="00E07F27"/>
    <w:rsid w:val="00E10006"/>
    <w:rsid w:val="00E1039E"/>
    <w:rsid w:val="00E103A6"/>
    <w:rsid w:val="00E1084F"/>
    <w:rsid w:val="00E10935"/>
    <w:rsid w:val="00E109CF"/>
    <w:rsid w:val="00E10CBF"/>
    <w:rsid w:val="00E10EB2"/>
    <w:rsid w:val="00E10EFA"/>
    <w:rsid w:val="00E10F4D"/>
    <w:rsid w:val="00E110FA"/>
    <w:rsid w:val="00E111A2"/>
    <w:rsid w:val="00E111AD"/>
    <w:rsid w:val="00E116E7"/>
    <w:rsid w:val="00E11E5D"/>
    <w:rsid w:val="00E1210A"/>
    <w:rsid w:val="00E121E1"/>
    <w:rsid w:val="00E125BE"/>
    <w:rsid w:val="00E1264F"/>
    <w:rsid w:val="00E126BF"/>
    <w:rsid w:val="00E129D8"/>
    <w:rsid w:val="00E12CD8"/>
    <w:rsid w:val="00E12E02"/>
    <w:rsid w:val="00E13240"/>
    <w:rsid w:val="00E132EB"/>
    <w:rsid w:val="00E13756"/>
    <w:rsid w:val="00E138FE"/>
    <w:rsid w:val="00E13967"/>
    <w:rsid w:val="00E13B02"/>
    <w:rsid w:val="00E13EC0"/>
    <w:rsid w:val="00E13F47"/>
    <w:rsid w:val="00E13F69"/>
    <w:rsid w:val="00E14152"/>
    <w:rsid w:val="00E14266"/>
    <w:rsid w:val="00E14399"/>
    <w:rsid w:val="00E1464C"/>
    <w:rsid w:val="00E14770"/>
    <w:rsid w:val="00E14808"/>
    <w:rsid w:val="00E14861"/>
    <w:rsid w:val="00E148B6"/>
    <w:rsid w:val="00E14AE5"/>
    <w:rsid w:val="00E15167"/>
    <w:rsid w:val="00E153F0"/>
    <w:rsid w:val="00E157B8"/>
    <w:rsid w:val="00E15A90"/>
    <w:rsid w:val="00E15B7C"/>
    <w:rsid w:val="00E15C36"/>
    <w:rsid w:val="00E15D14"/>
    <w:rsid w:val="00E15E7B"/>
    <w:rsid w:val="00E15F6A"/>
    <w:rsid w:val="00E1607D"/>
    <w:rsid w:val="00E16295"/>
    <w:rsid w:val="00E166DB"/>
    <w:rsid w:val="00E16D61"/>
    <w:rsid w:val="00E17024"/>
    <w:rsid w:val="00E1704A"/>
    <w:rsid w:val="00E17214"/>
    <w:rsid w:val="00E17288"/>
    <w:rsid w:val="00E1733F"/>
    <w:rsid w:val="00E17541"/>
    <w:rsid w:val="00E1764B"/>
    <w:rsid w:val="00E17B02"/>
    <w:rsid w:val="00E17CDF"/>
    <w:rsid w:val="00E17E65"/>
    <w:rsid w:val="00E17F9B"/>
    <w:rsid w:val="00E2007B"/>
    <w:rsid w:val="00E2044B"/>
    <w:rsid w:val="00E20643"/>
    <w:rsid w:val="00E20BAC"/>
    <w:rsid w:val="00E20CBD"/>
    <w:rsid w:val="00E20D2A"/>
    <w:rsid w:val="00E21390"/>
    <w:rsid w:val="00E2140A"/>
    <w:rsid w:val="00E21552"/>
    <w:rsid w:val="00E215A6"/>
    <w:rsid w:val="00E21831"/>
    <w:rsid w:val="00E21AFC"/>
    <w:rsid w:val="00E21CE0"/>
    <w:rsid w:val="00E21D3E"/>
    <w:rsid w:val="00E21DF7"/>
    <w:rsid w:val="00E21E2A"/>
    <w:rsid w:val="00E2245C"/>
    <w:rsid w:val="00E2270C"/>
    <w:rsid w:val="00E22735"/>
    <w:rsid w:val="00E2287D"/>
    <w:rsid w:val="00E228E5"/>
    <w:rsid w:val="00E228FA"/>
    <w:rsid w:val="00E22F3B"/>
    <w:rsid w:val="00E2323E"/>
    <w:rsid w:val="00E234BC"/>
    <w:rsid w:val="00E2357A"/>
    <w:rsid w:val="00E236FC"/>
    <w:rsid w:val="00E23701"/>
    <w:rsid w:val="00E2375E"/>
    <w:rsid w:val="00E2389B"/>
    <w:rsid w:val="00E23956"/>
    <w:rsid w:val="00E23A66"/>
    <w:rsid w:val="00E23B2E"/>
    <w:rsid w:val="00E23F6D"/>
    <w:rsid w:val="00E24295"/>
    <w:rsid w:val="00E24395"/>
    <w:rsid w:val="00E24410"/>
    <w:rsid w:val="00E24427"/>
    <w:rsid w:val="00E2444E"/>
    <w:rsid w:val="00E244B0"/>
    <w:rsid w:val="00E2455C"/>
    <w:rsid w:val="00E24870"/>
    <w:rsid w:val="00E248A7"/>
    <w:rsid w:val="00E24A42"/>
    <w:rsid w:val="00E24DDB"/>
    <w:rsid w:val="00E24DFE"/>
    <w:rsid w:val="00E24E42"/>
    <w:rsid w:val="00E25049"/>
    <w:rsid w:val="00E25531"/>
    <w:rsid w:val="00E25667"/>
    <w:rsid w:val="00E25739"/>
    <w:rsid w:val="00E25883"/>
    <w:rsid w:val="00E258F4"/>
    <w:rsid w:val="00E259B8"/>
    <w:rsid w:val="00E25AB8"/>
    <w:rsid w:val="00E25BE3"/>
    <w:rsid w:val="00E25C09"/>
    <w:rsid w:val="00E25CA3"/>
    <w:rsid w:val="00E25CCD"/>
    <w:rsid w:val="00E25E07"/>
    <w:rsid w:val="00E25E81"/>
    <w:rsid w:val="00E26107"/>
    <w:rsid w:val="00E26159"/>
    <w:rsid w:val="00E261B0"/>
    <w:rsid w:val="00E26214"/>
    <w:rsid w:val="00E262B1"/>
    <w:rsid w:val="00E26301"/>
    <w:rsid w:val="00E263AC"/>
    <w:rsid w:val="00E26408"/>
    <w:rsid w:val="00E264CB"/>
    <w:rsid w:val="00E264EF"/>
    <w:rsid w:val="00E265F0"/>
    <w:rsid w:val="00E266BF"/>
    <w:rsid w:val="00E267A9"/>
    <w:rsid w:val="00E268D7"/>
    <w:rsid w:val="00E26BB8"/>
    <w:rsid w:val="00E26C8D"/>
    <w:rsid w:val="00E26DEF"/>
    <w:rsid w:val="00E273A4"/>
    <w:rsid w:val="00E273B1"/>
    <w:rsid w:val="00E275B7"/>
    <w:rsid w:val="00E27617"/>
    <w:rsid w:val="00E2769B"/>
    <w:rsid w:val="00E2778E"/>
    <w:rsid w:val="00E2792B"/>
    <w:rsid w:val="00E2794C"/>
    <w:rsid w:val="00E27B33"/>
    <w:rsid w:val="00E27B35"/>
    <w:rsid w:val="00E27B76"/>
    <w:rsid w:val="00E27D2B"/>
    <w:rsid w:val="00E27DEC"/>
    <w:rsid w:val="00E27E24"/>
    <w:rsid w:val="00E3007F"/>
    <w:rsid w:val="00E300D8"/>
    <w:rsid w:val="00E301C5"/>
    <w:rsid w:val="00E302A0"/>
    <w:rsid w:val="00E3034E"/>
    <w:rsid w:val="00E3043D"/>
    <w:rsid w:val="00E30630"/>
    <w:rsid w:val="00E30BC5"/>
    <w:rsid w:val="00E315F7"/>
    <w:rsid w:val="00E31F5C"/>
    <w:rsid w:val="00E32114"/>
    <w:rsid w:val="00E32116"/>
    <w:rsid w:val="00E32394"/>
    <w:rsid w:val="00E323EC"/>
    <w:rsid w:val="00E32651"/>
    <w:rsid w:val="00E328D8"/>
    <w:rsid w:val="00E32A5C"/>
    <w:rsid w:val="00E32C45"/>
    <w:rsid w:val="00E32D1C"/>
    <w:rsid w:val="00E32D2E"/>
    <w:rsid w:val="00E32F03"/>
    <w:rsid w:val="00E32FD3"/>
    <w:rsid w:val="00E33379"/>
    <w:rsid w:val="00E333EE"/>
    <w:rsid w:val="00E3342D"/>
    <w:rsid w:val="00E3388D"/>
    <w:rsid w:val="00E3393D"/>
    <w:rsid w:val="00E33948"/>
    <w:rsid w:val="00E33A8D"/>
    <w:rsid w:val="00E33B81"/>
    <w:rsid w:val="00E33D49"/>
    <w:rsid w:val="00E33F37"/>
    <w:rsid w:val="00E34165"/>
    <w:rsid w:val="00E34296"/>
    <w:rsid w:val="00E3434E"/>
    <w:rsid w:val="00E34B0E"/>
    <w:rsid w:val="00E34C6B"/>
    <w:rsid w:val="00E34EDE"/>
    <w:rsid w:val="00E35242"/>
    <w:rsid w:val="00E3527B"/>
    <w:rsid w:val="00E35B50"/>
    <w:rsid w:val="00E35D86"/>
    <w:rsid w:val="00E3607B"/>
    <w:rsid w:val="00E3640D"/>
    <w:rsid w:val="00E3642B"/>
    <w:rsid w:val="00E364A9"/>
    <w:rsid w:val="00E36589"/>
    <w:rsid w:val="00E36894"/>
    <w:rsid w:val="00E36B09"/>
    <w:rsid w:val="00E37094"/>
    <w:rsid w:val="00E370DE"/>
    <w:rsid w:val="00E3736E"/>
    <w:rsid w:val="00E373CF"/>
    <w:rsid w:val="00E374C5"/>
    <w:rsid w:val="00E376AC"/>
    <w:rsid w:val="00E377A3"/>
    <w:rsid w:val="00E3792B"/>
    <w:rsid w:val="00E3795C"/>
    <w:rsid w:val="00E37B62"/>
    <w:rsid w:val="00E37D5B"/>
    <w:rsid w:val="00E37E45"/>
    <w:rsid w:val="00E40157"/>
    <w:rsid w:val="00E4039C"/>
    <w:rsid w:val="00E4079D"/>
    <w:rsid w:val="00E40860"/>
    <w:rsid w:val="00E40869"/>
    <w:rsid w:val="00E408B6"/>
    <w:rsid w:val="00E40AF5"/>
    <w:rsid w:val="00E40D6E"/>
    <w:rsid w:val="00E410FE"/>
    <w:rsid w:val="00E411AC"/>
    <w:rsid w:val="00E41228"/>
    <w:rsid w:val="00E4128A"/>
    <w:rsid w:val="00E413FA"/>
    <w:rsid w:val="00E415AB"/>
    <w:rsid w:val="00E41925"/>
    <w:rsid w:val="00E4234D"/>
    <w:rsid w:val="00E4286C"/>
    <w:rsid w:val="00E42D24"/>
    <w:rsid w:val="00E43339"/>
    <w:rsid w:val="00E434DA"/>
    <w:rsid w:val="00E43603"/>
    <w:rsid w:val="00E4379B"/>
    <w:rsid w:val="00E43875"/>
    <w:rsid w:val="00E43B90"/>
    <w:rsid w:val="00E43C46"/>
    <w:rsid w:val="00E43E80"/>
    <w:rsid w:val="00E4410B"/>
    <w:rsid w:val="00E4417E"/>
    <w:rsid w:val="00E443E8"/>
    <w:rsid w:val="00E447B4"/>
    <w:rsid w:val="00E44CE0"/>
    <w:rsid w:val="00E44D52"/>
    <w:rsid w:val="00E44EA0"/>
    <w:rsid w:val="00E4501F"/>
    <w:rsid w:val="00E451FD"/>
    <w:rsid w:val="00E45214"/>
    <w:rsid w:val="00E45378"/>
    <w:rsid w:val="00E455A7"/>
    <w:rsid w:val="00E456E3"/>
    <w:rsid w:val="00E45708"/>
    <w:rsid w:val="00E45878"/>
    <w:rsid w:val="00E45EE7"/>
    <w:rsid w:val="00E45F63"/>
    <w:rsid w:val="00E45FD9"/>
    <w:rsid w:val="00E461FD"/>
    <w:rsid w:val="00E46241"/>
    <w:rsid w:val="00E463B8"/>
    <w:rsid w:val="00E46477"/>
    <w:rsid w:val="00E46595"/>
    <w:rsid w:val="00E46637"/>
    <w:rsid w:val="00E4668F"/>
    <w:rsid w:val="00E46981"/>
    <w:rsid w:val="00E46AB6"/>
    <w:rsid w:val="00E46D2F"/>
    <w:rsid w:val="00E46E88"/>
    <w:rsid w:val="00E46FC5"/>
    <w:rsid w:val="00E47139"/>
    <w:rsid w:val="00E4733E"/>
    <w:rsid w:val="00E47359"/>
    <w:rsid w:val="00E4740E"/>
    <w:rsid w:val="00E47466"/>
    <w:rsid w:val="00E47497"/>
    <w:rsid w:val="00E476C1"/>
    <w:rsid w:val="00E47826"/>
    <w:rsid w:val="00E47850"/>
    <w:rsid w:val="00E47C77"/>
    <w:rsid w:val="00E47E7E"/>
    <w:rsid w:val="00E504EF"/>
    <w:rsid w:val="00E50560"/>
    <w:rsid w:val="00E505A1"/>
    <w:rsid w:val="00E505EC"/>
    <w:rsid w:val="00E50806"/>
    <w:rsid w:val="00E50BA4"/>
    <w:rsid w:val="00E50C19"/>
    <w:rsid w:val="00E51139"/>
    <w:rsid w:val="00E511B4"/>
    <w:rsid w:val="00E513AF"/>
    <w:rsid w:val="00E51698"/>
    <w:rsid w:val="00E516E1"/>
    <w:rsid w:val="00E51A2A"/>
    <w:rsid w:val="00E51B7D"/>
    <w:rsid w:val="00E51B90"/>
    <w:rsid w:val="00E51EAF"/>
    <w:rsid w:val="00E52144"/>
    <w:rsid w:val="00E522E7"/>
    <w:rsid w:val="00E52343"/>
    <w:rsid w:val="00E524AD"/>
    <w:rsid w:val="00E524C2"/>
    <w:rsid w:val="00E5252D"/>
    <w:rsid w:val="00E526C5"/>
    <w:rsid w:val="00E52702"/>
    <w:rsid w:val="00E5278B"/>
    <w:rsid w:val="00E5282B"/>
    <w:rsid w:val="00E52C84"/>
    <w:rsid w:val="00E52E28"/>
    <w:rsid w:val="00E52FE2"/>
    <w:rsid w:val="00E53028"/>
    <w:rsid w:val="00E5337D"/>
    <w:rsid w:val="00E5344F"/>
    <w:rsid w:val="00E53627"/>
    <w:rsid w:val="00E5368C"/>
    <w:rsid w:val="00E53AF1"/>
    <w:rsid w:val="00E53EA1"/>
    <w:rsid w:val="00E54065"/>
    <w:rsid w:val="00E54209"/>
    <w:rsid w:val="00E5437F"/>
    <w:rsid w:val="00E543F2"/>
    <w:rsid w:val="00E54496"/>
    <w:rsid w:val="00E54531"/>
    <w:rsid w:val="00E54791"/>
    <w:rsid w:val="00E54879"/>
    <w:rsid w:val="00E54A8F"/>
    <w:rsid w:val="00E54EEF"/>
    <w:rsid w:val="00E5514F"/>
    <w:rsid w:val="00E552B5"/>
    <w:rsid w:val="00E55624"/>
    <w:rsid w:val="00E55787"/>
    <w:rsid w:val="00E558C3"/>
    <w:rsid w:val="00E55905"/>
    <w:rsid w:val="00E55ACB"/>
    <w:rsid w:val="00E55B76"/>
    <w:rsid w:val="00E55CE1"/>
    <w:rsid w:val="00E55FE8"/>
    <w:rsid w:val="00E56578"/>
    <w:rsid w:val="00E5672F"/>
    <w:rsid w:val="00E5683F"/>
    <w:rsid w:val="00E569E1"/>
    <w:rsid w:val="00E56A85"/>
    <w:rsid w:val="00E56B64"/>
    <w:rsid w:val="00E56B8C"/>
    <w:rsid w:val="00E56C08"/>
    <w:rsid w:val="00E56CF9"/>
    <w:rsid w:val="00E56CFD"/>
    <w:rsid w:val="00E573EF"/>
    <w:rsid w:val="00E5759D"/>
    <w:rsid w:val="00E57E38"/>
    <w:rsid w:val="00E57E5C"/>
    <w:rsid w:val="00E57F31"/>
    <w:rsid w:val="00E60078"/>
    <w:rsid w:val="00E600CA"/>
    <w:rsid w:val="00E6039A"/>
    <w:rsid w:val="00E60990"/>
    <w:rsid w:val="00E60C0B"/>
    <w:rsid w:val="00E60E45"/>
    <w:rsid w:val="00E60F58"/>
    <w:rsid w:val="00E61005"/>
    <w:rsid w:val="00E61435"/>
    <w:rsid w:val="00E6149D"/>
    <w:rsid w:val="00E61530"/>
    <w:rsid w:val="00E61676"/>
    <w:rsid w:val="00E618CB"/>
    <w:rsid w:val="00E61B9C"/>
    <w:rsid w:val="00E61E26"/>
    <w:rsid w:val="00E6201B"/>
    <w:rsid w:val="00E622C4"/>
    <w:rsid w:val="00E62383"/>
    <w:rsid w:val="00E6270A"/>
    <w:rsid w:val="00E628BB"/>
    <w:rsid w:val="00E62B10"/>
    <w:rsid w:val="00E62E8F"/>
    <w:rsid w:val="00E62F08"/>
    <w:rsid w:val="00E6317E"/>
    <w:rsid w:val="00E632D6"/>
    <w:rsid w:val="00E634C2"/>
    <w:rsid w:val="00E639E9"/>
    <w:rsid w:val="00E63AE0"/>
    <w:rsid w:val="00E63B84"/>
    <w:rsid w:val="00E63BAC"/>
    <w:rsid w:val="00E63E16"/>
    <w:rsid w:val="00E63EE5"/>
    <w:rsid w:val="00E63F3C"/>
    <w:rsid w:val="00E64024"/>
    <w:rsid w:val="00E641F1"/>
    <w:rsid w:val="00E643FE"/>
    <w:rsid w:val="00E6450D"/>
    <w:rsid w:val="00E64552"/>
    <w:rsid w:val="00E647EB"/>
    <w:rsid w:val="00E64B84"/>
    <w:rsid w:val="00E64BE4"/>
    <w:rsid w:val="00E64EF2"/>
    <w:rsid w:val="00E64F28"/>
    <w:rsid w:val="00E6514A"/>
    <w:rsid w:val="00E6544C"/>
    <w:rsid w:val="00E6559A"/>
    <w:rsid w:val="00E6563A"/>
    <w:rsid w:val="00E6585D"/>
    <w:rsid w:val="00E65B46"/>
    <w:rsid w:val="00E65B4F"/>
    <w:rsid w:val="00E65F80"/>
    <w:rsid w:val="00E6602D"/>
    <w:rsid w:val="00E664E5"/>
    <w:rsid w:val="00E66AD1"/>
    <w:rsid w:val="00E66CEF"/>
    <w:rsid w:val="00E66DD9"/>
    <w:rsid w:val="00E6714F"/>
    <w:rsid w:val="00E673A4"/>
    <w:rsid w:val="00E67505"/>
    <w:rsid w:val="00E6759C"/>
    <w:rsid w:val="00E67748"/>
    <w:rsid w:val="00E6795E"/>
    <w:rsid w:val="00E67983"/>
    <w:rsid w:val="00E67FD9"/>
    <w:rsid w:val="00E701EE"/>
    <w:rsid w:val="00E70246"/>
    <w:rsid w:val="00E703F1"/>
    <w:rsid w:val="00E705CB"/>
    <w:rsid w:val="00E7069C"/>
    <w:rsid w:val="00E70778"/>
    <w:rsid w:val="00E709DF"/>
    <w:rsid w:val="00E70A0C"/>
    <w:rsid w:val="00E70EE2"/>
    <w:rsid w:val="00E710FC"/>
    <w:rsid w:val="00E71157"/>
    <w:rsid w:val="00E71184"/>
    <w:rsid w:val="00E71249"/>
    <w:rsid w:val="00E71319"/>
    <w:rsid w:val="00E7138D"/>
    <w:rsid w:val="00E715E2"/>
    <w:rsid w:val="00E716C1"/>
    <w:rsid w:val="00E71845"/>
    <w:rsid w:val="00E7195F"/>
    <w:rsid w:val="00E71DB6"/>
    <w:rsid w:val="00E71F6F"/>
    <w:rsid w:val="00E71F87"/>
    <w:rsid w:val="00E72017"/>
    <w:rsid w:val="00E723B9"/>
    <w:rsid w:val="00E724EA"/>
    <w:rsid w:val="00E72540"/>
    <w:rsid w:val="00E726DA"/>
    <w:rsid w:val="00E72870"/>
    <w:rsid w:val="00E729A3"/>
    <w:rsid w:val="00E72A12"/>
    <w:rsid w:val="00E72B35"/>
    <w:rsid w:val="00E72E6E"/>
    <w:rsid w:val="00E730B4"/>
    <w:rsid w:val="00E73311"/>
    <w:rsid w:val="00E736DF"/>
    <w:rsid w:val="00E736E7"/>
    <w:rsid w:val="00E73861"/>
    <w:rsid w:val="00E73C22"/>
    <w:rsid w:val="00E73E50"/>
    <w:rsid w:val="00E73E6F"/>
    <w:rsid w:val="00E74337"/>
    <w:rsid w:val="00E74393"/>
    <w:rsid w:val="00E74AF8"/>
    <w:rsid w:val="00E74B14"/>
    <w:rsid w:val="00E74C73"/>
    <w:rsid w:val="00E74E29"/>
    <w:rsid w:val="00E74E90"/>
    <w:rsid w:val="00E7526E"/>
    <w:rsid w:val="00E755FA"/>
    <w:rsid w:val="00E75A4D"/>
    <w:rsid w:val="00E75B73"/>
    <w:rsid w:val="00E75C64"/>
    <w:rsid w:val="00E7618A"/>
    <w:rsid w:val="00E761DC"/>
    <w:rsid w:val="00E76401"/>
    <w:rsid w:val="00E764E6"/>
    <w:rsid w:val="00E765DF"/>
    <w:rsid w:val="00E765FE"/>
    <w:rsid w:val="00E7684C"/>
    <w:rsid w:val="00E769F5"/>
    <w:rsid w:val="00E76AD6"/>
    <w:rsid w:val="00E76C1F"/>
    <w:rsid w:val="00E76E7C"/>
    <w:rsid w:val="00E76FC6"/>
    <w:rsid w:val="00E775E2"/>
    <w:rsid w:val="00E778ED"/>
    <w:rsid w:val="00E7796F"/>
    <w:rsid w:val="00E77BE2"/>
    <w:rsid w:val="00E77BF7"/>
    <w:rsid w:val="00E77E41"/>
    <w:rsid w:val="00E77EC5"/>
    <w:rsid w:val="00E80196"/>
    <w:rsid w:val="00E8023C"/>
    <w:rsid w:val="00E803EC"/>
    <w:rsid w:val="00E80491"/>
    <w:rsid w:val="00E80596"/>
    <w:rsid w:val="00E806E7"/>
    <w:rsid w:val="00E809F8"/>
    <w:rsid w:val="00E80E84"/>
    <w:rsid w:val="00E81176"/>
    <w:rsid w:val="00E811AD"/>
    <w:rsid w:val="00E8144A"/>
    <w:rsid w:val="00E81584"/>
    <w:rsid w:val="00E81CB4"/>
    <w:rsid w:val="00E81D1E"/>
    <w:rsid w:val="00E81F8A"/>
    <w:rsid w:val="00E82115"/>
    <w:rsid w:val="00E82273"/>
    <w:rsid w:val="00E82BDF"/>
    <w:rsid w:val="00E82C0E"/>
    <w:rsid w:val="00E82C36"/>
    <w:rsid w:val="00E82D9A"/>
    <w:rsid w:val="00E82DDD"/>
    <w:rsid w:val="00E82F31"/>
    <w:rsid w:val="00E830FE"/>
    <w:rsid w:val="00E8320C"/>
    <w:rsid w:val="00E832FF"/>
    <w:rsid w:val="00E83382"/>
    <w:rsid w:val="00E833DC"/>
    <w:rsid w:val="00E8353B"/>
    <w:rsid w:val="00E83650"/>
    <w:rsid w:val="00E8371C"/>
    <w:rsid w:val="00E83940"/>
    <w:rsid w:val="00E83C89"/>
    <w:rsid w:val="00E83D09"/>
    <w:rsid w:val="00E83F56"/>
    <w:rsid w:val="00E840C7"/>
    <w:rsid w:val="00E8446B"/>
    <w:rsid w:val="00E84520"/>
    <w:rsid w:val="00E84A73"/>
    <w:rsid w:val="00E84AAF"/>
    <w:rsid w:val="00E84E23"/>
    <w:rsid w:val="00E84EB3"/>
    <w:rsid w:val="00E852D5"/>
    <w:rsid w:val="00E85300"/>
    <w:rsid w:val="00E8539B"/>
    <w:rsid w:val="00E85653"/>
    <w:rsid w:val="00E85664"/>
    <w:rsid w:val="00E85670"/>
    <w:rsid w:val="00E85988"/>
    <w:rsid w:val="00E85B9B"/>
    <w:rsid w:val="00E85DE1"/>
    <w:rsid w:val="00E861C3"/>
    <w:rsid w:val="00E86724"/>
    <w:rsid w:val="00E8676F"/>
    <w:rsid w:val="00E8682A"/>
    <w:rsid w:val="00E868CA"/>
    <w:rsid w:val="00E86E2F"/>
    <w:rsid w:val="00E86F23"/>
    <w:rsid w:val="00E86F4E"/>
    <w:rsid w:val="00E87010"/>
    <w:rsid w:val="00E8703F"/>
    <w:rsid w:val="00E8719D"/>
    <w:rsid w:val="00E871EB"/>
    <w:rsid w:val="00E8723A"/>
    <w:rsid w:val="00E872D4"/>
    <w:rsid w:val="00E873D0"/>
    <w:rsid w:val="00E8754E"/>
    <w:rsid w:val="00E8758F"/>
    <w:rsid w:val="00E875A5"/>
    <w:rsid w:val="00E8796B"/>
    <w:rsid w:val="00E87A78"/>
    <w:rsid w:val="00E87BBE"/>
    <w:rsid w:val="00E87D40"/>
    <w:rsid w:val="00E87E7B"/>
    <w:rsid w:val="00E87EA9"/>
    <w:rsid w:val="00E87F1F"/>
    <w:rsid w:val="00E87F76"/>
    <w:rsid w:val="00E901E1"/>
    <w:rsid w:val="00E9028B"/>
    <w:rsid w:val="00E902C7"/>
    <w:rsid w:val="00E906ED"/>
    <w:rsid w:val="00E90833"/>
    <w:rsid w:val="00E9098B"/>
    <w:rsid w:val="00E90E9B"/>
    <w:rsid w:val="00E90EAB"/>
    <w:rsid w:val="00E90FE4"/>
    <w:rsid w:val="00E9105F"/>
    <w:rsid w:val="00E9127C"/>
    <w:rsid w:val="00E912B7"/>
    <w:rsid w:val="00E91651"/>
    <w:rsid w:val="00E91B78"/>
    <w:rsid w:val="00E91C07"/>
    <w:rsid w:val="00E91E84"/>
    <w:rsid w:val="00E91F49"/>
    <w:rsid w:val="00E92097"/>
    <w:rsid w:val="00E920CD"/>
    <w:rsid w:val="00E921BE"/>
    <w:rsid w:val="00E921E7"/>
    <w:rsid w:val="00E921F3"/>
    <w:rsid w:val="00E923C8"/>
    <w:rsid w:val="00E92440"/>
    <w:rsid w:val="00E927BB"/>
    <w:rsid w:val="00E92D0F"/>
    <w:rsid w:val="00E92DBD"/>
    <w:rsid w:val="00E92DDD"/>
    <w:rsid w:val="00E931BC"/>
    <w:rsid w:val="00E93753"/>
    <w:rsid w:val="00E93895"/>
    <w:rsid w:val="00E9396F"/>
    <w:rsid w:val="00E93BF8"/>
    <w:rsid w:val="00E93FCB"/>
    <w:rsid w:val="00E94386"/>
    <w:rsid w:val="00E946E5"/>
    <w:rsid w:val="00E948AE"/>
    <w:rsid w:val="00E94DF5"/>
    <w:rsid w:val="00E94F85"/>
    <w:rsid w:val="00E94FBC"/>
    <w:rsid w:val="00E954C0"/>
    <w:rsid w:val="00E957BD"/>
    <w:rsid w:val="00E957E1"/>
    <w:rsid w:val="00E958CE"/>
    <w:rsid w:val="00E95980"/>
    <w:rsid w:val="00E95AFD"/>
    <w:rsid w:val="00E95BB6"/>
    <w:rsid w:val="00E95C50"/>
    <w:rsid w:val="00E95CFA"/>
    <w:rsid w:val="00E95DFA"/>
    <w:rsid w:val="00E95F38"/>
    <w:rsid w:val="00E95F61"/>
    <w:rsid w:val="00E95FC3"/>
    <w:rsid w:val="00E96040"/>
    <w:rsid w:val="00E9625D"/>
    <w:rsid w:val="00E962F4"/>
    <w:rsid w:val="00E96535"/>
    <w:rsid w:val="00E966E1"/>
    <w:rsid w:val="00E96705"/>
    <w:rsid w:val="00E967AE"/>
    <w:rsid w:val="00E96A0D"/>
    <w:rsid w:val="00E96DAB"/>
    <w:rsid w:val="00E96EF6"/>
    <w:rsid w:val="00E96F12"/>
    <w:rsid w:val="00E97043"/>
    <w:rsid w:val="00E9728F"/>
    <w:rsid w:val="00E973E1"/>
    <w:rsid w:val="00E97631"/>
    <w:rsid w:val="00E97F8E"/>
    <w:rsid w:val="00EA009A"/>
    <w:rsid w:val="00EA075B"/>
    <w:rsid w:val="00EA07A2"/>
    <w:rsid w:val="00EA097B"/>
    <w:rsid w:val="00EA0BB8"/>
    <w:rsid w:val="00EA0C85"/>
    <w:rsid w:val="00EA0CAE"/>
    <w:rsid w:val="00EA0CC8"/>
    <w:rsid w:val="00EA0E50"/>
    <w:rsid w:val="00EA0E6A"/>
    <w:rsid w:val="00EA0EA6"/>
    <w:rsid w:val="00EA0F5C"/>
    <w:rsid w:val="00EA10B0"/>
    <w:rsid w:val="00EA1166"/>
    <w:rsid w:val="00EA1213"/>
    <w:rsid w:val="00EA12AA"/>
    <w:rsid w:val="00EA12E4"/>
    <w:rsid w:val="00EA140F"/>
    <w:rsid w:val="00EA1410"/>
    <w:rsid w:val="00EA14D7"/>
    <w:rsid w:val="00EA16AC"/>
    <w:rsid w:val="00EA189F"/>
    <w:rsid w:val="00EA1F9F"/>
    <w:rsid w:val="00EA1FF9"/>
    <w:rsid w:val="00EA2059"/>
    <w:rsid w:val="00EA2123"/>
    <w:rsid w:val="00EA218C"/>
    <w:rsid w:val="00EA2598"/>
    <w:rsid w:val="00EA260E"/>
    <w:rsid w:val="00EA2646"/>
    <w:rsid w:val="00EA26EF"/>
    <w:rsid w:val="00EA27DC"/>
    <w:rsid w:val="00EA2851"/>
    <w:rsid w:val="00EA28C8"/>
    <w:rsid w:val="00EA2932"/>
    <w:rsid w:val="00EA294F"/>
    <w:rsid w:val="00EA2D67"/>
    <w:rsid w:val="00EA2EA5"/>
    <w:rsid w:val="00EA3046"/>
    <w:rsid w:val="00EA31F6"/>
    <w:rsid w:val="00EA3227"/>
    <w:rsid w:val="00EA3352"/>
    <w:rsid w:val="00EA336D"/>
    <w:rsid w:val="00EA3380"/>
    <w:rsid w:val="00EA3440"/>
    <w:rsid w:val="00EA3552"/>
    <w:rsid w:val="00EA37AC"/>
    <w:rsid w:val="00EA3A7B"/>
    <w:rsid w:val="00EA3BAD"/>
    <w:rsid w:val="00EA3BBE"/>
    <w:rsid w:val="00EA404B"/>
    <w:rsid w:val="00EA44EC"/>
    <w:rsid w:val="00EA455F"/>
    <w:rsid w:val="00EA45CA"/>
    <w:rsid w:val="00EA476B"/>
    <w:rsid w:val="00EA4A01"/>
    <w:rsid w:val="00EA4C48"/>
    <w:rsid w:val="00EA4D63"/>
    <w:rsid w:val="00EA4D9A"/>
    <w:rsid w:val="00EA5200"/>
    <w:rsid w:val="00EA5477"/>
    <w:rsid w:val="00EA581A"/>
    <w:rsid w:val="00EA5875"/>
    <w:rsid w:val="00EA5946"/>
    <w:rsid w:val="00EA5AEE"/>
    <w:rsid w:val="00EA5B95"/>
    <w:rsid w:val="00EA5D47"/>
    <w:rsid w:val="00EA5FD0"/>
    <w:rsid w:val="00EA6048"/>
    <w:rsid w:val="00EA627D"/>
    <w:rsid w:val="00EA6482"/>
    <w:rsid w:val="00EA65A8"/>
    <w:rsid w:val="00EA668D"/>
    <w:rsid w:val="00EA6973"/>
    <w:rsid w:val="00EA6B2E"/>
    <w:rsid w:val="00EA6CC9"/>
    <w:rsid w:val="00EA6D57"/>
    <w:rsid w:val="00EA6EFB"/>
    <w:rsid w:val="00EA7140"/>
    <w:rsid w:val="00EA7166"/>
    <w:rsid w:val="00EA717A"/>
    <w:rsid w:val="00EA72D0"/>
    <w:rsid w:val="00EA76BD"/>
    <w:rsid w:val="00EA7E04"/>
    <w:rsid w:val="00EA7F7E"/>
    <w:rsid w:val="00EA7FDE"/>
    <w:rsid w:val="00EB0059"/>
    <w:rsid w:val="00EB0334"/>
    <w:rsid w:val="00EB0469"/>
    <w:rsid w:val="00EB0548"/>
    <w:rsid w:val="00EB077F"/>
    <w:rsid w:val="00EB09CE"/>
    <w:rsid w:val="00EB0E6F"/>
    <w:rsid w:val="00EB129F"/>
    <w:rsid w:val="00EB12E0"/>
    <w:rsid w:val="00EB15B8"/>
    <w:rsid w:val="00EB1F70"/>
    <w:rsid w:val="00EB2093"/>
    <w:rsid w:val="00EB2139"/>
    <w:rsid w:val="00EB2783"/>
    <w:rsid w:val="00EB2BA3"/>
    <w:rsid w:val="00EB2C14"/>
    <w:rsid w:val="00EB2F28"/>
    <w:rsid w:val="00EB3392"/>
    <w:rsid w:val="00EB348B"/>
    <w:rsid w:val="00EB34E9"/>
    <w:rsid w:val="00EB3681"/>
    <w:rsid w:val="00EB413E"/>
    <w:rsid w:val="00EB4220"/>
    <w:rsid w:val="00EB427C"/>
    <w:rsid w:val="00EB4AC1"/>
    <w:rsid w:val="00EB4B41"/>
    <w:rsid w:val="00EB520D"/>
    <w:rsid w:val="00EB5600"/>
    <w:rsid w:val="00EB5609"/>
    <w:rsid w:val="00EB5A61"/>
    <w:rsid w:val="00EB5B3B"/>
    <w:rsid w:val="00EB5C53"/>
    <w:rsid w:val="00EB5C9E"/>
    <w:rsid w:val="00EB5F2D"/>
    <w:rsid w:val="00EB6035"/>
    <w:rsid w:val="00EB64EA"/>
    <w:rsid w:val="00EB6561"/>
    <w:rsid w:val="00EB6C14"/>
    <w:rsid w:val="00EB6F33"/>
    <w:rsid w:val="00EB757A"/>
    <w:rsid w:val="00EB78F1"/>
    <w:rsid w:val="00EB7972"/>
    <w:rsid w:val="00EB7C93"/>
    <w:rsid w:val="00EB7DD6"/>
    <w:rsid w:val="00EB7F54"/>
    <w:rsid w:val="00EC037F"/>
    <w:rsid w:val="00EC03FC"/>
    <w:rsid w:val="00EC0639"/>
    <w:rsid w:val="00EC068B"/>
    <w:rsid w:val="00EC0AF4"/>
    <w:rsid w:val="00EC0C0E"/>
    <w:rsid w:val="00EC0DE4"/>
    <w:rsid w:val="00EC11C5"/>
    <w:rsid w:val="00EC15A2"/>
    <w:rsid w:val="00EC16A6"/>
    <w:rsid w:val="00EC1EE3"/>
    <w:rsid w:val="00EC20D0"/>
    <w:rsid w:val="00EC2321"/>
    <w:rsid w:val="00EC23BB"/>
    <w:rsid w:val="00EC2605"/>
    <w:rsid w:val="00EC2670"/>
    <w:rsid w:val="00EC26C7"/>
    <w:rsid w:val="00EC26E5"/>
    <w:rsid w:val="00EC28CA"/>
    <w:rsid w:val="00EC28CB"/>
    <w:rsid w:val="00EC29EC"/>
    <w:rsid w:val="00EC2D22"/>
    <w:rsid w:val="00EC3028"/>
    <w:rsid w:val="00EC31F3"/>
    <w:rsid w:val="00EC3266"/>
    <w:rsid w:val="00EC33D6"/>
    <w:rsid w:val="00EC34B2"/>
    <w:rsid w:val="00EC3615"/>
    <w:rsid w:val="00EC380E"/>
    <w:rsid w:val="00EC38FB"/>
    <w:rsid w:val="00EC3999"/>
    <w:rsid w:val="00EC3A16"/>
    <w:rsid w:val="00EC3A4D"/>
    <w:rsid w:val="00EC3BFB"/>
    <w:rsid w:val="00EC3C98"/>
    <w:rsid w:val="00EC3FAF"/>
    <w:rsid w:val="00EC40E5"/>
    <w:rsid w:val="00EC410E"/>
    <w:rsid w:val="00EC4184"/>
    <w:rsid w:val="00EC4344"/>
    <w:rsid w:val="00EC4785"/>
    <w:rsid w:val="00EC49A3"/>
    <w:rsid w:val="00EC4F00"/>
    <w:rsid w:val="00EC51DC"/>
    <w:rsid w:val="00EC5910"/>
    <w:rsid w:val="00EC5B3B"/>
    <w:rsid w:val="00EC5B47"/>
    <w:rsid w:val="00EC5D4E"/>
    <w:rsid w:val="00EC6183"/>
    <w:rsid w:val="00EC62B1"/>
    <w:rsid w:val="00EC6529"/>
    <w:rsid w:val="00EC6B51"/>
    <w:rsid w:val="00EC6C80"/>
    <w:rsid w:val="00EC6E4C"/>
    <w:rsid w:val="00EC6EA1"/>
    <w:rsid w:val="00EC7362"/>
    <w:rsid w:val="00EC7395"/>
    <w:rsid w:val="00EC748D"/>
    <w:rsid w:val="00EC77D2"/>
    <w:rsid w:val="00EC7A0F"/>
    <w:rsid w:val="00EC7A3F"/>
    <w:rsid w:val="00EC7C89"/>
    <w:rsid w:val="00EC7D52"/>
    <w:rsid w:val="00EC7E85"/>
    <w:rsid w:val="00EC7F26"/>
    <w:rsid w:val="00EC7F4E"/>
    <w:rsid w:val="00EC7F96"/>
    <w:rsid w:val="00ED01A8"/>
    <w:rsid w:val="00ED02F6"/>
    <w:rsid w:val="00ED0425"/>
    <w:rsid w:val="00ED0694"/>
    <w:rsid w:val="00ED06F5"/>
    <w:rsid w:val="00ED0850"/>
    <w:rsid w:val="00ED0956"/>
    <w:rsid w:val="00ED104C"/>
    <w:rsid w:val="00ED110B"/>
    <w:rsid w:val="00ED1364"/>
    <w:rsid w:val="00ED1469"/>
    <w:rsid w:val="00ED164E"/>
    <w:rsid w:val="00ED18C1"/>
    <w:rsid w:val="00ED1B19"/>
    <w:rsid w:val="00ED1B25"/>
    <w:rsid w:val="00ED1CC6"/>
    <w:rsid w:val="00ED1D41"/>
    <w:rsid w:val="00ED1DB0"/>
    <w:rsid w:val="00ED1E17"/>
    <w:rsid w:val="00ED1FCF"/>
    <w:rsid w:val="00ED2415"/>
    <w:rsid w:val="00ED2493"/>
    <w:rsid w:val="00ED2532"/>
    <w:rsid w:val="00ED25D3"/>
    <w:rsid w:val="00ED2780"/>
    <w:rsid w:val="00ED27D9"/>
    <w:rsid w:val="00ED290D"/>
    <w:rsid w:val="00ED2CA0"/>
    <w:rsid w:val="00ED2D10"/>
    <w:rsid w:val="00ED3120"/>
    <w:rsid w:val="00ED3136"/>
    <w:rsid w:val="00ED341D"/>
    <w:rsid w:val="00ED35CC"/>
    <w:rsid w:val="00ED35E6"/>
    <w:rsid w:val="00ED3820"/>
    <w:rsid w:val="00ED393D"/>
    <w:rsid w:val="00ED3998"/>
    <w:rsid w:val="00ED3FE3"/>
    <w:rsid w:val="00ED423B"/>
    <w:rsid w:val="00ED425E"/>
    <w:rsid w:val="00ED4347"/>
    <w:rsid w:val="00ED449D"/>
    <w:rsid w:val="00ED452D"/>
    <w:rsid w:val="00ED4A1D"/>
    <w:rsid w:val="00ED4C89"/>
    <w:rsid w:val="00ED55D3"/>
    <w:rsid w:val="00ED5B5E"/>
    <w:rsid w:val="00ED5C34"/>
    <w:rsid w:val="00ED5CE0"/>
    <w:rsid w:val="00ED5FCB"/>
    <w:rsid w:val="00ED6142"/>
    <w:rsid w:val="00ED639A"/>
    <w:rsid w:val="00ED63F4"/>
    <w:rsid w:val="00ED646E"/>
    <w:rsid w:val="00ED659C"/>
    <w:rsid w:val="00ED6790"/>
    <w:rsid w:val="00ED68CA"/>
    <w:rsid w:val="00ED6A5B"/>
    <w:rsid w:val="00ED6E7F"/>
    <w:rsid w:val="00ED6F4A"/>
    <w:rsid w:val="00ED70FB"/>
    <w:rsid w:val="00ED73A2"/>
    <w:rsid w:val="00ED73E5"/>
    <w:rsid w:val="00ED7457"/>
    <w:rsid w:val="00ED75BA"/>
    <w:rsid w:val="00ED75DF"/>
    <w:rsid w:val="00ED7614"/>
    <w:rsid w:val="00ED762B"/>
    <w:rsid w:val="00ED76D9"/>
    <w:rsid w:val="00ED7706"/>
    <w:rsid w:val="00ED7AA7"/>
    <w:rsid w:val="00ED7D66"/>
    <w:rsid w:val="00EE0020"/>
    <w:rsid w:val="00EE008C"/>
    <w:rsid w:val="00EE046D"/>
    <w:rsid w:val="00EE074E"/>
    <w:rsid w:val="00EE0AED"/>
    <w:rsid w:val="00EE0B7E"/>
    <w:rsid w:val="00EE0C5B"/>
    <w:rsid w:val="00EE0CC3"/>
    <w:rsid w:val="00EE0D06"/>
    <w:rsid w:val="00EE0E57"/>
    <w:rsid w:val="00EE10AF"/>
    <w:rsid w:val="00EE1164"/>
    <w:rsid w:val="00EE12A8"/>
    <w:rsid w:val="00EE133D"/>
    <w:rsid w:val="00EE1379"/>
    <w:rsid w:val="00EE14EE"/>
    <w:rsid w:val="00EE155A"/>
    <w:rsid w:val="00EE1F92"/>
    <w:rsid w:val="00EE1FA1"/>
    <w:rsid w:val="00EE244E"/>
    <w:rsid w:val="00EE25EE"/>
    <w:rsid w:val="00EE27D0"/>
    <w:rsid w:val="00EE2DCB"/>
    <w:rsid w:val="00EE3288"/>
    <w:rsid w:val="00EE359A"/>
    <w:rsid w:val="00EE3B27"/>
    <w:rsid w:val="00EE3FC6"/>
    <w:rsid w:val="00EE4025"/>
    <w:rsid w:val="00EE40CA"/>
    <w:rsid w:val="00EE4204"/>
    <w:rsid w:val="00EE440B"/>
    <w:rsid w:val="00EE4635"/>
    <w:rsid w:val="00EE484A"/>
    <w:rsid w:val="00EE48B9"/>
    <w:rsid w:val="00EE4B06"/>
    <w:rsid w:val="00EE4EBC"/>
    <w:rsid w:val="00EE5343"/>
    <w:rsid w:val="00EE53B6"/>
    <w:rsid w:val="00EE54B3"/>
    <w:rsid w:val="00EE591A"/>
    <w:rsid w:val="00EE591E"/>
    <w:rsid w:val="00EE629C"/>
    <w:rsid w:val="00EE6543"/>
    <w:rsid w:val="00EE676F"/>
    <w:rsid w:val="00EE6867"/>
    <w:rsid w:val="00EE6BCB"/>
    <w:rsid w:val="00EE6EEB"/>
    <w:rsid w:val="00EE711D"/>
    <w:rsid w:val="00EE7237"/>
    <w:rsid w:val="00EE741F"/>
    <w:rsid w:val="00EE7549"/>
    <w:rsid w:val="00EE7626"/>
    <w:rsid w:val="00EE7658"/>
    <w:rsid w:val="00EE777B"/>
    <w:rsid w:val="00EE7A24"/>
    <w:rsid w:val="00EE7F12"/>
    <w:rsid w:val="00EE7FD5"/>
    <w:rsid w:val="00EF005E"/>
    <w:rsid w:val="00EF010E"/>
    <w:rsid w:val="00EF071E"/>
    <w:rsid w:val="00EF073D"/>
    <w:rsid w:val="00EF0942"/>
    <w:rsid w:val="00EF0ED1"/>
    <w:rsid w:val="00EF1215"/>
    <w:rsid w:val="00EF14C4"/>
    <w:rsid w:val="00EF15F0"/>
    <w:rsid w:val="00EF1CD9"/>
    <w:rsid w:val="00EF1CE1"/>
    <w:rsid w:val="00EF1F4A"/>
    <w:rsid w:val="00EF20EB"/>
    <w:rsid w:val="00EF2211"/>
    <w:rsid w:val="00EF233D"/>
    <w:rsid w:val="00EF24DE"/>
    <w:rsid w:val="00EF2577"/>
    <w:rsid w:val="00EF2659"/>
    <w:rsid w:val="00EF268E"/>
    <w:rsid w:val="00EF2696"/>
    <w:rsid w:val="00EF2704"/>
    <w:rsid w:val="00EF2790"/>
    <w:rsid w:val="00EF2917"/>
    <w:rsid w:val="00EF2B14"/>
    <w:rsid w:val="00EF2B8D"/>
    <w:rsid w:val="00EF2C60"/>
    <w:rsid w:val="00EF2C80"/>
    <w:rsid w:val="00EF2C9D"/>
    <w:rsid w:val="00EF2CC0"/>
    <w:rsid w:val="00EF2E24"/>
    <w:rsid w:val="00EF3690"/>
    <w:rsid w:val="00EF3A0D"/>
    <w:rsid w:val="00EF3DEE"/>
    <w:rsid w:val="00EF3E96"/>
    <w:rsid w:val="00EF3EE8"/>
    <w:rsid w:val="00EF40F3"/>
    <w:rsid w:val="00EF4849"/>
    <w:rsid w:val="00EF4B69"/>
    <w:rsid w:val="00EF4C06"/>
    <w:rsid w:val="00EF4C26"/>
    <w:rsid w:val="00EF4CD7"/>
    <w:rsid w:val="00EF4CF5"/>
    <w:rsid w:val="00EF4ED1"/>
    <w:rsid w:val="00EF5091"/>
    <w:rsid w:val="00EF5148"/>
    <w:rsid w:val="00EF532A"/>
    <w:rsid w:val="00EF53B4"/>
    <w:rsid w:val="00EF5425"/>
    <w:rsid w:val="00EF5854"/>
    <w:rsid w:val="00EF5A03"/>
    <w:rsid w:val="00EF5A48"/>
    <w:rsid w:val="00EF5A7C"/>
    <w:rsid w:val="00EF5E77"/>
    <w:rsid w:val="00EF603E"/>
    <w:rsid w:val="00EF628F"/>
    <w:rsid w:val="00EF6331"/>
    <w:rsid w:val="00EF64E8"/>
    <w:rsid w:val="00EF65D2"/>
    <w:rsid w:val="00EF666B"/>
    <w:rsid w:val="00EF680F"/>
    <w:rsid w:val="00EF6979"/>
    <w:rsid w:val="00EF6B20"/>
    <w:rsid w:val="00EF6C0E"/>
    <w:rsid w:val="00EF6E00"/>
    <w:rsid w:val="00EF6EB6"/>
    <w:rsid w:val="00EF70ED"/>
    <w:rsid w:val="00EF7301"/>
    <w:rsid w:val="00EF763C"/>
    <w:rsid w:val="00EF7736"/>
    <w:rsid w:val="00EF7B16"/>
    <w:rsid w:val="00EF7B83"/>
    <w:rsid w:val="00F00016"/>
    <w:rsid w:val="00F003D6"/>
    <w:rsid w:val="00F00478"/>
    <w:rsid w:val="00F00B0D"/>
    <w:rsid w:val="00F00C10"/>
    <w:rsid w:val="00F00E13"/>
    <w:rsid w:val="00F00EAD"/>
    <w:rsid w:val="00F01174"/>
    <w:rsid w:val="00F012CC"/>
    <w:rsid w:val="00F012E8"/>
    <w:rsid w:val="00F01415"/>
    <w:rsid w:val="00F01514"/>
    <w:rsid w:val="00F01629"/>
    <w:rsid w:val="00F01681"/>
    <w:rsid w:val="00F0173D"/>
    <w:rsid w:val="00F017A0"/>
    <w:rsid w:val="00F017AA"/>
    <w:rsid w:val="00F017ED"/>
    <w:rsid w:val="00F01BF4"/>
    <w:rsid w:val="00F01C17"/>
    <w:rsid w:val="00F02327"/>
    <w:rsid w:val="00F0242C"/>
    <w:rsid w:val="00F0243D"/>
    <w:rsid w:val="00F024D2"/>
    <w:rsid w:val="00F02582"/>
    <w:rsid w:val="00F026A6"/>
    <w:rsid w:val="00F02868"/>
    <w:rsid w:val="00F028CB"/>
    <w:rsid w:val="00F02CA6"/>
    <w:rsid w:val="00F02CFD"/>
    <w:rsid w:val="00F02DBB"/>
    <w:rsid w:val="00F03322"/>
    <w:rsid w:val="00F0364D"/>
    <w:rsid w:val="00F03766"/>
    <w:rsid w:val="00F0378E"/>
    <w:rsid w:val="00F037C1"/>
    <w:rsid w:val="00F03816"/>
    <w:rsid w:val="00F03867"/>
    <w:rsid w:val="00F03A1D"/>
    <w:rsid w:val="00F03C12"/>
    <w:rsid w:val="00F03CA9"/>
    <w:rsid w:val="00F03D21"/>
    <w:rsid w:val="00F03E41"/>
    <w:rsid w:val="00F04167"/>
    <w:rsid w:val="00F0424C"/>
    <w:rsid w:val="00F044C9"/>
    <w:rsid w:val="00F04858"/>
    <w:rsid w:val="00F04C1C"/>
    <w:rsid w:val="00F04C96"/>
    <w:rsid w:val="00F05441"/>
    <w:rsid w:val="00F05DE6"/>
    <w:rsid w:val="00F05E5D"/>
    <w:rsid w:val="00F05ECF"/>
    <w:rsid w:val="00F05F46"/>
    <w:rsid w:val="00F06008"/>
    <w:rsid w:val="00F0604C"/>
    <w:rsid w:val="00F06400"/>
    <w:rsid w:val="00F06429"/>
    <w:rsid w:val="00F064E4"/>
    <w:rsid w:val="00F066C4"/>
    <w:rsid w:val="00F06A2B"/>
    <w:rsid w:val="00F06A89"/>
    <w:rsid w:val="00F06D0B"/>
    <w:rsid w:val="00F06E42"/>
    <w:rsid w:val="00F07090"/>
    <w:rsid w:val="00F0716A"/>
    <w:rsid w:val="00F07404"/>
    <w:rsid w:val="00F0741D"/>
    <w:rsid w:val="00F07444"/>
    <w:rsid w:val="00F07ABD"/>
    <w:rsid w:val="00F07C1B"/>
    <w:rsid w:val="00F07E51"/>
    <w:rsid w:val="00F10244"/>
    <w:rsid w:val="00F104CE"/>
    <w:rsid w:val="00F105DE"/>
    <w:rsid w:val="00F106D5"/>
    <w:rsid w:val="00F10A0E"/>
    <w:rsid w:val="00F10E9C"/>
    <w:rsid w:val="00F113A6"/>
    <w:rsid w:val="00F1172C"/>
    <w:rsid w:val="00F117D1"/>
    <w:rsid w:val="00F11CD7"/>
    <w:rsid w:val="00F11FDA"/>
    <w:rsid w:val="00F12081"/>
    <w:rsid w:val="00F12168"/>
    <w:rsid w:val="00F12A5B"/>
    <w:rsid w:val="00F12BCD"/>
    <w:rsid w:val="00F12EAB"/>
    <w:rsid w:val="00F13094"/>
    <w:rsid w:val="00F13385"/>
    <w:rsid w:val="00F138D2"/>
    <w:rsid w:val="00F13B7B"/>
    <w:rsid w:val="00F13D88"/>
    <w:rsid w:val="00F13E81"/>
    <w:rsid w:val="00F14071"/>
    <w:rsid w:val="00F142B4"/>
    <w:rsid w:val="00F145DB"/>
    <w:rsid w:val="00F147F3"/>
    <w:rsid w:val="00F14BA3"/>
    <w:rsid w:val="00F14BE3"/>
    <w:rsid w:val="00F14C75"/>
    <w:rsid w:val="00F14F50"/>
    <w:rsid w:val="00F14F7D"/>
    <w:rsid w:val="00F1504D"/>
    <w:rsid w:val="00F150C2"/>
    <w:rsid w:val="00F15147"/>
    <w:rsid w:val="00F15434"/>
    <w:rsid w:val="00F1546A"/>
    <w:rsid w:val="00F154E5"/>
    <w:rsid w:val="00F155A7"/>
    <w:rsid w:val="00F1572E"/>
    <w:rsid w:val="00F15927"/>
    <w:rsid w:val="00F15970"/>
    <w:rsid w:val="00F1599F"/>
    <w:rsid w:val="00F159AA"/>
    <w:rsid w:val="00F15B7B"/>
    <w:rsid w:val="00F15B90"/>
    <w:rsid w:val="00F15D53"/>
    <w:rsid w:val="00F15FE4"/>
    <w:rsid w:val="00F1654E"/>
    <w:rsid w:val="00F166C1"/>
    <w:rsid w:val="00F16C0F"/>
    <w:rsid w:val="00F16D4F"/>
    <w:rsid w:val="00F17081"/>
    <w:rsid w:val="00F171AA"/>
    <w:rsid w:val="00F1726F"/>
    <w:rsid w:val="00F17635"/>
    <w:rsid w:val="00F17717"/>
    <w:rsid w:val="00F17992"/>
    <w:rsid w:val="00F17A9E"/>
    <w:rsid w:val="00F17AC8"/>
    <w:rsid w:val="00F17C3C"/>
    <w:rsid w:val="00F17CB1"/>
    <w:rsid w:val="00F17ED4"/>
    <w:rsid w:val="00F17F92"/>
    <w:rsid w:val="00F2008F"/>
    <w:rsid w:val="00F20247"/>
    <w:rsid w:val="00F2024E"/>
    <w:rsid w:val="00F207FD"/>
    <w:rsid w:val="00F20A04"/>
    <w:rsid w:val="00F20B27"/>
    <w:rsid w:val="00F20D06"/>
    <w:rsid w:val="00F20D99"/>
    <w:rsid w:val="00F20E1E"/>
    <w:rsid w:val="00F20F1D"/>
    <w:rsid w:val="00F20F79"/>
    <w:rsid w:val="00F2158C"/>
    <w:rsid w:val="00F2166B"/>
    <w:rsid w:val="00F217BA"/>
    <w:rsid w:val="00F219AB"/>
    <w:rsid w:val="00F21A1F"/>
    <w:rsid w:val="00F21ADD"/>
    <w:rsid w:val="00F21C3C"/>
    <w:rsid w:val="00F21DEC"/>
    <w:rsid w:val="00F22050"/>
    <w:rsid w:val="00F2207D"/>
    <w:rsid w:val="00F22083"/>
    <w:rsid w:val="00F2210B"/>
    <w:rsid w:val="00F22120"/>
    <w:rsid w:val="00F221FA"/>
    <w:rsid w:val="00F22454"/>
    <w:rsid w:val="00F224E1"/>
    <w:rsid w:val="00F2257C"/>
    <w:rsid w:val="00F22884"/>
    <w:rsid w:val="00F2289A"/>
    <w:rsid w:val="00F22CD1"/>
    <w:rsid w:val="00F232A8"/>
    <w:rsid w:val="00F23352"/>
    <w:rsid w:val="00F23411"/>
    <w:rsid w:val="00F2342A"/>
    <w:rsid w:val="00F23828"/>
    <w:rsid w:val="00F23B8F"/>
    <w:rsid w:val="00F23BE4"/>
    <w:rsid w:val="00F23FE1"/>
    <w:rsid w:val="00F24187"/>
    <w:rsid w:val="00F245D7"/>
    <w:rsid w:val="00F24962"/>
    <w:rsid w:val="00F24A10"/>
    <w:rsid w:val="00F24AB1"/>
    <w:rsid w:val="00F24B5B"/>
    <w:rsid w:val="00F24C5D"/>
    <w:rsid w:val="00F24F42"/>
    <w:rsid w:val="00F2526F"/>
    <w:rsid w:val="00F2536F"/>
    <w:rsid w:val="00F2556C"/>
    <w:rsid w:val="00F25637"/>
    <w:rsid w:val="00F25A95"/>
    <w:rsid w:val="00F25BD5"/>
    <w:rsid w:val="00F25C0E"/>
    <w:rsid w:val="00F25F36"/>
    <w:rsid w:val="00F26307"/>
    <w:rsid w:val="00F26645"/>
    <w:rsid w:val="00F26763"/>
    <w:rsid w:val="00F2695F"/>
    <w:rsid w:val="00F26A64"/>
    <w:rsid w:val="00F26C2B"/>
    <w:rsid w:val="00F2704B"/>
    <w:rsid w:val="00F2746B"/>
    <w:rsid w:val="00F27612"/>
    <w:rsid w:val="00F277B2"/>
    <w:rsid w:val="00F27A0D"/>
    <w:rsid w:val="00F27ABA"/>
    <w:rsid w:val="00F27AEB"/>
    <w:rsid w:val="00F27B39"/>
    <w:rsid w:val="00F27BB9"/>
    <w:rsid w:val="00F27C43"/>
    <w:rsid w:val="00F27D99"/>
    <w:rsid w:val="00F27D9F"/>
    <w:rsid w:val="00F27E0D"/>
    <w:rsid w:val="00F27E25"/>
    <w:rsid w:val="00F27FA6"/>
    <w:rsid w:val="00F30237"/>
    <w:rsid w:val="00F308F4"/>
    <w:rsid w:val="00F30A9A"/>
    <w:rsid w:val="00F30C12"/>
    <w:rsid w:val="00F30F4E"/>
    <w:rsid w:val="00F30FFB"/>
    <w:rsid w:val="00F313D8"/>
    <w:rsid w:val="00F313E4"/>
    <w:rsid w:val="00F3170F"/>
    <w:rsid w:val="00F31802"/>
    <w:rsid w:val="00F31A9D"/>
    <w:rsid w:val="00F31DDA"/>
    <w:rsid w:val="00F32277"/>
    <w:rsid w:val="00F32306"/>
    <w:rsid w:val="00F32698"/>
    <w:rsid w:val="00F326CB"/>
    <w:rsid w:val="00F3270E"/>
    <w:rsid w:val="00F32852"/>
    <w:rsid w:val="00F3287D"/>
    <w:rsid w:val="00F32C9A"/>
    <w:rsid w:val="00F33428"/>
    <w:rsid w:val="00F334B6"/>
    <w:rsid w:val="00F335F0"/>
    <w:rsid w:val="00F33C9E"/>
    <w:rsid w:val="00F33D41"/>
    <w:rsid w:val="00F33D97"/>
    <w:rsid w:val="00F33FDE"/>
    <w:rsid w:val="00F34349"/>
    <w:rsid w:val="00F3473F"/>
    <w:rsid w:val="00F348D1"/>
    <w:rsid w:val="00F348E4"/>
    <w:rsid w:val="00F34949"/>
    <w:rsid w:val="00F34ACC"/>
    <w:rsid w:val="00F34B70"/>
    <w:rsid w:val="00F34CA7"/>
    <w:rsid w:val="00F34D5C"/>
    <w:rsid w:val="00F351C0"/>
    <w:rsid w:val="00F3555A"/>
    <w:rsid w:val="00F356C1"/>
    <w:rsid w:val="00F3580E"/>
    <w:rsid w:val="00F35939"/>
    <w:rsid w:val="00F35D51"/>
    <w:rsid w:val="00F35D60"/>
    <w:rsid w:val="00F35D84"/>
    <w:rsid w:val="00F35E62"/>
    <w:rsid w:val="00F35EDE"/>
    <w:rsid w:val="00F3602E"/>
    <w:rsid w:val="00F36281"/>
    <w:rsid w:val="00F36308"/>
    <w:rsid w:val="00F368F0"/>
    <w:rsid w:val="00F36BA7"/>
    <w:rsid w:val="00F36E02"/>
    <w:rsid w:val="00F36EF6"/>
    <w:rsid w:val="00F371D7"/>
    <w:rsid w:val="00F3721E"/>
    <w:rsid w:val="00F37369"/>
    <w:rsid w:val="00F37501"/>
    <w:rsid w:val="00F37592"/>
    <w:rsid w:val="00F3762E"/>
    <w:rsid w:val="00F37773"/>
    <w:rsid w:val="00F37D9C"/>
    <w:rsid w:val="00F37F5E"/>
    <w:rsid w:val="00F37FF2"/>
    <w:rsid w:val="00F40025"/>
    <w:rsid w:val="00F4012B"/>
    <w:rsid w:val="00F401AB"/>
    <w:rsid w:val="00F40226"/>
    <w:rsid w:val="00F4027C"/>
    <w:rsid w:val="00F40A01"/>
    <w:rsid w:val="00F40EE2"/>
    <w:rsid w:val="00F40FD6"/>
    <w:rsid w:val="00F41123"/>
    <w:rsid w:val="00F412E0"/>
    <w:rsid w:val="00F415B6"/>
    <w:rsid w:val="00F41B27"/>
    <w:rsid w:val="00F41BCD"/>
    <w:rsid w:val="00F41C63"/>
    <w:rsid w:val="00F41D61"/>
    <w:rsid w:val="00F41E7F"/>
    <w:rsid w:val="00F41EF4"/>
    <w:rsid w:val="00F41F4A"/>
    <w:rsid w:val="00F4209F"/>
    <w:rsid w:val="00F4215C"/>
    <w:rsid w:val="00F422BA"/>
    <w:rsid w:val="00F42399"/>
    <w:rsid w:val="00F4252C"/>
    <w:rsid w:val="00F427B1"/>
    <w:rsid w:val="00F42892"/>
    <w:rsid w:val="00F42931"/>
    <w:rsid w:val="00F42B67"/>
    <w:rsid w:val="00F43017"/>
    <w:rsid w:val="00F4309E"/>
    <w:rsid w:val="00F430EB"/>
    <w:rsid w:val="00F43B00"/>
    <w:rsid w:val="00F43D42"/>
    <w:rsid w:val="00F44245"/>
    <w:rsid w:val="00F44261"/>
    <w:rsid w:val="00F44363"/>
    <w:rsid w:val="00F4439D"/>
    <w:rsid w:val="00F4439F"/>
    <w:rsid w:val="00F44429"/>
    <w:rsid w:val="00F4450F"/>
    <w:rsid w:val="00F44599"/>
    <w:rsid w:val="00F4463C"/>
    <w:rsid w:val="00F4485D"/>
    <w:rsid w:val="00F448DD"/>
    <w:rsid w:val="00F4492F"/>
    <w:rsid w:val="00F44996"/>
    <w:rsid w:val="00F44C5E"/>
    <w:rsid w:val="00F44DBA"/>
    <w:rsid w:val="00F44F74"/>
    <w:rsid w:val="00F44FF2"/>
    <w:rsid w:val="00F4522A"/>
    <w:rsid w:val="00F452CF"/>
    <w:rsid w:val="00F45395"/>
    <w:rsid w:val="00F456AC"/>
    <w:rsid w:val="00F457EC"/>
    <w:rsid w:val="00F45876"/>
    <w:rsid w:val="00F4597A"/>
    <w:rsid w:val="00F45D78"/>
    <w:rsid w:val="00F45E63"/>
    <w:rsid w:val="00F45EF0"/>
    <w:rsid w:val="00F465E4"/>
    <w:rsid w:val="00F467B7"/>
    <w:rsid w:val="00F468D7"/>
    <w:rsid w:val="00F469D8"/>
    <w:rsid w:val="00F46D19"/>
    <w:rsid w:val="00F46D9B"/>
    <w:rsid w:val="00F470FA"/>
    <w:rsid w:val="00F47182"/>
    <w:rsid w:val="00F4749F"/>
    <w:rsid w:val="00F475AD"/>
    <w:rsid w:val="00F479A6"/>
    <w:rsid w:val="00F479AB"/>
    <w:rsid w:val="00F47A3A"/>
    <w:rsid w:val="00F47B9B"/>
    <w:rsid w:val="00F47D48"/>
    <w:rsid w:val="00F47E1D"/>
    <w:rsid w:val="00F500B7"/>
    <w:rsid w:val="00F5011E"/>
    <w:rsid w:val="00F504C8"/>
    <w:rsid w:val="00F50875"/>
    <w:rsid w:val="00F512BA"/>
    <w:rsid w:val="00F51432"/>
    <w:rsid w:val="00F51A61"/>
    <w:rsid w:val="00F51B13"/>
    <w:rsid w:val="00F51C25"/>
    <w:rsid w:val="00F51C52"/>
    <w:rsid w:val="00F51DCC"/>
    <w:rsid w:val="00F51EA7"/>
    <w:rsid w:val="00F51FE4"/>
    <w:rsid w:val="00F52133"/>
    <w:rsid w:val="00F526C0"/>
    <w:rsid w:val="00F526C6"/>
    <w:rsid w:val="00F5278B"/>
    <w:rsid w:val="00F527A1"/>
    <w:rsid w:val="00F52895"/>
    <w:rsid w:val="00F52A41"/>
    <w:rsid w:val="00F52A76"/>
    <w:rsid w:val="00F52AD2"/>
    <w:rsid w:val="00F52BD0"/>
    <w:rsid w:val="00F52D82"/>
    <w:rsid w:val="00F52EC8"/>
    <w:rsid w:val="00F52F70"/>
    <w:rsid w:val="00F53316"/>
    <w:rsid w:val="00F5365F"/>
    <w:rsid w:val="00F537B0"/>
    <w:rsid w:val="00F5393A"/>
    <w:rsid w:val="00F53C41"/>
    <w:rsid w:val="00F53CED"/>
    <w:rsid w:val="00F53CF5"/>
    <w:rsid w:val="00F5407F"/>
    <w:rsid w:val="00F5412A"/>
    <w:rsid w:val="00F5416D"/>
    <w:rsid w:val="00F54349"/>
    <w:rsid w:val="00F557BE"/>
    <w:rsid w:val="00F55849"/>
    <w:rsid w:val="00F55990"/>
    <w:rsid w:val="00F55A5D"/>
    <w:rsid w:val="00F55A80"/>
    <w:rsid w:val="00F56229"/>
    <w:rsid w:val="00F5630F"/>
    <w:rsid w:val="00F56331"/>
    <w:rsid w:val="00F5635B"/>
    <w:rsid w:val="00F565D2"/>
    <w:rsid w:val="00F56942"/>
    <w:rsid w:val="00F56CF5"/>
    <w:rsid w:val="00F57457"/>
    <w:rsid w:val="00F57474"/>
    <w:rsid w:val="00F5767F"/>
    <w:rsid w:val="00F5786C"/>
    <w:rsid w:val="00F579F5"/>
    <w:rsid w:val="00F57E2F"/>
    <w:rsid w:val="00F57EA9"/>
    <w:rsid w:val="00F60174"/>
    <w:rsid w:val="00F605AD"/>
    <w:rsid w:val="00F60676"/>
    <w:rsid w:val="00F6075E"/>
    <w:rsid w:val="00F60B1F"/>
    <w:rsid w:val="00F60BB4"/>
    <w:rsid w:val="00F60BC8"/>
    <w:rsid w:val="00F60D23"/>
    <w:rsid w:val="00F60D55"/>
    <w:rsid w:val="00F60E1B"/>
    <w:rsid w:val="00F60E8D"/>
    <w:rsid w:val="00F60EB5"/>
    <w:rsid w:val="00F612EB"/>
    <w:rsid w:val="00F61482"/>
    <w:rsid w:val="00F61562"/>
    <w:rsid w:val="00F6162F"/>
    <w:rsid w:val="00F6168B"/>
    <w:rsid w:val="00F6169A"/>
    <w:rsid w:val="00F617A0"/>
    <w:rsid w:val="00F61B1A"/>
    <w:rsid w:val="00F61B1E"/>
    <w:rsid w:val="00F61BAC"/>
    <w:rsid w:val="00F61CA8"/>
    <w:rsid w:val="00F61EEC"/>
    <w:rsid w:val="00F62190"/>
    <w:rsid w:val="00F6276B"/>
    <w:rsid w:val="00F62ACD"/>
    <w:rsid w:val="00F62AE5"/>
    <w:rsid w:val="00F62BCF"/>
    <w:rsid w:val="00F62BF2"/>
    <w:rsid w:val="00F6325F"/>
    <w:rsid w:val="00F63596"/>
    <w:rsid w:val="00F6367D"/>
    <w:rsid w:val="00F637E1"/>
    <w:rsid w:val="00F63F6A"/>
    <w:rsid w:val="00F647B9"/>
    <w:rsid w:val="00F64A65"/>
    <w:rsid w:val="00F64F9A"/>
    <w:rsid w:val="00F651E9"/>
    <w:rsid w:val="00F652AC"/>
    <w:rsid w:val="00F655C8"/>
    <w:rsid w:val="00F658FE"/>
    <w:rsid w:val="00F6591D"/>
    <w:rsid w:val="00F659C8"/>
    <w:rsid w:val="00F65AE4"/>
    <w:rsid w:val="00F66170"/>
    <w:rsid w:val="00F664EC"/>
    <w:rsid w:val="00F664FA"/>
    <w:rsid w:val="00F66569"/>
    <w:rsid w:val="00F668D4"/>
    <w:rsid w:val="00F66D88"/>
    <w:rsid w:val="00F66EBD"/>
    <w:rsid w:val="00F66FD9"/>
    <w:rsid w:val="00F66FE8"/>
    <w:rsid w:val="00F67149"/>
    <w:rsid w:val="00F673EB"/>
    <w:rsid w:val="00F6742F"/>
    <w:rsid w:val="00F67510"/>
    <w:rsid w:val="00F6769C"/>
    <w:rsid w:val="00F6774C"/>
    <w:rsid w:val="00F67BE4"/>
    <w:rsid w:val="00F67CA1"/>
    <w:rsid w:val="00F67E72"/>
    <w:rsid w:val="00F7014D"/>
    <w:rsid w:val="00F7039C"/>
    <w:rsid w:val="00F709A4"/>
    <w:rsid w:val="00F70AB1"/>
    <w:rsid w:val="00F70C07"/>
    <w:rsid w:val="00F70FDB"/>
    <w:rsid w:val="00F7103B"/>
    <w:rsid w:val="00F71210"/>
    <w:rsid w:val="00F71570"/>
    <w:rsid w:val="00F71691"/>
    <w:rsid w:val="00F7191A"/>
    <w:rsid w:val="00F71C5B"/>
    <w:rsid w:val="00F71FE7"/>
    <w:rsid w:val="00F723D4"/>
    <w:rsid w:val="00F724AC"/>
    <w:rsid w:val="00F72869"/>
    <w:rsid w:val="00F72B80"/>
    <w:rsid w:val="00F72CDC"/>
    <w:rsid w:val="00F730B7"/>
    <w:rsid w:val="00F732C9"/>
    <w:rsid w:val="00F7374F"/>
    <w:rsid w:val="00F7385B"/>
    <w:rsid w:val="00F73A30"/>
    <w:rsid w:val="00F740C0"/>
    <w:rsid w:val="00F742E3"/>
    <w:rsid w:val="00F745DF"/>
    <w:rsid w:val="00F746A5"/>
    <w:rsid w:val="00F746F8"/>
    <w:rsid w:val="00F74B37"/>
    <w:rsid w:val="00F74BDE"/>
    <w:rsid w:val="00F74C1C"/>
    <w:rsid w:val="00F74D2A"/>
    <w:rsid w:val="00F75060"/>
    <w:rsid w:val="00F75797"/>
    <w:rsid w:val="00F757ED"/>
    <w:rsid w:val="00F757F6"/>
    <w:rsid w:val="00F758CA"/>
    <w:rsid w:val="00F759BE"/>
    <w:rsid w:val="00F759C5"/>
    <w:rsid w:val="00F75A28"/>
    <w:rsid w:val="00F75D21"/>
    <w:rsid w:val="00F75DD7"/>
    <w:rsid w:val="00F76178"/>
    <w:rsid w:val="00F7618F"/>
    <w:rsid w:val="00F761F4"/>
    <w:rsid w:val="00F76498"/>
    <w:rsid w:val="00F764FA"/>
    <w:rsid w:val="00F76627"/>
    <w:rsid w:val="00F767DE"/>
    <w:rsid w:val="00F769F7"/>
    <w:rsid w:val="00F76C69"/>
    <w:rsid w:val="00F76CB0"/>
    <w:rsid w:val="00F76E44"/>
    <w:rsid w:val="00F76E99"/>
    <w:rsid w:val="00F76EC1"/>
    <w:rsid w:val="00F76FA5"/>
    <w:rsid w:val="00F76FD9"/>
    <w:rsid w:val="00F770D7"/>
    <w:rsid w:val="00F77276"/>
    <w:rsid w:val="00F77438"/>
    <w:rsid w:val="00F776B2"/>
    <w:rsid w:val="00F778C0"/>
    <w:rsid w:val="00F778D6"/>
    <w:rsid w:val="00F7793A"/>
    <w:rsid w:val="00F77D9C"/>
    <w:rsid w:val="00F77E72"/>
    <w:rsid w:val="00F8001F"/>
    <w:rsid w:val="00F800D4"/>
    <w:rsid w:val="00F80427"/>
    <w:rsid w:val="00F80434"/>
    <w:rsid w:val="00F805CF"/>
    <w:rsid w:val="00F805E0"/>
    <w:rsid w:val="00F80C23"/>
    <w:rsid w:val="00F80DFF"/>
    <w:rsid w:val="00F80EF5"/>
    <w:rsid w:val="00F813B5"/>
    <w:rsid w:val="00F81480"/>
    <w:rsid w:val="00F8178A"/>
    <w:rsid w:val="00F819F1"/>
    <w:rsid w:val="00F81ACB"/>
    <w:rsid w:val="00F81CC8"/>
    <w:rsid w:val="00F81F06"/>
    <w:rsid w:val="00F821CA"/>
    <w:rsid w:val="00F8230B"/>
    <w:rsid w:val="00F824B6"/>
    <w:rsid w:val="00F824CE"/>
    <w:rsid w:val="00F82592"/>
    <w:rsid w:val="00F8269B"/>
    <w:rsid w:val="00F82799"/>
    <w:rsid w:val="00F82949"/>
    <w:rsid w:val="00F82C04"/>
    <w:rsid w:val="00F82DA0"/>
    <w:rsid w:val="00F82E5E"/>
    <w:rsid w:val="00F82ECF"/>
    <w:rsid w:val="00F83202"/>
    <w:rsid w:val="00F832A5"/>
    <w:rsid w:val="00F83496"/>
    <w:rsid w:val="00F8349D"/>
    <w:rsid w:val="00F838A6"/>
    <w:rsid w:val="00F83C06"/>
    <w:rsid w:val="00F83D1E"/>
    <w:rsid w:val="00F83E98"/>
    <w:rsid w:val="00F83EEF"/>
    <w:rsid w:val="00F84314"/>
    <w:rsid w:val="00F8447B"/>
    <w:rsid w:val="00F8486C"/>
    <w:rsid w:val="00F8495F"/>
    <w:rsid w:val="00F84981"/>
    <w:rsid w:val="00F849C1"/>
    <w:rsid w:val="00F85265"/>
    <w:rsid w:val="00F8548B"/>
    <w:rsid w:val="00F85615"/>
    <w:rsid w:val="00F85643"/>
    <w:rsid w:val="00F85691"/>
    <w:rsid w:val="00F857DF"/>
    <w:rsid w:val="00F85823"/>
    <w:rsid w:val="00F85937"/>
    <w:rsid w:val="00F85F54"/>
    <w:rsid w:val="00F85F8D"/>
    <w:rsid w:val="00F85FBE"/>
    <w:rsid w:val="00F860FA"/>
    <w:rsid w:val="00F86133"/>
    <w:rsid w:val="00F863B6"/>
    <w:rsid w:val="00F863F3"/>
    <w:rsid w:val="00F866C1"/>
    <w:rsid w:val="00F866EE"/>
    <w:rsid w:val="00F86809"/>
    <w:rsid w:val="00F868DF"/>
    <w:rsid w:val="00F8690D"/>
    <w:rsid w:val="00F86B67"/>
    <w:rsid w:val="00F86D53"/>
    <w:rsid w:val="00F86DF6"/>
    <w:rsid w:val="00F86FE1"/>
    <w:rsid w:val="00F87189"/>
    <w:rsid w:val="00F87647"/>
    <w:rsid w:val="00F87698"/>
    <w:rsid w:val="00F87716"/>
    <w:rsid w:val="00F87817"/>
    <w:rsid w:val="00F878B2"/>
    <w:rsid w:val="00F879C5"/>
    <w:rsid w:val="00F87BEC"/>
    <w:rsid w:val="00F903F8"/>
    <w:rsid w:val="00F908B5"/>
    <w:rsid w:val="00F90D56"/>
    <w:rsid w:val="00F90DE5"/>
    <w:rsid w:val="00F90E7A"/>
    <w:rsid w:val="00F91006"/>
    <w:rsid w:val="00F914C3"/>
    <w:rsid w:val="00F914D7"/>
    <w:rsid w:val="00F91651"/>
    <w:rsid w:val="00F91799"/>
    <w:rsid w:val="00F91BD2"/>
    <w:rsid w:val="00F91C21"/>
    <w:rsid w:val="00F91DC6"/>
    <w:rsid w:val="00F91F33"/>
    <w:rsid w:val="00F921B6"/>
    <w:rsid w:val="00F923AE"/>
    <w:rsid w:val="00F9250A"/>
    <w:rsid w:val="00F92867"/>
    <w:rsid w:val="00F9290C"/>
    <w:rsid w:val="00F9296B"/>
    <w:rsid w:val="00F92C86"/>
    <w:rsid w:val="00F92EE2"/>
    <w:rsid w:val="00F92FDA"/>
    <w:rsid w:val="00F92FF8"/>
    <w:rsid w:val="00F93346"/>
    <w:rsid w:val="00F935CC"/>
    <w:rsid w:val="00F937C3"/>
    <w:rsid w:val="00F937F7"/>
    <w:rsid w:val="00F93925"/>
    <w:rsid w:val="00F9393D"/>
    <w:rsid w:val="00F93B6D"/>
    <w:rsid w:val="00F93C9A"/>
    <w:rsid w:val="00F93E2F"/>
    <w:rsid w:val="00F93E6E"/>
    <w:rsid w:val="00F94038"/>
    <w:rsid w:val="00F941CC"/>
    <w:rsid w:val="00F941E0"/>
    <w:rsid w:val="00F94287"/>
    <w:rsid w:val="00F944CF"/>
    <w:rsid w:val="00F94505"/>
    <w:rsid w:val="00F945B7"/>
    <w:rsid w:val="00F946CD"/>
    <w:rsid w:val="00F94789"/>
    <w:rsid w:val="00F947BF"/>
    <w:rsid w:val="00F949FE"/>
    <w:rsid w:val="00F94ABB"/>
    <w:rsid w:val="00F94D4D"/>
    <w:rsid w:val="00F94EBC"/>
    <w:rsid w:val="00F94EEA"/>
    <w:rsid w:val="00F95169"/>
    <w:rsid w:val="00F95329"/>
    <w:rsid w:val="00F9566D"/>
    <w:rsid w:val="00F956F0"/>
    <w:rsid w:val="00F95ABE"/>
    <w:rsid w:val="00F95C33"/>
    <w:rsid w:val="00F95CC2"/>
    <w:rsid w:val="00F95D50"/>
    <w:rsid w:val="00F95FF9"/>
    <w:rsid w:val="00F96029"/>
    <w:rsid w:val="00F9604F"/>
    <w:rsid w:val="00F963A1"/>
    <w:rsid w:val="00F96489"/>
    <w:rsid w:val="00F964EA"/>
    <w:rsid w:val="00F96978"/>
    <w:rsid w:val="00F969BC"/>
    <w:rsid w:val="00F96AA7"/>
    <w:rsid w:val="00F96CD4"/>
    <w:rsid w:val="00F96E79"/>
    <w:rsid w:val="00F96EA3"/>
    <w:rsid w:val="00F970D7"/>
    <w:rsid w:val="00F971F8"/>
    <w:rsid w:val="00F97404"/>
    <w:rsid w:val="00F9766D"/>
    <w:rsid w:val="00F97731"/>
    <w:rsid w:val="00F97C05"/>
    <w:rsid w:val="00F97CA5"/>
    <w:rsid w:val="00F97DF9"/>
    <w:rsid w:val="00F97FA2"/>
    <w:rsid w:val="00F97FA8"/>
    <w:rsid w:val="00FA00C5"/>
    <w:rsid w:val="00FA00C7"/>
    <w:rsid w:val="00FA0154"/>
    <w:rsid w:val="00FA0193"/>
    <w:rsid w:val="00FA02AF"/>
    <w:rsid w:val="00FA0352"/>
    <w:rsid w:val="00FA0453"/>
    <w:rsid w:val="00FA06A6"/>
    <w:rsid w:val="00FA0997"/>
    <w:rsid w:val="00FA0A6E"/>
    <w:rsid w:val="00FA0C3C"/>
    <w:rsid w:val="00FA0F96"/>
    <w:rsid w:val="00FA110F"/>
    <w:rsid w:val="00FA17C3"/>
    <w:rsid w:val="00FA1A84"/>
    <w:rsid w:val="00FA1B0D"/>
    <w:rsid w:val="00FA1D0E"/>
    <w:rsid w:val="00FA1E96"/>
    <w:rsid w:val="00FA1FDE"/>
    <w:rsid w:val="00FA207D"/>
    <w:rsid w:val="00FA25AA"/>
    <w:rsid w:val="00FA26EF"/>
    <w:rsid w:val="00FA2723"/>
    <w:rsid w:val="00FA2862"/>
    <w:rsid w:val="00FA29C2"/>
    <w:rsid w:val="00FA29DD"/>
    <w:rsid w:val="00FA2A76"/>
    <w:rsid w:val="00FA31F5"/>
    <w:rsid w:val="00FA33A4"/>
    <w:rsid w:val="00FA3501"/>
    <w:rsid w:val="00FA35AF"/>
    <w:rsid w:val="00FA36A8"/>
    <w:rsid w:val="00FA3756"/>
    <w:rsid w:val="00FA378E"/>
    <w:rsid w:val="00FA3803"/>
    <w:rsid w:val="00FA3843"/>
    <w:rsid w:val="00FA3EE0"/>
    <w:rsid w:val="00FA4064"/>
    <w:rsid w:val="00FA4367"/>
    <w:rsid w:val="00FA454E"/>
    <w:rsid w:val="00FA45D0"/>
    <w:rsid w:val="00FA4691"/>
    <w:rsid w:val="00FA4752"/>
    <w:rsid w:val="00FA496C"/>
    <w:rsid w:val="00FA4BA0"/>
    <w:rsid w:val="00FA4C00"/>
    <w:rsid w:val="00FA5003"/>
    <w:rsid w:val="00FA50F8"/>
    <w:rsid w:val="00FA5498"/>
    <w:rsid w:val="00FA54D1"/>
    <w:rsid w:val="00FA5611"/>
    <w:rsid w:val="00FA56C9"/>
    <w:rsid w:val="00FA57E2"/>
    <w:rsid w:val="00FA5B85"/>
    <w:rsid w:val="00FA5C09"/>
    <w:rsid w:val="00FA5CFF"/>
    <w:rsid w:val="00FA5E7F"/>
    <w:rsid w:val="00FA6023"/>
    <w:rsid w:val="00FA6037"/>
    <w:rsid w:val="00FA603F"/>
    <w:rsid w:val="00FA609C"/>
    <w:rsid w:val="00FA62A6"/>
    <w:rsid w:val="00FA6704"/>
    <w:rsid w:val="00FA6735"/>
    <w:rsid w:val="00FA6792"/>
    <w:rsid w:val="00FA68D7"/>
    <w:rsid w:val="00FA693D"/>
    <w:rsid w:val="00FA6C11"/>
    <w:rsid w:val="00FA708E"/>
    <w:rsid w:val="00FA740D"/>
    <w:rsid w:val="00FA763E"/>
    <w:rsid w:val="00FA7931"/>
    <w:rsid w:val="00FB0037"/>
    <w:rsid w:val="00FB0069"/>
    <w:rsid w:val="00FB014E"/>
    <w:rsid w:val="00FB02B9"/>
    <w:rsid w:val="00FB063E"/>
    <w:rsid w:val="00FB0739"/>
    <w:rsid w:val="00FB0757"/>
    <w:rsid w:val="00FB0761"/>
    <w:rsid w:val="00FB0BE8"/>
    <w:rsid w:val="00FB0CF2"/>
    <w:rsid w:val="00FB0E77"/>
    <w:rsid w:val="00FB1513"/>
    <w:rsid w:val="00FB1A01"/>
    <w:rsid w:val="00FB1A1D"/>
    <w:rsid w:val="00FB1AD4"/>
    <w:rsid w:val="00FB1AF1"/>
    <w:rsid w:val="00FB1B04"/>
    <w:rsid w:val="00FB1B81"/>
    <w:rsid w:val="00FB1C29"/>
    <w:rsid w:val="00FB1F2E"/>
    <w:rsid w:val="00FB2124"/>
    <w:rsid w:val="00FB249A"/>
    <w:rsid w:val="00FB24FC"/>
    <w:rsid w:val="00FB296A"/>
    <w:rsid w:val="00FB299E"/>
    <w:rsid w:val="00FB29C9"/>
    <w:rsid w:val="00FB2BC2"/>
    <w:rsid w:val="00FB2DBC"/>
    <w:rsid w:val="00FB3083"/>
    <w:rsid w:val="00FB3211"/>
    <w:rsid w:val="00FB3423"/>
    <w:rsid w:val="00FB346C"/>
    <w:rsid w:val="00FB364D"/>
    <w:rsid w:val="00FB37A2"/>
    <w:rsid w:val="00FB3C29"/>
    <w:rsid w:val="00FB3E26"/>
    <w:rsid w:val="00FB3F9D"/>
    <w:rsid w:val="00FB4273"/>
    <w:rsid w:val="00FB42E7"/>
    <w:rsid w:val="00FB4491"/>
    <w:rsid w:val="00FB44E7"/>
    <w:rsid w:val="00FB45AD"/>
    <w:rsid w:val="00FB4928"/>
    <w:rsid w:val="00FB4974"/>
    <w:rsid w:val="00FB4C56"/>
    <w:rsid w:val="00FB4CBE"/>
    <w:rsid w:val="00FB5382"/>
    <w:rsid w:val="00FB5583"/>
    <w:rsid w:val="00FB55B3"/>
    <w:rsid w:val="00FB5658"/>
    <w:rsid w:val="00FB5A3D"/>
    <w:rsid w:val="00FB5B16"/>
    <w:rsid w:val="00FB5DA5"/>
    <w:rsid w:val="00FB600E"/>
    <w:rsid w:val="00FB60AE"/>
    <w:rsid w:val="00FB61D3"/>
    <w:rsid w:val="00FB62FB"/>
    <w:rsid w:val="00FB6313"/>
    <w:rsid w:val="00FB6833"/>
    <w:rsid w:val="00FB6AC4"/>
    <w:rsid w:val="00FB6D21"/>
    <w:rsid w:val="00FB6FD0"/>
    <w:rsid w:val="00FB71F9"/>
    <w:rsid w:val="00FB7231"/>
    <w:rsid w:val="00FB75C0"/>
    <w:rsid w:val="00FB78E2"/>
    <w:rsid w:val="00FB7939"/>
    <w:rsid w:val="00FB7950"/>
    <w:rsid w:val="00FB7E35"/>
    <w:rsid w:val="00FC0144"/>
    <w:rsid w:val="00FC01A8"/>
    <w:rsid w:val="00FC0203"/>
    <w:rsid w:val="00FC0B05"/>
    <w:rsid w:val="00FC0BBB"/>
    <w:rsid w:val="00FC10BD"/>
    <w:rsid w:val="00FC10DC"/>
    <w:rsid w:val="00FC183D"/>
    <w:rsid w:val="00FC19B1"/>
    <w:rsid w:val="00FC1A5E"/>
    <w:rsid w:val="00FC1AC2"/>
    <w:rsid w:val="00FC1AD7"/>
    <w:rsid w:val="00FC1C4B"/>
    <w:rsid w:val="00FC1EDD"/>
    <w:rsid w:val="00FC1F93"/>
    <w:rsid w:val="00FC2044"/>
    <w:rsid w:val="00FC240E"/>
    <w:rsid w:val="00FC2454"/>
    <w:rsid w:val="00FC2893"/>
    <w:rsid w:val="00FC2AD4"/>
    <w:rsid w:val="00FC2B1A"/>
    <w:rsid w:val="00FC2B2B"/>
    <w:rsid w:val="00FC2E5F"/>
    <w:rsid w:val="00FC2E84"/>
    <w:rsid w:val="00FC2E97"/>
    <w:rsid w:val="00FC3123"/>
    <w:rsid w:val="00FC31CF"/>
    <w:rsid w:val="00FC32D3"/>
    <w:rsid w:val="00FC32DE"/>
    <w:rsid w:val="00FC32F1"/>
    <w:rsid w:val="00FC3375"/>
    <w:rsid w:val="00FC356E"/>
    <w:rsid w:val="00FC3B2A"/>
    <w:rsid w:val="00FC3B6E"/>
    <w:rsid w:val="00FC3B8C"/>
    <w:rsid w:val="00FC3CB5"/>
    <w:rsid w:val="00FC4353"/>
    <w:rsid w:val="00FC445D"/>
    <w:rsid w:val="00FC4486"/>
    <w:rsid w:val="00FC4761"/>
    <w:rsid w:val="00FC47E9"/>
    <w:rsid w:val="00FC48B1"/>
    <w:rsid w:val="00FC4BFE"/>
    <w:rsid w:val="00FC4CC1"/>
    <w:rsid w:val="00FC5473"/>
    <w:rsid w:val="00FC5AF7"/>
    <w:rsid w:val="00FC5BAE"/>
    <w:rsid w:val="00FC5D64"/>
    <w:rsid w:val="00FC600D"/>
    <w:rsid w:val="00FC6033"/>
    <w:rsid w:val="00FC63BC"/>
    <w:rsid w:val="00FC6715"/>
    <w:rsid w:val="00FC70F8"/>
    <w:rsid w:val="00FC7515"/>
    <w:rsid w:val="00FC7C1A"/>
    <w:rsid w:val="00FC7C57"/>
    <w:rsid w:val="00FC7E02"/>
    <w:rsid w:val="00FD0181"/>
    <w:rsid w:val="00FD02CB"/>
    <w:rsid w:val="00FD0305"/>
    <w:rsid w:val="00FD03E5"/>
    <w:rsid w:val="00FD0533"/>
    <w:rsid w:val="00FD06CB"/>
    <w:rsid w:val="00FD13AB"/>
    <w:rsid w:val="00FD147E"/>
    <w:rsid w:val="00FD1A51"/>
    <w:rsid w:val="00FD1BCE"/>
    <w:rsid w:val="00FD1CEB"/>
    <w:rsid w:val="00FD1DC4"/>
    <w:rsid w:val="00FD2092"/>
    <w:rsid w:val="00FD2193"/>
    <w:rsid w:val="00FD2258"/>
    <w:rsid w:val="00FD236A"/>
    <w:rsid w:val="00FD27B1"/>
    <w:rsid w:val="00FD2848"/>
    <w:rsid w:val="00FD2994"/>
    <w:rsid w:val="00FD2D25"/>
    <w:rsid w:val="00FD2F10"/>
    <w:rsid w:val="00FD31A2"/>
    <w:rsid w:val="00FD324C"/>
    <w:rsid w:val="00FD3270"/>
    <w:rsid w:val="00FD33F4"/>
    <w:rsid w:val="00FD38E8"/>
    <w:rsid w:val="00FD3BBC"/>
    <w:rsid w:val="00FD3C7C"/>
    <w:rsid w:val="00FD3E7B"/>
    <w:rsid w:val="00FD3EAB"/>
    <w:rsid w:val="00FD400A"/>
    <w:rsid w:val="00FD40F6"/>
    <w:rsid w:val="00FD4322"/>
    <w:rsid w:val="00FD44A1"/>
    <w:rsid w:val="00FD4D93"/>
    <w:rsid w:val="00FD4E4B"/>
    <w:rsid w:val="00FD513E"/>
    <w:rsid w:val="00FD5191"/>
    <w:rsid w:val="00FD5289"/>
    <w:rsid w:val="00FD52DA"/>
    <w:rsid w:val="00FD54FF"/>
    <w:rsid w:val="00FD551D"/>
    <w:rsid w:val="00FD5535"/>
    <w:rsid w:val="00FD55B2"/>
    <w:rsid w:val="00FD568C"/>
    <w:rsid w:val="00FD5CD5"/>
    <w:rsid w:val="00FD5F0C"/>
    <w:rsid w:val="00FD5F2A"/>
    <w:rsid w:val="00FD6355"/>
    <w:rsid w:val="00FD638F"/>
    <w:rsid w:val="00FD63DB"/>
    <w:rsid w:val="00FD65CF"/>
    <w:rsid w:val="00FD65D1"/>
    <w:rsid w:val="00FD6692"/>
    <w:rsid w:val="00FD66A2"/>
    <w:rsid w:val="00FD66D1"/>
    <w:rsid w:val="00FD68E4"/>
    <w:rsid w:val="00FD69B0"/>
    <w:rsid w:val="00FD69E5"/>
    <w:rsid w:val="00FD6A74"/>
    <w:rsid w:val="00FD6B3E"/>
    <w:rsid w:val="00FD6EB9"/>
    <w:rsid w:val="00FD6FC3"/>
    <w:rsid w:val="00FD7151"/>
    <w:rsid w:val="00FD77C4"/>
    <w:rsid w:val="00FD79E9"/>
    <w:rsid w:val="00FD7A07"/>
    <w:rsid w:val="00FD7A68"/>
    <w:rsid w:val="00FD7BA1"/>
    <w:rsid w:val="00FD7BF4"/>
    <w:rsid w:val="00FD7D6D"/>
    <w:rsid w:val="00FD7E9C"/>
    <w:rsid w:val="00FE0163"/>
    <w:rsid w:val="00FE041A"/>
    <w:rsid w:val="00FE06E7"/>
    <w:rsid w:val="00FE0844"/>
    <w:rsid w:val="00FE085F"/>
    <w:rsid w:val="00FE0A61"/>
    <w:rsid w:val="00FE0A8F"/>
    <w:rsid w:val="00FE0D20"/>
    <w:rsid w:val="00FE10A8"/>
    <w:rsid w:val="00FE1177"/>
    <w:rsid w:val="00FE137F"/>
    <w:rsid w:val="00FE179F"/>
    <w:rsid w:val="00FE1B0C"/>
    <w:rsid w:val="00FE1EB6"/>
    <w:rsid w:val="00FE1EE7"/>
    <w:rsid w:val="00FE1F19"/>
    <w:rsid w:val="00FE26BC"/>
    <w:rsid w:val="00FE26DC"/>
    <w:rsid w:val="00FE270A"/>
    <w:rsid w:val="00FE2B6B"/>
    <w:rsid w:val="00FE2C22"/>
    <w:rsid w:val="00FE2C28"/>
    <w:rsid w:val="00FE2CA6"/>
    <w:rsid w:val="00FE2D9A"/>
    <w:rsid w:val="00FE3272"/>
    <w:rsid w:val="00FE3ABB"/>
    <w:rsid w:val="00FE3C7C"/>
    <w:rsid w:val="00FE3D57"/>
    <w:rsid w:val="00FE3E87"/>
    <w:rsid w:val="00FE3EAD"/>
    <w:rsid w:val="00FE3FED"/>
    <w:rsid w:val="00FE4082"/>
    <w:rsid w:val="00FE4481"/>
    <w:rsid w:val="00FE4574"/>
    <w:rsid w:val="00FE4698"/>
    <w:rsid w:val="00FE47DF"/>
    <w:rsid w:val="00FE481F"/>
    <w:rsid w:val="00FE4892"/>
    <w:rsid w:val="00FE4932"/>
    <w:rsid w:val="00FE4A3E"/>
    <w:rsid w:val="00FE4B59"/>
    <w:rsid w:val="00FE4E4C"/>
    <w:rsid w:val="00FE4FAE"/>
    <w:rsid w:val="00FE4FD8"/>
    <w:rsid w:val="00FE5399"/>
    <w:rsid w:val="00FE57EC"/>
    <w:rsid w:val="00FE5898"/>
    <w:rsid w:val="00FE5921"/>
    <w:rsid w:val="00FE5BF3"/>
    <w:rsid w:val="00FE5FB3"/>
    <w:rsid w:val="00FE6091"/>
    <w:rsid w:val="00FE6376"/>
    <w:rsid w:val="00FE66C5"/>
    <w:rsid w:val="00FE6A05"/>
    <w:rsid w:val="00FE6BBE"/>
    <w:rsid w:val="00FE6C4A"/>
    <w:rsid w:val="00FE6EEE"/>
    <w:rsid w:val="00FE7159"/>
    <w:rsid w:val="00FE7317"/>
    <w:rsid w:val="00FE7525"/>
    <w:rsid w:val="00FE7BC2"/>
    <w:rsid w:val="00FE7FF8"/>
    <w:rsid w:val="00FF038B"/>
    <w:rsid w:val="00FF04E6"/>
    <w:rsid w:val="00FF0567"/>
    <w:rsid w:val="00FF056B"/>
    <w:rsid w:val="00FF064E"/>
    <w:rsid w:val="00FF0A4C"/>
    <w:rsid w:val="00FF0B94"/>
    <w:rsid w:val="00FF0BFF"/>
    <w:rsid w:val="00FF0E8A"/>
    <w:rsid w:val="00FF0EFD"/>
    <w:rsid w:val="00FF1505"/>
    <w:rsid w:val="00FF1634"/>
    <w:rsid w:val="00FF1722"/>
    <w:rsid w:val="00FF17DE"/>
    <w:rsid w:val="00FF1931"/>
    <w:rsid w:val="00FF19B0"/>
    <w:rsid w:val="00FF1A14"/>
    <w:rsid w:val="00FF1FE1"/>
    <w:rsid w:val="00FF2076"/>
    <w:rsid w:val="00FF207D"/>
    <w:rsid w:val="00FF2393"/>
    <w:rsid w:val="00FF2520"/>
    <w:rsid w:val="00FF2668"/>
    <w:rsid w:val="00FF2944"/>
    <w:rsid w:val="00FF2C73"/>
    <w:rsid w:val="00FF2D0D"/>
    <w:rsid w:val="00FF2FDD"/>
    <w:rsid w:val="00FF34F8"/>
    <w:rsid w:val="00FF3893"/>
    <w:rsid w:val="00FF3A92"/>
    <w:rsid w:val="00FF3EDB"/>
    <w:rsid w:val="00FF3EFB"/>
    <w:rsid w:val="00FF418D"/>
    <w:rsid w:val="00FF43AB"/>
    <w:rsid w:val="00FF43D9"/>
    <w:rsid w:val="00FF44B9"/>
    <w:rsid w:val="00FF47E1"/>
    <w:rsid w:val="00FF4827"/>
    <w:rsid w:val="00FF494D"/>
    <w:rsid w:val="00FF49BF"/>
    <w:rsid w:val="00FF4A2A"/>
    <w:rsid w:val="00FF4CD8"/>
    <w:rsid w:val="00FF4E9B"/>
    <w:rsid w:val="00FF5065"/>
    <w:rsid w:val="00FF5167"/>
    <w:rsid w:val="00FF51DB"/>
    <w:rsid w:val="00FF53A1"/>
    <w:rsid w:val="00FF5504"/>
    <w:rsid w:val="00FF55B9"/>
    <w:rsid w:val="00FF5982"/>
    <w:rsid w:val="00FF5BC3"/>
    <w:rsid w:val="00FF5C04"/>
    <w:rsid w:val="00FF5C7A"/>
    <w:rsid w:val="00FF5D9F"/>
    <w:rsid w:val="00FF62F5"/>
    <w:rsid w:val="00FF6586"/>
    <w:rsid w:val="00FF66C8"/>
    <w:rsid w:val="00FF673E"/>
    <w:rsid w:val="00FF6861"/>
    <w:rsid w:val="00FF6B94"/>
    <w:rsid w:val="00FF6DF9"/>
    <w:rsid w:val="00FF6E2E"/>
    <w:rsid w:val="00FF72BE"/>
    <w:rsid w:val="00FF73D9"/>
    <w:rsid w:val="00FF7B4E"/>
    <w:rsid w:val="00FF7B64"/>
    <w:rsid w:val="00FF7C47"/>
    <w:rsid w:val="00FF7DE0"/>
    <w:rsid w:val="00FF7E09"/>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1105">
      <o:colormru v:ext="edit" colors="#aafcf4,#e5fdff"/>
    </o:shapedefaults>
    <o:shapelayout v:ext="edit">
      <o:idmap v:ext="edit" data="1"/>
    </o:shapelayout>
  </w:shapeDefaults>
  <w:decimalSymbol w:val="."/>
  <w:listSeparator w:val=","/>
  <w15:docId w15:val="{50C44779-0033-4277-90E3-8452CC39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141"/>
    <w:pPr>
      <w:spacing w:after="240" w:line="240" w:lineRule="atLeast"/>
    </w:pPr>
    <w:rPr>
      <w:color w:val="000000"/>
      <w:sz w:val="21"/>
      <w:szCs w:val="21"/>
      <w:lang w:eastAsia="en-US"/>
    </w:rPr>
  </w:style>
  <w:style w:type="paragraph" w:styleId="Heading1">
    <w:name w:val="heading 1"/>
    <w:basedOn w:val="Normal"/>
    <w:next w:val="BodyText"/>
    <w:link w:val="Heading1Char"/>
    <w:uiPriority w:val="99"/>
    <w:qFormat/>
    <w:rsid w:val="00470945"/>
    <w:pPr>
      <w:keepNext/>
      <w:keepLines/>
      <w:spacing w:after="120" w:line="400" w:lineRule="exact"/>
      <w:outlineLvl w:val="0"/>
    </w:pPr>
    <w:rPr>
      <w:rFonts w:eastAsia="Times New Roman"/>
      <w:bCs/>
      <w:color w:val="00011F"/>
      <w:sz w:val="40"/>
      <w:szCs w:val="28"/>
    </w:rPr>
  </w:style>
  <w:style w:type="paragraph" w:styleId="Heading2">
    <w:name w:val="heading 2"/>
    <w:basedOn w:val="Normal"/>
    <w:next w:val="BodyText"/>
    <w:link w:val="Heading2Char"/>
    <w:uiPriority w:val="99"/>
    <w:qFormat/>
    <w:rsid w:val="00470945"/>
    <w:pPr>
      <w:keepNext/>
      <w:keepLines/>
      <w:spacing w:after="60" w:line="360" w:lineRule="exact"/>
      <w:outlineLvl w:val="1"/>
    </w:pPr>
    <w:rPr>
      <w:rFonts w:eastAsia="Times New Roman"/>
      <w:bCs/>
      <w:color w:val="A2978A"/>
      <w:sz w:val="36"/>
      <w:szCs w:val="26"/>
    </w:rPr>
  </w:style>
  <w:style w:type="paragraph" w:styleId="Heading3">
    <w:name w:val="heading 3"/>
    <w:basedOn w:val="Normal"/>
    <w:next w:val="BodyText"/>
    <w:link w:val="Heading3Char"/>
    <w:uiPriority w:val="99"/>
    <w:qFormat/>
    <w:rsid w:val="00470945"/>
    <w:pPr>
      <w:keepNext/>
      <w:keepLines/>
      <w:spacing w:after="60" w:line="280" w:lineRule="exact"/>
      <w:outlineLvl w:val="2"/>
    </w:pPr>
    <w:rPr>
      <w:rFonts w:eastAsia="Times New Roman"/>
      <w:bCs/>
      <w:color w:val="00011F"/>
      <w:sz w:val="28"/>
    </w:rPr>
  </w:style>
  <w:style w:type="paragraph" w:styleId="Heading4">
    <w:name w:val="heading 4"/>
    <w:basedOn w:val="Normal"/>
    <w:next w:val="BodyText"/>
    <w:link w:val="Heading4Char"/>
    <w:uiPriority w:val="99"/>
    <w:qFormat/>
    <w:rsid w:val="000D7DAE"/>
    <w:pPr>
      <w:keepNext/>
      <w:keepLines/>
      <w:spacing w:after="60" w:line="240" w:lineRule="exact"/>
      <w:outlineLvl w:val="3"/>
    </w:pPr>
    <w:rPr>
      <w:rFonts w:eastAsia="Times New Roman"/>
      <w:bCs/>
      <w:iCs/>
      <w:color w:val="A2978A"/>
      <w:sz w:val="24"/>
    </w:rPr>
  </w:style>
  <w:style w:type="paragraph" w:styleId="Heading5">
    <w:name w:val="heading 5"/>
    <w:basedOn w:val="Normal"/>
    <w:next w:val="BodyText"/>
    <w:link w:val="Heading5Char"/>
    <w:uiPriority w:val="9"/>
    <w:qFormat/>
    <w:rsid w:val="00E50560"/>
    <w:pPr>
      <w:keepNext/>
      <w:keepLines/>
      <w:spacing w:after="60" w:line="210" w:lineRule="exact"/>
      <w:outlineLvl w:val="4"/>
    </w:pPr>
    <w:rPr>
      <w:rFonts w:eastAsia="Times New Roman"/>
      <w:color w:val="00011F"/>
    </w:rPr>
  </w:style>
  <w:style w:type="paragraph" w:styleId="Heading6">
    <w:name w:val="heading 6"/>
    <w:basedOn w:val="Normal"/>
    <w:next w:val="BodyText"/>
    <w:link w:val="Heading6Char"/>
    <w:uiPriority w:val="99"/>
    <w:qFormat/>
    <w:rsid w:val="002C1E97"/>
    <w:pPr>
      <w:keepNext/>
      <w:keepLines/>
      <w:spacing w:after="60"/>
      <w:outlineLvl w:val="5"/>
    </w:pPr>
    <w:rPr>
      <w:rFonts w:eastAsia="Times New Roman"/>
      <w:iCs/>
    </w:rPr>
  </w:style>
  <w:style w:type="paragraph" w:styleId="Heading7">
    <w:name w:val="heading 7"/>
    <w:basedOn w:val="Normal"/>
    <w:next w:val="BodyText"/>
    <w:link w:val="Heading7Char"/>
    <w:uiPriority w:val="99"/>
    <w:qFormat/>
    <w:rsid w:val="002C1E97"/>
    <w:pPr>
      <w:keepNext/>
      <w:keepLines/>
      <w:spacing w:after="60"/>
      <w:outlineLvl w:val="6"/>
    </w:pPr>
    <w:rPr>
      <w:rFonts w:eastAsia="Times New Roman"/>
      <w:iCs/>
    </w:rPr>
  </w:style>
  <w:style w:type="paragraph" w:styleId="Heading8">
    <w:name w:val="heading 8"/>
    <w:basedOn w:val="Normal"/>
    <w:next w:val="BodyText"/>
    <w:link w:val="Heading8Char"/>
    <w:uiPriority w:val="99"/>
    <w:qFormat/>
    <w:rsid w:val="002C1E97"/>
    <w:pPr>
      <w:keepNext/>
      <w:keepLines/>
      <w:spacing w:after="60"/>
      <w:outlineLvl w:val="7"/>
    </w:pPr>
    <w:rPr>
      <w:rFonts w:eastAsia="Times New Roman"/>
      <w:szCs w:val="20"/>
    </w:rPr>
  </w:style>
  <w:style w:type="paragraph" w:styleId="Heading9">
    <w:name w:val="heading 9"/>
    <w:basedOn w:val="Normal"/>
    <w:next w:val="BodyText"/>
    <w:link w:val="Heading9Char"/>
    <w:uiPriority w:val="99"/>
    <w:qFormat/>
    <w:rsid w:val="002C1E97"/>
    <w:pPr>
      <w:keepNext/>
      <w:keepLines/>
      <w:spacing w:after="60"/>
      <w:outlineLvl w:val="8"/>
    </w:pPr>
    <w:rPr>
      <w:rFonts w:eastAsia="Times New Roman"/>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0945"/>
    <w:rPr>
      <w:rFonts w:ascii="Arial" w:hAnsi="Arial" w:cs="Times New Roman"/>
      <w:bCs/>
      <w:color w:val="00011F"/>
      <w:sz w:val="28"/>
      <w:szCs w:val="28"/>
    </w:rPr>
  </w:style>
  <w:style w:type="character" w:customStyle="1" w:styleId="Heading2Char">
    <w:name w:val="Heading 2 Char"/>
    <w:basedOn w:val="DefaultParagraphFont"/>
    <w:link w:val="Heading2"/>
    <w:uiPriority w:val="99"/>
    <w:locked/>
    <w:rsid w:val="00470945"/>
    <w:rPr>
      <w:rFonts w:ascii="Arial" w:hAnsi="Arial" w:cs="Times New Roman"/>
      <w:bCs/>
      <w:color w:val="A2978A"/>
      <w:sz w:val="26"/>
      <w:szCs w:val="26"/>
    </w:rPr>
  </w:style>
  <w:style w:type="character" w:customStyle="1" w:styleId="Heading3Char">
    <w:name w:val="Heading 3 Char"/>
    <w:basedOn w:val="DefaultParagraphFont"/>
    <w:link w:val="Heading3"/>
    <w:uiPriority w:val="99"/>
    <w:locked/>
    <w:rsid w:val="00470945"/>
    <w:rPr>
      <w:rFonts w:ascii="Arial" w:hAnsi="Arial" w:cs="Times New Roman"/>
      <w:bCs/>
      <w:color w:val="00011F"/>
      <w:sz w:val="28"/>
    </w:rPr>
  </w:style>
  <w:style w:type="character" w:customStyle="1" w:styleId="Heading4Char">
    <w:name w:val="Heading 4 Char"/>
    <w:basedOn w:val="DefaultParagraphFont"/>
    <w:link w:val="Heading4"/>
    <w:uiPriority w:val="99"/>
    <w:locked/>
    <w:rsid w:val="000D7DAE"/>
    <w:rPr>
      <w:rFonts w:ascii="Arial" w:hAnsi="Arial" w:cs="Times New Roman"/>
      <w:bCs/>
      <w:iCs/>
      <w:color w:val="A2978A"/>
      <w:sz w:val="24"/>
    </w:rPr>
  </w:style>
  <w:style w:type="character" w:customStyle="1" w:styleId="Heading5Char">
    <w:name w:val="Heading 5 Char"/>
    <w:basedOn w:val="DefaultParagraphFont"/>
    <w:link w:val="Heading5"/>
    <w:uiPriority w:val="9"/>
    <w:locked/>
    <w:rsid w:val="002649B9"/>
    <w:rPr>
      <w:rFonts w:ascii="Arial" w:hAnsi="Arial" w:cs="Times New Roman"/>
      <w:color w:val="00011F"/>
    </w:rPr>
  </w:style>
  <w:style w:type="character" w:customStyle="1" w:styleId="Heading6Char">
    <w:name w:val="Heading 6 Char"/>
    <w:basedOn w:val="DefaultParagraphFont"/>
    <w:link w:val="Heading6"/>
    <w:uiPriority w:val="99"/>
    <w:locked/>
    <w:rsid w:val="002649B9"/>
    <w:rPr>
      <w:rFonts w:ascii="Arial" w:hAnsi="Arial" w:cs="Times New Roman"/>
      <w:iCs/>
    </w:rPr>
  </w:style>
  <w:style w:type="character" w:customStyle="1" w:styleId="Heading7Char">
    <w:name w:val="Heading 7 Char"/>
    <w:basedOn w:val="DefaultParagraphFont"/>
    <w:link w:val="Heading7"/>
    <w:uiPriority w:val="99"/>
    <w:locked/>
    <w:rsid w:val="002649B9"/>
    <w:rPr>
      <w:rFonts w:ascii="Arial" w:hAnsi="Arial" w:cs="Times New Roman"/>
      <w:iCs/>
    </w:rPr>
  </w:style>
  <w:style w:type="character" w:customStyle="1" w:styleId="Heading8Char">
    <w:name w:val="Heading 8 Char"/>
    <w:basedOn w:val="DefaultParagraphFont"/>
    <w:link w:val="Heading8"/>
    <w:uiPriority w:val="99"/>
    <w:locked/>
    <w:rsid w:val="002C1E97"/>
    <w:rPr>
      <w:rFonts w:ascii="Arial" w:hAnsi="Arial" w:cs="Times New Roman"/>
      <w:sz w:val="20"/>
      <w:szCs w:val="20"/>
    </w:rPr>
  </w:style>
  <w:style w:type="character" w:customStyle="1" w:styleId="Heading9Char">
    <w:name w:val="Heading 9 Char"/>
    <w:basedOn w:val="DefaultParagraphFont"/>
    <w:link w:val="Heading9"/>
    <w:uiPriority w:val="99"/>
    <w:locked/>
    <w:rsid w:val="002C1E97"/>
    <w:rPr>
      <w:rFonts w:ascii="Arial" w:hAnsi="Arial" w:cs="Times New Roman"/>
      <w:iCs/>
      <w:sz w:val="20"/>
      <w:szCs w:val="20"/>
    </w:rPr>
  </w:style>
  <w:style w:type="paragraph" w:styleId="BodyText">
    <w:name w:val="Body Text"/>
    <w:basedOn w:val="Normal"/>
    <w:link w:val="BodyTextChar"/>
    <w:qFormat/>
    <w:rsid w:val="002C1E97"/>
  </w:style>
  <w:style w:type="character" w:customStyle="1" w:styleId="BodyTextChar">
    <w:name w:val="Body Text Char"/>
    <w:basedOn w:val="DefaultParagraphFont"/>
    <w:link w:val="BodyText"/>
    <w:locked/>
    <w:rsid w:val="00B758C1"/>
    <w:rPr>
      <w:rFonts w:cs="Times New Roman"/>
    </w:rPr>
  </w:style>
  <w:style w:type="paragraph" w:styleId="TOCHeading">
    <w:name w:val="TOC Heading"/>
    <w:basedOn w:val="Heading1"/>
    <w:next w:val="BodyText"/>
    <w:uiPriority w:val="99"/>
    <w:qFormat/>
    <w:rsid w:val="00DD303C"/>
    <w:pPr>
      <w:spacing w:before="480" w:after="0" w:line="276" w:lineRule="auto"/>
      <w:outlineLvl w:val="9"/>
    </w:pPr>
  </w:style>
  <w:style w:type="paragraph" w:styleId="Title">
    <w:name w:val="Title"/>
    <w:basedOn w:val="Normal"/>
    <w:next w:val="Subtitle"/>
    <w:link w:val="TitleChar"/>
    <w:uiPriority w:val="99"/>
    <w:qFormat/>
    <w:rsid w:val="00036AF8"/>
    <w:pPr>
      <w:pageBreakBefore/>
    </w:pPr>
    <w:rPr>
      <w:rFonts w:eastAsia="Times New Roman"/>
      <w:color w:val="00011F"/>
      <w:spacing w:val="5"/>
      <w:kern w:val="28"/>
      <w:sz w:val="72"/>
      <w:szCs w:val="52"/>
    </w:rPr>
  </w:style>
  <w:style w:type="character" w:customStyle="1" w:styleId="TitleChar">
    <w:name w:val="Title Char"/>
    <w:basedOn w:val="DefaultParagraphFont"/>
    <w:link w:val="Title"/>
    <w:uiPriority w:val="99"/>
    <w:locked/>
    <w:rsid w:val="00036AF8"/>
    <w:rPr>
      <w:rFonts w:ascii="Arial" w:hAnsi="Arial" w:cs="Times New Roman"/>
      <w:color w:val="00011F"/>
      <w:spacing w:val="5"/>
      <w:kern w:val="28"/>
      <w:sz w:val="52"/>
      <w:szCs w:val="52"/>
    </w:rPr>
  </w:style>
  <w:style w:type="paragraph" w:styleId="Subtitle">
    <w:name w:val="Subtitle"/>
    <w:basedOn w:val="Normal"/>
    <w:next w:val="BodyText"/>
    <w:link w:val="SubtitleChar"/>
    <w:uiPriority w:val="99"/>
    <w:qFormat/>
    <w:rsid w:val="00036AF8"/>
    <w:pPr>
      <w:numPr>
        <w:ilvl w:val="1"/>
      </w:numPr>
    </w:pPr>
    <w:rPr>
      <w:rFonts w:eastAsia="Times New Roman"/>
      <w:iCs/>
      <w:color w:val="A2978A"/>
      <w:sz w:val="36"/>
      <w:szCs w:val="24"/>
    </w:rPr>
  </w:style>
  <w:style w:type="character" w:customStyle="1" w:styleId="SubtitleChar">
    <w:name w:val="Subtitle Char"/>
    <w:basedOn w:val="DefaultParagraphFont"/>
    <w:link w:val="Subtitle"/>
    <w:uiPriority w:val="99"/>
    <w:locked/>
    <w:rsid w:val="00036AF8"/>
    <w:rPr>
      <w:rFonts w:ascii="Arial" w:hAnsi="Arial" w:cs="Times New Roman"/>
      <w:iCs/>
      <w:color w:val="A2978A"/>
      <w:sz w:val="24"/>
      <w:szCs w:val="24"/>
    </w:rPr>
  </w:style>
  <w:style w:type="paragraph" w:styleId="Caption">
    <w:name w:val="caption"/>
    <w:basedOn w:val="Normal"/>
    <w:next w:val="Normal"/>
    <w:uiPriority w:val="99"/>
    <w:qFormat/>
    <w:rsid w:val="00756FEA"/>
    <w:pPr>
      <w:spacing w:after="0"/>
    </w:pPr>
    <w:rPr>
      <w:b/>
      <w:bCs/>
      <w:sz w:val="18"/>
      <w:szCs w:val="18"/>
    </w:rPr>
  </w:style>
  <w:style w:type="paragraph" w:styleId="BlockText">
    <w:name w:val="Block Text"/>
    <w:basedOn w:val="Normal"/>
    <w:uiPriority w:val="99"/>
    <w:semiHidden/>
    <w:rsid w:val="00756FEA"/>
    <w:pPr>
      <w:pBdr>
        <w:top w:val="single" w:sz="2" w:space="10" w:color="auto"/>
        <w:left w:val="single" w:sz="2" w:space="10" w:color="auto"/>
        <w:bottom w:val="single" w:sz="2" w:space="10" w:color="auto"/>
        <w:right w:val="single" w:sz="2" w:space="10" w:color="auto"/>
      </w:pBdr>
      <w:ind w:left="1152" w:right="1152"/>
    </w:pPr>
    <w:rPr>
      <w:rFonts w:eastAsia="Times New Roman"/>
      <w:i/>
      <w:iCs/>
      <w:sz w:val="22"/>
      <w:szCs w:val="22"/>
    </w:rPr>
  </w:style>
  <w:style w:type="character" w:styleId="IntenseEmphasis">
    <w:name w:val="Intense Emphasis"/>
    <w:basedOn w:val="DefaultParagraphFont"/>
    <w:uiPriority w:val="99"/>
    <w:qFormat/>
    <w:rsid w:val="00756FEA"/>
    <w:rPr>
      <w:rFonts w:cs="Times New Roman"/>
      <w:b/>
      <w:bCs/>
      <w:i/>
      <w:iCs/>
      <w:color w:val="auto"/>
      <w:u w:val="none"/>
    </w:rPr>
  </w:style>
  <w:style w:type="paragraph" w:styleId="IntenseQuote">
    <w:name w:val="Intense Quote"/>
    <w:basedOn w:val="Normal"/>
    <w:next w:val="Normal"/>
    <w:link w:val="IntenseQuoteChar"/>
    <w:uiPriority w:val="99"/>
    <w:qFormat/>
    <w:rsid w:val="00756FEA"/>
    <w:pPr>
      <w:pBdr>
        <w:bottom w:val="single" w:sz="4" w:space="4" w:color="auto"/>
      </w:pBdr>
      <w:ind w:left="936" w:right="936"/>
    </w:pPr>
    <w:rPr>
      <w:b/>
      <w:bCs/>
      <w:i/>
      <w:iCs/>
      <w:sz w:val="22"/>
      <w:szCs w:val="22"/>
    </w:rPr>
  </w:style>
  <w:style w:type="character" w:customStyle="1" w:styleId="IntenseQuoteChar">
    <w:name w:val="Intense Quote Char"/>
    <w:basedOn w:val="DefaultParagraphFont"/>
    <w:link w:val="IntenseQuote"/>
    <w:uiPriority w:val="99"/>
    <w:locked/>
    <w:rsid w:val="00DD303C"/>
    <w:rPr>
      <w:rFonts w:cs="Times New Roman"/>
      <w:b/>
      <w:bCs/>
      <w:i/>
      <w:iCs/>
      <w:sz w:val="22"/>
      <w:szCs w:val="22"/>
    </w:rPr>
  </w:style>
  <w:style w:type="character" w:styleId="IntenseReference">
    <w:name w:val="Intense Reference"/>
    <w:basedOn w:val="DefaultParagraphFont"/>
    <w:uiPriority w:val="99"/>
    <w:qFormat/>
    <w:rsid w:val="00756FEA"/>
    <w:rPr>
      <w:rFonts w:cs="Times New Roman"/>
      <w:b/>
      <w:bCs/>
      <w:smallCaps/>
      <w:color w:val="auto"/>
      <w:spacing w:val="5"/>
      <w:u w:val="none"/>
    </w:rPr>
  </w:style>
  <w:style w:type="character" w:styleId="SubtleEmphasis">
    <w:name w:val="Subtle Emphasis"/>
    <w:basedOn w:val="DefaultParagraphFont"/>
    <w:uiPriority w:val="99"/>
    <w:qFormat/>
    <w:rsid w:val="00756FEA"/>
    <w:rPr>
      <w:rFonts w:cs="Times New Roman"/>
      <w:i/>
      <w:iCs/>
      <w:color w:val="auto"/>
      <w:u w:val="none"/>
    </w:rPr>
  </w:style>
  <w:style w:type="character" w:styleId="SubtleReference">
    <w:name w:val="Subtle Reference"/>
    <w:basedOn w:val="DefaultParagraphFont"/>
    <w:uiPriority w:val="99"/>
    <w:qFormat/>
    <w:rsid w:val="00756FEA"/>
    <w:rPr>
      <w:rFonts w:cs="Times New Roman"/>
      <w:smallCaps/>
      <w:color w:val="auto"/>
      <w:u w:val="single"/>
    </w:rPr>
  </w:style>
  <w:style w:type="paragraph" w:styleId="ListBullet">
    <w:name w:val="List Bullet"/>
    <w:basedOn w:val="Normal"/>
    <w:uiPriority w:val="99"/>
    <w:rsid w:val="00ED73E5"/>
    <w:pPr>
      <w:numPr>
        <w:numId w:val="1"/>
      </w:numPr>
    </w:pPr>
  </w:style>
  <w:style w:type="paragraph" w:styleId="ListBullet2">
    <w:name w:val="List Bullet 2"/>
    <w:basedOn w:val="Normal"/>
    <w:uiPriority w:val="99"/>
    <w:rsid w:val="00ED73E5"/>
    <w:pPr>
      <w:numPr>
        <w:ilvl w:val="1"/>
        <w:numId w:val="1"/>
      </w:numPr>
    </w:pPr>
  </w:style>
  <w:style w:type="paragraph" w:styleId="ListBullet3">
    <w:name w:val="List Bullet 3"/>
    <w:basedOn w:val="Normal"/>
    <w:uiPriority w:val="99"/>
    <w:rsid w:val="00ED73E5"/>
    <w:pPr>
      <w:numPr>
        <w:ilvl w:val="2"/>
        <w:numId w:val="1"/>
      </w:numPr>
    </w:pPr>
  </w:style>
  <w:style w:type="table" w:styleId="TableGrid">
    <w:name w:val="Table Grid"/>
    <w:basedOn w:val="TableNormal"/>
    <w:uiPriority w:val="59"/>
    <w:rsid w:val="00B635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B758C1"/>
    <w:rPr>
      <w:rFonts w:cs="Times New Roman"/>
      <w:b/>
      <w:bCs/>
    </w:rPr>
  </w:style>
  <w:style w:type="paragraph" w:styleId="ListNumber">
    <w:name w:val="List Number"/>
    <w:basedOn w:val="Normal"/>
    <w:uiPriority w:val="99"/>
    <w:rsid w:val="00ED73E5"/>
    <w:pPr>
      <w:numPr>
        <w:numId w:val="2"/>
      </w:numPr>
    </w:pPr>
  </w:style>
  <w:style w:type="paragraph" w:customStyle="1" w:styleId="BodySingle">
    <w:name w:val="Body Single"/>
    <w:basedOn w:val="BodyText"/>
    <w:link w:val="BodySingleChar"/>
    <w:uiPriority w:val="99"/>
    <w:rsid w:val="00B758C1"/>
    <w:pPr>
      <w:spacing w:after="0"/>
    </w:pPr>
  </w:style>
  <w:style w:type="character" w:customStyle="1" w:styleId="BodySingleChar">
    <w:name w:val="Body Single Char"/>
    <w:basedOn w:val="BodyTextChar"/>
    <w:link w:val="BodySingle"/>
    <w:uiPriority w:val="99"/>
    <w:locked/>
    <w:rsid w:val="00B758C1"/>
    <w:rPr>
      <w:rFonts w:cs="Times New Roman"/>
    </w:rPr>
  </w:style>
  <w:style w:type="paragraph" w:styleId="ListParagraph">
    <w:name w:val="List Paragraph"/>
    <w:basedOn w:val="Normal"/>
    <w:link w:val="ListParagraphChar"/>
    <w:uiPriority w:val="34"/>
    <w:qFormat/>
    <w:rsid w:val="0029269A"/>
    <w:pPr>
      <w:ind w:left="720"/>
      <w:contextualSpacing/>
    </w:pPr>
  </w:style>
  <w:style w:type="paragraph" w:styleId="Header">
    <w:name w:val="header"/>
    <w:basedOn w:val="Normal"/>
    <w:link w:val="HeaderChar"/>
    <w:uiPriority w:val="99"/>
    <w:rsid w:val="00436A4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36A45"/>
    <w:rPr>
      <w:rFonts w:cs="Times New Roman"/>
    </w:rPr>
  </w:style>
  <w:style w:type="paragraph" w:styleId="Footer">
    <w:name w:val="footer"/>
    <w:basedOn w:val="Normal"/>
    <w:link w:val="FooterChar"/>
    <w:uiPriority w:val="99"/>
    <w:rsid w:val="00436A4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36A45"/>
    <w:rPr>
      <w:rFonts w:cs="Times New Roman"/>
    </w:rPr>
  </w:style>
  <w:style w:type="table" w:styleId="LightShading-Accent2">
    <w:name w:val="Light Shading Accent 2"/>
    <w:basedOn w:val="TableNormal"/>
    <w:uiPriority w:val="99"/>
    <w:rsid w:val="000D7DAE"/>
    <w:rPr>
      <w:color w:val="83756D"/>
    </w:rPr>
    <w:tblPr>
      <w:tblStyleRowBandSize w:val="1"/>
      <w:tblStyleColBandSize w:val="1"/>
      <w:tblBorders>
        <w:top w:val="single" w:sz="8" w:space="0" w:color="AA9F98"/>
        <w:bottom w:val="single" w:sz="8" w:space="0" w:color="AA9F98"/>
      </w:tblBorders>
    </w:tblPr>
    <w:tblStylePr w:type="firstRow">
      <w:pPr>
        <w:spacing w:before="0" w:after="0"/>
      </w:pPr>
      <w:rPr>
        <w:rFonts w:cs="Times New Roman"/>
        <w:b/>
        <w:bCs/>
      </w:rPr>
      <w:tblPr/>
      <w:tcPr>
        <w:tcBorders>
          <w:top w:val="single" w:sz="8" w:space="0" w:color="AA9F98"/>
          <w:left w:val="nil"/>
          <w:bottom w:val="single" w:sz="8" w:space="0" w:color="AA9F98"/>
          <w:right w:val="nil"/>
          <w:insideH w:val="nil"/>
          <w:insideV w:val="nil"/>
        </w:tcBorders>
      </w:tcPr>
    </w:tblStylePr>
    <w:tblStylePr w:type="lastRow">
      <w:pPr>
        <w:spacing w:before="0" w:after="0"/>
      </w:pPr>
      <w:rPr>
        <w:rFonts w:cs="Times New Roman"/>
        <w:b/>
        <w:bCs/>
      </w:rPr>
      <w:tblPr/>
      <w:tcPr>
        <w:tcBorders>
          <w:top w:val="single" w:sz="8" w:space="0" w:color="AA9F98"/>
          <w:left w:val="nil"/>
          <w:bottom w:val="single" w:sz="8" w:space="0" w:color="AA9F98"/>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AE7E5"/>
      </w:tcPr>
    </w:tblStylePr>
    <w:tblStylePr w:type="band1Horz">
      <w:rPr>
        <w:rFonts w:cs="Times New Roman"/>
      </w:rPr>
      <w:tblPr/>
      <w:tcPr>
        <w:tcBorders>
          <w:left w:val="nil"/>
          <w:right w:val="nil"/>
          <w:insideH w:val="nil"/>
          <w:insideV w:val="nil"/>
        </w:tcBorders>
        <w:shd w:val="clear" w:color="auto" w:fill="EAE7E5"/>
      </w:tcPr>
    </w:tblStylePr>
  </w:style>
  <w:style w:type="table" w:styleId="MediumShading1-Accent4">
    <w:name w:val="Medium Shading 1 Accent 4"/>
    <w:basedOn w:val="TableNormal"/>
    <w:uiPriority w:val="99"/>
    <w:rsid w:val="000D7DAE"/>
    <w:tblPr>
      <w:tblStyleRowBandSize w:val="1"/>
      <w:tblStyleColBandSize w:val="1"/>
      <w:tblBorders>
        <w:top w:val="single" w:sz="8" w:space="0" w:color="E5E2E0"/>
        <w:left w:val="single" w:sz="8" w:space="0" w:color="E5E2E0"/>
        <w:bottom w:val="single" w:sz="8" w:space="0" w:color="E5E2E0"/>
        <w:right w:val="single" w:sz="8" w:space="0" w:color="E5E2E0"/>
        <w:insideH w:val="single" w:sz="8" w:space="0" w:color="E5E2E0"/>
      </w:tblBorders>
    </w:tblPr>
    <w:tblStylePr w:type="firstRow">
      <w:pPr>
        <w:spacing w:before="0" w:after="0"/>
      </w:pPr>
      <w:rPr>
        <w:rFonts w:cs="Times New Roman"/>
        <w:b/>
        <w:bCs/>
        <w:color w:val="FFFFFF"/>
      </w:rPr>
      <w:tblPr/>
      <w:tcPr>
        <w:tcBorders>
          <w:top w:val="single" w:sz="8" w:space="0" w:color="E5E2E0"/>
          <w:left w:val="single" w:sz="8" w:space="0" w:color="E5E2E0"/>
          <w:bottom w:val="single" w:sz="8" w:space="0" w:color="E5E2E0"/>
          <w:right w:val="single" w:sz="8" w:space="0" w:color="E5E2E0"/>
          <w:insideH w:val="nil"/>
          <w:insideV w:val="nil"/>
        </w:tcBorders>
        <w:shd w:val="clear" w:color="auto" w:fill="DDD9D6"/>
      </w:tcPr>
    </w:tblStylePr>
    <w:tblStylePr w:type="lastRow">
      <w:pPr>
        <w:spacing w:before="0" w:after="0"/>
      </w:pPr>
      <w:rPr>
        <w:rFonts w:cs="Times New Roman"/>
        <w:b/>
        <w:bCs/>
      </w:rPr>
      <w:tblPr/>
      <w:tcPr>
        <w:tcBorders>
          <w:top w:val="double" w:sz="6" w:space="0" w:color="E5E2E0"/>
          <w:left w:val="single" w:sz="8" w:space="0" w:color="E5E2E0"/>
          <w:bottom w:val="single" w:sz="8" w:space="0" w:color="E5E2E0"/>
          <w:right w:val="single" w:sz="8" w:space="0" w:color="E5E2E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F5F4"/>
      </w:tcPr>
    </w:tblStylePr>
    <w:tblStylePr w:type="band1Horz">
      <w:rPr>
        <w:rFonts w:cs="Times New Roman"/>
      </w:rPr>
      <w:tblPr/>
      <w:tcPr>
        <w:tcBorders>
          <w:insideH w:val="nil"/>
          <w:insideV w:val="nil"/>
        </w:tcBorders>
        <w:shd w:val="clear" w:color="auto" w:fill="F6F5F4"/>
      </w:tcPr>
    </w:tblStylePr>
    <w:tblStylePr w:type="band2Horz">
      <w:rPr>
        <w:rFonts w:cs="Times New Roman"/>
      </w:rPr>
      <w:tblPr/>
      <w:tcPr>
        <w:tcBorders>
          <w:insideH w:val="nil"/>
          <w:insideV w:val="nil"/>
        </w:tcBorders>
      </w:tcPr>
    </w:tblStylePr>
  </w:style>
  <w:style w:type="table" w:customStyle="1" w:styleId="MediumShading11">
    <w:name w:val="Medium Shading 11"/>
    <w:uiPriority w:val="99"/>
    <w:rsid w:val="000D7DAE"/>
    <w:rPr>
      <w:sz w:val="16"/>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0D7DAE"/>
    <w:tblPr>
      <w:tblStyleRowBandSize w:val="1"/>
      <w:tblStyleColBandSize w:val="1"/>
      <w:tblInd w:w="0" w:type="dxa"/>
      <w:tblBorders>
        <w:top w:val="single" w:sz="8" w:space="0" w:color="B9B1A7"/>
        <w:left w:val="single" w:sz="8" w:space="0" w:color="B9B1A7"/>
        <w:bottom w:val="single" w:sz="8" w:space="0" w:color="B9B1A7"/>
        <w:right w:val="single" w:sz="8" w:space="0" w:color="B9B1A7"/>
        <w:insideH w:val="single" w:sz="8" w:space="0" w:color="B9B1A7"/>
      </w:tblBorders>
      <w:tblCellMar>
        <w:top w:w="0" w:type="dxa"/>
        <w:left w:w="108" w:type="dxa"/>
        <w:bottom w:w="0" w:type="dxa"/>
        <w:right w:w="108" w:type="dxa"/>
      </w:tblCellMar>
    </w:tblPr>
  </w:style>
  <w:style w:type="table" w:customStyle="1" w:styleId="LightList1">
    <w:name w:val="Light List1"/>
    <w:uiPriority w:val="99"/>
    <w:rsid w:val="000D7DA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0D7DAE"/>
    <w:tblPr>
      <w:tblStyleRowBandSize w:val="1"/>
      <w:tblStyleColBandSize w:val="1"/>
      <w:tblInd w:w="0" w:type="dxa"/>
      <w:tblBorders>
        <w:top w:val="single" w:sz="8" w:space="0" w:color="A2978A"/>
        <w:left w:val="single" w:sz="8" w:space="0" w:color="A2978A"/>
        <w:bottom w:val="single" w:sz="8" w:space="0" w:color="A2978A"/>
        <w:right w:val="single" w:sz="8" w:space="0" w:color="A2978A"/>
      </w:tblBorders>
      <w:tblCellMar>
        <w:top w:w="0" w:type="dxa"/>
        <w:left w:w="108" w:type="dxa"/>
        <w:bottom w:w="0" w:type="dxa"/>
        <w:right w:w="108" w:type="dxa"/>
      </w:tblCellMar>
    </w:tblPr>
  </w:style>
  <w:style w:type="paragraph" w:customStyle="1" w:styleId="Logo">
    <w:name w:val="Logo"/>
    <w:basedOn w:val="Normal"/>
    <w:next w:val="BodyText"/>
    <w:uiPriority w:val="99"/>
    <w:rsid w:val="00743030"/>
    <w:pPr>
      <w:spacing w:after="0" w:line="240" w:lineRule="auto"/>
      <w:jc w:val="right"/>
    </w:pPr>
    <w:rPr>
      <w:rFonts w:ascii="PwC_Logo" w:hAnsi="PwC_Logo"/>
      <w:color w:val="00011F"/>
      <w:sz w:val="48"/>
      <w:szCs w:val="48"/>
    </w:rPr>
  </w:style>
  <w:style w:type="paragraph" w:styleId="ListNumber2">
    <w:name w:val="List Number 2"/>
    <w:basedOn w:val="Normal"/>
    <w:uiPriority w:val="99"/>
    <w:rsid w:val="00ED73E5"/>
    <w:pPr>
      <w:numPr>
        <w:ilvl w:val="1"/>
        <w:numId w:val="2"/>
      </w:numPr>
    </w:pPr>
  </w:style>
  <w:style w:type="paragraph" w:styleId="ListNumber3">
    <w:name w:val="List Number 3"/>
    <w:basedOn w:val="Normal"/>
    <w:uiPriority w:val="99"/>
    <w:rsid w:val="00ED73E5"/>
    <w:pPr>
      <w:numPr>
        <w:ilvl w:val="2"/>
        <w:numId w:val="2"/>
      </w:numPr>
    </w:pPr>
  </w:style>
  <w:style w:type="table" w:customStyle="1" w:styleId="PwCTable1">
    <w:name w:val="PwC Table 1"/>
    <w:uiPriority w:val="99"/>
    <w:rsid w:val="00F47A3A"/>
    <w:rPr>
      <w:sz w:val="18"/>
    </w:rPr>
    <w:tblPr>
      <w:tblStyleRowBandSize w:val="1"/>
      <w:tblInd w:w="0" w:type="dxa"/>
      <w:tblBorders>
        <w:top w:val="single" w:sz="4" w:space="0" w:color="A2978A"/>
        <w:left w:val="single" w:sz="4" w:space="0" w:color="A2978A"/>
        <w:bottom w:val="single" w:sz="4" w:space="0" w:color="A2978A"/>
        <w:right w:val="single" w:sz="4" w:space="0" w:color="A2978A"/>
        <w:insideH w:val="single" w:sz="4" w:space="0" w:color="A2978A"/>
      </w:tblBorders>
      <w:tblCellMar>
        <w:top w:w="57" w:type="dxa"/>
        <w:left w:w="0" w:type="dxa"/>
        <w:bottom w:w="57" w:type="dxa"/>
        <w:right w:w="0" w:type="dxa"/>
      </w:tblCellMar>
    </w:tblPr>
  </w:style>
  <w:style w:type="paragraph" w:styleId="ListBullet4">
    <w:name w:val="List Bullet 4"/>
    <w:basedOn w:val="Normal"/>
    <w:uiPriority w:val="99"/>
    <w:rsid w:val="00ED73E5"/>
    <w:pPr>
      <w:numPr>
        <w:ilvl w:val="3"/>
        <w:numId w:val="1"/>
      </w:numPr>
    </w:pPr>
  </w:style>
  <w:style w:type="paragraph" w:styleId="ListContinue">
    <w:name w:val="List Continue"/>
    <w:basedOn w:val="Normal"/>
    <w:uiPriority w:val="99"/>
    <w:rsid w:val="00EE0C5B"/>
    <w:pPr>
      <w:ind w:left="397"/>
    </w:pPr>
  </w:style>
  <w:style w:type="paragraph" w:styleId="ListContinue2">
    <w:name w:val="List Continue 2"/>
    <w:basedOn w:val="Normal"/>
    <w:uiPriority w:val="99"/>
    <w:rsid w:val="00EE0C5B"/>
    <w:pPr>
      <w:ind w:left="794"/>
    </w:pPr>
  </w:style>
  <w:style w:type="paragraph" w:styleId="List3">
    <w:name w:val="List 3"/>
    <w:basedOn w:val="Normal"/>
    <w:uiPriority w:val="99"/>
    <w:rsid w:val="00EE0C5B"/>
    <w:pPr>
      <w:ind w:left="1191" w:hanging="397"/>
    </w:pPr>
  </w:style>
  <w:style w:type="paragraph" w:styleId="List4">
    <w:name w:val="List 4"/>
    <w:basedOn w:val="Normal"/>
    <w:uiPriority w:val="99"/>
    <w:semiHidden/>
    <w:rsid w:val="00EE0C5B"/>
    <w:pPr>
      <w:ind w:left="1588" w:hanging="397"/>
    </w:pPr>
  </w:style>
  <w:style w:type="paragraph" w:styleId="List5">
    <w:name w:val="List 5"/>
    <w:basedOn w:val="Normal"/>
    <w:uiPriority w:val="99"/>
    <w:semiHidden/>
    <w:rsid w:val="00EE0C5B"/>
    <w:pPr>
      <w:ind w:left="1985" w:hanging="397"/>
    </w:pPr>
  </w:style>
  <w:style w:type="paragraph" w:styleId="ListContinue3">
    <w:name w:val="List Continue 3"/>
    <w:basedOn w:val="Normal"/>
    <w:uiPriority w:val="99"/>
    <w:rsid w:val="003B26A2"/>
    <w:pPr>
      <w:ind w:left="1191"/>
    </w:pPr>
  </w:style>
  <w:style w:type="paragraph" w:styleId="ListContinue4">
    <w:name w:val="List Continue 4"/>
    <w:basedOn w:val="Normal"/>
    <w:uiPriority w:val="99"/>
    <w:semiHidden/>
    <w:rsid w:val="003B26A2"/>
    <w:pPr>
      <w:ind w:left="1588"/>
    </w:pPr>
  </w:style>
  <w:style w:type="paragraph" w:styleId="ListContinue5">
    <w:name w:val="List Continue 5"/>
    <w:basedOn w:val="Normal"/>
    <w:uiPriority w:val="99"/>
    <w:semiHidden/>
    <w:rsid w:val="003B26A2"/>
    <w:pPr>
      <w:ind w:left="1985"/>
    </w:pPr>
  </w:style>
  <w:style w:type="paragraph" w:styleId="ListNumber4">
    <w:name w:val="List Number 4"/>
    <w:basedOn w:val="Normal"/>
    <w:uiPriority w:val="99"/>
    <w:semiHidden/>
    <w:rsid w:val="00ED73E5"/>
    <w:pPr>
      <w:numPr>
        <w:ilvl w:val="3"/>
        <w:numId w:val="2"/>
      </w:numPr>
    </w:pPr>
  </w:style>
  <w:style w:type="paragraph" w:styleId="ListNumber5">
    <w:name w:val="List Number 5"/>
    <w:basedOn w:val="Normal"/>
    <w:uiPriority w:val="99"/>
    <w:semiHidden/>
    <w:rsid w:val="00ED73E5"/>
    <w:pPr>
      <w:numPr>
        <w:ilvl w:val="4"/>
        <w:numId w:val="2"/>
      </w:numPr>
    </w:pPr>
  </w:style>
  <w:style w:type="paragraph" w:styleId="ListBullet5">
    <w:name w:val="List Bullet 5"/>
    <w:basedOn w:val="Normal"/>
    <w:uiPriority w:val="99"/>
    <w:rsid w:val="00ED73E5"/>
    <w:pPr>
      <w:numPr>
        <w:ilvl w:val="4"/>
        <w:numId w:val="1"/>
      </w:numPr>
    </w:pPr>
  </w:style>
  <w:style w:type="paragraph" w:styleId="List2">
    <w:name w:val="List 2"/>
    <w:basedOn w:val="Normal"/>
    <w:uiPriority w:val="99"/>
    <w:rsid w:val="00EE0C5B"/>
    <w:pPr>
      <w:ind w:left="794" w:hanging="397"/>
    </w:pPr>
  </w:style>
  <w:style w:type="paragraph" w:styleId="List">
    <w:name w:val="List"/>
    <w:basedOn w:val="Normal"/>
    <w:uiPriority w:val="99"/>
    <w:rsid w:val="00EE0C5B"/>
    <w:pPr>
      <w:ind w:left="397" w:hanging="397"/>
    </w:pPr>
  </w:style>
  <w:style w:type="paragraph" w:styleId="FootnoteText">
    <w:name w:val="footnote text"/>
    <w:basedOn w:val="Normal"/>
    <w:link w:val="FootnoteTextChar"/>
    <w:uiPriority w:val="99"/>
    <w:semiHidden/>
    <w:rsid w:val="00056E5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56E5F"/>
    <w:rPr>
      <w:rFonts w:cs="Times New Roman"/>
      <w:sz w:val="20"/>
      <w:szCs w:val="20"/>
    </w:rPr>
  </w:style>
  <w:style w:type="character" w:styleId="FootnoteReference">
    <w:name w:val="footnote reference"/>
    <w:basedOn w:val="DefaultParagraphFont"/>
    <w:uiPriority w:val="99"/>
    <w:semiHidden/>
    <w:rsid w:val="00056E5F"/>
    <w:rPr>
      <w:rFonts w:cs="Times New Roman"/>
      <w:vertAlign w:val="superscript"/>
    </w:rPr>
  </w:style>
  <w:style w:type="paragraph" w:customStyle="1" w:styleId="ExampleSub">
    <w:name w:val="ExampleSub"/>
    <w:basedOn w:val="Normal"/>
    <w:uiPriority w:val="99"/>
    <w:rsid w:val="005639C2"/>
    <w:pPr>
      <w:keepNext/>
      <w:keepLines/>
      <w:widowControl w:val="0"/>
      <w:suppressAutoHyphens/>
      <w:autoSpaceDE w:val="0"/>
      <w:autoSpaceDN w:val="0"/>
      <w:adjustRightInd w:val="0"/>
      <w:spacing w:before="150" w:after="0" w:line="320" w:lineRule="atLeast"/>
      <w:ind w:left="567"/>
      <w:textAlignment w:val="center"/>
    </w:pPr>
    <w:rPr>
      <w:rFonts w:ascii="FS Lola" w:eastAsia="Times New Roman" w:hAnsi="FS Lola" w:cs="FS Lola"/>
      <w:b/>
      <w:bCs/>
      <w:color w:val="57585A"/>
      <w:sz w:val="23"/>
      <w:szCs w:val="23"/>
      <w:lang w:eastAsia="en-GB"/>
    </w:rPr>
  </w:style>
  <w:style w:type="paragraph" w:customStyle="1" w:styleId="ExampleText">
    <w:name w:val="ExampleText"/>
    <w:basedOn w:val="Normal"/>
    <w:rsid w:val="005639C2"/>
    <w:pPr>
      <w:widowControl w:val="0"/>
      <w:tabs>
        <w:tab w:val="left" w:pos="567"/>
        <w:tab w:val="left" w:pos="786"/>
      </w:tabs>
      <w:suppressAutoHyphens/>
      <w:autoSpaceDE w:val="0"/>
      <w:autoSpaceDN w:val="0"/>
      <w:adjustRightInd w:val="0"/>
      <w:spacing w:before="150" w:after="0" w:line="280" w:lineRule="atLeast"/>
      <w:ind w:left="567"/>
      <w:textAlignment w:val="baseline"/>
    </w:pPr>
    <w:rPr>
      <w:rFonts w:ascii="FS Lola Light" w:eastAsia="Times New Roman" w:hAnsi="FS Lola Light" w:cs="FS Lola Light"/>
      <w:sz w:val="20"/>
      <w:szCs w:val="20"/>
      <w:lang w:eastAsia="en-GB"/>
    </w:rPr>
  </w:style>
  <w:style w:type="paragraph" w:customStyle="1" w:styleId="ExampleBullet">
    <w:name w:val="ExampleBullet"/>
    <w:basedOn w:val="Normal"/>
    <w:uiPriority w:val="99"/>
    <w:rsid w:val="005639C2"/>
    <w:pPr>
      <w:keepLines/>
      <w:widowControl w:val="0"/>
      <w:tabs>
        <w:tab w:val="left" w:pos="1800"/>
      </w:tabs>
      <w:suppressAutoHyphens/>
      <w:autoSpaceDE w:val="0"/>
      <w:autoSpaceDN w:val="0"/>
      <w:adjustRightInd w:val="0"/>
      <w:spacing w:before="70" w:after="0" w:line="280" w:lineRule="atLeast"/>
      <w:ind w:left="850" w:hanging="283"/>
      <w:textAlignment w:val="baseline"/>
    </w:pPr>
    <w:rPr>
      <w:rFonts w:ascii="FS Lola Light" w:eastAsia="Times New Roman" w:hAnsi="FS Lola Light" w:cs="FS Lola Light"/>
      <w:sz w:val="20"/>
      <w:szCs w:val="20"/>
      <w:lang w:eastAsia="en-GB"/>
    </w:rPr>
  </w:style>
  <w:style w:type="paragraph" w:customStyle="1" w:styleId="ExampleSub02">
    <w:name w:val="ExampleSub02"/>
    <w:basedOn w:val="ExampleSub"/>
    <w:uiPriority w:val="99"/>
    <w:rsid w:val="005639C2"/>
    <w:pPr>
      <w:tabs>
        <w:tab w:val="left" w:pos="850"/>
      </w:tabs>
      <w:spacing w:line="300" w:lineRule="atLeast"/>
    </w:pPr>
    <w:rPr>
      <w:sz w:val="20"/>
      <w:szCs w:val="20"/>
    </w:rPr>
  </w:style>
  <w:style w:type="paragraph" w:customStyle="1" w:styleId="ExampleDash">
    <w:name w:val="ExampleDash"/>
    <w:basedOn w:val="ExampleBullet"/>
    <w:uiPriority w:val="99"/>
    <w:rsid w:val="005639C2"/>
    <w:pPr>
      <w:ind w:left="1134"/>
    </w:pPr>
  </w:style>
  <w:style w:type="paragraph" w:customStyle="1" w:styleId="ExampleBulletEnd">
    <w:name w:val="ExampleBulletEnd"/>
    <w:basedOn w:val="ExampleBullet"/>
    <w:uiPriority w:val="99"/>
    <w:rsid w:val="005639C2"/>
    <w:pPr>
      <w:pBdr>
        <w:bottom w:val="single" w:sz="12" w:space="8" w:color="57585A"/>
      </w:pBdr>
      <w:spacing w:after="320"/>
    </w:pPr>
  </w:style>
  <w:style w:type="character" w:customStyle="1" w:styleId="Italic">
    <w:name w:val="Italic"/>
    <w:uiPriority w:val="99"/>
    <w:rsid w:val="005639C2"/>
    <w:rPr>
      <w:rFonts w:ascii="FS Lola" w:hAnsi="FS Lola"/>
      <w:i/>
    </w:rPr>
  </w:style>
  <w:style w:type="character" w:customStyle="1" w:styleId="Bold">
    <w:name w:val="Bold"/>
    <w:uiPriority w:val="99"/>
    <w:rsid w:val="005639C2"/>
    <w:rPr>
      <w:b/>
    </w:rPr>
  </w:style>
  <w:style w:type="character" w:styleId="Emphasis">
    <w:name w:val="Emphasis"/>
    <w:basedOn w:val="DefaultParagraphFont"/>
    <w:uiPriority w:val="20"/>
    <w:qFormat/>
    <w:rsid w:val="00A15ADA"/>
    <w:rPr>
      <w:rFonts w:cs="Times New Roman"/>
      <w:i/>
      <w:iCs/>
    </w:rPr>
  </w:style>
  <w:style w:type="character" w:customStyle="1" w:styleId="i1searchhl1">
    <w:name w:val="i1_searchhl1"/>
    <w:basedOn w:val="DefaultParagraphFont"/>
    <w:uiPriority w:val="99"/>
    <w:rsid w:val="00A15ADA"/>
    <w:rPr>
      <w:rFonts w:cs="Times New Roman"/>
      <w:shd w:val="clear" w:color="auto" w:fill="FFFF00"/>
    </w:rPr>
  </w:style>
  <w:style w:type="character" w:styleId="Hyperlink">
    <w:name w:val="Hyperlink"/>
    <w:basedOn w:val="DefaultParagraphFont"/>
    <w:uiPriority w:val="99"/>
    <w:rsid w:val="0057757D"/>
    <w:rPr>
      <w:rFonts w:cs="Times New Roman"/>
      <w:color w:val="564242"/>
      <w:u w:val="single"/>
    </w:rPr>
  </w:style>
  <w:style w:type="paragraph" w:customStyle="1" w:styleId="NoParagraphStyle">
    <w:name w:val="[No Paragraph Style]"/>
    <w:link w:val="NoParagraphStyleChar"/>
    <w:uiPriority w:val="99"/>
    <w:rsid w:val="00360301"/>
    <w:pPr>
      <w:widowControl w:val="0"/>
      <w:autoSpaceDE w:val="0"/>
      <w:autoSpaceDN w:val="0"/>
      <w:adjustRightInd w:val="0"/>
      <w:spacing w:line="288" w:lineRule="auto"/>
      <w:textAlignment w:val="center"/>
    </w:pPr>
    <w:rPr>
      <w:rFonts w:ascii="FS Lola" w:eastAsia="SimSun" w:hAnsi="FS Lola" w:cs="FS Lola"/>
      <w:color w:val="000000"/>
      <w:sz w:val="24"/>
      <w:szCs w:val="24"/>
      <w:lang w:eastAsia="zh-CN"/>
    </w:rPr>
  </w:style>
  <w:style w:type="paragraph" w:customStyle="1" w:styleId="TableText">
    <w:name w:val="TableText"/>
    <w:basedOn w:val="NoParagraphStyle"/>
    <w:uiPriority w:val="99"/>
    <w:rsid w:val="00360301"/>
    <w:pPr>
      <w:suppressAutoHyphens/>
      <w:spacing w:before="57" w:line="280" w:lineRule="atLeast"/>
      <w:ind w:left="28" w:right="113"/>
    </w:pPr>
    <w:rPr>
      <w:sz w:val="20"/>
      <w:szCs w:val="20"/>
    </w:rPr>
  </w:style>
  <w:style w:type="paragraph" w:customStyle="1" w:styleId="Holder">
    <w:name w:val="Holder"/>
    <w:basedOn w:val="Normal"/>
    <w:uiPriority w:val="99"/>
    <w:rsid w:val="00360301"/>
    <w:pPr>
      <w:keepNext/>
      <w:widowControl w:val="0"/>
      <w:tabs>
        <w:tab w:val="left" w:pos="680"/>
      </w:tabs>
      <w:suppressAutoHyphens/>
      <w:autoSpaceDE w:val="0"/>
      <w:autoSpaceDN w:val="0"/>
      <w:adjustRightInd w:val="0"/>
      <w:spacing w:before="198" w:after="142" w:line="288" w:lineRule="auto"/>
      <w:ind w:left="567" w:right="113"/>
      <w:textAlignment w:val="center"/>
    </w:pPr>
    <w:rPr>
      <w:rFonts w:ascii="FS Lola" w:eastAsia="SimSun" w:hAnsi="FS Lola" w:cs="FS Lola"/>
      <w:b/>
      <w:bCs/>
      <w:color w:val="57585A"/>
      <w:sz w:val="28"/>
      <w:szCs w:val="28"/>
      <w:lang w:eastAsia="zh-CN"/>
    </w:rPr>
  </w:style>
  <w:style w:type="paragraph" w:customStyle="1" w:styleId="TableRight">
    <w:name w:val="TableRight"/>
    <w:basedOn w:val="TableText"/>
    <w:uiPriority w:val="99"/>
    <w:rsid w:val="00360301"/>
    <w:pPr>
      <w:ind w:right="28"/>
      <w:jc w:val="right"/>
    </w:pPr>
    <w:rPr>
      <w:lang w:val="en-US"/>
    </w:rPr>
  </w:style>
  <w:style w:type="paragraph" w:customStyle="1" w:styleId="TableRightBold">
    <w:name w:val="TableRightBold"/>
    <w:basedOn w:val="TableText"/>
    <w:uiPriority w:val="99"/>
    <w:rsid w:val="00360301"/>
    <w:pPr>
      <w:ind w:right="28"/>
      <w:jc w:val="right"/>
    </w:pPr>
    <w:rPr>
      <w:b/>
      <w:bCs/>
      <w:color w:val="57585A"/>
      <w:lang w:val="en-US"/>
    </w:rPr>
  </w:style>
  <w:style w:type="paragraph" w:customStyle="1" w:styleId="TableHeadBold">
    <w:name w:val="TableHeadBold"/>
    <w:basedOn w:val="TableRightBold"/>
    <w:uiPriority w:val="99"/>
    <w:rsid w:val="00360301"/>
    <w:pPr>
      <w:tabs>
        <w:tab w:val="left" w:pos="680"/>
      </w:tabs>
      <w:spacing w:before="60" w:after="60"/>
      <w:jc w:val="left"/>
    </w:pPr>
    <w:rPr>
      <w:color w:val="60227A"/>
      <w:sz w:val="18"/>
      <w:szCs w:val="18"/>
    </w:rPr>
  </w:style>
  <w:style w:type="paragraph" w:customStyle="1" w:styleId="CodeNotesExampleHead">
    <w:name w:val="CodeNotes Example Head"/>
    <w:basedOn w:val="Normal"/>
    <w:uiPriority w:val="99"/>
    <w:rsid w:val="00360301"/>
    <w:pPr>
      <w:spacing w:after="0"/>
    </w:pPr>
    <w:rPr>
      <w:rFonts w:eastAsia="Times New Roman"/>
      <w:b/>
      <w:sz w:val="18"/>
      <w:szCs w:val="18"/>
    </w:rPr>
  </w:style>
  <w:style w:type="paragraph" w:customStyle="1" w:styleId="TableBullet">
    <w:name w:val="TableBullet"/>
    <w:basedOn w:val="TableText"/>
    <w:uiPriority w:val="99"/>
    <w:rsid w:val="00360301"/>
    <w:pPr>
      <w:ind w:left="312" w:hanging="283"/>
    </w:pPr>
  </w:style>
  <w:style w:type="paragraph" w:customStyle="1" w:styleId="TableHeadWhite">
    <w:name w:val="TableHeadWhite"/>
    <w:basedOn w:val="TableText"/>
    <w:uiPriority w:val="99"/>
    <w:rsid w:val="00360301"/>
    <w:pPr>
      <w:ind w:right="28"/>
    </w:pPr>
    <w:rPr>
      <w:b/>
      <w:bCs/>
      <w:color w:val="FFFFFF"/>
      <w:lang w:val="en-US"/>
    </w:rPr>
  </w:style>
  <w:style w:type="paragraph" w:styleId="BodyTextIndent2">
    <w:name w:val="Body Text Indent 2"/>
    <w:basedOn w:val="Normal"/>
    <w:link w:val="BodyTextIndent2Char"/>
    <w:uiPriority w:val="99"/>
    <w:semiHidden/>
    <w:rsid w:val="00360301"/>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360301"/>
    <w:rPr>
      <w:rFonts w:cs="Times New Roman"/>
    </w:rPr>
  </w:style>
  <w:style w:type="paragraph" w:customStyle="1" w:styleId="TableTextBold">
    <w:name w:val="TableTextBold"/>
    <w:basedOn w:val="TableText"/>
    <w:uiPriority w:val="99"/>
    <w:rsid w:val="00360301"/>
    <w:pPr>
      <w:tabs>
        <w:tab w:val="left" w:pos="680"/>
      </w:tabs>
    </w:pPr>
    <w:rPr>
      <w:b/>
      <w:bCs/>
      <w:color w:val="57585A"/>
      <w:lang w:val="en-US"/>
    </w:rPr>
  </w:style>
  <w:style w:type="paragraph" w:customStyle="1" w:styleId="ExampleEnd">
    <w:name w:val="ExampleEnd"/>
    <w:basedOn w:val="ExampleText"/>
    <w:uiPriority w:val="99"/>
    <w:rsid w:val="00360301"/>
    <w:pPr>
      <w:pBdr>
        <w:bottom w:val="single" w:sz="12" w:space="8" w:color="57585A"/>
      </w:pBdr>
      <w:spacing w:after="320"/>
    </w:pPr>
    <w:rPr>
      <w:rFonts w:eastAsia="SimSun"/>
      <w:lang w:eastAsia="zh-CN"/>
    </w:rPr>
  </w:style>
  <w:style w:type="character" w:customStyle="1" w:styleId="Purple">
    <w:name w:val="Purple"/>
    <w:uiPriority w:val="99"/>
    <w:rsid w:val="00360301"/>
    <w:rPr>
      <w:color w:val="60227A"/>
    </w:rPr>
  </w:style>
  <w:style w:type="paragraph" w:customStyle="1" w:styleId="CodeNotesHead1">
    <w:name w:val="CodeNotes Head 1"/>
    <w:basedOn w:val="Normal"/>
    <w:link w:val="CodeNotesHead1Char"/>
    <w:uiPriority w:val="99"/>
    <w:rsid w:val="00360301"/>
    <w:rPr>
      <w:rFonts w:eastAsia="Times New Roman"/>
      <w:b/>
    </w:rPr>
  </w:style>
  <w:style w:type="character" w:customStyle="1" w:styleId="CodeNotesHead1Char">
    <w:name w:val="CodeNotes Head 1 Char"/>
    <w:basedOn w:val="DefaultParagraphFont"/>
    <w:link w:val="CodeNotesHead1"/>
    <w:uiPriority w:val="99"/>
    <w:locked/>
    <w:rsid w:val="00360301"/>
    <w:rPr>
      <w:rFonts w:ascii="Arial" w:hAnsi="Arial" w:cs="Times New Roman"/>
      <w:b/>
      <w:color w:val="000000"/>
    </w:rPr>
  </w:style>
  <w:style w:type="paragraph" w:customStyle="1" w:styleId="TableHeadRightWhite">
    <w:name w:val="TableHeadRightWhite"/>
    <w:basedOn w:val="TableHeadWhite"/>
    <w:uiPriority w:val="99"/>
    <w:rsid w:val="00360301"/>
    <w:pPr>
      <w:jc w:val="right"/>
    </w:pPr>
  </w:style>
  <w:style w:type="paragraph" w:styleId="BalloonText">
    <w:name w:val="Balloon Text"/>
    <w:basedOn w:val="Normal"/>
    <w:link w:val="BalloonTextChar"/>
    <w:uiPriority w:val="99"/>
    <w:semiHidden/>
    <w:rsid w:val="00FA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378E"/>
    <w:rPr>
      <w:rFonts w:ascii="Tahoma" w:hAnsi="Tahoma" w:cs="Tahoma"/>
      <w:sz w:val="16"/>
      <w:szCs w:val="16"/>
    </w:rPr>
  </w:style>
  <w:style w:type="character" w:styleId="CommentReference">
    <w:name w:val="annotation reference"/>
    <w:basedOn w:val="DefaultParagraphFont"/>
    <w:rsid w:val="00E15B7C"/>
    <w:rPr>
      <w:rFonts w:cs="Times New Roman"/>
      <w:sz w:val="16"/>
      <w:szCs w:val="16"/>
    </w:rPr>
  </w:style>
  <w:style w:type="paragraph" w:styleId="CommentText">
    <w:name w:val="annotation text"/>
    <w:basedOn w:val="Normal"/>
    <w:link w:val="CommentTextChar"/>
    <w:rsid w:val="00E15B7C"/>
    <w:pPr>
      <w:spacing w:line="240" w:lineRule="auto"/>
    </w:pPr>
    <w:rPr>
      <w:sz w:val="20"/>
      <w:szCs w:val="20"/>
    </w:rPr>
  </w:style>
  <w:style w:type="character" w:customStyle="1" w:styleId="CommentTextChar">
    <w:name w:val="Comment Text Char"/>
    <w:basedOn w:val="DefaultParagraphFont"/>
    <w:link w:val="CommentText"/>
    <w:locked/>
    <w:rsid w:val="00E15B7C"/>
    <w:rPr>
      <w:rFonts w:cs="Times New Roman"/>
      <w:sz w:val="20"/>
      <w:szCs w:val="20"/>
    </w:rPr>
  </w:style>
  <w:style w:type="paragraph" w:styleId="CommentSubject">
    <w:name w:val="annotation subject"/>
    <w:basedOn w:val="CommentText"/>
    <w:next w:val="CommentText"/>
    <w:link w:val="CommentSubjectChar"/>
    <w:uiPriority w:val="99"/>
    <w:semiHidden/>
    <w:rsid w:val="00E15B7C"/>
    <w:rPr>
      <w:b/>
      <w:bCs/>
    </w:rPr>
  </w:style>
  <w:style w:type="character" w:customStyle="1" w:styleId="CommentSubjectChar">
    <w:name w:val="Comment Subject Char"/>
    <w:basedOn w:val="CommentTextChar"/>
    <w:link w:val="CommentSubject"/>
    <w:uiPriority w:val="99"/>
    <w:semiHidden/>
    <w:locked/>
    <w:rsid w:val="00E15B7C"/>
    <w:rPr>
      <w:rFonts w:cs="Times New Roman"/>
      <w:b/>
      <w:bCs/>
      <w:sz w:val="20"/>
      <w:szCs w:val="20"/>
    </w:rPr>
  </w:style>
  <w:style w:type="paragraph" w:customStyle="1" w:styleId="CodeNotesbody">
    <w:name w:val="CodeNotes body"/>
    <w:basedOn w:val="ListParagraph"/>
    <w:link w:val="CodeNotesbodyChar"/>
    <w:uiPriority w:val="99"/>
    <w:rsid w:val="00E20CBD"/>
    <w:pPr>
      <w:numPr>
        <w:numId w:val="4"/>
      </w:numPr>
      <w:spacing w:after="0"/>
    </w:pPr>
    <w:rPr>
      <w:rFonts w:eastAsia="Times New Roman"/>
    </w:rPr>
  </w:style>
  <w:style w:type="character" w:customStyle="1" w:styleId="CodeNotesbodyChar">
    <w:name w:val="CodeNotes body Char"/>
    <w:basedOn w:val="DefaultParagraphFont"/>
    <w:link w:val="CodeNotesbody"/>
    <w:uiPriority w:val="99"/>
    <w:locked/>
    <w:rsid w:val="00E20CBD"/>
    <w:rPr>
      <w:rFonts w:eastAsia="Times New Roman"/>
      <w:color w:val="000000"/>
      <w:sz w:val="21"/>
      <w:szCs w:val="21"/>
      <w:lang w:eastAsia="en-US"/>
    </w:rPr>
  </w:style>
  <w:style w:type="paragraph" w:customStyle="1" w:styleId="TableRightBoldHead">
    <w:name w:val="TableRightBoldHead"/>
    <w:basedOn w:val="TableRight"/>
    <w:uiPriority w:val="99"/>
    <w:rsid w:val="000B495A"/>
    <w:pPr>
      <w:tabs>
        <w:tab w:val="left" w:pos="680"/>
      </w:tabs>
      <w:spacing w:before="60" w:after="60" w:line="289" w:lineRule="auto"/>
      <w:ind w:left="0" w:right="0"/>
      <w:textAlignment w:val="baseline"/>
    </w:pPr>
    <w:rPr>
      <w:rFonts w:ascii="DIN-Bold" w:eastAsia="Times New Roman" w:hAnsi="DIN-Bold" w:cs="DIN-Bold"/>
      <w:color w:val="5100B7"/>
      <w:sz w:val="18"/>
      <w:szCs w:val="18"/>
      <w:lang w:eastAsia="en-GB"/>
    </w:rPr>
  </w:style>
  <w:style w:type="paragraph" w:customStyle="1" w:styleId="TableTextRight">
    <w:name w:val="TableTextRight"/>
    <w:basedOn w:val="TableText"/>
    <w:uiPriority w:val="99"/>
    <w:rsid w:val="00C9181C"/>
    <w:pPr>
      <w:spacing w:before="60" w:after="60" w:line="289" w:lineRule="auto"/>
      <w:ind w:left="0" w:right="0"/>
      <w:jc w:val="right"/>
      <w:textAlignment w:val="baseline"/>
    </w:pPr>
    <w:rPr>
      <w:rFonts w:ascii="DIN-Regular" w:eastAsia="Times New Roman" w:hAnsi="DIN-Regular" w:cs="DIN-Regular"/>
      <w:sz w:val="18"/>
      <w:szCs w:val="18"/>
      <w:lang w:eastAsia="en-GB"/>
    </w:rPr>
  </w:style>
  <w:style w:type="character" w:customStyle="1" w:styleId="NoParagraphStyleChar">
    <w:name w:val="[No Paragraph Style] Char"/>
    <w:basedOn w:val="DefaultParagraphFont"/>
    <w:link w:val="NoParagraphStyle"/>
    <w:uiPriority w:val="99"/>
    <w:locked/>
    <w:rsid w:val="007A3F28"/>
    <w:rPr>
      <w:rFonts w:ascii="FS Lola" w:eastAsia="SimSun" w:hAnsi="FS Lola" w:cs="FS Lola"/>
      <w:color w:val="000000"/>
      <w:sz w:val="24"/>
      <w:szCs w:val="24"/>
      <w:lang w:val="en-GB" w:eastAsia="zh-CN" w:bidi="ar-SA"/>
    </w:rPr>
  </w:style>
  <w:style w:type="character" w:customStyle="1" w:styleId="ParaNumber">
    <w:name w:val="ParaNumber"/>
    <w:uiPriority w:val="99"/>
    <w:rsid w:val="00613705"/>
    <w:rPr>
      <w:rFonts w:ascii="DIN-Black" w:hAnsi="DIN-Black"/>
      <w:color w:val="5100B7"/>
      <w:sz w:val="16"/>
    </w:rPr>
  </w:style>
  <w:style w:type="paragraph" w:customStyle="1" w:styleId="TableItalic">
    <w:name w:val="TableItalic"/>
    <w:basedOn w:val="TableText"/>
    <w:uiPriority w:val="99"/>
    <w:rsid w:val="00EC5D4E"/>
    <w:pPr>
      <w:spacing w:before="60" w:after="60" w:line="289" w:lineRule="auto"/>
      <w:ind w:left="0" w:right="0"/>
      <w:textAlignment w:val="baseline"/>
    </w:pPr>
    <w:rPr>
      <w:rFonts w:ascii="DIN-Regular" w:eastAsia="Times New Roman" w:hAnsi="DIN-Regular" w:cs="DIN-Regular"/>
      <w:i/>
      <w:iCs/>
      <w:sz w:val="18"/>
      <w:szCs w:val="18"/>
      <w:lang w:eastAsia="en-GB"/>
    </w:rPr>
  </w:style>
  <w:style w:type="paragraph" w:customStyle="1" w:styleId="CodeNotesExampleText">
    <w:name w:val="CodeNotes Example Text"/>
    <w:basedOn w:val="Normal"/>
    <w:uiPriority w:val="99"/>
    <w:rsid w:val="00BB1A56"/>
    <w:pPr>
      <w:spacing w:after="0"/>
    </w:pPr>
    <w:rPr>
      <w:rFonts w:eastAsia="Times New Roman"/>
      <w:sz w:val="18"/>
      <w:szCs w:val="18"/>
    </w:rPr>
  </w:style>
  <w:style w:type="character" w:customStyle="1" w:styleId="ListParagraphChar">
    <w:name w:val="List Paragraph Char"/>
    <w:basedOn w:val="DefaultParagraphFont"/>
    <w:link w:val="ListParagraph"/>
    <w:uiPriority w:val="34"/>
    <w:locked/>
    <w:rsid w:val="00F456AC"/>
    <w:rPr>
      <w:rFonts w:cs="Times New Roman"/>
    </w:rPr>
  </w:style>
  <w:style w:type="table" w:styleId="LightList-Accent5">
    <w:name w:val="Light List Accent 5"/>
    <w:basedOn w:val="TableNormal"/>
    <w:uiPriority w:val="99"/>
    <w:rsid w:val="003A718E"/>
    <w:tblPr>
      <w:tblStyleRowBandSize w:val="1"/>
      <w:tblStyleColBandSize w:val="1"/>
      <w:tblBorders>
        <w:top w:val="single" w:sz="8" w:space="0" w:color="EEECEA"/>
        <w:left w:val="single" w:sz="8" w:space="0" w:color="EEECEA"/>
        <w:bottom w:val="single" w:sz="8" w:space="0" w:color="EEECEA"/>
        <w:right w:val="single" w:sz="8" w:space="0" w:color="EEECEA"/>
      </w:tblBorders>
    </w:tblPr>
    <w:tblStylePr w:type="firstRow">
      <w:pPr>
        <w:spacing w:before="0" w:after="0"/>
      </w:pPr>
      <w:rPr>
        <w:rFonts w:cs="Times New Roman"/>
        <w:b/>
        <w:bCs/>
        <w:color w:val="FFFFFF"/>
      </w:rPr>
      <w:tblPr/>
      <w:tcPr>
        <w:shd w:val="clear" w:color="auto" w:fill="EEECEA"/>
      </w:tcPr>
    </w:tblStylePr>
    <w:tblStylePr w:type="lastRow">
      <w:pPr>
        <w:spacing w:before="0" w:after="0"/>
      </w:pPr>
      <w:rPr>
        <w:rFonts w:cs="Times New Roman"/>
        <w:b/>
        <w:bCs/>
      </w:rPr>
      <w:tblPr/>
      <w:tcPr>
        <w:tcBorders>
          <w:top w:val="double" w:sz="6" w:space="0" w:color="EEECEA"/>
          <w:left w:val="single" w:sz="8" w:space="0" w:color="EEECEA"/>
          <w:bottom w:val="single" w:sz="8" w:space="0" w:color="EEECEA"/>
          <w:right w:val="single" w:sz="8" w:space="0" w:color="EEECE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EECEA"/>
          <w:left w:val="single" w:sz="8" w:space="0" w:color="EEECEA"/>
          <w:bottom w:val="single" w:sz="8" w:space="0" w:color="EEECEA"/>
          <w:right w:val="single" w:sz="8" w:space="0" w:color="EEECEA"/>
        </w:tcBorders>
      </w:tcPr>
    </w:tblStylePr>
    <w:tblStylePr w:type="band1Horz">
      <w:rPr>
        <w:rFonts w:cs="Times New Roman"/>
      </w:rPr>
      <w:tblPr/>
      <w:tcPr>
        <w:tcBorders>
          <w:top w:val="single" w:sz="8" w:space="0" w:color="EEECEA"/>
          <w:left w:val="single" w:sz="8" w:space="0" w:color="EEECEA"/>
          <w:bottom w:val="single" w:sz="8" w:space="0" w:color="EEECEA"/>
          <w:right w:val="single" w:sz="8" w:space="0" w:color="EEECEA"/>
        </w:tcBorders>
      </w:tcPr>
    </w:tblStylePr>
  </w:style>
  <w:style w:type="table" w:styleId="ColorfulList-Accent5">
    <w:name w:val="Colorful List Accent 5"/>
    <w:basedOn w:val="TableNormal"/>
    <w:uiPriority w:val="99"/>
    <w:rsid w:val="003A718E"/>
    <w:tblPr>
      <w:tblStyleRowBandSize w:val="1"/>
      <w:tblStyleColBandSize w:val="1"/>
    </w:tblPr>
    <w:tcPr>
      <w:shd w:val="clear" w:color="auto" w:fill="FDFCFC"/>
    </w:tcPr>
    <w:tblStylePr w:type="firstRow">
      <w:rPr>
        <w:rFonts w:cs="Times New Roman"/>
        <w:b/>
        <w:bCs/>
        <w:color w:val="FFFFFF"/>
      </w:rPr>
      <w:tblPr/>
      <w:tcPr>
        <w:tcBorders>
          <w:bottom w:val="single" w:sz="12" w:space="0" w:color="FFFFFF"/>
        </w:tcBorders>
        <w:shd w:val="clear" w:color="auto" w:fill="000018"/>
      </w:tcPr>
    </w:tblStylePr>
    <w:tblStylePr w:type="lastRow">
      <w:rPr>
        <w:rFonts w:cs="Times New Roman"/>
        <w:b/>
        <w:bCs/>
        <w:color w:val="00001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FAF9"/>
      </w:tcPr>
    </w:tblStylePr>
    <w:tblStylePr w:type="band1Horz">
      <w:rPr>
        <w:rFonts w:cs="Times New Roman"/>
      </w:rPr>
      <w:tblPr/>
      <w:tcPr>
        <w:shd w:val="clear" w:color="auto" w:fill="FBFBFA"/>
      </w:tcPr>
    </w:tblStylePr>
  </w:style>
  <w:style w:type="paragraph" w:styleId="BodyTextIndent">
    <w:name w:val="Body Text Indent"/>
    <w:basedOn w:val="Normal"/>
    <w:link w:val="BodyTextIndentChar"/>
    <w:uiPriority w:val="99"/>
    <w:rsid w:val="00421521"/>
    <w:pPr>
      <w:spacing w:after="120"/>
      <w:ind w:left="283"/>
    </w:pPr>
    <w:rPr>
      <w:rFonts w:eastAsia="Times New Roman"/>
    </w:rPr>
  </w:style>
  <w:style w:type="character" w:customStyle="1" w:styleId="BodyTextIndentChar">
    <w:name w:val="Body Text Indent Char"/>
    <w:basedOn w:val="DefaultParagraphFont"/>
    <w:link w:val="BodyTextIndent"/>
    <w:uiPriority w:val="99"/>
    <w:locked/>
    <w:rsid w:val="00421521"/>
    <w:rPr>
      <w:rFonts w:eastAsia="Times New Roman" w:cs="Times New Roman"/>
      <w:color w:val="000000"/>
      <w:sz w:val="21"/>
      <w:szCs w:val="21"/>
      <w:lang w:eastAsia="en-US"/>
    </w:rPr>
  </w:style>
  <w:style w:type="paragraph" w:styleId="DocumentMap">
    <w:name w:val="Document Map"/>
    <w:basedOn w:val="Normal"/>
    <w:link w:val="DocumentMapChar"/>
    <w:uiPriority w:val="99"/>
    <w:semiHidden/>
    <w:rsid w:val="00E92D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CA3874"/>
    <w:rPr>
      <w:rFonts w:ascii="Times New Roman" w:hAnsi="Times New Roman" w:cs="Times New Roman"/>
      <w:color w:val="000000"/>
      <w:sz w:val="2"/>
      <w:lang w:eastAsia="en-US"/>
    </w:rPr>
  </w:style>
  <w:style w:type="paragraph" w:customStyle="1" w:styleId="CharChar2CharCharCharCharCharCharCharCharCharChar">
    <w:name w:val="Char Char2 Char Char Char Char Char Char Char Char Char Char"/>
    <w:basedOn w:val="Normal"/>
    <w:uiPriority w:val="99"/>
    <w:rsid w:val="00F77E72"/>
    <w:pPr>
      <w:spacing w:after="160" w:line="240" w:lineRule="exact"/>
    </w:pPr>
    <w:rPr>
      <w:rFonts w:ascii="Verdana" w:eastAsia="Times New Roman" w:hAnsi="Verdana"/>
      <w:color w:val="auto"/>
      <w:sz w:val="20"/>
      <w:szCs w:val="20"/>
      <w:lang w:val="en-US"/>
    </w:rPr>
  </w:style>
  <w:style w:type="paragraph" w:customStyle="1" w:styleId="CharChar2CharCharCharCharCharCharCharCharCharCharCharCharCharCharCharCharCharCharCharCharCharCharCharCharChar">
    <w:name w:val="Char Char2 Char Char Char Char Char Char Char Char Char Char Char Char Char Char Char Char Char Char Char Char Char Char Char Char Char"/>
    <w:basedOn w:val="Normal"/>
    <w:uiPriority w:val="99"/>
    <w:rsid w:val="00B22551"/>
    <w:pPr>
      <w:spacing w:after="160" w:line="240" w:lineRule="exact"/>
    </w:pPr>
    <w:rPr>
      <w:rFonts w:ascii="Verdana" w:eastAsia="Times New Roman" w:hAnsi="Verdana"/>
      <w:color w:val="auto"/>
      <w:sz w:val="20"/>
      <w:szCs w:val="20"/>
      <w:lang w:val="en-US"/>
    </w:rPr>
  </w:style>
  <w:style w:type="paragraph" w:customStyle="1" w:styleId="exampletext0">
    <w:name w:val="exampletext"/>
    <w:basedOn w:val="Normal"/>
    <w:uiPriority w:val="99"/>
    <w:rsid w:val="00CC53A1"/>
    <w:pPr>
      <w:widowControl w:val="0"/>
      <w:adjustRightInd w:val="0"/>
      <w:spacing w:before="100" w:beforeAutospacing="1" w:after="100" w:afterAutospacing="1" w:line="360" w:lineRule="atLeast"/>
      <w:jc w:val="both"/>
      <w:textAlignment w:val="baseline"/>
    </w:pPr>
    <w:rPr>
      <w:rFonts w:ascii="Verdana" w:eastAsia="Times New Roman" w:hAnsi="Verdana"/>
      <w:sz w:val="17"/>
      <w:szCs w:val="17"/>
      <w:lang w:eastAsia="en-GB"/>
    </w:rPr>
  </w:style>
  <w:style w:type="paragraph" w:customStyle="1" w:styleId="examplebullet0">
    <w:name w:val="examplebullet"/>
    <w:basedOn w:val="Normal"/>
    <w:uiPriority w:val="99"/>
    <w:rsid w:val="00CC53A1"/>
    <w:pPr>
      <w:widowControl w:val="0"/>
      <w:adjustRightInd w:val="0"/>
      <w:spacing w:before="100" w:beforeAutospacing="1" w:after="100" w:afterAutospacing="1" w:line="360" w:lineRule="atLeast"/>
      <w:jc w:val="both"/>
      <w:textAlignment w:val="baseline"/>
    </w:pPr>
    <w:rPr>
      <w:rFonts w:ascii="Verdana" w:eastAsia="Times New Roman" w:hAnsi="Verdana"/>
      <w:color w:val="auto"/>
      <w:sz w:val="17"/>
      <w:szCs w:val="17"/>
      <w:lang w:eastAsia="en-GB"/>
    </w:rPr>
  </w:style>
  <w:style w:type="paragraph" w:customStyle="1" w:styleId="exampleend0">
    <w:name w:val="exampleend"/>
    <w:basedOn w:val="Normal"/>
    <w:uiPriority w:val="99"/>
    <w:rsid w:val="00424F92"/>
    <w:pPr>
      <w:widowControl w:val="0"/>
      <w:pBdr>
        <w:bottom w:val="single" w:sz="6" w:space="2" w:color="006F92"/>
      </w:pBdr>
      <w:adjustRightInd w:val="0"/>
      <w:spacing w:before="100" w:beforeAutospacing="1" w:after="100" w:afterAutospacing="1" w:line="360" w:lineRule="atLeast"/>
      <w:jc w:val="both"/>
      <w:textAlignment w:val="baseline"/>
    </w:pPr>
    <w:rPr>
      <w:rFonts w:ascii="Verdana" w:eastAsia="Times New Roman" w:hAnsi="Verdana"/>
      <w:sz w:val="17"/>
      <w:szCs w:val="17"/>
      <w:lang w:eastAsia="en-GB"/>
    </w:rPr>
  </w:style>
  <w:style w:type="paragraph" w:styleId="NormalWeb">
    <w:name w:val="Normal (Web)"/>
    <w:basedOn w:val="Normal"/>
    <w:uiPriority w:val="99"/>
    <w:rsid w:val="00A9519F"/>
    <w:pPr>
      <w:widowControl w:val="0"/>
      <w:adjustRightInd w:val="0"/>
      <w:spacing w:before="100" w:after="100" w:line="360" w:lineRule="atLeast"/>
      <w:jc w:val="both"/>
      <w:textAlignment w:val="baseline"/>
    </w:pPr>
    <w:rPr>
      <w:rFonts w:eastAsia="Times New Roman"/>
      <w:color w:val="auto"/>
      <w:sz w:val="20"/>
      <w:szCs w:val="20"/>
    </w:rPr>
  </w:style>
  <w:style w:type="paragraph" w:customStyle="1" w:styleId="Bullets">
    <w:name w:val="Bullets"/>
    <w:basedOn w:val="Normal"/>
    <w:uiPriority w:val="99"/>
    <w:rsid w:val="001174CA"/>
    <w:pPr>
      <w:widowControl w:val="0"/>
      <w:numPr>
        <w:numId w:val="17"/>
      </w:numPr>
      <w:tabs>
        <w:tab w:val="left" w:pos="3062"/>
      </w:tabs>
      <w:adjustRightInd w:val="0"/>
      <w:spacing w:before="30" w:after="0" w:line="264" w:lineRule="auto"/>
      <w:jc w:val="both"/>
      <w:textAlignment w:val="baseline"/>
    </w:pPr>
    <w:rPr>
      <w:rFonts w:ascii="Times" w:eastAsia="Times New Roman" w:hAnsi="Times"/>
      <w:color w:val="auto"/>
      <w:szCs w:val="20"/>
    </w:rPr>
  </w:style>
  <w:style w:type="paragraph" w:styleId="PlainText">
    <w:name w:val="Plain Text"/>
    <w:basedOn w:val="Normal"/>
    <w:link w:val="PlainTextChar"/>
    <w:uiPriority w:val="99"/>
    <w:rsid w:val="00BC65EE"/>
    <w:pPr>
      <w:widowControl w:val="0"/>
      <w:adjustRightInd w:val="0"/>
      <w:spacing w:after="0" w:line="360" w:lineRule="atLeast"/>
      <w:jc w:val="both"/>
      <w:textAlignment w:val="baseline"/>
    </w:pPr>
    <w:rPr>
      <w:rFonts w:ascii="Courier New" w:eastAsia="Times New Roman" w:hAnsi="Courier New"/>
      <w:color w:val="auto"/>
      <w:sz w:val="20"/>
      <w:szCs w:val="20"/>
    </w:rPr>
  </w:style>
  <w:style w:type="character" w:customStyle="1" w:styleId="PlainTextChar">
    <w:name w:val="Plain Text Char"/>
    <w:basedOn w:val="DefaultParagraphFont"/>
    <w:link w:val="PlainText"/>
    <w:uiPriority w:val="99"/>
    <w:locked/>
    <w:rsid w:val="00531867"/>
    <w:rPr>
      <w:rFonts w:ascii="Courier New" w:hAnsi="Courier New" w:cs="Times New Roman"/>
      <w:lang w:val="en-GB" w:eastAsia="en-US" w:bidi="ar-SA"/>
    </w:rPr>
  </w:style>
  <w:style w:type="paragraph" w:customStyle="1" w:styleId="PolicyHeader">
    <w:name w:val="Policy Header"/>
    <w:basedOn w:val="Normal"/>
    <w:next w:val="Normal"/>
    <w:uiPriority w:val="99"/>
    <w:rsid w:val="00F31A9D"/>
    <w:pPr>
      <w:widowControl w:val="0"/>
      <w:adjustRightInd w:val="0"/>
      <w:spacing w:after="0" w:line="360" w:lineRule="atLeast"/>
      <w:jc w:val="both"/>
      <w:textAlignment w:val="baseline"/>
    </w:pPr>
    <w:rPr>
      <w:rFonts w:ascii="Times New Roman" w:eastAsia="Times New Roman" w:hAnsi="Times New Roman"/>
      <w:b/>
      <w:color w:val="auto"/>
      <w:sz w:val="24"/>
      <w:szCs w:val="20"/>
    </w:rPr>
  </w:style>
  <w:style w:type="paragraph" w:customStyle="1" w:styleId="Quick1">
    <w:name w:val="Quick 1."/>
    <w:basedOn w:val="Normal"/>
    <w:uiPriority w:val="99"/>
    <w:rsid w:val="00F31A9D"/>
    <w:pPr>
      <w:widowControl w:val="0"/>
      <w:numPr>
        <w:numId w:val="18"/>
      </w:numPr>
      <w:spacing w:after="0" w:line="240" w:lineRule="auto"/>
      <w:jc w:val="both"/>
    </w:pPr>
    <w:rPr>
      <w:rFonts w:ascii="Times New Roman" w:eastAsia="Times New Roman" w:hAnsi="Times New Roman"/>
      <w:color w:val="auto"/>
      <w:sz w:val="24"/>
      <w:szCs w:val="20"/>
    </w:rPr>
  </w:style>
  <w:style w:type="paragraph" w:styleId="BodyText3">
    <w:name w:val="Body Text 3"/>
    <w:basedOn w:val="Normal"/>
    <w:link w:val="BodyText3Char"/>
    <w:uiPriority w:val="99"/>
    <w:rsid w:val="00131B9B"/>
    <w:pPr>
      <w:spacing w:after="120"/>
    </w:pPr>
    <w:rPr>
      <w:sz w:val="16"/>
      <w:szCs w:val="16"/>
    </w:rPr>
  </w:style>
  <w:style w:type="character" w:customStyle="1" w:styleId="BodyText3Char">
    <w:name w:val="Body Text 3 Char"/>
    <w:basedOn w:val="DefaultParagraphFont"/>
    <w:link w:val="BodyText3"/>
    <w:uiPriority w:val="99"/>
    <w:locked/>
    <w:rsid w:val="00CA3874"/>
    <w:rPr>
      <w:rFonts w:cs="Times New Roman"/>
      <w:color w:val="000000"/>
      <w:sz w:val="16"/>
      <w:szCs w:val="16"/>
      <w:lang w:eastAsia="en-US"/>
    </w:rPr>
  </w:style>
  <w:style w:type="character" w:styleId="PageNumber">
    <w:name w:val="page number"/>
    <w:basedOn w:val="DefaultParagraphFont"/>
    <w:uiPriority w:val="99"/>
    <w:rsid w:val="00351DE5"/>
    <w:rPr>
      <w:rFonts w:cs="Times New Roman"/>
    </w:rPr>
  </w:style>
  <w:style w:type="paragraph" w:styleId="BodyTextFirstIndent">
    <w:name w:val="Body Text First Indent"/>
    <w:basedOn w:val="BodyText"/>
    <w:link w:val="BodyTextFirstIndentChar"/>
    <w:uiPriority w:val="99"/>
    <w:rsid w:val="00DE60BE"/>
    <w:pPr>
      <w:spacing w:after="120"/>
      <w:ind w:firstLine="210"/>
    </w:pPr>
  </w:style>
  <w:style w:type="character" w:customStyle="1" w:styleId="BodyTextFirstIndentChar">
    <w:name w:val="Body Text First Indent Char"/>
    <w:basedOn w:val="BodyTextChar"/>
    <w:link w:val="BodyTextFirstIndent"/>
    <w:uiPriority w:val="99"/>
    <w:locked/>
    <w:rsid w:val="00CA3874"/>
    <w:rPr>
      <w:rFonts w:cs="Times New Roman"/>
      <w:color w:val="000000"/>
      <w:sz w:val="21"/>
      <w:szCs w:val="21"/>
      <w:lang w:eastAsia="en-US"/>
    </w:rPr>
  </w:style>
  <w:style w:type="paragraph" w:customStyle="1" w:styleId="Default">
    <w:name w:val="Default"/>
    <w:rsid w:val="00710490"/>
    <w:pPr>
      <w:autoSpaceDE w:val="0"/>
      <w:autoSpaceDN w:val="0"/>
      <w:adjustRightInd w:val="0"/>
    </w:pPr>
    <w:rPr>
      <w:rFonts w:ascii="Gill Sans MT" w:eastAsia="Times New Roman" w:hAnsi="Gill Sans MT" w:cs="Gill Sans MT"/>
      <w:color w:val="000000"/>
      <w:sz w:val="24"/>
      <w:szCs w:val="24"/>
    </w:rPr>
  </w:style>
  <w:style w:type="paragraph" w:styleId="NormalIndent">
    <w:name w:val="Normal Indent"/>
    <w:basedOn w:val="Normal"/>
    <w:uiPriority w:val="99"/>
    <w:rsid w:val="006D2BE5"/>
    <w:pPr>
      <w:ind w:left="720"/>
    </w:pPr>
  </w:style>
  <w:style w:type="table" w:customStyle="1" w:styleId="TableGrid1">
    <w:name w:val="Table Grid1"/>
    <w:uiPriority w:val="99"/>
    <w:rsid w:val="00C1398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58248E"/>
    <w:rPr>
      <w:rFonts w:cs="Times New Roman"/>
      <w:color w:val="800080"/>
      <w:u w:val="single"/>
    </w:rPr>
  </w:style>
  <w:style w:type="paragraph" w:styleId="NoSpacing">
    <w:name w:val="No Spacing"/>
    <w:uiPriority w:val="99"/>
    <w:qFormat/>
    <w:rsid w:val="00531867"/>
    <w:rPr>
      <w:rFonts w:ascii="Times New Roman" w:eastAsia="Times New Roman" w:hAnsi="Times New Roman"/>
      <w:sz w:val="24"/>
      <w:szCs w:val="24"/>
    </w:rPr>
  </w:style>
  <w:style w:type="paragraph" w:styleId="BodyText2">
    <w:name w:val="Body Text 2"/>
    <w:basedOn w:val="Normal"/>
    <w:link w:val="BodyText2Char"/>
    <w:uiPriority w:val="99"/>
    <w:rsid w:val="00A43F71"/>
    <w:pPr>
      <w:spacing w:after="120" w:line="480" w:lineRule="auto"/>
    </w:pPr>
  </w:style>
  <w:style w:type="character" w:customStyle="1" w:styleId="BodyText2Char">
    <w:name w:val="Body Text 2 Char"/>
    <w:basedOn w:val="DefaultParagraphFont"/>
    <w:link w:val="BodyText2"/>
    <w:uiPriority w:val="99"/>
    <w:locked/>
    <w:rsid w:val="00A43F71"/>
    <w:rPr>
      <w:rFonts w:cs="Times New Roman"/>
      <w:color w:val="000000"/>
      <w:sz w:val="21"/>
      <w:szCs w:val="21"/>
      <w:lang w:eastAsia="en-US"/>
    </w:rPr>
  </w:style>
  <w:style w:type="paragraph" w:customStyle="1" w:styleId="inlinenormal">
    <w:name w:val="inlinenormal"/>
    <w:basedOn w:val="Normal"/>
    <w:rsid w:val="00A43F71"/>
    <w:pPr>
      <w:autoSpaceDN w:val="0"/>
      <w:spacing w:before="120" w:after="60" w:line="264" w:lineRule="auto"/>
    </w:pPr>
    <w:rPr>
      <w:rFonts w:eastAsia="Times New Roman" w:cs="Arial"/>
      <w:color w:val="auto"/>
      <w:sz w:val="24"/>
      <w:szCs w:val="24"/>
      <w:lang w:eastAsia="en-GB"/>
    </w:rPr>
  </w:style>
  <w:style w:type="numbering" w:customStyle="1" w:styleId="PwCListNumbers1">
    <w:name w:val="PwC List Numbers 1"/>
    <w:rsid w:val="004C4D37"/>
    <w:pPr>
      <w:numPr>
        <w:numId w:val="2"/>
      </w:numPr>
    </w:pPr>
  </w:style>
  <w:style w:type="numbering" w:customStyle="1" w:styleId="PwCListBullets1">
    <w:name w:val="PwC List Bullets 1"/>
    <w:rsid w:val="004C4D37"/>
    <w:pPr>
      <w:numPr>
        <w:numId w:val="1"/>
      </w:numPr>
    </w:pPr>
  </w:style>
  <w:style w:type="table" w:styleId="MediumGrid2-Accent5">
    <w:name w:val="Medium Grid 2 Accent 5"/>
    <w:basedOn w:val="TableNormal"/>
    <w:uiPriority w:val="68"/>
    <w:rsid w:val="0076201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4">
    <w:name w:val="Light Grid Accent 4"/>
    <w:basedOn w:val="TableNormal"/>
    <w:uiPriority w:val="62"/>
    <w:rsid w:val="0076201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List1-Accent4">
    <w:name w:val="Medium List 1 Accent 4"/>
    <w:basedOn w:val="TableNormal"/>
    <w:uiPriority w:val="65"/>
    <w:rsid w:val="0076201A"/>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6">
    <w:name w:val="Medium Shading 1 Accent 6"/>
    <w:basedOn w:val="TableNormal"/>
    <w:uiPriority w:val="63"/>
    <w:rsid w:val="00A407A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F06E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4">
    <w:name w:val="Light Shading Accent 4"/>
    <w:basedOn w:val="TableNormal"/>
    <w:uiPriority w:val="60"/>
    <w:rsid w:val="0006709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6">
    <w:name w:val="Light List Accent 6"/>
    <w:basedOn w:val="TableNormal"/>
    <w:uiPriority w:val="61"/>
    <w:rsid w:val="00D25D2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12">
    <w:name w:val="Medium Shading 1 - Accent 12"/>
    <w:basedOn w:val="TableNormal"/>
    <w:uiPriority w:val="63"/>
    <w:rsid w:val="0045209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8B6BC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Table3-Accent51">
    <w:name w:val="List Table 3 - Accent 51"/>
    <w:basedOn w:val="TableNormal"/>
    <w:uiPriority w:val="48"/>
    <w:rsid w:val="00B93EE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4-Accent51">
    <w:name w:val="List Table 4 - Accent 51"/>
    <w:basedOn w:val="TableNormal"/>
    <w:uiPriority w:val="49"/>
    <w:rsid w:val="00373F8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701F5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23">
    <w:name w:val="Pa23"/>
    <w:basedOn w:val="Normal"/>
    <w:next w:val="Normal"/>
    <w:uiPriority w:val="99"/>
    <w:rsid w:val="00C13C79"/>
    <w:pPr>
      <w:autoSpaceDE w:val="0"/>
      <w:autoSpaceDN w:val="0"/>
      <w:adjustRightInd w:val="0"/>
      <w:spacing w:after="0" w:line="201" w:lineRule="atLeast"/>
    </w:pPr>
    <w:rPr>
      <w:rFonts w:ascii="FS Lola" w:eastAsiaTheme="minorHAnsi" w:hAnsi="FS Lola" w:cstheme="minorBidi"/>
      <w:color w:val="auto"/>
      <w:sz w:val="24"/>
      <w:szCs w:val="24"/>
    </w:rPr>
  </w:style>
  <w:style w:type="paragraph" w:styleId="EndnoteText">
    <w:name w:val="endnote text"/>
    <w:basedOn w:val="Normal"/>
    <w:link w:val="EndnoteTextChar"/>
    <w:uiPriority w:val="99"/>
    <w:semiHidden/>
    <w:unhideWhenUsed/>
    <w:locked/>
    <w:rsid w:val="00292A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2A4B"/>
    <w:rPr>
      <w:color w:val="000000"/>
      <w:lang w:eastAsia="en-US"/>
    </w:rPr>
  </w:style>
  <w:style w:type="character" w:styleId="EndnoteReference">
    <w:name w:val="endnote reference"/>
    <w:basedOn w:val="DefaultParagraphFont"/>
    <w:uiPriority w:val="99"/>
    <w:semiHidden/>
    <w:unhideWhenUsed/>
    <w:locked/>
    <w:rsid w:val="00292A4B"/>
    <w:rPr>
      <w:vertAlign w:val="superscript"/>
    </w:rPr>
  </w:style>
  <w:style w:type="paragraph" w:styleId="Revision">
    <w:name w:val="Revision"/>
    <w:hidden/>
    <w:uiPriority w:val="99"/>
    <w:semiHidden/>
    <w:rsid w:val="00FC32F1"/>
    <w:rPr>
      <w:color w:val="000000"/>
      <w:sz w:val="21"/>
      <w:szCs w:val="21"/>
      <w:lang w:eastAsia="en-US"/>
    </w:rPr>
  </w:style>
  <w:style w:type="paragraph" w:customStyle="1" w:styleId="Normal1">
    <w:name w:val="Normal1"/>
    <w:rsid w:val="00203BAD"/>
    <w:pPr>
      <w:spacing w:line="276" w:lineRule="auto"/>
    </w:pPr>
    <w:rPr>
      <w:rFonts w:cs="Arial"/>
      <w:color w:val="000000"/>
      <w:sz w:val="22"/>
      <w:szCs w:val="22"/>
    </w:rPr>
  </w:style>
  <w:style w:type="paragraph" w:customStyle="1" w:styleId="Body">
    <w:name w:val="Body"/>
    <w:rsid w:val="00360B9A"/>
    <w:pPr>
      <w:pBdr>
        <w:top w:val="nil"/>
        <w:left w:val="nil"/>
        <w:bottom w:val="nil"/>
        <w:right w:val="nil"/>
        <w:between w:val="nil"/>
        <w:bar w:val="nil"/>
      </w:pBdr>
      <w:spacing w:after="240" w:line="240" w:lineRule="atLeast"/>
    </w:pPr>
    <w:rPr>
      <w:rFonts w:eastAsia="Arial Unicode MS" w:cs="Arial Unicode MS"/>
      <w:color w:val="000000"/>
      <w:sz w:val="21"/>
      <w:szCs w:val="21"/>
      <w:u w:color="000000"/>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08678">
      <w:bodyDiv w:val="1"/>
      <w:marLeft w:val="0"/>
      <w:marRight w:val="0"/>
      <w:marTop w:val="0"/>
      <w:marBottom w:val="0"/>
      <w:divBdr>
        <w:top w:val="none" w:sz="0" w:space="0" w:color="auto"/>
        <w:left w:val="none" w:sz="0" w:space="0" w:color="auto"/>
        <w:bottom w:val="none" w:sz="0" w:space="0" w:color="auto"/>
        <w:right w:val="none" w:sz="0" w:space="0" w:color="auto"/>
      </w:divBdr>
      <w:divsChild>
        <w:div w:id="1316300809">
          <w:marLeft w:val="0"/>
          <w:marRight w:val="0"/>
          <w:marTop w:val="0"/>
          <w:marBottom w:val="0"/>
          <w:divBdr>
            <w:top w:val="none" w:sz="0" w:space="0" w:color="auto"/>
            <w:left w:val="none" w:sz="0" w:space="0" w:color="auto"/>
            <w:bottom w:val="none" w:sz="0" w:space="0" w:color="auto"/>
            <w:right w:val="none" w:sz="0" w:space="0" w:color="auto"/>
          </w:divBdr>
        </w:div>
      </w:divsChild>
    </w:div>
    <w:div w:id="269435640">
      <w:bodyDiv w:val="1"/>
      <w:marLeft w:val="0"/>
      <w:marRight w:val="0"/>
      <w:marTop w:val="0"/>
      <w:marBottom w:val="0"/>
      <w:divBdr>
        <w:top w:val="none" w:sz="0" w:space="0" w:color="auto"/>
        <w:left w:val="none" w:sz="0" w:space="0" w:color="auto"/>
        <w:bottom w:val="none" w:sz="0" w:space="0" w:color="auto"/>
        <w:right w:val="none" w:sz="0" w:space="0" w:color="auto"/>
      </w:divBdr>
    </w:div>
    <w:div w:id="270548224">
      <w:bodyDiv w:val="1"/>
      <w:marLeft w:val="0"/>
      <w:marRight w:val="0"/>
      <w:marTop w:val="0"/>
      <w:marBottom w:val="0"/>
      <w:divBdr>
        <w:top w:val="none" w:sz="0" w:space="0" w:color="auto"/>
        <w:left w:val="none" w:sz="0" w:space="0" w:color="auto"/>
        <w:bottom w:val="none" w:sz="0" w:space="0" w:color="auto"/>
        <w:right w:val="none" w:sz="0" w:space="0" w:color="auto"/>
      </w:divBdr>
    </w:div>
    <w:div w:id="353502115">
      <w:bodyDiv w:val="1"/>
      <w:marLeft w:val="0"/>
      <w:marRight w:val="0"/>
      <w:marTop w:val="0"/>
      <w:marBottom w:val="0"/>
      <w:divBdr>
        <w:top w:val="none" w:sz="0" w:space="0" w:color="auto"/>
        <w:left w:val="none" w:sz="0" w:space="0" w:color="auto"/>
        <w:bottom w:val="none" w:sz="0" w:space="0" w:color="auto"/>
        <w:right w:val="none" w:sz="0" w:space="0" w:color="auto"/>
      </w:divBdr>
    </w:div>
    <w:div w:id="463279622">
      <w:bodyDiv w:val="1"/>
      <w:marLeft w:val="0"/>
      <w:marRight w:val="0"/>
      <w:marTop w:val="0"/>
      <w:marBottom w:val="0"/>
      <w:divBdr>
        <w:top w:val="none" w:sz="0" w:space="0" w:color="auto"/>
        <w:left w:val="none" w:sz="0" w:space="0" w:color="auto"/>
        <w:bottom w:val="none" w:sz="0" w:space="0" w:color="auto"/>
        <w:right w:val="none" w:sz="0" w:space="0" w:color="auto"/>
      </w:divBdr>
    </w:div>
    <w:div w:id="491986895">
      <w:bodyDiv w:val="1"/>
      <w:marLeft w:val="0"/>
      <w:marRight w:val="0"/>
      <w:marTop w:val="0"/>
      <w:marBottom w:val="0"/>
      <w:divBdr>
        <w:top w:val="none" w:sz="0" w:space="0" w:color="auto"/>
        <w:left w:val="none" w:sz="0" w:space="0" w:color="auto"/>
        <w:bottom w:val="none" w:sz="0" w:space="0" w:color="auto"/>
        <w:right w:val="none" w:sz="0" w:space="0" w:color="auto"/>
      </w:divBdr>
    </w:div>
    <w:div w:id="717826902">
      <w:bodyDiv w:val="1"/>
      <w:marLeft w:val="0"/>
      <w:marRight w:val="0"/>
      <w:marTop w:val="0"/>
      <w:marBottom w:val="0"/>
      <w:divBdr>
        <w:top w:val="none" w:sz="0" w:space="0" w:color="auto"/>
        <w:left w:val="none" w:sz="0" w:space="0" w:color="auto"/>
        <w:bottom w:val="none" w:sz="0" w:space="0" w:color="auto"/>
        <w:right w:val="none" w:sz="0" w:space="0" w:color="auto"/>
      </w:divBdr>
    </w:div>
    <w:div w:id="822038815">
      <w:bodyDiv w:val="1"/>
      <w:marLeft w:val="0"/>
      <w:marRight w:val="0"/>
      <w:marTop w:val="0"/>
      <w:marBottom w:val="0"/>
      <w:divBdr>
        <w:top w:val="none" w:sz="0" w:space="0" w:color="auto"/>
        <w:left w:val="none" w:sz="0" w:space="0" w:color="auto"/>
        <w:bottom w:val="none" w:sz="0" w:space="0" w:color="auto"/>
        <w:right w:val="none" w:sz="0" w:space="0" w:color="auto"/>
      </w:divBdr>
    </w:div>
    <w:div w:id="843979928">
      <w:bodyDiv w:val="1"/>
      <w:marLeft w:val="0"/>
      <w:marRight w:val="0"/>
      <w:marTop w:val="0"/>
      <w:marBottom w:val="0"/>
      <w:divBdr>
        <w:top w:val="none" w:sz="0" w:space="0" w:color="auto"/>
        <w:left w:val="none" w:sz="0" w:space="0" w:color="auto"/>
        <w:bottom w:val="none" w:sz="0" w:space="0" w:color="auto"/>
        <w:right w:val="none" w:sz="0" w:space="0" w:color="auto"/>
      </w:divBdr>
    </w:div>
    <w:div w:id="865948267">
      <w:bodyDiv w:val="1"/>
      <w:marLeft w:val="0"/>
      <w:marRight w:val="0"/>
      <w:marTop w:val="0"/>
      <w:marBottom w:val="0"/>
      <w:divBdr>
        <w:top w:val="none" w:sz="0" w:space="0" w:color="auto"/>
        <w:left w:val="none" w:sz="0" w:space="0" w:color="auto"/>
        <w:bottom w:val="none" w:sz="0" w:space="0" w:color="auto"/>
        <w:right w:val="none" w:sz="0" w:space="0" w:color="auto"/>
      </w:divBdr>
    </w:div>
    <w:div w:id="1016731464">
      <w:bodyDiv w:val="1"/>
      <w:marLeft w:val="0"/>
      <w:marRight w:val="0"/>
      <w:marTop w:val="0"/>
      <w:marBottom w:val="0"/>
      <w:divBdr>
        <w:top w:val="none" w:sz="0" w:space="0" w:color="auto"/>
        <w:left w:val="none" w:sz="0" w:space="0" w:color="auto"/>
        <w:bottom w:val="none" w:sz="0" w:space="0" w:color="auto"/>
        <w:right w:val="none" w:sz="0" w:space="0" w:color="auto"/>
      </w:divBdr>
    </w:div>
    <w:div w:id="1042287717">
      <w:bodyDiv w:val="1"/>
      <w:marLeft w:val="0"/>
      <w:marRight w:val="0"/>
      <w:marTop w:val="0"/>
      <w:marBottom w:val="0"/>
      <w:divBdr>
        <w:top w:val="none" w:sz="0" w:space="0" w:color="auto"/>
        <w:left w:val="none" w:sz="0" w:space="0" w:color="auto"/>
        <w:bottom w:val="none" w:sz="0" w:space="0" w:color="auto"/>
        <w:right w:val="none" w:sz="0" w:space="0" w:color="auto"/>
      </w:divBdr>
    </w:div>
    <w:div w:id="1046416147">
      <w:marLeft w:val="0"/>
      <w:marRight w:val="0"/>
      <w:marTop w:val="0"/>
      <w:marBottom w:val="0"/>
      <w:divBdr>
        <w:top w:val="none" w:sz="0" w:space="0" w:color="auto"/>
        <w:left w:val="none" w:sz="0" w:space="0" w:color="auto"/>
        <w:bottom w:val="none" w:sz="0" w:space="0" w:color="auto"/>
        <w:right w:val="none" w:sz="0" w:space="0" w:color="auto"/>
      </w:divBdr>
    </w:div>
    <w:div w:id="104641614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46416155">
      <w:marLeft w:val="0"/>
      <w:marRight w:val="0"/>
      <w:marTop w:val="0"/>
      <w:marBottom w:val="0"/>
      <w:divBdr>
        <w:top w:val="none" w:sz="0" w:space="0" w:color="auto"/>
        <w:left w:val="none" w:sz="0" w:space="0" w:color="auto"/>
        <w:bottom w:val="none" w:sz="0" w:space="0" w:color="auto"/>
        <w:right w:val="none" w:sz="0" w:space="0" w:color="auto"/>
      </w:divBdr>
    </w:div>
    <w:div w:id="1046416157">
      <w:marLeft w:val="0"/>
      <w:marRight w:val="0"/>
      <w:marTop w:val="0"/>
      <w:marBottom w:val="0"/>
      <w:divBdr>
        <w:top w:val="none" w:sz="0" w:space="0" w:color="auto"/>
        <w:left w:val="none" w:sz="0" w:space="0" w:color="auto"/>
        <w:bottom w:val="none" w:sz="0" w:space="0" w:color="auto"/>
        <w:right w:val="none" w:sz="0" w:space="0" w:color="auto"/>
      </w:divBdr>
    </w:div>
    <w:div w:id="1046416160">
      <w:marLeft w:val="0"/>
      <w:marRight w:val="0"/>
      <w:marTop w:val="0"/>
      <w:marBottom w:val="0"/>
      <w:divBdr>
        <w:top w:val="none" w:sz="0" w:space="0" w:color="auto"/>
        <w:left w:val="none" w:sz="0" w:space="0" w:color="auto"/>
        <w:bottom w:val="none" w:sz="0" w:space="0" w:color="auto"/>
        <w:right w:val="none" w:sz="0" w:space="0" w:color="auto"/>
      </w:divBdr>
    </w:div>
    <w:div w:id="1046416161">
      <w:marLeft w:val="0"/>
      <w:marRight w:val="0"/>
      <w:marTop w:val="0"/>
      <w:marBottom w:val="0"/>
      <w:divBdr>
        <w:top w:val="none" w:sz="0" w:space="0" w:color="auto"/>
        <w:left w:val="none" w:sz="0" w:space="0" w:color="auto"/>
        <w:bottom w:val="none" w:sz="0" w:space="0" w:color="auto"/>
        <w:right w:val="none" w:sz="0" w:space="0" w:color="auto"/>
      </w:divBdr>
    </w:div>
    <w:div w:id="1046416162">
      <w:marLeft w:val="0"/>
      <w:marRight w:val="0"/>
      <w:marTop w:val="0"/>
      <w:marBottom w:val="0"/>
      <w:divBdr>
        <w:top w:val="none" w:sz="0" w:space="0" w:color="auto"/>
        <w:left w:val="none" w:sz="0" w:space="0" w:color="auto"/>
        <w:bottom w:val="none" w:sz="0" w:space="0" w:color="auto"/>
        <w:right w:val="none" w:sz="0" w:space="0" w:color="auto"/>
      </w:divBdr>
    </w:div>
    <w:div w:id="1046416163">
      <w:marLeft w:val="0"/>
      <w:marRight w:val="0"/>
      <w:marTop w:val="0"/>
      <w:marBottom w:val="0"/>
      <w:divBdr>
        <w:top w:val="none" w:sz="0" w:space="0" w:color="auto"/>
        <w:left w:val="none" w:sz="0" w:space="0" w:color="auto"/>
        <w:bottom w:val="none" w:sz="0" w:space="0" w:color="auto"/>
        <w:right w:val="none" w:sz="0" w:space="0" w:color="auto"/>
      </w:divBdr>
      <w:divsChild>
        <w:div w:id="1046416165">
          <w:marLeft w:val="0"/>
          <w:marRight w:val="0"/>
          <w:marTop w:val="0"/>
          <w:marBottom w:val="0"/>
          <w:divBdr>
            <w:top w:val="none" w:sz="0" w:space="0" w:color="auto"/>
            <w:left w:val="none" w:sz="0" w:space="0" w:color="auto"/>
            <w:bottom w:val="none" w:sz="0" w:space="0" w:color="auto"/>
            <w:right w:val="none" w:sz="0" w:space="0" w:color="auto"/>
          </w:divBdr>
          <w:divsChild>
            <w:div w:id="1046416169">
              <w:marLeft w:val="0"/>
              <w:marRight w:val="0"/>
              <w:marTop w:val="0"/>
              <w:marBottom w:val="0"/>
              <w:divBdr>
                <w:top w:val="none" w:sz="0" w:space="0" w:color="auto"/>
                <w:left w:val="none" w:sz="0" w:space="0" w:color="auto"/>
                <w:bottom w:val="none" w:sz="0" w:space="0" w:color="auto"/>
                <w:right w:val="none" w:sz="0" w:space="0" w:color="auto"/>
              </w:divBdr>
              <w:divsChild>
                <w:div w:id="1046416156">
                  <w:marLeft w:val="0"/>
                  <w:marRight w:val="0"/>
                  <w:marTop w:val="0"/>
                  <w:marBottom w:val="0"/>
                  <w:divBdr>
                    <w:top w:val="none" w:sz="0" w:space="0" w:color="auto"/>
                    <w:left w:val="none" w:sz="0" w:space="0" w:color="auto"/>
                    <w:bottom w:val="none" w:sz="0" w:space="0" w:color="auto"/>
                    <w:right w:val="none" w:sz="0" w:space="0" w:color="auto"/>
                  </w:divBdr>
                  <w:divsChild>
                    <w:div w:id="1046416198">
                      <w:marLeft w:val="0"/>
                      <w:marRight w:val="0"/>
                      <w:marTop w:val="0"/>
                      <w:marBottom w:val="0"/>
                      <w:divBdr>
                        <w:top w:val="none" w:sz="0" w:space="0" w:color="auto"/>
                        <w:left w:val="none" w:sz="0" w:space="0" w:color="auto"/>
                        <w:bottom w:val="none" w:sz="0" w:space="0" w:color="auto"/>
                        <w:right w:val="none" w:sz="0" w:space="0" w:color="auto"/>
                      </w:divBdr>
                      <w:divsChild>
                        <w:div w:id="10464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16164">
      <w:marLeft w:val="0"/>
      <w:marRight w:val="0"/>
      <w:marTop w:val="0"/>
      <w:marBottom w:val="0"/>
      <w:divBdr>
        <w:top w:val="none" w:sz="0" w:space="0" w:color="auto"/>
        <w:left w:val="none" w:sz="0" w:space="0" w:color="auto"/>
        <w:bottom w:val="none" w:sz="0" w:space="0" w:color="auto"/>
        <w:right w:val="none" w:sz="0" w:space="0" w:color="auto"/>
      </w:divBdr>
    </w:div>
    <w:div w:id="1046416170">
      <w:marLeft w:val="0"/>
      <w:marRight w:val="0"/>
      <w:marTop w:val="0"/>
      <w:marBottom w:val="0"/>
      <w:divBdr>
        <w:top w:val="none" w:sz="0" w:space="0" w:color="auto"/>
        <w:left w:val="none" w:sz="0" w:space="0" w:color="auto"/>
        <w:bottom w:val="none" w:sz="0" w:space="0" w:color="auto"/>
        <w:right w:val="none" w:sz="0" w:space="0" w:color="auto"/>
      </w:divBdr>
      <w:divsChild>
        <w:div w:id="1046416148">
          <w:marLeft w:val="0"/>
          <w:marRight w:val="0"/>
          <w:marTop w:val="0"/>
          <w:marBottom w:val="0"/>
          <w:divBdr>
            <w:top w:val="none" w:sz="0" w:space="0" w:color="auto"/>
            <w:left w:val="none" w:sz="0" w:space="0" w:color="auto"/>
            <w:bottom w:val="none" w:sz="0" w:space="0" w:color="auto"/>
            <w:right w:val="none" w:sz="0" w:space="0" w:color="auto"/>
          </w:divBdr>
          <w:divsChild>
            <w:div w:id="1046416151">
              <w:marLeft w:val="0"/>
              <w:marRight w:val="0"/>
              <w:marTop w:val="0"/>
              <w:marBottom w:val="0"/>
              <w:divBdr>
                <w:top w:val="none" w:sz="0" w:space="0" w:color="auto"/>
                <w:left w:val="none" w:sz="0" w:space="0" w:color="auto"/>
                <w:bottom w:val="none" w:sz="0" w:space="0" w:color="auto"/>
                <w:right w:val="none" w:sz="0" w:space="0" w:color="auto"/>
              </w:divBdr>
              <w:divsChild>
                <w:div w:id="1046416205">
                  <w:marLeft w:val="0"/>
                  <w:marRight w:val="0"/>
                  <w:marTop w:val="53"/>
                  <w:marBottom w:val="53"/>
                  <w:divBdr>
                    <w:top w:val="single" w:sz="6" w:space="0" w:color="FFFFFF"/>
                    <w:left w:val="single" w:sz="6" w:space="0" w:color="FFFFFF"/>
                    <w:bottom w:val="single" w:sz="6" w:space="0" w:color="FFFFFF"/>
                    <w:right w:val="single" w:sz="6" w:space="0" w:color="FFFFFF"/>
                  </w:divBdr>
                  <w:divsChild>
                    <w:div w:id="1046416206">
                      <w:marLeft w:val="0"/>
                      <w:marRight w:val="0"/>
                      <w:marTop w:val="0"/>
                      <w:marBottom w:val="0"/>
                      <w:divBdr>
                        <w:top w:val="none" w:sz="0" w:space="0" w:color="auto"/>
                        <w:left w:val="none" w:sz="0" w:space="0" w:color="auto"/>
                        <w:bottom w:val="single" w:sz="6" w:space="7" w:color="999999"/>
                        <w:right w:val="none" w:sz="0" w:space="0" w:color="auto"/>
                      </w:divBdr>
                      <w:divsChild>
                        <w:div w:id="1046416208">
                          <w:marLeft w:val="0"/>
                          <w:marRight w:val="0"/>
                          <w:marTop w:val="0"/>
                          <w:marBottom w:val="240"/>
                          <w:divBdr>
                            <w:top w:val="none" w:sz="0" w:space="0" w:color="auto"/>
                            <w:left w:val="none" w:sz="0" w:space="0" w:color="auto"/>
                            <w:bottom w:val="none" w:sz="0" w:space="0" w:color="auto"/>
                            <w:right w:val="none" w:sz="0" w:space="0" w:color="auto"/>
                          </w:divBdr>
                          <w:divsChild>
                            <w:div w:id="10464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71">
      <w:marLeft w:val="0"/>
      <w:marRight w:val="0"/>
      <w:marTop w:val="0"/>
      <w:marBottom w:val="0"/>
      <w:divBdr>
        <w:top w:val="none" w:sz="0" w:space="0" w:color="auto"/>
        <w:left w:val="none" w:sz="0" w:space="0" w:color="auto"/>
        <w:bottom w:val="none" w:sz="0" w:space="0" w:color="auto"/>
        <w:right w:val="none" w:sz="0" w:space="0" w:color="auto"/>
      </w:divBdr>
    </w:div>
    <w:div w:id="1046416172">
      <w:marLeft w:val="0"/>
      <w:marRight w:val="0"/>
      <w:marTop w:val="0"/>
      <w:marBottom w:val="0"/>
      <w:divBdr>
        <w:top w:val="none" w:sz="0" w:space="0" w:color="auto"/>
        <w:left w:val="none" w:sz="0" w:space="0" w:color="auto"/>
        <w:bottom w:val="none" w:sz="0" w:space="0" w:color="auto"/>
        <w:right w:val="none" w:sz="0" w:space="0" w:color="auto"/>
      </w:divBdr>
      <w:divsChild>
        <w:div w:id="1046416189">
          <w:marLeft w:val="0"/>
          <w:marRight w:val="0"/>
          <w:marTop w:val="0"/>
          <w:marBottom w:val="0"/>
          <w:divBdr>
            <w:top w:val="none" w:sz="0" w:space="0" w:color="auto"/>
            <w:left w:val="none" w:sz="0" w:space="0" w:color="auto"/>
            <w:bottom w:val="none" w:sz="0" w:space="0" w:color="auto"/>
            <w:right w:val="none" w:sz="0" w:space="0" w:color="auto"/>
          </w:divBdr>
          <w:divsChild>
            <w:div w:id="1046416185">
              <w:marLeft w:val="0"/>
              <w:marRight w:val="0"/>
              <w:marTop w:val="0"/>
              <w:marBottom w:val="0"/>
              <w:divBdr>
                <w:top w:val="none" w:sz="0" w:space="0" w:color="auto"/>
                <w:left w:val="none" w:sz="0" w:space="0" w:color="auto"/>
                <w:bottom w:val="none" w:sz="0" w:space="0" w:color="auto"/>
                <w:right w:val="none" w:sz="0" w:space="0" w:color="auto"/>
              </w:divBdr>
              <w:divsChild>
                <w:div w:id="1046416178">
                  <w:marLeft w:val="0"/>
                  <w:marRight w:val="0"/>
                  <w:marTop w:val="0"/>
                  <w:marBottom w:val="0"/>
                  <w:divBdr>
                    <w:top w:val="none" w:sz="0" w:space="0" w:color="auto"/>
                    <w:left w:val="none" w:sz="0" w:space="0" w:color="auto"/>
                    <w:bottom w:val="none" w:sz="0" w:space="0" w:color="auto"/>
                    <w:right w:val="none" w:sz="0" w:space="0" w:color="auto"/>
                  </w:divBdr>
                  <w:divsChild>
                    <w:div w:id="1046416188">
                      <w:marLeft w:val="0"/>
                      <w:marRight w:val="0"/>
                      <w:marTop w:val="0"/>
                      <w:marBottom w:val="0"/>
                      <w:divBdr>
                        <w:top w:val="none" w:sz="0" w:space="0" w:color="auto"/>
                        <w:left w:val="none" w:sz="0" w:space="0" w:color="auto"/>
                        <w:bottom w:val="none" w:sz="0" w:space="0" w:color="auto"/>
                        <w:right w:val="none" w:sz="0" w:space="0" w:color="auto"/>
                      </w:divBdr>
                      <w:divsChild>
                        <w:div w:id="1046416158">
                          <w:marLeft w:val="0"/>
                          <w:marRight w:val="0"/>
                          <w:marTop w:val="0"/>
                          <w:marBottom w:val="0"/>
                          <w:divBdr>
                            <w:top w:val="none" w:sz="0" w:space="0" w:color="auto"/>
                            <w:left w:val="none" w:sz="0" w:space="0" w:color="auto"/>
                            <w:bottom w:val="none" w:sz="0" w:space="0" w:color="auto"/>
                            <w:right w:val="none" w:sz="0" w:space="0" w:color="auto"/>
                          </w:divBdr>
                          <w:divsChild>
                            <w:div w:id="10464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75">
      <w:marLeft w:val="0"/>
      <w:marRight w:val="0"/>
      <w:marTop w:val="0"/>
      <w:marBottom w:val="0"/>
      <w:divBdr>
        <w:top w:val="none" w:sz="0" w:space="0" w:color="auto"/>
        <w:left w:val="none" w:sz="0" w:space="0" w:color="auto"/>
        <w:bottom w:val="none" w:sz="0" w:space="0" w:color="auto"/>
        <w:right w:val="none" w:sz="0" w:space="0" w:color="auto"/>
      </w:divBdr>
    </w:div>
    <w:div w:id="1046416177">
      <w:marLeft w:val="0"/>
      <w:marRight w:val="0"/>
      <w:marTop w:val="0"/>
      <w:marBottom w:val="0"/>
      <w:divBdr>
        <w:top w:val="none" w:sz="0" w:space="0" w:color="auto"/>
        <w:left w:val="none" w:sz="0" w:space="0" w:color="auto"/>
        <w:bottom w:val="none" w:sz="0" w:space="0" w:color="auto"/>
        <w:right w:val="none" w:sz="0" w:space="0" w:color="auto"/>
      </w:divBdr>
      <w:divsChild>
        <w:div w:id="1046416168">
          <w:marLeft w:val="0"/>
          <w:marRight w:val="0"/>
          <w:marTop w:val="0"/>
          <w:marBottom w:val="0"/>
          <w:divBdr>
            <w:top w:val="none" w:sz="0" w:space="0" w:color="auto"/>
            <w:left w:val="none" w:sz="0" w:space="0" w:color="auto"/>
            <w:bottom w:val="none" w:sz="0" w:space="0" w:color="auto"/>
            <w:right w:val="none" w:sz="0" w:space="0" w:color="auto"/>
          </w:divBdr>
          <w:divsChild>
            <w:div w:id="1046416191">
              <w:marLeft w:val="0"/>
              <w:marRight w:val="0"/>
              <w:marTop w:val="0"/>
              <w:marBottom w:val="0"/>
              <w:divBdr>
                <w:top w:val="none" w:sz="0" w:space="0" w:color="auto"/>
                <w:left w:val="none" w:sz="0" w:space="0" w:color="auto"/>
                <w:bottom w:val="none" w:sz="0" w:space="0" w:color="auto"/>
                <w:right w:val="none" w:sz="0" w:space="0" w:color="auto"/>
              </w:divBdr>
              <w:divsChild>
                <w:div w:id="1046416174">
                  <w:marLeft w:val="0"/>
                  <w:marRight w:val="0"/>
                  <w:marTop w:val="53"/>
                  <w:marBottom w:val="53"/>
                  <w:divBdr>
                    <w:top w:val="single" w:sz="6" w:space="0" w:color="FFFFFF"/>
                    <w:left w:val="single" w:sz="6" w:space="0" w:color="FFFFFF"/>
                    <w:bottom w:val="single" w:sz="6" w:space="0" w:color="FFFFFF"/>
                    <w:right w:val="single" w:sz="6" w:space="0" w:color="FFFFFF"/>
                  </w:divBdr>
                  <w:divsChild>
                    <w:div w:id="1046416195">
                      <w:marLeft w:val="0"/>
                      <w:marRight w:val="0"/>
                      <w:marTop w:val="0"/>
                      <w:marBottom w:val="0"/>
                      <w:divBdr>
                        <w:top w:val="none" w:sz="0" w:space="0" w:color="auto"/>
                        <w:left w:val="none" w:sz="0" w:space="0" w:color="auto"/>
                        <w:bottom w:val="single" w:sz="6" w:space="7" w:color="999999"/>
                        <w:right w:val="none" w:sz="0" w:space="0" w:color="auto"/>
                      </w:divBdr>
                      <w:divsChild>
                        <w:div w:id="1046416184">
                          <w:marLeft w:val="0"/>
                          <w:marRight w:val="0"/>
                          <w:marTop w:val="0"/>
                          <w:marBottom w:val="0"/>
                          <w:divBdr>
                            <w:top w:val="none" w:sz="0" w:space="0" w:color="auto"/>
                            <w:left w:val="none" w:sz="0" w:space="0" w:color="auto"/>
                            <w:bottom w:val="none" w:sz="0" w:space="0" w:color="auto"/>
                            <w:right w:val="none" w:sz="0" w:space="0" w:color="auto"/>
                          </w:divBdr>
                          <w:divsChild>
                            <w:div w:id="10464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82">
      <w:marLeft w:val="0"/>
      <w:marRight w:val="0"/>
      <w:marTop w:val="0"/>
      <w:marBottom w:val="0"/>
      <w:divBdr>
        <w:top w:val="none" w:sz="0" w:space="0" w:color="auto"/>
        <w:left w:val="none" w:sz="0" w:space="0" w:color="auto"/>
        <w:bottom w:val="none" w:sz="0" w:space="0" w:color="auto"/>
        <w:right w:val="none" w:sz="0" w:space="0" w:color="auto"/>
      </w:divBdr>
      <w:divsChild>
        <w:div w:id="1046416202">
          <w:marLeft w:val="0"/>
          <w:marRight w:val="0"/>
          <w:marTop w:val="0"/>
          <w:marBottom w:val="0"/>
          <w:divBdr>
            <w:top w:val="none" w:sz="0" w:space="0" w:color="auto"/>
            <w:left w:val="none" w:sz="0" w:space="0" w:color="auto"/>
            <w:bottom w:val="none" w:sz="0" w:space="0" w:color="auto"/>
            <w:right w:val="none" w:sz="0" w:space="0" w:color="auto"/>
          </w:divBdr>
          <w:divsChild>
            <w:div w:id="1046416159">
              <w:marLeft w:val="0"/>
              <w:marRight w:val="0"/>
              <w:marTop w:val="0"/>
              <w:marBottom w:val="0"/>
              <w:divBdr>
                <w:top w:val="none" w:sz="0" w:space="0" w:color="auto"/>
                <w:left w:val="none" w:sz="0" w:space="0" w:color="auto"/>
                <w:bottom w:val="none" w:sz="0" w:space="0" w:color="auto"/>
                <w:right w:val="none" w:sz="0" w:space="0" w:color="auto"/>
              </w:divBdr>
              <w:divsChild>
                <w:div w:id="1046416194">
                  <w:marLeft w:val="0"/>
                  <w:marRight w:val="0"/>
                  <w:marTop w:val="0"/>
                  <w:marBottom w:val="0"/>
                  <w:divBdr>
                    <w:top w:val="none" w:sz="0" w:space="0" w:color="auto"/>
                    <w:left w:val="none" w:sz="0" w:space="0" w:color="auto"/>
                    <w:bottom w:val="none" w:sz="0" w:space="0" w:color="auto"/>
                    <w:right w:val="none" w:sz="0" w:space="0" w:color="auto"/>
                  </w:divBdr>
                  <w:divsChild>
                    <w:div w:id="1046416152">
                      <w:marLeft w:val="0"/>
                      <w:marRight w:val="0"/>
                      <w:marTop w:val="0"/>
                      <w:marBottom w:val="0"/>
                      <w:divBdr>
                        <w:top w:val="none" w:sz="0" w:space="0" w:color="auto"/>
                        <w:left w:val="none" w:sz="0" w:space="0" w:color="auto"/>
                        <w:bottom w:val="none" w:sz="0" w:space="0" w:color="auto"/>
                        <w:right w:val="none" w:sz="0" w:space="0" w:color="auto"/>
                      </w:divBdr>
                      <w:divsChild>
                        <w:div w:id="1046416187">
                          <w:marLeft w:val="0"/>
                          <w:marRight w:val="0"/>
                          <w:marTop w:val="0"/>
                          <w:marBottom w:val="0"/>
                          <w:divBdr>
                            <w:top w:val="none" w:sz="0" w:space="0" w:color="auto"/>
                            <w:left w:val="none" w:sz="0" w:space="0" w:color="auto"/>
                            <w:bottom w:val="none" w:sz="0" w:space="0" w:color="auto"/>
                            <w:right w:val="none" w:sz="0" w:space="0" w:color="auto"/>
                          </w:divBdr>
                          <w:divsChild>
                            <w:div w:id="10464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83">
      <w:marLeft w:val="0"/>
      <w:marRight w:val="0"/>
      <w:marTop w:val="0"/>
      <w:marBottom w:val="0"/>
      <w:divBdr>
        <w:top w:val="none" w:sz="0" w:space="0" w:color="auto"/>
        <w:left w:val="none" w:sz="0" w:space="0" w:color="auto"/>
        <w:bottom w:val="none" w:sz="0" w:space="0" w:color="auto"/>
        <w:right w:val="none" w:sz="0" w:space="0" w:color="auto"/>
      </w:divBdr>
    </w:div>
    <w:div w:id="1046416193">
      <w:marLeft w:val="0"/>
      <w:marRight w:val="0"/>
      <w:marTop w:val="0"/>
      <w:marBottom w:val="0"/>
      <w:divBdr>
        <w:top w:val="none" w:sz="0" w:space="0" w:color="auto"/>
        <w:left w:val="none" w:sz="0" w:space="0" w:color="auto"/>
        <w:bottom w:val="none" w:sz="0" w:space="0" w:color="auto"/>
        <w:right w:val="none" w:sz="0" w:space="0" w:color="auto"/>
      </w:divBdr>
    </w:div>
    <w:div w:id="1046416197">
      <w:marLeft w:val="0"/>
      <w:marRight w:val="0"/>
      <w:marTop w:val="0"/>
      <w:marBottom w:val="0"/>
      <w:divBdr>
        <w:top w:val="none" w:sz="0" w:space="0" w:color="auto"/>
        <w:left w:val="none" w:sz="0" w:space="0" w:color="auto"/>
        <w:bottom w:val="none" w:sz="0" w:space="0" w:color="auto"/>
        <w:right w:val="none" w:sz="0" w:space="0" w:color="auto"/>
      </w:divBdr>
      <w:divsChild>
        <w:div w:id="1046416192">
          <w:marLeft w:val="0"/>
          <w:marRight w:val="0"/>
          <w:marTop w:val="0"/>
          <w:marBottom w:val="0"/>
          <w:divBdr>
            <w:top w:val="none" w:sz="0" w:space="0" w:color="auto"/>
            <w:left w:val="none" w:sz="0" w:space="0" w:color="auto"/>
            <w:bottom w:val="none" w:sz="0" w:space="0" w:color="auto"/>
            <w:right w:val="none" w:sz="0" w:space="0" w:color="auto"/>
          </w:divBdr>
          <w:divsChild>
            <w:div w:id="1046416153">
              <w:marLeft w:val="0"/>
              <w:marRight w:val="0"/>
              <w:marTop w:val="0"/>
              <w:marBottom w:val="0"/>
              <w:divBdr>
                <w:top w:val="none" w:sz="0" w:space="0" w:color="auto"/>
                <w:left w:val="none" w:sz="0" w:space="0" w:color="auto"/>
                <w:bottom w:val="none" w:sz="0" w:space="0" w:color="auto"/>
                <w:right w:val="none" w:sz="0" w:space="0" w:color="auto"/>
              </w:divBdr>
              <w:divsChild>
                <w:div w:id="1046416200">
                  <w:marLeft w:val="0"/>
                  <w:marRight w:val="0"/>
                  <w:marTop w:val="0"/>
                  <w:marBottom w:val="0"/>
                  <w:divBdr>
                    <w:top w:val="none" w:sz="0" w:space="0" w:color="auto"/>
                    <w:left w:val="none" w:sz="0" w:space="0" w:color="auto"/>
                    <w:bottom w:val="none" w:sz="0" w:space="0" w:color="auto"/>
                    <w:right w:val="none" w:sz="0" w:space="0" w:color="auto"/>
                  </w:divBdr>
                  <w:divsChild>
                    <w:div w:id="1046416181">
                      <w:marLeft w:val="0"/>
                      <w:marRight w:val="0"/>
                      <w:marTop w:val="0"/>
                      <w:marBottom w:val="0"/>
                      <w:divBdr>
                        <w:top w:val="none" w:sz="0" w:space="0" w:color="auto"/>
                        <w:left w:val="none" w:sz="0" w:space="0" w:color="auto"/>
                        <w:bottom w:val="none" w:sz="0" w:space="0" w:color="auto"/>
                        <w:right w:val="none" w:sz="0" w:space="0" w:color="auto"/>
                      </w:divBdr>
                      <w:divsChild>
                        <w:div w:id="1046416176">
                          <w:marLeft w:val="0"/>
                          <w:marRight w:val="0"/>
                          <w:marTop w:val="0"/>
                          <w:marBottom w:val="0"/>
                          <w:divBdr>
                            <w:top w:val="none" w:sz="0" w:space="0" w:color="auto"/>
                            <w:left w:val="none" w:sz="0" w:space="0" w:color="auto"/>
                            <w:bottom w:val="none" w:sz="0" w:space="0" w:color="auto"/>
                            <w:right w:val="none" w:sz="0" w:space="0" w:color="auto"/>
                          </w:divBdr>
                          <w:divsChild>
                            <w:div w:id="10464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201">
      <w:marLeft w:val="0"/>
      <w:marRight w:val="0"/>
      <w:marTop w:val="0"/>
      <w:marBottom w:val="0"/>
      <w:divBdr>
        <w:top w:val="none" w:sz="0" w:space="0" w:color="auto"/>
        <w:left w:val="none" w:sz="0" w:space="0" w:color="auto"/>
        <w:bottom w:val="none" w:sz="0" w:space="0" w:color="auto"/>
        <w:right w:val="none" w:sz="0" w:space="0" w:color="auto"/>
      </w:divBdr>
    </w:div>
    <w:div w:id="1046416207">
      <w:marLeft w:val="0"/>
      <w:marRight w:val="0"/>
      <w:marTop w:val="0"/>
      <w:marBottom w:val="0"/>
      <w:divBdr>
        <w:top w:val="none" w:sz="0" w:space="0" w:color="auto"/>
        <w:left w:val="none" w:sz="0" w:space="0" w:color="auto"/>
        <w:bottom w:val="none" w:sz="0" w:space="0" w:color="auto"/>
        <w:right w:val="none" w:sz="0" w:space="0" w:color="auto"/>
      </w:divBdr>
      <w:divsChild>
        <w:div w:id="1046416167">
          <w:marLeft w:val="0"/>
          <w:marRight w:val="0"/>
          <w:marTop w:val="0"/>
          <w:marBottom w:val="0"/>
          <w:divBdr>
            <w:top w:val="none" w:sz="0" w:space="0" w:color="auto"/>
            <w:left w:val="none" w:sz="0" w:space="0" w:color="auto"/>
            <w:bottom w:val="none" w:sz="0" w:space="0" w:color="auto"/>
            <w:right w:val="none" w:sz="0" w:space="0" w:color="auto"/>
          </w:divBdr>
          <w:divsChild>
            <w:div w:id="1046416186">
              <w:marLeft w:val="0"/>
              <w:marRight w:val="0"/>
              <w:marTop w:val="0"/>
              <w:marBottom w:val="0"/>
              <w:divBdr>
                <w:top w:val="none" w:sz="0" w:space="0" w:color="auto"/>
                <w:left w:val="none" w:sz="0" w:space="0" w:color="auto"/>
                <w:bottom w:val="none" w:sz="0" w:space="0" w:color="auto"/>
                <w:right w:val="none" w:sz="0" w:space="0" w:color="auto"/>
              </w:divBdr>
              <w:divsChild>
                <w:div w:id="1046416204">
                  <w:marLeft w:val="0"/>
                  <w:marRight w:val="0"/>
                  <w:marTop w:val="53"/>
                  <w:marBottom w:val="53"/>
                  <w:divBdr>
                    <w:top w:val="single" w:sz="6" w:space="0" w:color="FFFFFF"/>
                    <w:left w:val="single" w:sz="6" w:space="0" w:color="FFFFFF"/>
                    <w:bottom w:val="single" w:sz="6" w:space="0" w:color="FFFFFF"/>
                    <w:right w:val="single" w:sz="6" w:space="0" w:color="FFFFFF"/>
                  </w:divBdr>
                  <w:divsChild>
                    <w:div w:id="1046416166">
                      <w:marLeft w:val="0"/>
                      <w:marRight w:val="0"/>
                      <w:marTop w:val="0"/>
                      <w:marBottom w:val="0"/>
                      <w:divBdr>
                        <w:top w:val="none" w:sz="0" w:space="0" w:color="auto"/>
                        <w:left w:val="none" w:sz="0" w:space="0" w:color="auto"/>
                        <w:bottom w:val="single" w:sz="6" w:space="7" w:color="999999"/>
                        <w:right w:val="none" w:sz="0" w:space="0" w:color="auto"/>
                      </w:divBdr>
                      <w:divsChild>
                        <w:div w:id="1046416150">
                          <w:marLeft w:val="0"/>
                          <w:marRight w:val="0"/>
                          <w:marTop w:val="0"/>
                          <w:marBottom w:val="240"/>
                          <w:divBdr>
                            <w:top w:val="none" w:sz="0" w:space="0" w:color="auto"/>
                            <w:left w:val="none" w:sz="0" w:space="0" w:color="auto"/>
                            <w:bottom w:val="none" w:sz="0" w:space="0" w:color="auto"/>
                            <w:right w:val="none" w:sz="0" w:space="0" w:color="auto"/>
                          </w:divBdr>
                          <w:divsChild>
                            <w:div w:id="10464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209">
      <w:marLeft w:val="0"/>
      <w:marRight w:val="0"/>
      <w:marTop w:val="0"/>
      <w:marBottom w:val="0"/>
      <w:divBdr>
        <w:top w:val="none" w:sz="0" w:space="0" w:color="auto"/>
        <w:left w:val="none" w:sz="0" w:space="0" w:color="auto"/>
        <w:bottom w:val="none" w:sz="0" w:space="0" w:color="auto"/>
        <w:right w:val="none" w:sz="0" w:space="0" w:color="auto"/>
      </w:divBdr>
    </w:div>
    <w:div w:id="1048337214">
      <w:bodyDiv w:val="1"/>
      <w:marLeft w:val="0"/>
      <w:marRight w:val="0"/>
      <w:marTop w:val="0"/>
      <w:marBottom w:val="0"/>
      <w:divBdr>
        <w:top w:val="none" w:sz="0" w:space="0" w:color="auto"/>
        <w:left w:val="none" w:sz="0" w:space="0" w:color="auto"/>
        <w:bottom w:val="none" w:sz="0" w:space="0" w:color="auto"/>
        <w:right w:val="none" w:sz="0" w:space="0" w:color="auto"/>
      </w:divBdr>
    </w:div>
    <w:div w:id="1059016551">
      <w:bodyDiv w:val="1"/>
      <w:marLeft w:val="0"/>
      <w:marRight w:val="0"/>
      <w:marTop w:val="0"/>
      <w:marBottom w:val="0"/>
      <w:divBdr>
        <w:top w:val="none" w:sz="0" w:space="0" w:color="auto"/>
        <w:left w:val="none" w:sz="0" w:space="0" w:color="auto"/>
        <w:bottom w:val="none" w:sz="0" w:space="0" w:color="auto"/>
        <w:right w:val="none" w:sz="0" w:space="0" w:color="auto"/>
      </w:divBdr>
      <w:divsChild>
        <w:div w:id="1504513894">
          <w:marLeft w:val="0"/>
          <w:marRight w:val="0"/>
          <w:marTop w:val="0"/>
          <w:marBottom w:val="0"/>
          <w:divBdr>
            <w:top w:val="none" w:sz="0" w:space="0" w:color="auto"/>
            <w:left w:val="none" w:sz="0" w:space="0" w:color="auto"/>
            <w:bottom w:val="none" w:sz="0" w:space="0" w:color="auto"/>
            <w:right w:val="none" w:sz="0" w:space="0" w:color="auto"/>
          </w:divBdr>
        </w:div>
      </w:divsChild>
    </w:div>
    <w:div w:id="1063912654">
      <w:bodyDiv w:val="1"/>
      <w:marLeft w:val="0"/>
      <w:marRight w:val="0"/>
      <w:marTop w:val="0"/>
      <w:marBottom w:val="0"/>
      <w:divBdr>
        <w:top w:val="none" w:sz="0" w:space="0" w:color="auto"/>
        <w:left w:val="none" w:sz="0" w:space="0" w:color="auto"/>
        <w:bottom w:val="none" w:sz="0" w:space="0" w:color="auto"/>
        <w:right w:val="none" w:sz="0" w:space="0" w:color="auto"/>
      </w:divBdr>
    </w:div>
    <w:div w:id="1092318067">
      <w:bodyDiv w:val="1"/>
      <w:marLeft w:val="0"/>
      <w:marRight w:val="0"/>
      <w:marTop w:val="0"/>
      <w:marBottom w:val="0"/>
      <w:divBdr>
        <w:top w:val="none" w:sz="0" w:space="0" w:color="auto"/>
        <w:left w:val="none" w:sz="0" w:space="0" w:color="auto"/>
        <w:bottom w:val="none" w:sz="0" w:space="0" w:color="auto"/>
        <w:right w:val="none" w:sz="0" w:space="0" w:color="auto"/>
      </w:divBdr>
    </w:div>
    <w:div w:id="1100492859">
      <w:bodyDiv w:val="1"/>
      <w:marLeft w:val="0"/>
      <w:marRight w:val="0"/>
      <w:marTop w:val="0"/>
      <w:marBottom w:val="0"/>
      <w:divBdr>
        <w:top w:val="none" w:sz="0" w:space="0" w:color="auto"/>
        <w:left w:val="none" w:sz="0" w:space="0" w:color="auto"/>
        <w:bottom w:val="none" w:sz="0" w:space="0" w:color="auto"/>
        <w:right w:val="none" w:sz="0" w:space="0" w:color="auto"/>
      </w:divBdr>
    </w:div>
    <w:div w:id="1149446435">
      <w:bodyDiv w:val="1"/>
      <w:marLeft w:val="0"/>
      <w:marRight w:val="0"/>
      <w:marTop w:val="0"/>
      <w:marBottom w:val="0"/>
      <w:divBdr>
        <w:top w:val="none" w:sz="0" w:space="0" w:color="auto"/>
        <w:left w:val="none" w:sz="0" w:space="0" w:color="auto"/>
        <w:bottom w:val="none" w:sz="0" w:space="0" w:color="auto"/>
        <w:right w:val="none" w:sz="0" w:space="0" w:color="auto"/>
      </w:divBdr>
    </w:div>
    <w:div w:id="1224291377">
      <w:bodyDiv w:val="1"/>
      <w:marLeft w:val="0"/>
      <w:marRight w:val="0"/>
      <w:marTop w:val="0"/>
      <w:marBottom w:val="0"/>
      <w:divBdr>
        <w:top w:val="none" w:sz="0" w:space="0" w:color="auto"/>
        <w:left w:val="none" w:sz="0" w:space="0" w:color="auto"/>
        <w:bottom w:val="none" w:sz="0" w:space="0" w:color="auto"/>
        <w:right w:val="none" w:sz="0" w:space="0" w:color="auto"/>
      </w:divBdr>
    </w:div>
    <w:div w:id="1238783034">
      <w:bodyDiv w:val="1"/>
      <w:marLeft w:val="0"/>
      <w:marRight w:val="0"/>
      <w:marTop w:val="0"/>
      <w:marBottom w:val="0"/>
      <w:divBdr>
        <w:top w:val="none" w:sz="0" w:space="0" w:color="auto"/>
        <w:left w:val="none" w:sz="0" w:space="0" w:color="auto"/>
        <w:bottom w:val="none" w:sz="0" w:space="0" w:color="auto"/>
        <w:right w:val="none" w:sz="0" w:space="0" w:color="auto"/>
      </w:divBdr>
    </w:div>
    <w:div w:id="1256404321">
      <w:bodyDiv w:val="1"/>
      <w:marLeft w:val="0"/>
      <w:marRight w:val="0"/>
      <w:marTop w:val="0"/>
      <w:marBottom w:val="0"/>
      <w:divBdr>
        <w:top w:val="none" w:sz="0" w:space="0" w:color="auto"/>
        <w:left w:val="none" w:sz="0" w:space="0" w:color="auto"/>
        <w:bottom w:val="none" w:sz="0" w:space="0" w:color="auto"/>
        <w:right w:val="none" w:sz="0" w:space="0" w:color="auto"/>
      </w:divBdr>
    </w:div>
    <w:div w:id="1257714823">
      <w:bodyDiv w:val="1"/>
      <w:marLeft w:val="0"/>
      <w:marRight w:val="0"/>
      <w:marTop w:val="0"/>
      <w:marBottom w:val="0"/>
      <w:divBdr>
        <w:top w:val="none" w:sz="0" w:space="0" w:color="auto"/>
        <w:left w:val="none" w:sz="0" w:space="0" w:color="auto"/>
        <w:bottom w:val="none" w:sz="0" w:space="0" w:color="auto"/>
        <w:right w:val="none" w:sz="0" w:space="0" w:color="auto"/>
      </w:divBdr>
    </w:div>
    <w:div w:id="1312447740">
      <w:bodyDiv w:val="1"/>
      <w:marLeft w:val="0"/>
      <w:marRight w:val="0"/>
      <w:marTop w:val="0"/>
      <w:marBottom w:val="0"/>
      <w:divBdr>
        <w:top w:val="none" w:sz="0" w:space="0" w:color="auto"/>
        <w:left w:val="none" w:sz="0" w:space="0" w:color="auto"/>
        <w:bottom w:val="none" w:sz="0" w:space="0" w:color="auto"/>
        <w:right w:val="none" w:sz="0" w:space="0" w:color="auto"/>
      </w:divBdr>
      <w:divsChild>
        <w:div w:id="1898544025">
          <w:marLeft w:val="0"/>
          <w:marRight w:val="0"/>
          <w:marTop w:val="0"/>
          <w:marBottom w:val="0"/>
          <w:divBdr>
            <w:top w:val="none" w:sz="0" w:space="0" w:color="auto"/>
            <w:left w:val="none" w:sz="0" w:space="0" w:color="auto"/>
            <w:bottom w:val="none" w:sz="0" w:space="0" w:color="auto"/>
            <w:right w:val="none" w:sz="0" w:space="0" w:color="auto"/>
          </w:divBdr>
          <w:divsChild>
            <w:div w:id="1715083662">
              <w:marLeft w:val="0"/>
              <w:marRight w:val="0"/>
              <w:marTop w:val="0"/>
              <w:marBottom w:val="0"/>
              <w:divBdr>
                <w:top w:val="none" w:sz="0" w:space="0" w:color="auto"/>
                <w:left w:val="none" w:sz="0" w:space="0" w:color="auto"/>
                <w:bottom w:val="none" w:sz="0" w:space="0" w:color="auto"/>
                <w:right w:val="none" w:sz="0" w:space="0" w:color="auto"/>
              </w:divBdr>
              <w:divsChild>
                <w:div w:id="1047681516">
                  <w:marLeft w:val="0"/>
                  <w:marRight w:val="0"/>
                  <w:marTop w:val="0"/>
                  <w:marBottom w:val="0"/>
                  <w:divBdr>
                    <w:top w:val="none" w:sz="0" w:space="0" w:color="auto"/>
                    <w:left w:val="none" w:sz="0" w:space="0" w:color="auto"/>
                    <w:bottom w:val="none" w:sz="0" w:space="0" w:color="auto"/>
                    <w:right w:val="none" w:sz="0" w:space="0" w:color="auto"/>
                  </w:divBdr>
                  <w:divsChild>
                    <w:div w:id="343166813">
                      <w:marLeft w:val="0"/>
                      <w:marRight w:val="0"/>
                      <w:marTop w:val="0"/>
                      <w:marBottom w:val="0"/>
                      <w:divBdr>
                        <w:top w:val="none" w:sz="0" w:space="0" w:color="auto"/>
                        <w:left w:val="none" w:sz="0" w:space="0" w:color="auto"/>
                        <w:bottom w:val="none" w:sz="0" w:space="0" w:color="auto"/>
                        <w:right w:val="none" w:sz="0" w:space="0" w:color="auto"/>
                      </w:divBdr>
                      <w:divsChild>
                        <w:div w:id="177276102">
                          <w:marLeft w:val="0"/>
                          <w:marRight w:val="0"/>
                          <w:marTop w:val="0"/>
                          <w:marBottom w:val="0"/>
                          <w:divBdr>
                            <w:top w:val="none" w:sz="0" w:space="0" w:color="auto"/>
                            <w:left w:val="none" w:sz="0" w:space="0" w:color="auto"/>
                            <w:bottom w:val="none" w:sz="0" w:space="0" w:color="auto"/>
                            <w:right w:val="none" w:sz="0" w:space="0" w:color="auto"/>
                          </w:divBdr>
                        </w:div>
                        <w:div w:id="6036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597748">
      <w:bodyDiv w:val="1"/>
      <w:marLeft w:val="0"/>
      <w:marRight w:val="0"/>
      <w:marTop w:val="0"/>
      <w:marBottom w:val="0"/>
      <w:divBdr>
        <w:top w:val="none" w:sz="0" w:space="0" w:color="auto"/>
        <w:left w:val="none" w:sz="0" w:space="0" w:color="auto"/>
        <w:bottom w:val="none" w:sz="0" w:space="0" w:color="auto"/>
        <w:right w:val="none" w:sz="0" w:space="0" w:color="auto"/>
      </w:divBdr>
    </w:div>
    <w:div w:id="1615406781">
      <w:bodyDiv w:val="1"/>
      <w:marLeft w:val="0"/>
      <w:marRight w:val="0"/>
      <w:marTop w:val="0"/>
      <w:marBottom w:val="0"/>
      <w:divBdr>
        <w:top w:val="none" w:sz="0" w:space="0" w:color="auto"/>
        <w:left w:val="none" w:sz="0" w:space="0" w:color="auto"/>
        <w:bottom w:val="none" w:sz="0" w:space="0" w:color="auto"/>
        <w:right w:val="none" w:sz="0" w:space="0" w:color="auto"/>
      </w:divBdr>
      <w:divsChild>
        <w:div w:id="458500104">
          <w:marLeft w:val="0"/>
          <w:marRight w:val="0"/>
          <w:marTop w:val="0"/>
          <w:marBottom w:val="0"/>
          <w:divBdr>
            <w:top w:val="none" w:sz="0" w:space="0" w:color="auto"/>
            <w:left w:val="none" w:sz="0" w:space="0" w:color="auto"/>
            <w:bottom w:val="none" w:sz="0" w:space="0" w:color="auto"/>
            <w:right w:val="none" w:sz="0" w:space="0" w:color="auto"/>
          </w:divBdr>
        </w:div>
      </w:divsChild>
    </w:div>
    <w:div w:id="1615821684">
      <w:bodyDiv w:val="1"/>
      <w:marLeft w:val="0"/>
      <w:marRight w:val="0"/>
      <w:marTop w:val="0"/>
      <w:marBottom w:val="0"/>
      <w:divBdr>
        <w:top w:val="none" w:sz="0" w:space="0" w:color="auto"/>
        <w:left w:val="none" w:sz="0" w:space="0" w:color="auto"/>
        <w:bottom w:val="none" w:sz="0" w:space="0" w:color="auto"/>
        <w:right w:val="none" w:sz="0" w:space="0" w:color="auto"/>
      </w:divBdr>
      <w:divsChild>
        <w:div w:id="2060980067">
          <w:marLeft w:val="0"/>
          <w:marRight w:val="0"/>
          <w:marTop w:val="0"/>
          <w:marBottom w:val="0"/>
          <w:divBdr>
            <w:top w:val="none" w:sz="0" w:space="0" w:color="auto"/>
            <w:left w:val="none" w:sz="0" w:space="0" w:color="auto"/>
            <w:bottom w:val="none" w:sz="0" w:space="0" w:color="auto"/>
            <w:right w:val="none" w:sz="0" w:space="0" w:color="auto"/>
          </w:divBdr>
          <w:divsChild>
            <w:div w:id="1769353316">
              <w:marLeft w:val="0"/>
              <w:marRight w:val="0"/>
              <w:marTop w:val="0"/>
              <w:marBottom w:val="0"/>
              <w:divBdr>
                <w:top w:val="none" w:sz="0" w:space="0" w:color="auto"/>
                <w:left w:val="none" w:sz="0" w:space="0" w:color="auto"/>
                <w:bottom w:val="none" w:sz="0" w:space="0" w:color="auto"/>
                <w:right w:val="none" w:sz="0" w:space="0" w:color="auto"/>
              </w:divBdr>
              <w:divsChild>
                <w:div w:id="1094397377">
                  <w:marLeft w:val="0"/>
                  <w:marRight w:val="0"/>
                  <w:marTop w:val="0"/>
                  <w:marBottom w:val="0"/>
                  <w:divBdr>
                    <w:top w:val="none" w:sz="0" w:space="0" w:color="auto"/>
                    <w:left w:val="none" w:sz="0" w:space="0" w:color="auto"/>
                    <w:bottom w:val="none" w:sz="0" w:space="0" w:color="auto"/>
                    <w:right w:val="none" w:sz="0" w:space="0" w:color="auto"/>
                  </w:divBdr>
                  <w:divsChild>
                    <w:div w:id="626394894">
                      <w:marLeft w:val="0"/>
                      <w:marRight w:val="0"/>
                      <w:marTop w:val="0"/>
                      <w:marBottom w:val="0"/>
                      <w:divBdr>
                        <w:top w:val="none" w:sz="0" w:space="0" w:color="auto"/>
                        <w:left w:val="none" w:sz="0" w:space="0" w:color="auto"/>
                        <w:bottom w:val="none" w:sz="0" w:space="0" w:color="auto"/>
                        <w:right w:val="none" w:sz="0" w:space="0" w:color="auto"/>
                      </w:divBdr>
                      <w:divsChild>
                        <w:div w:id="431053146">
                          <w:marLeft w:val="0"/>
                          <w:marRight w:val="0"/>
                          <w:marTop w:val="0"/>
                          <w:marBottom w:val="0"/>
                          <w:divBdr>
                            <w:top w:val="none" w:sz="0" w:space="0" w:color="auto"/>
                            <w:left w:val="none" w:sz="0" w:space="0" w:color="auto"/>
                            <w:bottom w:val="none" w:sz="0" w:space="0" w:color="auto"/>
                            <w:right w:val="none" w:sz="0" w:space="0" w:color="auto"/>
                          </w:divBdr>
                        </w:div>
                        <w:div w:id="17640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81513">
      <w:bodyDiv w:val="1"/>
      <w:marLeft w:val="0"/>
      <w:marRight w:val="0"/>
      <w:marTop w:val="0"/>
      <w:marBottom w:val="0"/>
      <w:divBdr>
        <w:top w:val="none" w:sz="0" w:space="0" w:color="auto"/>
        <w:left w:val="none" w:sz="0" w:space="0" w:color="auto"/>
        <w:bottom w:val="none" w:sz="0" w:space="0" w:color="auto"/>
        <w:right w:val="none" w:sz="0" w:space="0" w:color="auto"/>
      </w:divBdr>
      <w:divsChild>
        <w:div w:id="769200962">
          <w:marLeft w:val="0"/>
          <w:marRight w:val="0"/>
          <w:marTop w:val="0"/>
          <w:marBottom w:val="0"/>
          <w:divBdr>
            <w:top w:val="none" w:sz="0" w:space="0" w:color="auto"/>
            <w:left w:val="none" w:sz="0" w:space="0" w:color="auto"/>
            <w:bottom w:val="none" w:sz="0" w:space="0" w:color="auto"/>
            <w:right w:val="none" w:sz="0" w:space="0" w:color="auto"/>
          </w:divBdr>
        </w:div>
      </w:divsChild>
    </w:div>
    <w:div w:id="1728525128">
      <w:bodyDiv w:val="1"/>
      <w:marLeft w:val="0"/>
      <w:marRight w:val="0"/>
      <w:marTop w:val="0"/>
      <w:marBottom w:val="0"/>
      <w:divBdr>
        <w:top w:val="none" w:sz="0" w:space="0" w:color="auto"/>
        <w:left w:val="none" w:sz="0" w:space="0" w:color="auto"/>
        <w:bottom w:val="none" w:sz="0" w:space="0" w:color="auto"/>
        <w:right w:val="none" w:sz="0" w:space="0" w:color="auto"/>
      </w:divBdr>
    </w:div>
    <w:div w:id="1736584809">
      <w:bodyDiv w:val="1"/>
      <w:marLeft w:val="0"/>
      <w:marRight w:val="0"/>
      <w:marTop w:val="0"/>
      <w:marBottom w:val="0"/>
      <w:divBdr>
        <w:top w:val="none" w:sz="0" w:space="0" w:color="auto"/>
        <w:left w:val="none" w:sz="0" w:space="0" w:color="auto"/>
        <w:bottom w:val="none" w:sz="0" w:space="0" w:color="auto"/>
        <w:right w:val="none" w:sz="0" w:space="0" w:color="auto"/>
      </w:divBdr>
    </w:div>
    <w:div w:id="1860118778">
      <w:bodyDiv w:val="1"/>
      <w:marLeft w:val="0"/>
      <w:marRight w:val="0"/>
      <w:marTop w:val="0"/>
      <w:marBottom w:val="0"/>
      <w:divBdr>
        <w:top w:val="none" w:sz="0" w:space="0" w:color="auto"/>
        <w:left w:val="none" w:sz="0" w:space="0" w:color="auto"/>
        <w:bottom w:val="none" w:sz="0" w:space="0" w:color="auto"/>
        <w:right w:val="none" w:sz="0" w:space="0" w:color="auto"/>
      </w:divBdr>
    </w:div>
    <w:div w:id="1862547086">
      <w:bodyDiv w:val="1"/>
      <w:marLeft w:val="0"/>
      <w:marRight w:val="0"/>
      <w:marTop w:val="0"/>
      <w:marBottom w:val="0"/>
      <w:divBdr>
        <w:top w:val="none" w:sz="0" w:space="0" w:color="auto"/>
        <w:left w:val="none" w:sz="0" w:space="0" w:color="auto"/>
        <w:bottom w:val="none" w:sz="0" w:space="0" w:color="auto"/>
        <w:right w:val="none" w:sz="0" w:space="0" w:color="auto"/>
      </w:divBdr>
    </w:div>
    <w:div w:id="1929776979">
      <w:bodyDiv w:val="1"/>
      <w:marLeft w:val="0"/>
      <w:marRight w:val="0"/>
      <w:marTop w:val="0"/>
      <w:marBottom w:val="0"/>
      <w:divBdr>
        <w:top w:val="none" w:sz="0" w:space="0" w:color="auto"/>
        <w:left w:val="none" w:sz="0" w:space="0" w:color="auto"/>
        <w:bottom w:val="none" w:sz="0" w:space="0" w:color="auto"/>
        <w:right w:val="none" w:sz="0" w:space="0" w:color="auto"/>
      </w:divBdr>
    </w:div>
    <w:div w:id="2077043691">
      <w:bodyDiv w:val="1"/>
      <w:marLeft w:val="0"/>
      <w:marRight w:val="0"/>
      <w:marTop w:val="0"/>
      <w:marBottom w:val="0"/>
      <w:divBdr>
        <w:top w:val="none" w:sz="0" w:space="0" w:color="auto"/>
        <w:left w:val="none" w:sz="0" w:space="0" w:color="auto"/>
        <w:bottom w:val="none" w:sz="0" w:space="0" w:color="auto"/>
        <w:right w:val="none" w:sz="0" w:space="0" w:color="auto"/>
      </w:divBdr>
    </w:div>
    <w:div w:id="214311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header" Target="header14.xml"/><Relationship Id="rId21" Type="http://schemas.openxmlformats.org/officeDocument/2006/relationships/image" Target="media/image4.jpeg"/><Relationship Id="rId34" Type="http://schemas.openxmlformats.org/officeDocument/2006/relationships/hyperlink" Target="http://www.frc.org.uk/auditorsresponsibilities" TargetMode="External"/><Relationship Id="rId42" Type="http://schemas.openxmlformats.org/officeDocument/2006/relationships/header" Target="header17.xml"/><Relationship Id="rId47" Type="http://schemas.openxmlformats.org/officeDocument/2006/relationships/header" Target="header22.xml"/><Relationship Id="rId50" Type="http://schemas.openxmlformats.org/officeDocument/2006/relationships/footer" Target="footer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torbay.gov.uk/DemocraticServices/uuCoverPage.aspx?bcr=1" TargetMode="External"/><Relationship Id="rId25" Type="http://schemas.openxmlformats.org/officeDocument/2006/relationships/chart" Target="charts/chart2.xm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yperlink" Target="http://www.torbay.gov.uk/council/finance/statement-of-accounts/" TargetMode="External"/><Relationship Id="rId20" Type="http://schemas.openxmlformats.org/officeDocument/2006/relationships/image" Target="media/image3.png"/><Relationship Id="rId29" Type="http://schemas.openxmlformats.org/officeDocument/2006/relationships/header" Target="header5.xml"/><Relationship Id="rId41" Type="http://schemas.openxmlformats.org/officeDocument/2006/relationships/header" Target="header16.xml"/><Relationship Id="rId54"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header" Target="header8.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yperlink" Target="http://www.torbay.gov.uk/council/finance/statement-of-accounts/" TargetMode="External"/><Relationship Id="rId23" Type="http://schemas.openxmlformats.org/officeDocument/2006/relationships/image" Target="media/image6.jpeg"/><Relationship Id="rId28" Type="http://schemas.openxmlformats.org/officeDocument/2006/relationships/chart" Target="charts/chart4.xml"/><Relationship Id="rId36" Type="http://schemas.openxmlformats.org/officeDocument/2006/relationships/header" Target="header11.xml"/><Relationship Id="rId49" Type="http://schemas.openxmlformats.org/officeDocument/2006/relationships/header" Target="header23.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header" Target="header7.xml"/><Relationship Id="rId44" Type="http://schemas.openxmlformats.org/officeDocument/2006/relationships/header" Target="header19.xml"/><Relationship Id="rId52"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chart" Target="charts/chart3.xml"/><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hyperlink" Target="http://www.torbay.gov.uk/DemocraticServices/ieListMeetings.aspx?CId=458&amp;info=1"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2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Torbay Council Revenue Support Grant</a:t>
            </a:r>
          </a:p>
        </c:rich>
      </c:tx>
      <c:layout/>
      <c:overlay val="0"/>
    </c:title>
    <c:autoTitleDeleted val="0"/>
    <c:plotArea>
      <c:layout/>
      <c:barChart>
        <c:barDir val="col"/>
        <c:grouping val="clustered"/>
        <c:varyColors val="0"/>
        <c:ser>
          <c:idx val="0"/>
          <c:order val="0"/>
          <c:tx>
            <c:strRef>
              <c:f>Sheet1!$B$1</c:f>
              <c:strCache>
                <c:ptCount val="1"/>
                <c:pt idx="0">
                  <c:v>Revenue Support Grant</c:v>
                </c:pt>
              </c:strCache>
            </c:strRef>
          </c:tx>
          <c:invertIfNegative val="0"/>
          <c:cat>
            <c:strRef>
              <c:f>Sheet1!$A$2:$A$6</c:f>
              <c:strCache>
                <c:ptCount val="5"/>
                <c:pt idx="0">
                  <c:v>2015/2016</c:v>
                </c:pt>
                <c:pt idx="1">
                  <c:v>2016/2017</c:v>
                </c:pt>
                <c:pt idx="2">
                  <c:v>2017/2018</c:v>
                </c:pt>
                <c:pt idx="3">
                  <c:v>2018/2019</c:v>
                </c:pt>
                <c:pt idx="4">
                  <c:v>2019/2020</c:v>
                </c:pt>
              </c:strCache>
            </c:strRef>
          </c:cat>
          <c:val>
            <c:numRef>
              <c:f>Sheet1!$B$2:$B$6</c:f>
              <c:numCache>
                <c:formatCode>_-"£"* #,##0_-;\-"£"* #,##0_-;_-"£"* "-"??_-;_-@_-</c:formatCode>
                <c:ptCount val="5"/>
                <c:pt idx="0">
                  <c:v>25.8</c:v>
                </c:pt>
                <c:pt idx="1">
                  <c:v>20</c:v>
                </c:pt>
                <c:pt idx="2">
                  <c:v>14.2</c:v>
                </c:pt>
                <c:pt idx="3">
                  <c:v>10.3</c:v>
                </c:pt>
                <c:pt idx="4">
                  <c:v>6.4</c:v>
                </c:pt>
              </c:numCache>
            </c:numRef>
          </c:val>
        </c:ser>
        <c:dLbls>
          <c:showLegendKey val="0"/>
          <c:showVal val="0"/>
          <c:showCatName val="0"/>
          <c:showSerName val="0"/>
          <c:showPercent val="0"/>
          <c:showBubbleSize val="0"/>
        </c:dLbls>
        <c:gapWidth val="150"/>
        <c:axId val="276605680"/>
        <c:axId val="276608032"/>
      </c:barChart>
      <c:catAx>
        <c:axId val="276605680"/>
        <c:scaling>
          <c:orientation val="minMax"/>
        </c:scaling>
        <c:delete val="0"/>
        <c:axPos val="b"/>
        <c:numFmt formatCode="General" sourceLinked="0"/>
        <c:majorTickMark val="out"/>
        <c:minorTickMark val="none"/>
        <c:tickLblPos val="nextTo"/>
        <c:crossAx val="276608032"/>
        <c:crosses val="autoZero"/>
        <c:auto val="1"/>
        <c:lblAlgn val="ctr"/>
        <c:lblOffset val="100"/>
        <c:noMultiLvlLbl val="0"/>
      </c:catAx>
      <c:valAx>
        <c:axId val="276608032"/>
        <c:scaling>
          <c:orientation val="minMax"/>
        </c:scaling>
        <c:delete val="0"/>
        <c:axPos val="l"/>
        <c:majorGridlines/>
        <c:title>
          <c:tx>
            <c:rich>
              <a:bodyPr rot="0" vert="horz"/>
              <a:lstStyle/>
              <a:p>
                <a:pPr>
                  <a:defRPr/>
                </a:pPr>
                <a:r>
                  <a:rPr lang="en-GB"/>
                  <a:t>£m</a:t>
                </a:r>
              </a:p>
            </c:rich>
          </c:tx>
          <c:layout/>
          <c:overlay val="0"/>
        </c:title>
        <c:numFmt formatCode="_-&quot;£&quot;* #,##0_-;\-&quot;£&quot;* #,##0_-;_-&quot;£&quot;* &quot;-&quot;??_-;_-@_-" sourceLinked="1"/>
        <c:majorTickMark val="out"/>
        <c:minorTickMark val="none"/>
        <c:tickLblPos val="nextTo"/>
        <c:crossAx val="2766056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baseline="0">
                <a:solidFill>
                  <a:sysClr val="windowText" lastClr="000000"/>
                </a:solidFill>
              </a:rPr>
              <a:t>Torbay Funding 2017/18 (%)</a:t>
            </a:r>
          </a:p>
        </c:rich>
      </c:tx>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Funding 2017/18</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3"/>
              <c:layout>
                <c:manualLayout>
                  <c:x val="7.8555904666860965E-2"/>
                  <c:y val="4.4806821516099118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200" baseline="0"/>
                </a:pPr>
                <a:endParaRPr lang="en-US"/>
              </a:p>
            </c:tx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Sheet1!$A$2:$A$5</c:f>
              <c:strCache>
                <c:ptCount val="4"/>
                <c:pt idx="0">
                  <c:v>Council Tax</c:v>
                </c:pt>
                <c:pt idx="1">
                  <c:v>RSG</c:v>
                </c:pt>
                <c:pt idx="2">
                  <c:v>NNDR</c:v>
                </c:pt>
                <c:pt idx="3">
                  <c:v>Other</c:v>
                </c:pt>
              </c:strCache>
            </c:strRef>
          </c:cat>
          <c:val>
            <c:numRef>
              <c:f>Sheet1!$B$2:$B$5</c:f>
              <c:numCache>
                <c:formatCode>0%</c:formatCode>
                <c:ptCount val="4"/>
                <c:pt idx="0">
                  <c:v>0.55000000000000004</c:v>
                </c:pt>
                <c:pt idx="1">
                  <c:v>0.13</c:v>
                </c:pt>
                <c:pt idx="2">
                  <c:v>0.28000000000000008</c:v>
                </c:pt>
                <c:pt idx="3">
                  <c:v>4.0000000000000022E-2</c:v>
                </c:pt>
              </c:numCache>
            </c:numRef>
          </c:val>
        </c:ser>
        <c:dLbls>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lumMod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a:pPr>
            <a:r>
              <a:rPr lang="en-US" sz="1199"/>
              <a:t>Budget Variance £000s</a:t>
            </a:r>
          </a:p>
        </c:rich>
      </c:tx>
      <c:layout/>
      <c:overlay val="0"/>
    </c:title>
    <c:autoTitleDeleted val="0"/>
    <c:plotArea>
      <c:layout/>
      <c:barChart>
        <c:barDir val="bar"/>
        <c:grouping val="clustered"/>
        <c:varyColors val="0"/>
        <c:ser>
          <c:idx val="0"/>
          <c:order val="0"/>
          <c:tx>
            <c:strRef>
              <c:f>Sheet1!$B$1</c:f>
              <c:strCache>
                <c:ptCount val="1"/>
                <c:pt idx="0">
                  <c:v>Outturn</c:v>
                </c:pt>
              </c:strCache>
            </c:strRef>
          </c:tx>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Adult Social Care</c:v>
                </c:pt>
                <c:pt idx="1">
                  <c:v>Childrens' Services</c:v>
                </c:pt>
                <c:pt idx="2">
                  <c:v>Public Health (ring fenced)</c:v>
                </c:pt>
                <c:pt idx="3">
                  <c:v>Joint Operations</c:v>
                </c:pt>
                <c:pt idx="4">
                  <c:v>Sources of Finance</c:v>
                </c:pt>
              </c:strCache>
            </c:strRef>
          </c:cat>
          <c:val>
            <c:numRef>
              <c:f>Sheet1!$B$2:$B$6</c:f>
              <c:numCache>
                <c:formatCode>General</c:formatCode>
                <c:ptCount val="5"/>
                <c:pt idx="0">
                  <c:v>0</c:v>
                </c:pt>
                <c:pt idx="1">
                  <c:v>3289</c:v>
                </c:pt>
                <c:pt idx="2">
                  <c:v>-4</c:v>
                </c:pt>
                <c:pt idx="3">
                  <c:v>-981</c:v>
                </c:pt>
                <c:pt idx="4">
                  <c:v>-619</c:v>
                </c:pt>
              </c:numCache>
            </c:numRef>
          </c:val>
        </c:ser>
        <c:dLbls>
          <c:showLegendKey val="0"/>
          <c:showVal val="1"/>
          <c:showCatName val="0"/>
          <c:showSerName val="0"/>
          <c:showPercent val="0"/>
          <c:showBubbleSize val="0"/>
        </c:dLbls>
        <c:gapWidth val="150"/>
        <c:axId val="276608424"/>
        <c:axId val="276607248"/>
      </c:barChart>
      <c:catAx>
        <c:axId val="276608424"/>
        <c:scaling>
          <c:orientation val="minMax"/>
        </c:scaling>
        <c:delete val="0"/>
        <c:axPos val="l"/>
        <c:numFmt formatCode="General" sourceLinked="1"/>
        <c:majorTickMark val="out"/>
        <c:minorTickMark val="none"/>
        <c:tickLblPos val="low"/>
        <c:txPr>
          <a:bodyPr/>
          <a:lstStyle/>
          <a:p>
            <a:pPr>
              <a:defRPr sz="700"/>
            </a:pPr>
            <a:endParaRPr lang="en-US"/>
          </a:p>
        </c:txPr>
        <c:crossAx val="276607248"/>
        <c:crosses val="autoZero"/>
        <c:auto val="1"/>
        <c:lblAlgn val="ctr"/>
        <c:lblOffset val="1000"/>
        <c:tickLblSkip val="1"/>
        <c:noMultiLvlLbl val="0"/>
      </c:catAx>
      <c:valAx>
        <c:axId val="276607248"/>
        <c:scaling>
          <c:orientation val="minMax"/>
        </c:scaling>
        <c:delete val="0"/>
        <c:axPos val="b"/>
        <c:majorGridlines/>
        <c:numFmt formatCode="General" sourceLinked="1"/>
        <c:majorTickMark val="out"/>
        <c:minorTickMark val="none"/>
        <c:tickLblPos val="nextTo"/>
        <c:txPr>
          <a:bodyPr/>
          <a:lstStyle/>
          <a:p>
            <a:pPr>
              <a:defRPr sz="700"/>
            </a:pPr>
            <a:endParaRPr lang="en-US"/>
          </a:p>
        </c:txPr>
        <c:crossAx val="2766084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aseline="0">
                <a:solidFill>
                  <a:sysClr val="windowText" lastClr="000000"/>
                </a:solidFill>
              </a:rPr>
              <a:t>Net Expenditure 2017/18 (%)</a:t>
            </a:r>
          </a:p>
        </c:rich>
      </c:tx>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Total Net Expenditure 2017/18</c:v>
                </c:pt>
              </c:strCache>
            </c:strRef>
          </c:tx>
          <c:explosion val="29"/>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0"/>
              <c:layout>
                <c:manualLayout>
                  <c:x val="-2.4648323426139464E-2"/>
                  <c:y val="-2.2342806458650492E-2"/>
                </c:manualLayout>
              </c:layout>
              <c:spPr>
                <a:noFill/>
                <a:ln>
                  <a:noFill/>
                </a:ln>
                <a:effectLst/>
              </c:spPr>
              <c:txPr>
                <a:bodyPr/>
                <a:lstStyle/>
                <a:p>
                  <a:pPr>
                    <a:defRPr sz="800" baseline="0"/>
                  </a:pPr>
                  <a:endParaRPr lang="en-US"/>
                </a:p>
              </c:txPr>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7015205001901787"/>
                  <c:y val="-8.7631814134805815E-3"/>
                </c:manualLayout>
              </c:layout>
              <c:spPr>
                <a:noFill/>
                <a:ln>
                  <a:noFill/>
                </a:ln>
                <a:effectLst/>
              </c:spPr>
              <c:txPr>
                <a:bodyPr/>
                <a:lstStyle/>
                <a:p>
                  <a:pPr>
                    <a:defRPr sz="800" baseline="0"/>
                  </a:pPr>
                  <a:endParaRPr lang="en-US"/>
                </a:p>
              </c:txPr>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2.1588008284185719E-2"/>
                  <c:y val="0.10484943724304555"/>
                </c:manualLayout>
              </c:layout>
              <c:tx>
                <c:rich>
                  <a:bodyPr/>
                  <a:lstStyle/>
                  <a:p>
                    <a:r>
                      <a:rPr lang="en-US" sz="800"/>
                      <a:t>Joint Operations
29%</a:t>
                    </a:r>
                  </a:p>
                </c:rich>
              </c:tx>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1.4326338574817301E-2"/>
                  <c:y val="1.4221664388768741E-2"/>
                </c:manualLayout>
              </c:layout>
              <c:spPr>
                <a:noFill/>
                <a:ln>
                  <a:noFill/>
                </a:ln>
                <a:effectLst/>
              </c:spPr>
              <c:txPr>
                <a:bodyPr/>
                <a:lstStyle/>
                <a:p>
                  <a:pPr>
                    <a:defRPr sz="800" baseline="0"/>
                  </a:pPr>
                  <a:endParaRPr lang="en-US"/>
                </a:p>
              </c:txPr>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1840668856162981"/>
                  <c:y val="7.7843216611219934E-3"/>
                </c:manualLayout>
              </c:layout>
              <c:spPr>
                <a:noFill/>
                <a:ln>
                  <a:noFill/>
                </a:ln>
                <a:effectLst/>
              </c:spPr>
              <c:txPr>
                <a:bodyPr/>
                <a:lstStyle/>
                <a:p>
                  <a:pPr>
                    <a:defRPr sz="800" baseline="0"/>
                  </a:pPr>
                  <a:endParaRPr lang="en-US"/>
                </a:p>
              </c:txP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200" baseline="0"/>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Adult Social Care</c:v>
                </c:pt>
                <c:pt idx="1">
                  <c:v>Childrens</c:v>
                </c:pt>
                <c:pt idx="2">
                  <c:v>Joint Operations</c:v>
                </c:pt>
                <c:pt idx="3">
                  <c:v>Public Health</c:v>
                </c:pt>
              </c:strCache>
            </c:strRef>
          </c:cat>
          <c:val>
            <c:numRef>
              <c:f>Sheet1!$B$2:$B$5</c:f>
              <c:numCache>
                <c:formatCode>General</c:formatCode>
                <c:ptCount val="4"/>
                <c:pt idx="0">
                  <c:v>38.800000000000004</c:v>
                </c:pt>
                <c:pt idx="1">
                  <c:v>31.9</c:v>
                </c:pt>
                <c:pt idx="2">
                  <c:v>32.200000000000003</c:v>
                </c:pt>
                <c:pt idx="3">
                  <c:v>9.6</c:v>
                </c:pt>
              </c:numCache>
            </c:numRef>
          </c:val>
        </c:ser>
        <c:dLbls>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lumMod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2E5CCD-323C-4002-89FC-78F16884C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141</Pages>
  <Words>49108</Words>
  <Characters>261986</Characters>
  <Application>Microsoft Office Word</Application>
  <DocSecurity>0</DocSecurity>
  <Lines>2183</Lines>
  <Paragraphs>620</Paragraphs>
  <ScaleCrop>false</ScaleCrop>
  <HeadingPairs>
    <vt:vector size="2" baseType="variant">
      <vt:variant>
        <vt:lpstr>Title</vt:lpstr>
      </vt:variant>
      <vt:variant>
        <vt:i4>1</vt:i4>
      </vt:variant>
    </vt:vector>
  </HeadingPairs>
  <TitlesOfParts>
    <vt:vector size="1" baseType="lpstr">
      <vt:lpstr>Example Financial Statements and Notes to the Accounts for Local Authorities 2010/11</vt:lpstr>
    </vt:vector>
  </TitlesOfParts>
  <Company>PricewaterhouseCoopers</Company>
  <LinksUpToDate>false</LinksUpToDate>
  <CharactersWithSpaces>310474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Financial Statements and Notes to the Accounts for Local Authorities 2010/11</dc:title>
  <dc:creator>Sheen</dc:creator>
  <cp:lastModifiedBy>Eden, Alison</cp:lastModifiedBy>
  <cp:revision>4</cp:revision>
  <cp:lastPrinted>2018-07-31T13:04:00Z</cp:lastPrinted>
  <dcterms:created xsi:type="dcterms:W3CDTF">2018-08-02T07:44:00Z</dcterms:created>
  <dcterms:modified xsi:type="dcterms:W3CDTF">2018-08-02T07:50:00Z</dcterms:modified>
</cp:coreProperties>
</file>