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AAFA64C" w14:textId="77777777" w:rsidR="00BC20D2" w:rsidRDefault="00EF57EA">
      <w:pPr>
        <w:rPr>
          <w:rFonts w:ascii="Calibri" w:eastAsia="Calibri" w:hAnsi="Calibri" w:cs="Calibri"/>
          <w:b/>
          <w:color w:val="1F497D"/>
          <w:sz w:val="28"/>
          <w:szCs w:val="28"/>
        </w:rPr>
      </w:pPr>
      <w:r>
        <w:rPr>
          <w:rFonts w:ascii="Calibri" w:eastAsia="Calibri" w:hAnsi="Calibri" w:cs="Calibri"/>
          <w:b/>
          <w:color w:val="1F497D"/>
          <w:sz w:val="28"/>
          <w:szCs w:val="28"/>
        </w:rPr>
        <w:t>Formative and Summative Assessment</w:t>
      </w:r>
    </w:p>
    <w:p w14:paraId="5F8B6EF9" w14:textId="77777777" w:rsidR="00BC20D2" w:rsidRDefault="00EF57EA">
      <w:pPr>
        <w:rPr>
          <w:rFonts w:ascii="Calibri" w:eastAsia="Calibri" w:hAnsi="Calibri" w:cs="Calibri"/>
          <w:color w:val="1F497D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0" hidden="0" allowOverlap="1" wp14:anchorId="08D17744" wp14:editId="66D90F38">
            <wp:simplePos x="0" y="0"/>
            <wp:positionH relativeFrom="margin">
              <wp:posOffset>4218940</wp:posOffset>
            </wp:positionH>
            <wp:positionV relativeFrom="paragraph">
              <wp:posOffset>107950</wp:posOffset>
            </wp:positionV>
            <wp:extent cx="2091055" cy="1594485"/>
            <wp:effectExtent l="0" t="0" r="0" b="0"/>
            <wp:wrapSquare wrapText="bothSides" distT="0" distB="0" distL="114300" distR="11430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 l="42627" t="33512" r="39973" b="42895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594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2D3D99" w14:textId="77777777" w:rsidR="00BC20D2" w:rsidRDefault="00EF57EA">
      <w:pPr>
        <w:rPr>
          <w:rFonts w:ascii="Calibri" w:eastAsia="Calibri" w:hAnsi="Calibri" w:cs="Calibri"/>
          <w:b/>
          <w:color w:val="1F497D"/>
        </w:rPr>
      </w:pPr>
      <w:r>
        <w:rPr>
          <w:rFonts w:ascii="Calibri" w:eastAsia="Calibri" w:hAnsi="Calibri" w:cs="Calibri"/>
          <w:b/>
          <w:color w:val="1F497D"/>
        </w:rPr>
        <w:t>Formative assessment</w:t>
      </w:r>
    </w:p>
    <w:p w14:paraId="79A0C2B6" w14:textId="77777777" w:rsidR="00BC20D2" w:rsidRDefault="00BC20D2">
      <w:pPr>
        <w:rPr>
          <w:rFonts w:ascii="Calibri" w:eastAsia="Calibri" w:hAnsi="Calibri" w:cs="Calibri"/>
          <w:b/>
          <w:color w:val="1F497D"/>
        </w:rPr>
      </w:pPr>
    </w:p>
    <w:p w14:paraId="275ABFCD" w14:textId="77777777" w:rsidR="00BC20D2" w:rsidRDefault="00EF57EA">
      <w:pPr>
        <w:rPr>
          <w:rFonts w:ascii="Calibri" w:eastAsia="Calibri" w:hAnsi="Calibri" w:cs="Calibri"/>
          <w:color w:val="1F497D"/>
        </w:rPr>
      </w:pPr>
      <w:r>
        <w:rPr>
          <w:rFonts w:ascii="Calibri" w:eastAsia="Calibri" w:hAnsi="Calibri" w:cs="Calibri"/>
          <w:color w:val="1F497D"/>
        </w:rPr>
        <w:t xml:space="preserve">Formative assessment provides the teacher with quality feedback, so that pupils understand what they </w:t>
      </w:r>
      <w:proofErr w:type="gramStart"/>
      <w:r>
        <w:rPr>
          <w:rFonts w:ascii="Calibri" w:eastAsia="Calibri" w:hAnsi="Calibri" w:cs="Calibri"/>
          <w:color w:val="1F497D"/>
        </w:rPr>
        <w:t>have to</w:t>
      </w:r>
      <w:proofErr w:type="gramEnd"/>
      <w:r>
        <w:rPr>
          <w:rFonts w:ascii="Calibri" w:eastAsia="Calibri" w:hAnsi="Calibri" w:cs="Calibri"/>
          <w:color w:val="1F497D"/>
        </w:rPr>
        <w:t xml:space="preserve"> do to improve. It is intended to change the way we teach, depending on what we observe.</w:t>
      </w:r>
    </w:p>
    <w:p w14:paraId="5F7CD371" w14:textId="77777777" w:rsidR="00BC20D2" w:rsidRDefault="00EF57EA">
      <w:pPr>
        <w:rPr>
          <w:rFonts w:ascii="Calibri" w:eastAsia="Calibri" w:hAnsi="Calibri" w:cs="Calibri"/>
          <w:color w:val="1F497D"/>
        </w:rPr>
      </w:pPr>
      <w:bookmarkStart w:id="0" w:name="_gjdgxs" w:colFirst="0" w:colLast="0"/>
      <w:bookmarkEnd w:id="0"/>
      <w:r>
        <w:rPr>
          <w:rFonts w:ascii="Calibri" w:eastAsia="Calibri" w:hAnsi="Calibri" w:cs="Calibri"/>
          <w:color w:val="1F497D"/>
        </w:rPr>
        <w:t>It does not work by using grades or scores, but works by:</w:t>
      </w:r>
    </w:p>
    <w:p w14:paraId="52C88A30" w14:textId="77777777" w:rsidR="00BC20D2" w:rsidRDefault="00EF57EA">
      <w:pPr>
        <w:numPr>
          <w:ilvl w:val="0"/>
          <w:numId w:val="1"/>
        </w:numPr>
        <w:ind w:hanging="360"/>
        <w:contextualSpacing/>
        <w:rPr>
          <w:color w:val="1F497D"/>
        </w:rPr>
      </w:pPr>
      <w:proofErr w:type="spellStart"/>
      <w:r>
        <w:rPr>
          <w:rFonts w:ascii="Calibri" w:eastAsia="Calibri" w:hAnsi="Calibri" w:cs="Calibri"/>
          <w:color w:val="1F497D"/>
        </w:rPr>
        <w:t>Analyzing</w:t>
      </w:r>
      <w:proofErr w:type="spellEnd"/>
      <w:r>
        <w:rPr>
          <w:rFonts w:ascii="Calibri" w:eastAsia="Calibri" w:hAnsi="Calibri" w:cs="Calibri"/>
          <w:color w:val="1F497D"/>
        </w:rPr>
        <w:t xml:space="preserve"> the learning process</w:t>
      </w:r>
    </w:p>
    <w:p w14:paraId="726A421B" w14:textId="77777777" w:rsidR="00BC20D2" w:rsidRDefault="00EF57EA">
      <w:pPr>
        <w:numPr>
          <w:ilvl w:val="0"/>
          <w:numId w:val="1"/>
        </w:numPr>
        <w:ind w:hanging="360"/>
        <w:contextualSpacing/>
        <w:rPr>
          <w:color w:val="1F497D"/>
        </w:rPr>
      </w:pPr>
      <w:r>
        <w:rPr>
          <w:rFonts w:ascii="Calibri" w:eastAsia="Calibri" w:hAnsi="Calibri" w:cs="Calibri"/>
          <w:color w:val="1F497D"/>
        </w:rPr>
        <w:t>Diagnosing the feedback</w:t>
      </w:r>
    </w:p>
    <w:p w14:paraId="7176EA82" w14:textId="77777777" w:rsidR="00BC20D2" w:rsidRDefault="00EF57EA">
      <w:pPr>
        <w:numPr>
          <w:ilvl w:val="0"/>
          <w:numId w:val="1"/>
        </w:numPr>
        <w:ind w:hanging="360"/>
        <w:contextualSpacing/>
        <w:rPr>
          <w:color w:val="1F497D"/>
        </w:rPr>
      </w:pPr>
      <w:r>
        <w:rPr>
          <w:rFonts w:ascii="Calibri" w:eastAsia="Calibri" w:hAnsi="Calibri" w:cs="Calibri"/>
          <w:color w:val="1F497D"/>
        </w:rPr>
        <w:t>Encouraging dialogue with pupils</w:t>
      </w:r>
      <w:r>
        <w:rPr>
          <w:noProof/>
        </w:rPr>
        <w:drawing>
          <wp:anchor distT="0" distB="0" distL="114300" distR="114300" simplePos="0" relativeHeight="251659264" behindDoc="0" locked="0" layoutInCell="0" hidden="0" allowOverlap="1" wp14:anchorId="3029B4EE" wp14:editId="4B0EE348">
            <wp:simplePos x="0" y="0"/>
            <wp:positionH relativeFrom="margin">
              <wp:posOffset>4222115</wp:posOffset>
            </wp:positionH>
            <wp:positionV relativeFrom="paragraph">
              <wp:posOffset>120650</wp:posOffset>
            </wp:positionV>
            <wp:extent cx="2077720" cy="1574165"/>
            <wp:effectExtent l="0" t="0" r="0" b="0"/>
            <wp:wrapSquare wrapText="bothSides" distT="0" distB="0" distL="114300" distR="11430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l="42781" t="33749" r="40107" b="43196"/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574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0F8239" w14:textId="77777777" w:rsidR="00BC20D2" w:rsidRDefault="00EF57EA">
      <w:pPr>
        <w:rPr>
          <w:rFonts w:ascii="Calibri" w:eastAsia="Calibri" w:hAnsi="Calibri" w:cs="Calibri"/>
          <w:color w:val="1F497D"/>
        </w:rPr>
      </w:pPr>
      <w:r>
        <w:rPr>
          <w:rFonts w:ascii="Calibri" w:eastAsia="Calibri" w:hAnsi="Calibri" w:cs="Calibri"/>
          <w:color w:val="1F497D"/>
        </w:rPr>
        <w:t>The teacher needs to listen to what is going on in the classroom and notice signs that say “this isn’t quite</w:t>
      </w:r>
      <w:r>
        <w:rPr>
          <w:rFonts w:ascii="Calibri" w:eastAsia="Calibri" w:hAnsi="Calibri" w:cs="Calibri"/>
          <w:color w:val="1F497D"/>
        </w:rPr>
        <w:t xml:space="preserve"> working”. They are then able to respond by adapting their approach, modifying what they are teaching so that pupils can make better progress.</w:t>
      </w:r>
    </w:p>
    <w:p w14:paraId="4003AE6E" w14:textId="77777777" w:rsidR="00BC20D2" w:rsidRDefault="00BC20D2">
      <w:pPr>
        <w:rPr>
          <w:rFonts w:ascii="Calibri" w:eastAsia="Calibri" w:hAnsi="Calibri" w:cs="Calibri"/>
          <w:color w:val="1F497D"/>
        </w:rPr>
      </w:pPr>
    </w:p>
    <w:p w14:paraId="68479730" w14:textId="77777777" w:rsidR="00BC20D2" w:rsidRDefault="00BC20D2">
      <w:pPr>
        <w:rPr>
          <w:rFonts w:ascii="Calibri" w:eastAsia="Calibri" w:hAnsi="Calibri" w:cs="Calibri"/>
          <w:b/>
          <w:color w:val="1F497D"/>
        </w:rPr>
      </w:pPr>
    </w:p>
    <w:p w14:paraId="1D7FF57D" w14:textId="77777777" w:rsidR="00BC20D2" w:rsidRDefault="00EF57EA">
      <w:pPr>
        <w:rPr>
          <w:rFonts w:ascii="Calibri" w:eastAsia="Calibri" w:hAnsi="Calibri" w:cs="Calibri"/>
          <w:b/>
          <w:color w:val="1F497D"/>
        </w:rPr>
      </w:pPr>
      <w:r>
        <w:rPr>
          <w:rFonts w:ascii="Calibri" w:eastAsia="Calibri" w:hAnsi="Calibri" w:cs="Calibri"/>
          <w:b/>
          <w:color w:val="1F497D"/>
        </w:rPr>
        <w:t>Summative Assessment</w:t>
      </w:r>
    </w:p>
    <w:p w14:paraId="50F98936" w14:textId="77777777" w:rsidR="00BC20D2" w:rsidRDefault="00BC20D2">
      <w:pPr>
        <w:rPr>
          <w:rFonts w:ascii="Calibri" w:eastAsia="Calibri" w:hAnsi="Calibri" w:cs="Calibri"/>
          <w:b/>
          <w:color w:val="1F497D"/>
        </w:rPr>
      </w:pPr>
    </w:p>
    <w:p w14:paraId="1011BD6E" w14:textId="77777777" w:rsidR="00BC20D2" w:rsidRDefault="007C12C1">
      <w:pPr>
        <w:rPr>
          <w:rFonts w:ascii="Calibri" w:eastAsia="Calibri" w:hAnsi="Calibri" w:cs="Calibri"/>
          <w:b/>
          <w:color w:val="1F497D"/>
        </w:rPr>
      </w:pPr>
      <w:r>
        <w:rPr>
          <w:noProof/>
        </w:rPr>
        <w:drawing>
          <wp:anchor distT="0" distB="0" distL="114300" distR="114300" simplePos="0" relativeHeight="251660288" behindDoc="0" locked="0" layoutInCell="0" hidden="0" allowOverlap="1" wp14:anchorId="718F0949" wp14:editId="17642278">
            <wp:simplePos x="0" y="0"/>
            <wp:positionH relativeFrom="margin">
              <wp:posOffset>4280535</wp:posOffset>
            </wp:positionH>
            <wp:positionV relativeFrom="paragraph">
              <wp:posOffset>271780</wp:posOffset>
            </wp:positionV>
            <wp:extent cx="2170430" cy="1594485"/>
            <wp:effectExtent l="0" t="0" r="0" b="5715"/>
            <wp:wrapSquare wrapText="bothSides" distT="0" distB="0" distL="114300" distR="11430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l="42755" t="33986" r="40107" b="43042"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1594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F57EA">
        <w:rPr>
          <w:rFonts w:ascii="Calibri" w:eastAsia="Calibri" w:hAnsi="Calibri" w:cs="Calibri"/>
          <w:color w:val="1F497D"/>
        </w:rPr>
        <w:t xml:space="preserve">Summative assessment provides a report of the learning, up to a </w:t>
      </w:r>
      <w:proofErr w:type="gramStart"/>
      <w:r w:rsidR="00EF57EA">
        <w:rPr>
          <w:rFonts w:ascii="Calibri" w:eastAsia="Calibri" w:hAnsi="Calibri" w:cs="Calibri"/>
          <w:color w:val="1F497D"/>
        </w:rPr>
        <w:t>particular point</w:t>
      </w:r>
      <w:proofErr w:type="gramEnd"/>
      <w:r w:rsidR="00EF57EA">
        <w:rPr>
          <w:rFonts w:ascii="Calibri" w:eastAsia="Calibri" w:hAnsi="Calibri" w:cs="Calibri"/>
          <w:color w:val="1F497D"/>
        </w:rPr>
        <w:t>, providi</w:t>
      </w:r>
      <w:r w:rsidR="00EF57EA">
        <w:rPr>
          <w:rFonts w:ascii="Calibri" w:eastAsia="Calibri" w:hAnsi="Calibri" w:cs="Calibri"/>
          <w:color w:val="1F497D"/>
        </w:rPr>
        <w:t xml:space="preserve">ng a measure the school’s RE provision. </w:t>
      </w:r>
    </w:p>
    <w:p w14:paraId="139CCC27" w14:textId="77777777" w:rsidR="00BC20D2" w:rsidRDefault="00EF57EA">
      <w:pPr>
        <w:rPr>
          <w:rFonts w:ascii="Calibri" w:eastAsia="Calibri" w:hAnsi="Calibri" w:cs="Calibri"/>
          <w:color w:val="1F497D"/>
        </w:rPr>
      </w:pPr>
      <w:r>
        <w:rPr>
          <w:rFonts w:ascii="Calibri" w:eastAsia="Calibri" w:hAnsi="Calibri" w:cs="Calibri"/>
          <w:color w:val="1F497D"/>
        </w:rPr>
        <w:t>SATs tests and GCSE results are examples of summative assessments. They lend themselves to using numbers or levels to give a single numerical value to represent the progress of a specific child.</w:t>
      </w:r>
    </w:p>
    <w:p w14:paraId="0150A793" w14:textId="77777777" w:rsidR="00BC20D2" w:rsidRDefault="00EF57EA">
      <w:pPr>
        <w:rPr>
          <w:rFonts w:ascii="Calibri" w:eastAsia="Calibri" w:hAnsi="Calibri" w:cs="Calibri"/>
          <w:color w:val="1F497D"/>
        </w:rPr>
      </w:pPr>
      <w:r>
        <w:rPr>
          <w:rFonts w:ascii="Calibri" w:eastAsia="Calibri" w:hAnsi="Calibri" w:cs="Calibri"/>
          <w:color w:val="1F497D"/>
        </w:rPr>
        <w:t>This data can be us</w:t>
      </w:r>
      <w:r>
        <w:rPr>
          <w:rFonts w:ascii="Calibri" w:eastAsia="Calibri" w:hAnsi="Calibri" w:cs="Calibri"/>
          <w:color w:val="1F497D"/>
        </w:rPr>
        <w:t>ed to show year on year progression for the purposes of external accountability. Summative assessment data is not much use in the formative process.</w:t>
      </w:r>
    </w:p>
    <w:p w14:paraId="0E3956BF" w14:textId="77777777" w:rsidR="00BC20D2" w:rsidRDefault="00BC20D2">
      <w:pPr>
        <w:rPr>
          <w:rFonts w:ascii="Calibri" w:eastAsia="Calibri" w:hAnsi="Calibri" w:cs="Calibri"/>
          <w:color w:val="1F497D"/>
        </w:rPr>
      </w:pPr>
    </w:p>
    <w:p w14:paraId="48C19489" w14:textId="77777777" w:rsidR="00BC20D2" w:rsidRDefault="00EF57EA">
      <w:pPr>
        <w:rPr>
          <w:rFonts w:ascii="Calibri" w:eastAsia="Calibri" w:hAnsi="Calibri" w:cs="Calibri"/>
          <w:color w:val="1F497D"/>
        </w:rPr>
      </w:pPr>
      <w:r>
        <w:rPr>
          <w:rFonts w:ascii="Calibri" w:eastAsia="Calibri" w:hAnsi="Calibri" w:cs="Calibri"/>
          <w:color w:val="1F497D"/>
        </w:rPr>
        <w:t xml:space="preserve">For further guidance, see </w:t>
      </w:r>
      <w:proofErr w:type="spellStart"/>
      <w:r>
        <w:rPr>
          <w:rFonts w:ascii="Calibri" w:eastAsia="Calibri" w:hAnsi="Calibri" w:cs="Calibri"/>
          <w:color w:val="1F497D"/>
        </w:rPr>
        <w:t>Dilwyn</w:t>
      </w:r>
      <w:proofErr w:type="spellEnd"/>
      <w:r>
        <w:rPr>
          <w:rFonts w:ascii="Calibri" w:eastAsia="Calibri" w:hAnsi="Calibri" w:cs="Calibri"/>
          <w:color w:val="1F497D"/>
        </w:rPr>
        <w:t xml:space="preserve"> Hunt’s address on Assessment and Progression</w:t>
      </w:r>
    </w:p>
    <w:p w14:paraId="456C251F" w14:textId="77777777" w:rsidR="00BC20D2" w:rsidRDefault="00EF57EA">
      <w:pPr>
        <w:rPr>
          <w:rFonts w:ascii="Calibri" w:eastAsia="Calibri" w:hAnsi="Calibri" w:cs="Calibri"/>
          <w:color w:val="1F497D"/>
        </w:rPr>
      </w:pPr>
      <w:hyperlink r:id="rId8">
        <w:r>
          <w:rPr>
            <w:rFonts w:ascii="Calibri" w:eastAsia="Calibri" w:hAnsi="Calibri" w:cs="Calibri"/>
            <w:color w:val="0000FF"/>
            <w:u w:val="single"/>
          </w:rPr>
          <w:t>http://www.cstg.org.uk/events/energising-re-2015/videos/</w:t>
        </w:r>
      </w:hyperlink>
      <w:bookmarkStart w:id="1" w:name="_GoBack"/>
      <w:bookmarkEnd w:id="1"/>
    </w:p>
    <w:p w14:paraId="60D8F438" w14:textId="77777777" w:rsidR="00BC20D2" w:rsidRDefault="00BC20D2">
      <w:pPr>
        <w:rPr>
          <w:rFonts w:ascii="Calibri" w:eastAsia="Calibri" w:hAnsi="Calibri" w:cs="Calibri"/>
          <w:color w:val="1F497D"/>
        </w:rPr>
      </w:pPr>
    </w:p>
    <w:p w14:paraId="7E1E0000" w14:textId="77777777" w:rsidR="00BC20D2" w:rsidRDefault="00BC20D2">
      <w:pPr>
        <w:rPr>
          <w:rFonts w:ascii="Calibri" w:eastAsia="Calibri" w:hAnsi="Calibri" w:cs="Calibri"/>
          <w:color w:val="1F497D"/>
          <w:sz w:val="22"/>
          <w:szCs w:val="22"/>
        </w:rPr>
      </w:pPr>
    </w:p>
    <w:p w14:paraId="5FF30346" w14:textId="77777777" w:rsidR="00BC20D2" w:rsidRDefault="00BC20D2"/>
    <w:sectPr w:rsidR="00BC20D2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811072"/>
    <w:multiLevelType w:val="multilevel"/>
    <w:tmpl w:val="5498B05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C20D2"/>
    <w:rsid w:val="007C12C1"/>
    <w:rsid w:val="00BC20D2"/>
    <w:rsid w:val="00EF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8C1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cstg.org.uk/events/energising-re-2015/videos/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1180</Characters>
  <Application>Microsoft Macintosh Word</Application>
  <DocSecurity>0</DocSecurity>
  <Lines>9</Lines>
  <Paragraphs>2</Paragraphs>
  <ScaleCrop>false</ScaleCrop>
  <LinksUpToDate>false</LinksUpToDate>
  <CharactersWithSpaces>1385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 Pawson</cp:lastModifiedBy>
  <cp:revision>2</cp:revision>
  <dcterms:created xsi:type="dcterms:W3CDTF">2017-06-06T15:03:00Z</dcterms:created>
  <dcterms:modified xsi:type="dcterms:W3CDTF">2017-06-06T15:03:00Z</dcterms:modified>
</cp:coreProperties>
</file>