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0E7A9D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006859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0E7A9D">
        <w:rPr>
          <w:rFonts w:ascii="Arial" w:hAnsi="Arial" w:cs="Arial"/>
          <w:b/>
          <w:snapToGrid/>
          <w:sz w:val="24"/>
          <w:szCs w:val="24"/>
          <w:lang w:val="en-GB"/>
        </w:rPr>
        <w:t>311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0E7A9D">
        <w:rPr>
          <w:rFonts w:ascii="Arial" w:hAnsi="Arial" w:cs="Arial"/>
          <w:b/>
          <w:snapToGrid/>
          <w:sz w:val="24"/>
          <w:szCs w:val="24"/>
          <w:lang w:val="en-GB"/>
        </w:rPr>
        <w:t>30 May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006859">
        <w:rPr>
          <w:rFonts w:ascii="Arial" w:hAnsi="Arial" w:cs="Arial"/>
          <w:b/>
          <w:snapToGrid/>
          <w:sz w:val="24"/>
          <w:szCs w:val="24"/>
          <w:lang w:val="en-GB"/>
        </w:rPr>
        <w:t>23 June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0E7A9D" w:rsidRDefault="00453B9B" w:rsidP="000E7A9D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0E7A9D" w:rsidRDefault="000E7A9D" w:rsidP="000E7A9D">
      <w:pPr>
        <w:ind w:left="567" w:hanging="567"/>
        <w:rPr>
          <w:rFonts w:ascii="Arial" w:hAnsi="Arial" w:cs="Arial"/>
          <w:b/>
          <w:sz w:val="24"/>
          <w:szCs w:val="24"/>
        </w:rPr>
      </w:pP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>How many public health funerals were carried out in the financial year 2011/12?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Pr="000E7A9D" w:rsidRDefault="00591F24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16</w:t>
      </w: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0E7A9D" w:rsidRPr="00006859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>What was the cost of an individual public health</w:t>
      </w:r>
      <w:r>
        <w:rPr>
          <w:rFonts w:ascii="Arial" w:hAnsi="Arial" w:cs="Arial"/>
          <w:b/>
          <w:sz w:val="24"/>
          <w:szCs w:val="24"/>
        </w:rPr>
        <w:t xml:space="preserve"> funeral in 2011/12, separately</w:t>
      </w:r>
      <w:r w:rsidR="00006859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0E7A9D">
        <w:rPr>
          <w:rFonts w:ascii="Arial" w:hAnsi="Arial" w:cs="Arial"/>
          <w:b/>
          <w:sz w:val="24"/>
          <w:szCs w:val="24"/>
        </w:rPr>
        <w:t>for a) burials and b) cremations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Pr="000E7A9D" w:rsidRDefault="003F6E86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£1373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b/>
          <w:sz w:val="24"/>
          <w:szCs w:val="24"/>
        </w:rPr>
      </w:pP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 xml:space="preserve">What was the total cost of public health funerals for the Local Authority in 2011/12? 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Pr="000E7A9D" w:rsidRDefault="003F6E86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£17,823.60</w:t>
      </w: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 xml:space="preserve">How many public health funerals were carried out in the financial year 2015/16? 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Pr="000E7A9D" w:rsidRDefault="003F6E86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32</w:t>
      </w: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>What was the cost of an individual public health funeral in 2015/16, separately for a) b</w:t>
      </w:r>
      <w:r>
        <w:rPr>
          <w:rFonts w:ascii="Arial" w:hAnsi="Arial" w:cs="Arial"/>
          <w:b/>
          <w:sz w:val="24"/>
          <w:szCs w:val="24"/>
        </w:rPr>
        <w:t>urials and b) cremations</w:t>
      </w:r>
    </w:p>
    <w:p w:rsidR="002F6C42" w:rsidRDefault="002F6C42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Pr="000E7A9D" w:rsidRDefault="003F6E86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£1903</w:t>
      </w: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0E7A9D" w:rsidRDefault="000E7A9D" w:rsidP="00006859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0E7A9D">
        <w:rPr>
          <w:rFonts w:ascii="Arial" w:hAnsi="Arial" w:cs="Arial"/>
          <w:b/>
          <w:sz w:val="24"/>
          <w:szCs w:val="24"/>
        </w:rPr>
        <w:t xml:space="preserve">What was the total cost of public health funerals for the Local Authority in 2015/16? </w:t>
      </w:r>
    </w:p>
    <w:p w:rsidR="000E7A9D" w:rsidRDefault="000E7A9D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E7A9D" w:rsidRDefault="003F6E86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£55530</w:t>
      </w:r>
    </w:p>
    <w:p w:rsidR="003F6E86" w:rsidRDefault="003F6E86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06859" w:rsidRDefault="003F6E86" w:rsidP="00006859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– It should be borne in mind that the burial account figures for each year may not necessarily correlate with the number of public funerals undertaken i</w:t>
      </w:r>
      <w:r w:rsidR="00C03C43">
        <w:rPr>
          <w:rFonts w:ascii="Arial" w:hAnsi="Arial" w:cs="Arial"/>
          <w:sz w:val="24"/>
          <w:szCs w:val="24"/>
        </w:rPr>
        <w:t>n each year. T</w:t>
      </w:r>
      <w:r>
        <w:rPr>
          <w:rFonts w:ascii="Arial" w:hAnsi="Arial" w:cs="Arial"/>
          <w:sz w:val="24"/>
          <w:szCs w:val="24"/>
        </w:rPr>
        <w:t xml:space="preserve">he reason for this is that due </w:t>
      </w:r>
      <w:r w:rsidR="003364DD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delay in recovery of funeral expenses </w:t>
      </w:r>
      <w:r w:rsidR="003364DD">
        <w:rPr>
          <w:rFonts w:ascii="Arial" w:hAnsi="Arial" w:cs="Arial"/>
          <w:sz w:val="24"/>
          <w:szCs w:val="24"/>
        </w:rPr>
        <w:t>this can result</w:t>
      </w:r>
      <w:r w:rsidR="00C03C4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some cases </w:t>
      </w:r>
      <w:r w:rsidR="00C03C43">
        <w:rPr>
          <w:rFonts w:ascii="Arial" w:hAnsi="Arial" w:cs="Arial"/>
          <w:sz w:val="24"/>
          <w:szCs w:val="24"/>
        </w:rPr>
        <w:t>transferring over</w:t>
      </w:r>
      <w:r>
        <w:rPr>
          <w:rFonts w:ascii="Arial" w:hAnsi="Arial" w:cs="Arial"/>
          <w:sz w:val="24"/>
          <w:szCs w:val="24"/>
        </w:rPr>
        <w:t xml:space="preserve"> into the following financial year</w:t>
      </w:r>
      <w:r w:rsidR="003364DD">
        <w:rPr>
          <w:rFonts w:ascii="Arial" w:hAnsi="Arial" w:cs="Arial"/>
          <w:sz w:val="24"/>
          <w:szCs w:val="24"/>
        </w:rPr>
        <w:t xml:space="preserve"> befo</w:t>
      </w:r>
      <w:r w:rsidR="00006859">
        <w:rPr>
          <w:rFonts w:ascii="Arial" w:hAnsi="Arial" w:cs="Arial"/>
          <w:sz w:val="24"/>
          <w:szCs w:val="24"/>
        </w:rPr>
        <w:t xml:space="preserve">re these accounts can be </w:t>
      </w:r>
      <w:proofErr w:type="spellStart"/>
      <w:r w:rsidR="00006859">
        <w:rPr>
          <w:rFonts w:ascii="Arial" w:hAnsi="Arial" w:cs="Arial"/>
          <w:sz w:val="24"/>
          <w:szCs w:val="24"/>
        </w:rPr>
        <w:t>finalis</w:t>
      </w:r>
      <w:r w:rsidR="003364DD">
        <w:rPr>
          <w:rFonts w:ascii="Arial" w:hAnsi="Arial" w:cs="Arial"/>
          <w:sz w:val="24"/>
          <w:szCs w:val="24"/>
        </w:rPr>
        <w:t>ed</w:t>
      </w:r>
      <w:proofErr w:type="spellEnd"/>
      <w:r w:rsidR="003364DD">
        <w:rPr>
          <w:rFonts w:ascii="Arial" w:hAnsi="Arial" w:cs="Arial"/>
          <w:sz w:val="24"/>
          <w:szCs w:val="24"/>
        </w:rPr>
        <w:t>.</w:t>
      </w:r>
    </w:p>
    <w:p w:rsidR="003F6E86" w:rsidRPr="000E7A9D" w:rsidRDefault="003F6E86" w:rsidP="00006859">
      <w:pPr>
        <w:tabs>
          <w:tab w:val="left" w:pos="567"/>
        </w:tabs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F6E86" w:rsidRPr="000E7A9D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DD" w:rsidRDefault="00A221DD">
      <w:r>
        <w:separator/>
      </w:r>
    </w:p>
  </w:endnote>
  <w:endnote w:type="continuationSeparator" w:id="0">
    <w:p w:rsidR="00A221DD" w:rsidRDefault="00A2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828B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828B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828B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828B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828B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828B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DD" w:rsidRDefault="00A221DD">
      <w:r>
        <w:separator/>
      </w:r>
    </w:p>
  </w:footnote>
  <w:footnote w:type="continuationSeparator" w:id="0">
    <w:p w:rsidR="00A221DD" w:rsidRDefault="00A22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66A2C"/>
    <w:multiLevelType w:val="hybridMultilevel"/>
    <w:tmpl w:val="1C266318"/>
    <w:lvl w:ilvl="0" w:tplc="28CECA94">
      <w:start w:val="1"/>
      <w:numFmt w:val="decimal"/>
      <w:lvlText w:val="%1."/>
      <w:lvlJc w:val="left"/>
      <w:pPr>
        <w:ind w:left="465" w:hanging="465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01D66"/>
    <w:rsid w:val="00006859"/>
    <w:rsid w:val="000B213E"/>
    <w:rsid w:val="000E1A9B"/>
    <w:rsid w:val="000E7A9D"/>
    <w:rsid w:val="0016779D"/>
    <w:rsid w:val="00176BE1"/>
    <w:rsid w:val="001C6485"/>
    <w:rsid w:val="001E2239"/>
    <w:rsid w:val="002828B3"/>
    <w:rsid w:val="002967BB"/>
    <w:rsid w:val="002A61E4"/>
    <w:rsid w:val="002C431F"/>
    <w:rsid w:val="002F6C42"/>
    <w:rsid w:val="00300B48"/>
    <w:rsid w:val="00303D18"/>
    <w:rsid w:val="003364DD"/>
    <w:rsid w:val="003F6E86"/>
    <w:rsid w:val="00453B9B"/>
    <w:rsid w:val="004B3661"/>
    <w:rsid w:val="00551AF6"/>
    <w:rsid w:val="00591F24"/>
    <w:rsid w:val="005F494D"/>
    <w:rsid w:val="006254CB"/>
    <w:rsid w:val="00650040"/>
    <w:rsid w:val="006D3102"/>
    <w:rsid w:val="00701AB4"/>
    <w:rsid w:val="00720724"/>
    <w:rsid w:val="00865634"/>
    <w:rsid w:val="00951761"/>
    <w:rsid w:val="00977727"/>
    <w:rsid w:val="009A13E2"/>
    <w:rsid w:val="009F01E0"/>
    <w:rsid w:val="00A221DD"/>
    <w:rsid w:val="00A734C7"/>
    <w:rsid w:val="00AA5747"/>
    <w:rsid w:val="00AA7E6D"/>
    <w:rsid w:val="00AD1728"/>
    <w:rsid w:val="00AE2DA7"/>
    <w:rsid w:val="00BA36FC"/>
    <w:rsid w:val="00BE16F1"/>
    <w:rsid w:val="00C03C43"/>
    <w:rsid w:val="00C2022B"/>
    <w:rsid w:val="00C54EA5"/>
    <w:rsid w:val="00C8081F"/>
    <w:rsid w:val="00CF5D71"/>
    <w:rsid w:val="00D47DF5"/>
    <w:rsid w:val="00DA2D17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E7A9D"/>
    <w:pPr>
      <w:widowControl/>
      <w:ind w:left="720"/>
    </w:pPr>
    <w:rPr>
      <w:rFonts w:ascii="Calibri" w:eastAsiaTheme="minorHAnsi" w:hAnsi="Calibri"/>
      <w:snapToGrid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1088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2017-06-26T16:48:00Z</dcterms:created>
  <dcterms:modified xsi:type="dcterms:W3CDTF">2017-06-26T16:48:00Z</dcterms:modified>
</cp:coreProperties>
</file>